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Default Extension="png" ContentType="image/png"/>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4"/>
        <w:rPr>
          <w:sz w:val="28"/>
        </w:rPr>
      </w:pPr>
    </w:p>
    <w:p>
      <w:pPr>
        <w:pStyle w:val="BodyText"/>
        <w:spacing w:line="56" w:lineRule="exact"/>
        <w:ind w:left="3515"/>
        <w:rPr>
          <w:sz w:val="5"/>
        </w:rPr>
      </w:pPr>
      <w:r>
        <w:rPr>
          <w:position w:val="0"/>
          <w:sz w:val="5"/>
        </w:rPr>
        <w:pict>
          <v:group style="width:323.8pt;height:2.8pt;mso-position-horizontal-relative:char;mso-position-vertical-relative:line" coordorigin="0,0" coordsize="6476,56">
            <v:line style="position:absolute" from="20,20" to="6455,35" stroked="true" strokeweight="2.04pt" strokecolor="#000000"/>
          </v:group>
        </w:pict>
      </w:r>
      <w:r>
        <w:rPr>
          <w:position w:val="0"/>
          <w:sz w:val="5"/>
        </w:rPr>
      </w:r>
    </w:p>
    <w:p>
      <w:pPr>
        <w:pStyle w:val="BodyText"/>
        <w:spacing w:before="9"/>
        <w:rPr>
          <w:sz w:val="8"/>
        </w:rPr>
      </w:pPr>
      <w:r>
        <w:rPr/>
        <w:pict>
          <v:line style="position:absolute;mso-position-horizontal-relative:page;mso-position-vertical-relative:paragraph;z-index:1048;mso-wrap-distance-left:0;mso-wrap-distance-right:0" from="240.779999pt,8.0650pt" to="535.529999pt,8.815pt" stroked="true" strokeweight="2.04pt" strokecolor="#000000">
            <w10:wrap type="topAndBottom"/>
          </v:line>
        </w:pict>
      </w: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1"/>
        <w:spacing w:before="69"/>
        <w:ind w:left="2774"/>
        <w:jc w:val="left"/>
      </w:pPr>
      <w:r>
        <w:rPr/>
        <w:drawing>
          <wp:anchor distT="0" distB="0" distL="0" distR="0" allowOverlap="1" layoutInCell="1" locked="0" behindDoc="0" simplePos="0" relativeHeight="1072">
            <wp:simplePos x="0" y="0"/>
            <wp:positionH relativeFrom="page">
              <wp:posOffset>1080516</wp:posOffset>
            </wp:positionH>
            <wp:positionV relativeFrom="paragraph">
              <wp:posOffset>-1012023</wp:posOffset>
            </wp:positionV>
            <wp:extent cx="1341120" cy="119481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41120" cy="1194816"/>
                    </a:xfrm>
                    <a:prstGeom prst="rect">
                      <a:avLst/>
                    </a:prstGeom>
                  </pic:spPr>
                </pic:pic>
              </a:graphicData>
            </a:graphic>
          </wp:anchor>
        </w:drawing>
      </w:r>
      <w:r>
        <w:rPr/>
        <w:t>UNIVERSIDAD AUTÓNOMA DEL ESTADO DE MÉXICO</w:t>
      </w:r>
    </w:p>
    <w:p>
      <w:pPr>
        <w:pStyle w:val="BodyText"/>
        <w:rPr>
          <w:b/>
          <w:sz w:val="20"/>
        </w:rPr>
      </w:pPr>
    </w:p>
    <w:p>
      <w:pPr>
        <w:pStyle w:val="BodyText"/>
        <w:rPr>
          <w:b/>
          <w:sz w:val="20"/>
        </w:rPr>
      </w:pPr>
    </w:p>
    <w:p>
      <w:pPr>
        <w:pStyle w:val="BodyText"/>
        <w:spacing w:before="7"/>
        <w:rPr>
          <w:b/>
          <w:sz w:val="16"/>
        </w:rPr>
      </w:pPr>
    </w:p>
    <w:p>
      <w:pPr>
        <w:spacing w:line="259" w:lineRule="auto" w:before="69"/>
        <w:ind w:left="1374" w:right="1031" w:firstLine="0"/>
        <w:jc w:val="center"/>
        <w:rPr>
          <w:b/>
          <w:sz w:val="24"/>
        </w:rPr>
      </w:pPr>
      <w:r>
        <w:rPr/>
        <w:pict>
          <v:line style="position:absolute;mso-position-horizontal-relative:page;mso-position-vertical-relative:paragraph;z-index:1096" from="58.02pt,-16.506845pt" to="64.02pt,453.493155pt" stroked="true" strokeweight="2.04pt" strokecolor="#000000">
            <w10:wrap type="none"/>
          </v:line>
        </w:pict>
      </w:r>
      <w:r>
        <w:rPr/>
        <w:pict>
          <v:line style="position:absolute;mso-position-horizontal-relative:page;mso-position-vertical-relative:paragraph;z-index:1120" from="70.019997pt,15.413155pt" to="76.019997pt,427.413155pt" stroked="true" strokeweight="2.04pt" strokecolor="#000000">
            <w10:wrap type="none"/>
          </v:line>
        </w:pict>
      </w:r>
      <w:r>
        <w:rPr>
          <w:b/>
          <w:sz w:val="24"/>
        </w:rPr>
        <w:t>PROGRAMA EN CIENCIAS AGROPECUARIAS Y RECURSOS NATURALES</w:t>
      </w:r>
    </w:p>
    <w:p>
      <w:pPr>
        <w:pStyle w:val="BodyText"/>
        <w:rPr>
          <w:b/>
          <w:sz w:val="24"/>
        </w:rPr>
      </w:pPr>
    </w:p>
    <w:p>
      <w:pPr>
        <w:pStyle w:val="BodyText"/>
        <w:rPr>
          <w:b/>
          <w:sz w:val="24"/>
        </w:rPr>
      </w:pPr>
    </w:p>
    <w:p>
      <w:pPr>
        <w:pStyle w:val="BodyText"/>
        <w:rPr>
          <w:b/>
          <w:sz w:val="24"/>
        </w:rPr>
      </w:pPr>
    </w:p>
    <w:p>
      <w:pPr>
        <w:pStyle w:val="BodyText"/>
        <w:spacing w:before="9"/>
        <w:rPr>
          <w:b/>
          <w:sz w:val="21"/>
        </w:rPr>
      </w:pPr>
    </w:p>
    <w:p>
      <w:pPr>
        <w:spacing w:line="256" w:lineRule="auto" w:before="0"/>
        <w:ind w:left="1420" w:right="1076" w:hanging="1"/>
        <w:jc w:val="center"/>
        <w:rPr>
          <w:b/>
          <w:sz w:val="24"/>
        </w:rPr>
      </w:pPr>
      <w:r>
        <w:rPr>
          <w:b/>
          <w:sz w:val="24"/>
        </w:rPr>
        <w:t>IDENTIFICACIÓN DE MAÍCES SOBRESALIENTES POR SU POTENCIAL Y CALIDAD FORRAJERA EN EL VALLE DE TOLUCA- ATLACOMULCO, ESTADO DE MÉXICO</w:t>
      </w:r>
    </w:p>
    <w:p>
      <w:pPr>
        <w:pStyle w:val="BodyText"/>
        <w:rPr>
          <w:b/>
          <w:sz w:val="24"/>
        </w:rPr>
      </w:pPr>
    </w:p>
    <w:p>
      <w:pPr>
        <w:pStyle w:val="BodyText"/>
        <w:spacing w:before="1"/>
        <w:rPr>
          <w:b/>
          <w:sz w:val="30"/>
        </w:rPr>
      </w:pPr>
    </w:p>
    <w:p>
      <w:pPr>
        <w:spacing w:before="0"/>
        <w:ind w:left="1374" w:right="1029" w:firstLine="0"/>
        <w:jc w:val="center"/>
        <w:rPr>
          <w:b/>
          <w:sz w:val="24"/>
        </w:rPr>
      </w:pPr>
      <w:r>
        <w:rPr>
          <w:b/>
          <w:sz w:val="24"/>
        </w:rPr>
        <w:t>T E S I S</w:t>
      </w:r>
    </w:p>
    <w:p>
      <w:pPr>
        <w:spacing w:line="256" w:lineRule="auto" w:before="182"/>
        <w:ind w:left="1374" w:right="1033" w:firstLine="0"/>
        <w:jc w:val="center"/>
        <w:rPr>
          <w:b/>
          <w:sz w:val="24"/>
        </w:rPr>
      </w:pPr>
      <w:r>
        <w:rPr>
          <w:b/>
          <w:sz w:val="24"/>
        </w:rPr>
        <w:t>QUE PARA OBTENER EL GRADO DE DOCTOR EN CIENCIAS AGROPECUARIAS Y RECURSOS NATURALES</w:t>
      </w:r>
    </w:p>
    <w:p>
      <w:pPr>
        <w:pStyle w:val="BodyText"/>
        <w:rPr>
          <w:b/>
          <w:sz w:val="24"/>
        </w:rPr>
      </w:pPr>
    </w:p>
    <w:p>
      <w:pPr>
        <w:pStyle w:val="BodyText"/>
        <w:spacing w:before="1"/>
        <w:rPr>
          <w:b/>
          <w:sz w:val="30"/>
        </w:rPr>
      </w:pPr>
    </w:p>
    <w:p>
      <w:pPr>
        <w:spacing w:before="0"/>
        <w:ind w:left="1373" w:right="1033" w:firstLine="0"/>
        <w:jc w:val="center"/>
        <w:rPr>
          <w:b/>
          <w:sz w:val="24"/>
        </w:rPr>
      </w:pPr>
      <w:r>
        <w:rPr>
          <w:b/>
          <w:sz w:val="24"/>
        </w:rPr>
        <w:t>PRESENTA:</w:t>
      </w:r>
    </w:p>
    <w:p>
      <w:pPr>
        <w:spacing w:before="182"/>
        <w:ind w:left="2805" w:right="0" w:firstLine="0"/>
        <w:jc w:val="left"/>
        <w:rPr>
          <w:b/>
          <w:sz w:val="24"/>
        </w:rPr>
      </w:pPr>
      <w:r>
        <w:rPr>
          <w:b/>
          <w:sz w:val="24"/>
        </w:rPr>
        <w:t>J. RAMÓN PASCUAL FRANCO MARTÍNEZ</w:t>
      </w:r>
    </w:p>
    <w:p>
      <w:pPr>
        <w:pStyle w:val="BodyText"/>
        <w:rPr>
          <w:b/>
          <w:sz w:val="24"/>
        </w:rPr>
      </w:pPr>
    </w:p>
    <w:p>
      <w:pPr>
        <w:pStyle w:val="BodyText"/>
        <w:spacing w:before="5"/>
        <w:rPr>
          <w:b/>
          <w:sz w:val="31"/>
        </w:rPr>
      </w:pPr>
    </w:p>
    <w:p>
      <w:pPr>
        <w:spacing w:before="1"/>
        <w:ind w:left="1374" w:right="1032" w:firstLine="0"/>
        <w:jc w:val="center"/>
        <w:rPr>
          <w:b/>
          <w:sz w:val="24"/>
        </w:rPr>
      </w:pPr>
      <w:r>
        <w:rPr>
          <w:b/>
          <w:sz w:val="24"/>
        </w:rPr>
        <w:t>COMITÉ DE TUTORES:</w:t>
      </w:r>
    </w:p>
    <w:p>
      <w:pPr>
        <w:spacing w:line="398" w:lineRule="auto" w:before="182"/>
        <w:ind w:left="2596" w:right="2254" w:hanging="1"/>
        <w:jc w:val="center"/>
        <w:rPr>
          <w:b/>
          <w:sz w:val="24"/>
        </w:rPr>
      </w:pPr>
      <w:r>
        <w:rPr>
          <w:b/>
          <w:sz w:val="24"/>
        </w:rPr>
        <w:t>Dr. Andrés González Huerta. Tutor Académico Dra. Delfina de Jesús Pérez López. Tutora Adjunta Dr. Manuel González Ronquillo. Tutor Adjunto</w:t>
      </w:r>
    </w:p>
    <w:p>
      <w:pPr>
        <w:pStyle w:val="BodyText"/>
        <w:rPr>
          <w:b/>
          <w:sz w:val="24"/>
        </w:rPr>
      </w:pPr>
    </w:p>
    <w:p>
      <w:pPr>
        <w:pStyle w:val="BodyText"/>
        <w:rPr>
          <w:b/>
          <w:sz w:val="24"/>
        </w:rPr>
      </w:pPr>
    </w:p>
    <w:p>
      <w:pPr>
        <w:pStyle w:val="BodyText"/>
        <w:spacing w:before="6"/>
        <w:rPr>
          <w:b/>
          <w:sz w:val="32"/>
        </w:rPr>
      </w:pPr>
    </w:p>
    <w:p>
      <w:pPr>
        <w:spacing w:line="256" w:lineRule="auto" w:before="0"/>
        <w:ind w:left="1374" w:right="1033" w:firstLine="0"/>
        <w:jc w:val="center"/>
        <w:rPr>
          <w:b/>
          <w:sz w:val="24"/>
        </w:rPr>
      </w:pPr>
      <w:r>
        <w:rPr>
          <w:b/>
          <w:sz w:val="24"/>
        </w:rPr>
        <w:t>Campus Universitario el Cerrillo, Toluca, Estado de México, Noviembre de 2016</w:t>
      </w:r>
    </w:p>
    <w:p>
      <w:pPr>
        <w:spacing w:after="0" w:line="256" w:lineRule="auto"/>
        <w:jc w:val="center"/>
        <w:rPr>
          <w:sz w:val="24"/>
        </w:rPr>
        <w:sectPr>
          <w:type w:val="continuous"/>
          <w:pgSz w:w="12240" w:h="15840"/>
          <w:pgMar w:top="1500" w:bottom="280" w:left="1040" w:right="1100"/>
        </w:sectPr>
      </w:pPr>
    </w:p>
    <w:p>
      <w:pPr>
        <w:pStyle w:val="BodyText"/>
        <w:spacing w:before="3"/>
        <w:rPr>
          <w:b/>
          <w:sz w:val="11"/>
        </w:rPr>
      </w:pPr>
    </w:p>
    <w:p>
      <w:pPr>
        <w:spacing w:before="69"/>
        <w:ind w:left="242" w:right="257" w:firstLine="0"/>
        <w:jc w:val="center"/>
        <w:rPr>
          <w:b/>
          <w:sz w:val="24"/>
        </w:rPr>
      </w:pPr>
      <w:r>
        <w:rPr>
          <w:b/>
          <w:sz w:val="24"/>
        </w:rPr>
        <w:t>CONTENIDO</w:t>
      </w:r>
    </w:p>
    <w:p>
      <w:pPr>
        <w:spacing w:before="158"/>
        <w:ind w:left="0" w:right="116" w:firstLine="0"/>
        <w:jc w:val="right"/>
        <w:rPr>
          <w:b/>
          <w:sz w:val="24"/>
        </w:rPr>
      </w:pPr>
      <w:r>
        <w:rPr>
          <w:b/>
          <w:sz w:val="24"/>
        </w:rPr>
        <w:t>PAG.</w:t>
      </w:r>
    </w:p>
    <w:sdt>
      <w:sdtPr>
        <w:docPartObj>
          <w:docPartGallery w:val="Table of Contents"/>
          <w:docPartUnique/>
        </w:docPartObj>
      </w:sdtPr>
      <w:sdtEndPr/>
      <w:sdtContent>
        <w:p>
          <w:pPr>
            <w:pStyle w:val="TOC1"/>
            <w:tabs>
              <w:tab w:pos="8945" w:val="left" w:leader="none"/>
            </w:tabs>
            <w:spacing w:before="163"/>
            <w:ind w:right="19"/>
          </w:pPr>
          <w:r>
            <w:rPr/>
            <w:t>LISTA</w:t>
          </w:r>
          <w:r>
            <w:rPr>
              <w:spacing w:val="-1"/>
            </w:rPr>
            <w:t> </w:t>
          </w:r>
          <w:r>
            <w:rPr/>
            <w:t>DE</w:t>
          </w:r>
          <w:r>
            <w:rPr>
              <w:spacing w:val="-1"/>
            </w:rPr>
            <w:t> </w:t>
          </w:r>
          <w:r>
            <w:rPr/>
            <w:t>CUADROS</w:t>
            <w:tab/>
            <w:t>vii</w:t>
          </w:r>
        </w:p>
        <w:p>
          <w:pPr>
            <w:pStyle w:val="TOC1"/>
            <w:tabs>
              <w:tab w:pos="8897" w:val="left" w:leader="none"/>
            </w:tabs>
            <w:ind w:right="19"/>
          </w:pPr>
          <w:r>
            <w:rPr/>
            <w:t>LISTA</w:t>
          </w:r>
          <w:r>
            <w:rPr>
              <w:spacing w:val="-2"/>
            </w:rPr>
            <w:t> </w:t>
          </w:r>
          <w:r>
            <w:rPr/>
            <w:t>DE</w:t>
          </w:r>
          <w:r>
            <w:rPr>
              <w:spacing w:val="-2"/>
            </w:rPr>
            <w:t> </w:t>
          </w:r>
          <w:r>
            <w:rPr/>
            <w:t>FIGURAS</w:t>
            <w:tab/>
            <w:t>viii</w:t>
          </w:r>
        </w:p>
        <w:p>
          <w:pPr>
            <w:pStyle w:val="TOC1"/>
            <w:tabs>
              <w:tab w:pos="9031" w:val="left" w:leader="none"/>
            </w:tabs>
            <w:spacing w:before="81"/>
            <w:ind w:right="19"/>
          </w:pPr>
          <w:hyperlink w:history="true" w:anchor="_TOC_250018">
            <w:r>
              <w:rPr/>
              <w:t>RESUMENGENERAL</w:t>
              <w:tab/>
              <w:t>ix</w:t>
            </w:r>
          </w:hyperlink>
        </w:p>
        <w:p>
          <w:pPr>
            <w:pStyle w:val="TOC1"/>
            <w:tabs>
              <w:tab w:pos="9091" w:val="left" w:leader="none"/>
            </w:tabs>
            <w:ind w:right="19"/>
          </w:pPr>
          <w:hyperlink w:history="true" w:anchor="_TOC_250017">
            <w:r>
              <w:rPr/>
              <w:t>ABSTRACT</w:t>
              <w:tab/>
              <w:t>x</w:t>
            </w:r>
          </w:hyperlink>
        </w:p>
        <w:p>
          <w:pPr>
            <w:pStyle w:val="TOC1"/>
            <w:numPr>
              <w:ilvl w:val="0"/>
              <w:numId w:val="1"/>
            </w:numPr>
            <w:tabs>
              <w:tab w:pos="316" w:val="left" w:leader="none"/>
              <w:tab w:pos="9091" w:val="left" w:leader="none"/>
            </w:tabs>
            <w:spacing w:line="240" w:lineRule="auto" w:before="79" w:after="0"/>
            <w:ind w:left="315" w:right="0" w:hanging="213"/>
            <w:jc w:val="left"/>
          </w:pPr>
          <w:r>
            <w:rPr/>
            <w:t>INTRODUCCION</w:t>
            <w:tab/>
            <w:t>1</w:t>
          </w:r>
        </w:p>
        <w:p>
          <w:pPr>
            <w:pStyle w:val="TOC1"/>
            <w:numPr>
              <w:ilvl w:val="0"/>
              <w:numId w:val="1"/>
            </w:numPr>
            <w:tabs>
              <w:tab w:pos="409" w:val="left" w:leader="none"/>
              <w:tab w:pos="9053" w:val="left" w:leader="none"/>
            </w:tabs>
            <w:spacing w:line="240" w:lineRule="auto" w:before="81" w:after="0"/>
            <w:ind w:left="408" w:right="0" w:hanging="306"/>
            <w:jc w:val="left"/>
          </w:pPr>
          <w:hyperlink w:history="true" w:anchor="_TOC_250016">
            <w:r>
              <w:rPr/>
              <w:t>REVISIÓN</w:t>
            </w:r>
            <w:r>
              <w:rPr>
                <w:spacing w:val="-2"/>
              </w:rPr>
              <w:t> </w:t>
            </w:r>
            <w:r>
              <w:rPr/>
              <w:t>DE</w:t>
            </w:r>
            <w:r>
              <w:rPr>
                <w:spacing w:val="-2"/>
              </w:rPr>
              <w:t> </w:t>
            </w:r>
            <w:r>
              <w:rPr/>
              <w:t>LITERATURA</w:t>
              <w:tab/>
              <w:t>4</w:t>
            </w:r>
          </w:hyperlink>
        </w:p>
        <w:p>
          <w:pPr>
            <w:pStyle w:val="TOC2"/>
            <w:numPr>
              <w:ilvl w:val="1"/>
              <w:numId w:val="2"/>
            </w:numPr>
            <w:tabs>
              <w:tab w:pos="523" w:val="left" w:leader="none"/>
              <w:tab w:pos="9096" w:val="left" w:leader="none"/>
            </w:tabs>
            <w:spacing w:line="240" w:lineRule="auto" w:before="74" w:after="0"/>
            <w:ind w:left="522" w:right="0" w:hanging="420"/>
            <w:jc w:val="left"/>
          </w:pPr>
          <w:hyperlink w:history="true" w:anchor="_TOC_250015">
            <w:r>
              <w:rPr/>
              <w:t>Características del</w:t>
            </w:r>
            <w:r>
              <w:rPr>
                <w:spacing w:val="-3"/>
              </w:rPr>
              <w:t> </w:t>
            </w:r>
            <w:r>
              <w:rPr/>
              <w:t>material</w:t>
            </w:r>
            <w:r>
              <w:rPr>
                <w:spacing w:val="-2"/>
              </w:rPr>
              <w:t> </w:t>
            </w:r>
            <w:r>
              <w:rPr/>
              <w:t>usado</w:t>
              <w:tab/>
              <w:t>4</w:t>
            </w:r>
          </w:hyperlink>
        </w:p>
        <w:p>
          <w:pPr>
            <w:pStyle w:val="TOC2"/>
            <w:numPr>
              <w:ilvl w:val="2"/>
              <w:numId w:val="2"/>
            </w:numPr>
            <w:tabs>
              <w:tab w:pos="703" w:val="left" w:leader="none"/>
              <w:tab w:pos="9057" w:val="left" w:leader="none"/>
            </w:tabs>
            <w:spacing w:line="240" w:lineRule="auto" w:before="80" w:after="0"/>
            <w:ind w:left="702" w:right="0" w:hanging="600"/>
            <w:jc w:val="left"/>
          </w:pPr>
          <w:hyperlink w:history="true" w:anchor="_TOC_250014">
            <w:r>
              <w:rPr/>
              <w:t>Maíz</w:t>
              <w:tab/>
              <w:t>4</w:t>
            </w:r>
          </w:hyperlink>
        </w:p>
        <w:p>
          <w:pPr>
            <w:pStyle w:val="TOC2"/>
            <w:numPr>
              <w:ilvl w:val="2"/>
              <w:numId w:val="2"/>
            </w:numPr>
            <w:tabs>
              <w:tab w:pos="703" w:val="left" w:leader="none"/>
              <w:tab w:pos="9089" w:val="left" w:leader="none"/>
            </w:tabs>
            <w:spacing w:line="240" w:lineRule="auto" w:before="81" w:after="0"/>
            <w:ind w:left="702" w:right="0" w:hanging="600"/>
            <w:jc w:val="left"/>
          </w:pPr>
          <w:hyperlink w:history="true" w:anchor="_TOC_250013">
            <w:r>
              <w:rPr/>
              <w:t>Celulasa</w:t>
              <w:tab/>
              <w:t>6</w:t>
            </w:r>
          </w:hyperlink>
        </w:p>
        <w:p>
          <w:pPr>
            <w:pStyle w:val="TOC2"/>
            <w:numPr>
              <w:ilvl w:val="2"/>
              <w:numId w:val="2"/>
            </w:numPr>
            <w:tabs>
              <w:tab w:pos="703" w:val="left" w:leader="none"/>
              <w:tab w:pos="9103" w:val="left" w:leader="none"/>
            </w:tabs>
            <w:spacing w:line="240" w:lineRule="auto" w:before="79" w:after="0"/>
            <w:ind w:left="702" w:right="0" w:hanging="600"/>
            <w:jc w:val="left"/>
          </w:pPr>
          <w:hyperlink w:history="true" w:anchor="_TOC_250012">
            <w:r>
              <w:rPr/>
              <w:t>Xilanasa</w:t>
              <w:tab/>
              <w:t>7</w:t>
            </w:r>
          </w:hyperlink>
        </w:p>
        <w:p>
          <w:pPr>
            <w:pStyle w:val="TOC2"/>
            <w:numPr>
              <w:ilvl w:val="2"/>
              <w:numId w:val="2"/>
            </w:numPr>
            <w:tabs>
              <w:tab w:pos="703" w:val="left" w:leader="none"/>
              <w:tab w:pos="9055" w:val="left" w:leader="none"/>
            </w:tabs>
            <w:spacing w:line="240" w:lineRule="auto" w:before="79" w:after="0"/>
            <w:ind w:left="702" w:right="0" w:hanging="600"/>
            <w:jc w:val="left"/>
          </w:pPr>
          <w:hyperlink w:history="true" w:anchor="_TOC_250011">
            <w:r>
              <w:rPr/>
              <w:t>Aguamiel</w:t>
            </w:r>
            <w:r>
              <w:rPr>
                <w:spacing w:val="-1"/>
              </w:rPr>
              <w:t> </w:t>
            </w:r>
            <w:r>
              <w:rPr/>
              <w:t>de</w:t>
            </w:r>
            <w:r>
              <w:rPr>
                <w:spacing w:val="-1"/>
              </w:rPr>
              <w:t> </w:t>
            </w:r>
            <w:r>
              <w:rPr/>
              <w:t>maguey</w:t>
              <w:tab/>
              <w:t>8</w:t>
            </w:r>
          </w:hyperlink>
        </w:p>
        <w:p>
          <w:pPr>
            <w:pStyle w:val="TOC2"/>
            <w:numPr>
              <w:ilvl w:val="1"/>
              <w:numId w:val="3"/>
            </w:numPr>
            <w:tabs>
              <w:tab w:pos="523" w:val="left" w:leader="none"/>
              <w:tab w:pos="9093" w:val="left" w:leader="none"/>
            </w:tabs>
            <w:spacing w:line="240" w:lineRule="auto" w:before="81" w:after="0"/>
            <w:ind w:left="522" w:right="0" w:hanging="420"/>
            <w:jc w:val="left"/>
          </w:pPr>
          <w:hyperlink w:history="true" w:anchor="_TOC_250010">
            <w:r>
              <w:rPr/>
              <w:t>Perspectivas del mejoramiento genético del maíz</w:t>
            </w:r>
            <w:r>
              <w:rPr>
                <w:spacing w:val="-9"/>
              </w:rPr>
              <w:t> </w:t>
            </w:r>
            <w:r>
              <w:rPr/>
              <w:t>para</w:t>
            </w:r>
            <w:r>
              <w:rPr>
                <w:spacing w:val="-1"/>
              </w:rPr>
              <w:t> </w:t>
            </w:r>
            <w:r>
              <w:rPr/>
              <w:t>forraje</w:t>
              <w:tab/>
              <w:t>8</w:t>
            </w:r>
          </w:hyperlink>
        </w:p>
        <w:p>
          <w:pPr>
            <w:pStyle w:val="TOC2"/>
            <w:numPr>
              <w:ilvl w:val="1"/>
              <w:numId w:val="3"/>
            </w:numPr>
            <w:tabs>
              <w:tab w:pos="525" w:val="left" w:leader="none"/>
              <w:tab w:pos="8938" w:val="left" w:leader="none"/>
            </w:tabs>
            <w:spacing w:line="240" w:lineRule="auto" w:before="79" w:after="0"/>
            <w:ind w:left="524" w:right="0" w:hanging="422"/>
            <w:jc w:val="left"/>
          </w:pPr>
          <w:hyperlink w:history="true" w:anchor="_TOC_250009">
            <w:r>
              <w:rPr/>
              <w:t>Influencia de aditivos fibrolíticos en la composición química del forraje</w:t>
            </w:r>
            <w:r>
              <w:rPr>
                <w:spacing w:val="-11"/>
              </w:rPr>
              <w:t> </w:t>
            </w:r>
            <w:r>
              <w:rPr/>
              <w:t>de</w:t>
            </w:r>
            <w:r>
              <w:rPr>
                <w:spacing w:val="-3"/>
              </w:rPr>
              <w:t> </w:t>
            </w:r>
            <w:r>
              <w:rPr/>
              <w:t>maíz</w:t>
              <w:tab/>
              <w:t>11</w:t>
            </w:r>
          </w:hyperlink>
        </w:p>
        <w:p>
          <w:pPr>
            <w:pStyle w:val="TOC2"/>
            <w:numPr>
              <w:ilvl w:val="1"/>
              <w:numId w:val="3"/>
            </w:numPr>
            <w:tabs>
              <w:tab w:pos="525" w:val="left" w:leader="none"/>
              <w:tab w:pos="8969" w:val="left" w:leader="none"/>
            </w:tabs>
            <w:spacing w:line="240" w:lineRule="auto" w:before="79" w:after="0"/>
            <w:ind w:left="524" w:right="0" w:hanging="422"/>
            <w:jc w:val="left"/>
          </w:pPr>
          <w:r>
            <w:rPr/>
            <w:t>Influencia de aditivos fibrolíticos en la producción de gas </w:t>
          </w:r>
          <w:r>
            <w:rPr>
              <w:i/>
            </w:rPr>
            <w:t>in vitro </w:t>
          </w:r>
          <w:r>
            <w:rPr/>
            <w:t>del forraje</w:t>
          </w:r>
          <w:r>
            <w:rPr>
              <w:spacing w:val="-11"/>
            </w:rPr>
            <w:t> </w:t>
          </w:r>
          <w:r>
            <w:rPr/>
            <w:t>de</w:t>
          </w:r>
          <w:r>
            <w:rPr>
              <w:spacing w:val="-2"/>
            </w:rPr>
            <w:t> </w:t>
          </w:r>
          <w:r>
            <w:rPr/>
            <w:t>maíz</w:t>
            <w:tab/>
            <w:t>13</w:t>
          </w:r>
        </w:p>
        <w:p>
          <w:pPr>
            <w:pStyle w:val="TOC2"/>
            <w:numPr>
              <w:ilvl w:val="1"/>
              <w:numId w:val="3"/>
            </w:numPr>
            <w:tabs>
              <w:tab w:pos="525" w:val="left" w:leader="none"/>
              <w:tab w:pos="8969" w:val="left" w:leader="none"/>
            </w:tabs>
            <w:spacing w:line="240" w:lineRule="auto" w:before="81" w:after="0"/>
            <w:ind w:left="524" w:right="0" w:hanging="422"/>
            <w:jc w:val="left"/>
          </w:pPr>
          <w:r>
            <w:rPr/>
            <w:t>Influencia de aditivos fibrolíticos en la fermentación </w:t>
          </w:r>
          <w:r>
            <w:rPr>
              <w:i/>
            </w:rPr>
            <w:t>in vitro </w:t>
          </w:r>
          <w:r>
            <w:rPr/>
            <w:t>del forraje</w:t>
          </w:r>
          <w:r>
            <w:rPr>
              <w:spacing w:val="-9"/>
            </w:rPr>
            <w:t> </w:t>
          </w:r>
          <w:r>
            <w:rPr/>
            <w:t>de</w:t>
          </w:r>
          <w:r>
            <w:rPr>
              <w:spacing w:val="-3"/>
            </w:rPr>
            <w:t> </w:t>
          </w:r>
          <w:r>
            <w:rPr/>
            <w:t>maíz</w:t>
            <w:tab/>
            <w:t>14</w:t>
          </w:r>
        </w:p>
        <w:p>
          <w:pPr>
            <w:pStyle w:val="TOC1"/>
            <w:numPr>
              <w:ilvl w:val="0"/>
              <w:numId w:val="1"/>
            </w:numPr>
            <w:tabs>
              <w:tab w:pos="503" w:val="left" w:leader="none"/>
              <w:tab w:pos="8976" w:val="left" w:leader="none"/>
            </w:tabs>
            <w:spacing w:line="240" w:lineRule="auto" w:before="84" w:after="0"/>
            <w:ind w:left="502" w:right="0" w:hanging="400"/>
            <w:jc w:val="left"/>
          </w:pPr>
          <w:r>
            <w:rPr/>
            <w:t>MATERIALES</w:t>
          </w:r>
          <w:r>
            <w:rPr>
              <w:spacing w:val="-1"/>
            </w:rPr>
            <w:t> </w:t>
          </w:r>
          <w:r>
            <w:rPr/>
            <w:t>Y</w:t>
          </w:r>
          <w:r>
            <w:rPr>
              <w:spacing w:val="-4"/>
            </w:rPr>
            <w:t> </w:t>
          </w:r>
          <w:r>
            <w:rPr/>
            <w:t>METODOS</w:t>
            <w:tab/>
            <w:t>17</w:t>
          </w:r>
        </w:p>
        <w:p>
          <w:pPr>
            <w:pStyle w:val="TOC2"/>
            <w:numPr>
              <w:ilvl w:val="1"/>
              <w:numId w:val="4"/>
            </w:numPr>
            <w:tabs>
              <w:tab w:pos="525" w:val="left" w:leader="none"/>
              <w:tab w:pos="8926" w:val="left" w:leader="none"/>
            </w:tabs>
            <w:spacing w:line="240" w:lineRule="auto" w:before="75" w:after="0"/>
            <w:ind w:left="524" w:right="0" w:hanging="422"/>
            <w:jc w:val="left"/>
          </w:pPr>
          <w:hyperlink w:history="true" w:anchor="_TOC_250008">
            <w:r>
              <w:rPr/>
              <w:t>Identificación de maíces</w:t>
            </w:r>
            <w:r>
              <w:rPr>
                <w:spacing w:val="-6"/>
              </w:rPr>
              <w:t> </w:t>
            </w:r>
            <w:r>
              <w:rPr/>
              <w:t>forrajeros</w:t>
            </w:r>
            <w:r>
              <w:rPr>
                <w:spacing w:val="-2"/>
              </w:rPr>
              <w:t> </w:t>
            </w:r>
            <w:r>
              <w:rPr/>
              <w:t>sobresalientes</w:t>
              <w:tab/>
              <w:t>17</w:t>
            </w:r>
          </w:hyperlink>
        </w:p>
        <w:p>
          <w:pPr>
            <w:pStyle w:val="TOC2"/>
            <w:numPr>
              <w:ilvl w:val="1"/>
              <w:numId w:val="4"/>
            </w:numPr>
            <w:tabs>
              <w:tab w:pos="523" w:val="left" w:leader="none"/>
              <w:tab w:pos="8953" w:val="left" w:leader="none"/>
            </w:tabs>
            <w:spacing w:line="240" w:lineRule="auto" w:before="81" w:after="0"/>
            <w:ind w:left="522" w:right="0" w:hanging="420"/>
            <w:jc w:val="left"/>
          </w:pPr>
          <w:hyperlink w:history="true" w:anchor="_TOC_250007">
            <w:r>
              <w:rPr/>
              <w:t>Calidad forrajera de</w:t>
            </w:r>
            <w:r>
              <w:rPr>
                <w:spacing w:val="-5"/>
              </w:rPr>
              <w:t> </w:t>
            </w:r>
            <w:r>
              <w:rPr/>
              <w:t>maíces</w:t>
            </w:r>
            <w:r>
              <w:rPr>
                <w:spacing w:val="-2"/>
              </w:rPr>
              <w:t> </w:t>
            </w:r>
            <w:r>
              <w:rPr/>
              <w:t>sobresalientes</w:t>
              <w:tab/>
              <w:t>18</w:t>
            </w:r>
          </w:hyperlink>
        </w:p>
        <w:p>
          <w:pPr>
            <w:pStyle w:val="TOC2"/>
            <w:numPr>
              <w:ilvl w:val="2"/>
              <w:numId w:val="4"/>
            </w:numPr>
            <w:tabs>
              <w:tab w:pos="703" w:val="left" w:leader="none"/>
              <w:tab w:pos="8949" w:val="left" w:leader="none"/>
            </w:tabs>
            <w:spacing w:line="240" w:lineRule="auto" w:before="79" w:after="0"/>
            <w:ind w:left="702" w:right="0" w:hanging="600"/>
            <w:jc w:val="left"/>
          </w:pPr>
          <w:hyperlink w:history="true" w:anchor="_TOC_250006">
            <w:r>
              <w:rPr/>
              <w:t>Sitio</w:t>
            </w:r>
            <w:r>
              <w:rPr>
                <w:spacing w:val="-1"/>
              </w:rPr>
              <w:t> </w:t>
            </w:r>
            <w:r>
              <w:rPr/>
              <w:t>de</w:t>
            </w:r>
            <w:r>
              <w:rPr>
                <w:spacing w:val="-1"/>
              </w:rPr>
              <w:t> </w:t>
            </w:r>
            <w:r>
              <w:rPr/>
              <w:t>trabajo</w:t>
              <w:tab/>
              <w:t>18</w:t>
            </w:r>
          </w:hyperlink>
        </w:p>
        <w:p>
          <w:pPr>
            <w:pStyle w:val="TOC2"/>
            <w:numPr>
              <w:ilvl w:val="2"/>
              <w:numId w:val="4"/>
            </w:numPr>
            <w:tabs>
              <w:tab w:pos="703" w:val="left" w:leader="none"/>
              <w:tab w:pos="8983" w:val="left" w:leader="none"/>
            </w:tabs>
            <w:spacing w:line="240" w:lineRule="auto" w:before="79" w:after="0"/>
            <w:ind w:left="702" w:right="0" w:hanging="600"/>
            <w:jc w:val="left"/>
          </w:pPr>
          <w:hyperlink w:history="true" w:anchor="_TOC_250005">
            <w:r>
              <w:rPr/>
              <w:t>Material</w:t>
            </w:r>
            <w:r>
              <w:rPr>
                <w:spacing w:val="-1"/>
              </w:rPr>
              <w:t> </w:t>
            </w:r>
            <w:r>
              <w:rPr/>
              <w:t>evaluado</w:t>
              <w:tab/>
              <w:t>18</w:t>
            </w:r>
          </w:hyperlink>
        </w:p>
        <w:p>
          <w:pPr>
            <w:pStyle w:val="TOC2"/>
            <w:numPr>
              <w:ilvl w:val="2"/>
              <w:numId w:val="4"/>
            </w:numPr>
            <w:tabs>
              <w:tab w:pos="703" w:val="left" w:leader="none"/>
              <w:tab w:pos="8937" w:val="left" w:leader="none"/>
            </w:tabs>
            <w:spacing w:line="240" w:lineRule="auto" w:before="81" w:after="0"/>
            <w:ind w:left="702" w:right="0" w:hanging="600"/>
            <w:jc w:val="left"/>
          </w:pPr>
          <w:hyperlink w:history="true" w:anchor="_TOC_250004">
            <w:r>
              <w:rPr/>
              <w:t>Composición</w:t>
            </w:r>
            <w:r>
              <w:rPr>
                <w:spacing w:val="-2"/>
              </w:rPr>
              <w:t> </w:t>
            </w:r>
            <w:r>
              <w:rPr/>
              <w:t>química</w:t>
              <w:tab/>
              <w:t>19</w:t>
            </w:r>
          </w:hyperlink>
        </w:p>
        <w:p>
          <w:pPr>
            <w:pStyle w:val="TOC3"/>
            <w:numPr>
              <w:ilvl w:val="2"/>
              <w:numId w:val="4"/>
            </w:numPr>
            <w:tabs>
              <w:tab w:pos="703" w:val="left" w:leader="none"/>
              <w:tab w:pos="8983" w:val="left" w:leader="none"/>
            </w:tabs>
            <w:spacing w:line="240" w:lineRule="auto" w:before="79" w:after="0"/>
            <w:ind w:left="702" w:right="0" w:hanging="600"/>
            <w:jc w:val="left"/>
            <w:rPr>
              <w:b w:val="0"/>
              <w:i w:val="0"/>
              <w:sz w:val="24"/>
            </w:rPr>
          </w:pPr>
          <w:r>
            <w:rPr>
              <w:b w:val="0"/>
              <w:i w:val="0"/>
              <w:sz w:val="24"/>
            </w:rPr>
            <w:t>Producción de gas</w:t>
          </w:r>
          <w:r>
            <w:rPr>
              <w:b w:val="0"/>
              <w:i w:val="0"/>
              <w:spacing w:val="-1"/>
              <w:sz w:val="24"/>
            </w:rPr>
            <w:t> </w:t>
          </w:r>
          <w:r>
            <w:rPr>
              <w:b w:val="0"/>
              <w:i/>
              <w:sz w:val="24"/>
            </w:rPr>
            <w:t>in</w:t>
          </w:r>
          <w:r>
            <w:rPr>
              <w:b w:val="0"/>
              <w:i w:val="0"/>
              <w:spacing w:val="-2"/>
              <w:sz w:val="24"/>
            </w:rPr>
            <w:t> </w:t>
          </w:r>
          <w:r>
            <w:rPr>
              <w:b w:val="0"/>
              <w:i/>
              <w:sz w:val="24"/>
            </w:rPr>
            <w:t>vitro</w:t>
          </w:r>
          <w:r>
            <w:rPr>
              <w:b w:val="0"/>
              <w:i w:val="0"/>
              <w:sz w:val="24"/>
            </w:rPr>
            <w:tab/>
            <w:t>20</w:t>
          </w:r>
        </w:p>
        <w:p>
          <w:pPr>
            <w:pStyle w:val="TOC2"/>
            <w:numPr>
              <w:ilvl w:val="2"/>
              <w:numId w:val="4"/>
            </w:numPr>
            <w:tabs>
              <w:tab w:pos="703" w:val="left" w:leader="none"/>
              <w:tab w:pos="8983" w:val="left" w:leader="none"/>
            </w:tabs>
            <w:spacing w:line="240" w:lineRule="auto" w:before="79" w:after="0"/>
            <w:ind w:left="702" w:right="0" w:hanging="600"/>
            <w:jc w:val="left"/>
          </w:pPr>
          <w:hyperlink w:history="true" w:anchor="_TOC_250003">
            <w:r>
              <w:rPr/>
              <w:t>Calculos</w:t>
              <w:tab/>
              <w:t>20</w:t>
            </w:r>
          </w:hyperlink>
        </w:p>
        <w:p>
          <w:pPr>
            <w:pStyle w:val="TOC2"/>
            <w:numPr>
              <w:ilvl w:val="2"/>
              <w:numId w:val="4"/>
            </w:numPr>
            <w:tabs>
              <w:tab w:pos="703" w:val="left" w:leader="none"/>
              <w:tab w:pos="8983" w:val="left" w:leader="none"/>
            </w:tabs>
            <w:spacing w:line="240" w:lineRule="auto" w:before="81" w:after="0"/>
            <w:ind w:left="702" w:right="0" w:hanging="600"/>
            <w:jc w:val="left"/>
          </w:pPr>
          <w:hyperlink w:history="true" w:anchor="_TOC_250002">
            <w:r>
              <w:rPr/>
              <w:t>Análisis</w:t>
            </w:r>
            <w:r>
              <w:rPr>
                <w:spacing w:val="-1"/>
              </w:rPr>
              <w:t> </w:t>
            </w:r>
            <w:r>
              <w:rPr/>
              <w:t>estadístico</w:t>
              <w:tab/>
              <w:t>22</w:t>
            </w:r>
          </w:hyperlink>
        </w:p>
        <w:p>
          <w:pPr>
            <w:pStyle w:val="TOC1"/>
            <w:numPr>
              <w:ilvl w:val="0"/>
              <w:numId w:val="1"/>
            </w:numPr>
            <w:tabs>
              <w:tab w:pos="489" w:val="left" w:leader="none"/>
              <w:tab w:pos="8964" w:val="left" w:leader="none"/>
            </w:tabs>
            <w:spacing w:line="240" w:lineRule="auto" w:before="84" w:after="0"/>
            <w:ind w:left="488" w:right="0" w:hanging="386"/>
            <w:jc w:val="left"/>
          </w:pPr>
          <w:r>
            <w:rPr/>
            <w:t>RESULTADOS Y</w:t>
          </w:r>
          <w:r>
            <w:rPr>
              <w:spacing w:val="-4"/>
            </w:rPr>
            <w:t> </w:t>
          </w:r>
          <w:r>
            <w:rPr/>
            <w:t>DISCUSIÓN</w:t>
            <w:tab/>
            <w:t>23</w:t>
          </w:r>
        </w:p>
        <w:p>
          <w:pPr>
            <w:pStyle w:val="TOC2"/>
            <w:spacing w:before="75"/>
            <w:ind w:left="102" w:right="19" w:firstLine="0"/>
          </w:pPr>
          <w:r>
            <w:rPr/>
            <w:t>Articulo 1: Caracterización fenotípica de híbridos y variedades de maíz forrajero en</w:t>
          </w:r>
        </w:p>
        <w:p>
          <w:pPr>
            <w:pStyle w:val="TOC2"/>
            <w:tabs>
              <w:tab w:pos="8976" w:val="left" w:leader="none"/>
            </w:tabs>
            <w:ind w:left="102" w:right="19" w:firstLine="0"/>
          </w:pPr>
          <w:r>
            <w:rPr/>
            <w:t>Valles Altos del Estado de</w:t>
          </w:r>
          <w:r>
            <w:rPr>
              <w:spacing w:val="-3"/>
            </w:rPr>
            <w:t> </w:t>
          </w:r>
          <w:r>
            <w:rPr/>
            <w:t>México,</w:t>
          </w:r>
          <w:r>
            <w:rPr>
              <w:spacing w:val="-2"/>
            </w:rPr>
            <w:t> </w:t>
          </w:r>
          <w:r>
            <w:rPr/>
            <w:t>México</w:t>
            <w:tab/>
            <w:t>24</w:t>
          </w:r>
        </w:p>
        <w:p>
          <w:pPr>
            <w:pStyle w:val="TOC2"/>
            <w:spacing w:before="81"/>
            <w:ind w:left="102" w:right="19" w:firstLine="0"/>
          </w:pPr>
          <w:r>
            <w:rPr/>
            <w:t>Articulo 2: Effect of xylanase, cellulase or natural maguey extracto n chimical</w:t>
          </w:r>
        </w:p>
        <w:p>
          <w:pPr>
            <w:pStyle w:val="TOC2"/>
            <w:tabs>
              <w:tab w:pos="8969" w:val="left" w:leader="none"/>
            </w:tabs>
            <w:ind w:left="102" w:right="19" w:firstLine="0"/>
          </w:pPr>
          <w:r>
            <w:rPr/>
            <w:t>Composition and </w:t>
          </w:r>
          <w:r>
            <w:rPr>
              <w:i/>
            </w:rPr>
            <w:t>in vitro </w:t>
          </w:r>
          <w:r>
            <w:rPr/>
            <w:t>rumen gas production of</w:t>
          </w:r>
          <w:r>
            <w:rPr>
              <w:spacing w:val="-9"/>
            </w:rPr>
            <w:t> </w:t>
          </w:r>
          <w:r>
            <w:rPr/>
            <w:t>corn</w:t>
          </w:r>
          <w:r>
            <w:rPr>
              <w:spacing w:val="-1"/>
            </w:rPr>
            <w:t> </w:t>
          </w:r>
          <w:r>
            <w:rPr/>
            <w:t>silage</w:t>
            <w:tab/>
            <w:t>49</w:t>
          </w:r>
        </w:p>
        <w:p>
          <w:pPr>
            <w:pStyle w:val="TOC1"/>
            <w:numPr>
              <w:ilvl w:val="0"/>
              <w:numId w:val="1"/>
            </w:numPr>
            <w:tabs>
              <w:tab w:pos="395" w:val="left" w:leader="none"/>
              <w:tab w:pos="8957" w:val="left" w:leader="none"/>
            </w:tabs>
            <w:spacing w:line="240" w:lineRule="auto" w:before="84" w:after="0"/>
            <w:ind w:left="394" w:right="0" w:hanging="292"/>
            <w:jc w:val="left"/>
          </w:pPr>
          <w:hyperlink w:history="true" w:anchor="_TOC_250001">
            <w:r>
              <w:rPr/>
              <w:t>CONCLUSIONES</w:t>
            </w:r>
            <w:r>
              <w:rPr>
                <w:spacing w:val="-4"/>
              </w:rPr>
              <w:t> </w:t>
            </w:r>
            <w:r>
              <w:rPr/>
              <w:t>GENERALES</w:t>
              <w:tab/>
              <w:t>69</w:t>
            </w:r>
          </w:hyperlink>
        </w:p>
        <w:p>
          <w:pPr>
            <w:pStyle w:val="TOC1"/>
            <w:numPr>
              <w:ilvl w:val="0"/>
              <w:numId w:val="1"/>
            </w:numPr>
            <w:tabs>
              <w:tab w:pos="489" w:val="left" w:leader="none"/>
              <w:tab w:pos="8978" w:val="left" w:leader="none"/>
            </w:tabs>
            <w:spacing w:line="240" w:lineRule="auto" w:before="81" w:after="0"/>
            <w:ind w:left="488" w:right="0" w:hanging="386"/>
            <w:jc w:val="left"/>
          </w:pPr>
          <w:hyperlink w:history="true" w:anchor="_TOC_250000">
            <w:r>
              <w:rPr/>
              <w:t>LITERATURA</w:t>
            </w:r>
            <w:r>
              <w:rPr>
                <w:spacing w:val="-3"/>
              </w:rPr>
              <w:t> </w:t>
            </w:r>
            <w:r>
              <w:rPr/>
              <w:t>COMPLEMENTARIA</w:t>
              <w:tab/>
              <w:t>70</w:t>
            </w:r>
          </w:hyperlink>
        </w:p>
      </w:sdtContent>
    </w:sdt>
    <w:p>
      <w:pPr>
        <w:spacing w:after="0" w:line="240" w:lineRule="auto"/>
        <w:jc w:val="left"/>
        <w:sectPr>
          <w:pgSz w:w="12240" w:h="15840"/>
          <w:pgMar w:top="1500" w:bottom="280" w:left="1600" w:right="1300"/>
        </w:sectPr>
      </w:pPr>
    </w:p>
    <w:p>
      <w:pPr>
        <w:pStyle w:val="BodyText"/>
        <w:spacing w:before="3"/>
        <w:rPr>
          <w:sz w:val="11"/>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1"/>
        <w:gridCol w:w="6954"/>
        <w:gridCol w:w="896"/>
      </w:tblGrid>
      <w:tr>
        <w:trPr>
          <w:trHeight w:val="1227" w:hRule="exact"/>
        </w:trPr>
        <w:tc>
          <w:tcPr>
            <w:tcW w:w="1341" w:type="dxa"/>
          </w:tcPr>
          <w:p>
            <w:pPr>
              <w:pStyle w:val="TableParagraph"/>
              <w:spacing w:before="803"/>
              <w:ind w:left="15" w:right="232"/>
              <w:jc w:val="center"/>
              <w:rPr>
                <w:b/>
                <w:sz w:val="24"/>
              </w:rPr>
            </w:pPr>
            <w:r>
              <w:rPr>
                <w:b/>
                <w:sz w:val="24"/>
              </w:rPr>
              <w:t>CUADRO</w:t>
            </w:r>
          </w:p>
        </w:tc>
        <w:tc>
          <w:tcPr>
            <w:tcW w:w="6954" w:type="dxa"/>
          </w:tcPr>
          <w:p>
            <w:pPr>
              <w:pStyle w:val="TableParagraph"/>
              <w:spacing w:before="69"/>
              <w:ind w:left="2074" w:right="141"/>
              <w:rPr>
                <w:b/>
                <w:sz w:val="24"/>
              </w:rPr>
            </w:pPr>
            <w:r>
              <w:rPr>
                <w:b/>
                <w:sz w:val="24"/>
              </w:rPr>
              <w:t>LISTA DE CUADROS</w:t>
            </w:r>
          </w:p>
        </w:tc>
        <w:tc>
          <w:tcPr>
            <w:tcW w:w="896" w:type="dxa"/>
          </w:tcPr>
          <w:p>
            <w:pPr>
              <w:pStyle w:val="TableParagraph"/>
              <w:rPr>
                <w:sz w:val="24"/>
              </w:rPr>
            </w:pPr>
          </w:p>
          <w:p>
            <w:pPr>
              <w:pStyle w:val="TableParagraph"/>
              <w:rPr>
                <w:sz w:val="24"/>
              </w:rPr>
            </w:pPr>
          </w:p>
          <w:p>
            <w:pPr>
              <w:pStyle w:val="TableParagraph"/>
              <w:spacing w:before="10"/>
              <w:rPr>
                <w:sz w:val="21"/>
              </w:rPr>
            </w:pPr>
          </w:p>
          <w:p>
            <w:pPr>
              <w:pStyle w:val="TableParagraph"/>
              <w:ind w:right="33"/>
              <w:jc w:val="right"/>
              <w:rPr>
                <w:b/>
                <w:sz w:val="24"/>
              </w:rPr>
            </w:pPr>
            <w:r>
              <w:rPr>
                <w:b/>
                <w:sz w:val="24"/>
              </w:rPr>
              <w:t>PAG</w:t>
            </w:r>
          </w:p>
        </w:tc>
      </w:tr>
      <w:tr>
        <w:trPr>
          <w:trHeight w:val="548" w:hRule="exact"/>
        </w:trPr>
        <w:tc>
          <w:tcPr>
            <w:tcW w:w="1341" w:type="dxa"/>
          </w:tcPr>
          <w:p>
            <w:pPr>
              <w:pStyle w:val="TableParagraph"/>
              <w:spacing w:before="121"/>
              <w:ind w:right="188"/>
              <w:jc w:val="center"/>
              <w:rPr>
                <w:sz w:val="24"/>
              </w:rPr>
            </w:pPr>
            <w:r>
              <w:rPr>
                <w:sz w:val="24"/>
              </w:rPr>
              <w:t>1</w:t>
            </w:r>
          </w:p>
        </w:tc>
        <w:tc>
          <w:tcPr>
            <w:tcW w:w="6954" w:type="dxa"/>
          </w:tcPr>
          <w:p>
            <w:pPr>
              <w:pStyle w:val="TableParagraph"/>
              <w:spacing w:before="121"/>
              <w:ind w:left="254" w:right="141"/>
              <w:rPr>
                <w:sz w:val="24"/>
              </w:rPr>
            </w:pPr>
            <w:r>
              <w:rPr>
                <w:sz w:val="24"/>
              </w:rPr>
              <w:t>Caracteristicas de las localidades</w:t>
            </w:r>
          </w:p>
        </w:tc>
        <w:tc>
          <w:tcPr>
            <w:tcW w:w="896" w:type="dxa"/>
          </w:tcPr>
          <w:p>
            <w:pPr>
              <w:pStyle w:val="TableParagraph"/>
              <w:spacing w:before="121"/>
              <w:ind w:right="46"/>
              <w:jc w:val="right"/>
              <w:rPr>
                <w:sz w:val="24"/>
              </w:rPr>
            </w:pPr>
            <w:r>
              <w:rPr>
                <w:sz w:val="24"/>
              </w:rPr>
              <w:t>30</w:t>
            </w:r>
          </w:p>
        </w:tc>
      </w:tr>
      <w:tr>
        <w:trPr>
          <w:trHeight w:val="552" w:hRule="exact"/>
        </w:trPr>
        <w:tc>
          <w:tcPr>
            <w:tcW w:w="1341" w:type="dxa"/>
          </w:tcPr>
          <w:p>
            <w:pPr>
              <w:pStyle w:val="TableParagraph"/>
              <w:spacing w:before="125"/>
              <w:ind w:right="188"/>
              <w:jc w:val="center"/>
              <w:rPr>
                <w:sz w:val="24"/>
              </w:rPr>
            </w:pPr>
            <w:r>
              <w:rPr>
                <w:sz w:val="24"/>
              </w:rPr>
              <w:t>2</w:t>
            </w:r>
          </w:p>
        </w:tc>
        <w:tc>
          <w:tcPr>
            <w:tcW w:w="6954" w:type="dxa"/>
          </w:tcPr>
          <w:p>
            <w:pPr>
              <w:pStyle w:val="TableParagraph"/>
              <w:spacing w:before="125"/>
              <w:ind w:left="254" w:right="141"/>
              <w:rPr>
                <w:sz w:val="24"/>
              </w:rPr>
            </w:pPr>
            <w:r>
              <w:rPr>
                <w:sz w:val="24"/>
              </w:rPr>
              <w:t>Material genético evaluado</w:t>
            </w:r>
          </w:p>
        </w:tc>
        <w:tc>
          <w:tcPr>
            <w:tcW w:w="896" w:type="dxa"/>
          </w:tcPr>
          <w:p>
            <w:pPr>
              <w:pStyle w:val="TableParagraph"/>
              <w:spacing w:before="125"/>
              <w:ind w:right="58"/>
              <w:jc w:val="right"/>
              <w:rPr>
                <w:sz w:val="24"/>
              </w:rPr>
            </w:pPr>
            <w:r>
              <w:rPr>
                <w:sz w:val="24"/>
              </w:rPr>
              <w:t>31</w:t>
            </w:r>
          </w:p>
        </w:tc>
      </w:tr>
      <w:tr>
        <w:trPr>
          <w:trHeight w:val="828" w:hRule="exact"/>
        </w:trPr>
        <w:tc>
          <w:tcPr>
            <w:tcW w:w="1341" w:type="dxa"/>
          </w:tcPr>
          <w:p>
            <w:pPr>
              <w:pStyle w:val="TableParagraph"/>
              <w:spacing w:before="125"/>
              <w:ind w:right="188"/>
              <w:jc w:val="center"/>
              <w:rPr>
                <w:sz w:val="24"/>
              </w:rPr>
            </w:pPr>
            <w:r>
              <w:rPr>
                <w:sz w:val="24"/>
              </w:rPr>
              <w:t>3</w:t>
            </w:r>
          </w:p>
        </w:tc>
        <w:tc>
          <w:tcPr>
            <w:tcW w:w="6954" w:type="dxa"/>
          </w:tcPr>
          <w:p>
            <w:pPr>
              <w:pStyle w:val="TableParagraph"/>
              <w:spacing w:before="125"/>
              <w:ind w:left="254" w:right="141"/>
              <w:rPr>
                <w:sz w:val="24"/>
              </w:rPr>
            </w:pPr>
            <w:r>
              <w:rPr>
                <w:sz w:val="24"/>
              </w:rPr>
              <w:t>Cuadrados medios y significancia estadística de los valores de F para producción de forraje y variables relacionadas</w:t>
            </w:r>
          </w:p>
        </w:tc>
        <w:tc>
          <w:tcPr>
            <w:tcW w:w="896" w:type="dxa"/>
          </w:tcPr>
          <w:p>
            <w:pPr>
              <w:pStyle w:val="TableParagraph"/>
              <w:spacing w:before="10"/>
              <w:rPr>
                <w:sz w:val="34"/>
              </w:rPr>
            </w:pPr>
          </w:p>
          <w:p>
            <w:pPr>
              <w:pStyle w:val="TableParagraph"/>
              <w:ind w:right="49"/>
              <w:jc w:val="right"/>
              <w:rPr>
                <w:sz w:val="24"/>
              </w:rPr>
            </w:pPr>
            <w:r>
              <w:rPr>
                <w:sz w:val="24"/>
              </w:rPr>
              <w:t>35</w:t>
            </w:r>
          </w:p>
        </w:tc>
      </w:tr>
      <w:tr>
        <w:trPr>
          <w:trHeight w:val="1104" w:hRule="exact"/>
        </w:trPr>
        <w:tc>
          <w:tcPr>
            <w:tcW w:w="1341" w:type="dxa"/>
          </w:tcPr>
          <w:p>
            <w:pPr>
              <w:pStyle w:val="TableParagraph"/>
              <w:spacing w:before="125"/>
              <w:ind w:right="188"/>
              <w:jc w:val="center"/>
              <w:rPr>
                <w:sz w:val="24"/>
              </w:rPr>
            </w:pPr>
            <w:r>
              <w:rPr>
                <w:sz w:val="24"/>
              </w:rPr>
              <w:t>4</w:t>
            </w:r>
          </w:p>
        </w:tc>
        <w:tc>
          <w:tcPr>
            <w:tcW w:w="6954" w:type="dxa"/>
          </w:tcPr>
          <w:p>
            <w:pPr>
              <w:pStyle w:val="TableParagraph"/>
              <w:spacing w:before="125"/>
              <w:ind w:left="254" w:right="768"/>
              <w:rPr>
                <w:sz w:val="24"/>
              </w:rPr>
            </w:pPr>
            <w:r>
              <w:rPr>
                <w:sz w:val="24"/>
              </w:rPr>
              <w:t>Comparación de medias para producción de forraje de maíz y variables relacionadas evaluadas en cuatro localidades del Valle Toluca-Atlacomulco, Estado de México</w:t>
            </w:r>
          </w:p>
        </w:tc>
        <w:tc>
          <w:tcPr>
            <w:tcW w:w="896" w:type="dxa"/>
          </w:tcPr>
          <w:p>
            <w:pPr>
              <w:pStyle w:val="TableParagraph"/>
              <w:rPr>
                <w:sz w:val="24"/>
              </w:rPr>
            </w:pPr>
          </w:p>
          <w:p>
            <w:pPr>
              <w:pStyle w:val="TableParagraph"/>
              <w:spacing w:before="10"/>
              <w:rPr>
                <w:sz w:val="34"/>
              </w:rPr>
            </w:pPr>
          </w:p>
          <w:p>
            <w:pPr>
              <w:pStyle w:val="TableParagraph"/>
              <w:ind w:right="51"/>
              <w:jc w:val="right"/>
              <w:rPr>
                <w:sz w:val="24"/>
              </w:rPr>
            </w:pPr>
            <w:r>
              <w:rPr>
                <w:sz w:val="24"/>
              </w:rPr>
              <w:t>37</w:t>
            </w:r>
          </w:p>
        </w:tc>
      </w:tr>
      <w:tr>
        <w:trPr>
          <w:trHeight w:val="538" w:hRule="exact"/>
        </w:trPr>
        <w:tc>
          <w:tcPr>
            <w:tcW w:w="1341" w:type="dxa"/>
          </w:tcPr>
          <w:p>
            <w:pPr>
              <w:pStyle w:val="TableParagraph"/>
              <w:spacing w:before="125"/>
              <w:ind w:right="188"/>
              <w:jc w:val="center"/>
              <w:rPr>
                <w:sz w:val="24"/>
              </w:rPr>
            </w:pPr>
            <w:r>
              <w:rPr>
                <w:sz w:val="24"/>
              </w:rPr>
              <w:t>5</w:t>
            </w:r>
          </w:p>
        </w:tc>
        <w:tc>
          <w:tcPr>
            <w:tcW w:w="6954" w:type="dxa"/>
          </w:tcPr>
          <w:p>
            <w:pPr>
              <w:pStyle w:val="TableParagraph"/>
              <w:spacing w:before="125"/>
              <w:ind w:left="254" w:right="141"/>
              <w:rPr>
                <w:sz w:val="24"/>
              </w:rPr>
            </w:pPr>
            <w:r>
              <w:rPr>
                <w:sz w:val="24"/>
              </w:rPr>
              <w:t>Comparación de medias entre 29 genotipos de maíz</w:t>
            </w:r>
          </w:p>
        </w:tc>
        <w:tc>
          <w:tcPr>
            <w:tcW w:w="896" w:type="dxa"/>
          </w:tcPr>
          <w:p>
            <w:pPr>
              <w:pStyle w:val="TableParagraph"/>
              <w:spacing w:before="125"/>
              <w:ind w:right="44"/>
              <w:jc w:val="right"/>
              <w:rPr>
                <w:sz w:val="24"/>
              </w:rPr>
            </w:pPr>
            <w:r>
              <w:rPr>
                <w:sz w:val="24"/>
              </w:rPr>
              <w:t>43</w:t>
            </w:r>
          </w:p>
        </w:tc>
      </w:tr>
      <w:tr>
        <w:trPr>
          <w:trHeight w:val="508" w:hRule="exact"/>
        </w:trPr>
        <w:tc>
          <w:tcPr>
            <w:tcW w:w="1341" w:type="dxa"/>
          </w:tcPr>
          <w:p>
            <w:pPr>
              <w:pStyle w:val="TableParagraph"/>
              <w:spacing w:before="138"/>
              <w:ind w:right="188"/>
              <w:jc w:val="center"/>
              <w:rPr>
                <w:sz w:val="24"/>
              </w:rPr>
            </w:pPr>
            <w:r>
              <w:rPr>
                <w:sz w:val="24"/>
              </w:rPr>
              <w:t>1</w:t>
            </w:r>
          </w:p>
        </w:tc>
        <w:tc>
          <w:tcPr>
            <w:tcW w:w="6954" w:type="dxa"/>
          </w:tcPr>
          <w:p>
            <w:pPr>
              <w:pStyle w:val="TableParagraph"/>
              <w:spacing w:before="123"/>
              <w:ind w:left="254" w:right="141"/>
              <w:rPr>
                <w:sz w:val="24"/>
              </w:rPr>
            </w:pPr>
            <w:r>
              <w:rPr>
                <w:sz w:val="24"/>
              </w:rPr>
              <w:t>Chemical composition (g kg</w:t>
            </w:r>
            <w:r>
              <w:rPr>
                <w:position w:val="9"/>
                <w:sz w:val="16"/>
              </w:rPr>
              <w:t>-1 </w:t>
            </w:r>
            <w:r>
              <w:rPr>
                <w:sz w:val="24"/>
              </w:rPr>
              <w:t>DM) of four corn varieties (V)</w:t>
            </w:r>
          </w:p>
        </w:tc>
        <w:tc>
          <w:tcPr>
            <w:tcW w:w="896" w:type="dxa"/>
          </w:tcPr>
          <w:p>
            <w:pPr/>
          </w:p>
        </w:tc>
      </w:tr>
      <w:tr>
        <w:trPr>
          <w:trHeight w:val="423" w:hRule="exact"/>
        </w:trPr>
        <w:tc>
          <w:tcPr>
            <w:tcW w:w="1341" w:type="dxa"/>
          </w:tcPr>
          <w:p>
            <w:pPr/>
          </w:p>
        </w:tc>
        <w:tc>
          <w:tcPr>
            <w:tcW w:w="6954" w:type="dxa"/>
          </w:tcPr>
          <w:p>
            <w:pPr>
              <w:pStyle w:val="TableParagraph"/>
              <w:spacing w:before="67"/>
              <w:ind w:left="254" w:right="141"/>
              <w:rPr>
                <w:sz w:val="24"/>
              </w:rPr>
            </w:pPr>
            <w:r>
              <w:rPr>
                <w:sz w:val="24"/>
              </w:rPr>
              <w:t>Trated with maguey extract, cellulose and xylanase</w:t>
            </w:r>
          </w:p>
        </w:tc>
        <w:tc>
          <w:tcPr>
            <w:tcW w:w="896" w:type="dxa"/>
          </w:tcPr>
          <w:p>
            <w:pPr>
              <w:pStyle w:val="TableParagraph"/>
              <w:spacing w:before="67"/>
              <w:ind w:right="87"/>
              <w:jc w:val="right"/>
              <w:rPr>
                <w:sz w:val="24"/>
              </w:rPr>
            </w:pPr>
            <w:r>
              <w:rPr>
                <w:sz w:val="24"/>
              </w:rPr>
              <w:t>67</w:t>
            </w:r>
          </w:p>
        </w:tc>
      </w:tr>
      <w:tr>
        <w:trPr>
          <w:trHeight w:val="449" w:hRule="exact"/>
        </w:trPr>
        <w:tc>
          <w:tcPr>
            <w:tcW w:w="1341" w:type="dxa"/>
          </w:tcPr>
          <w:p>
            <w:pPr>
              <w:pStyle w:val="TableParagraph"/>
              <w:spacing w:before="81"/>
              <w:ind w:right="188"/>
              <w:jc w:val="center"/>
              <w:rPr>
                <w:sz w:val="24"/>
              </w:rPr>
            </w:pPr>
            <w:r>
              <w:rPr>
                <w:sz w:val="24"/>
              </w:rPr>
              <w:t>2</w:t>
            </w:r>
          </w:p>
        </w:tc>
        <w:tc>
          <w:tcPr>
            <w:tcW w:w="6954" w:type="dxa"/>
          </w:tcPr>
          <w:p>
            <w:pPr>
              <w:pStyle w:val="TableParagraph"/>
              <w:spacing w:before="66"/>
              <w:ind w:left="254" w:right="141"/>
              <w:rPr>
                <w:sz w:val="24"/>
              </w:rPr>
            </w:pPr>
            <w:r>
              <w:rPr>
                <w:sz w:val="24"/>
              </w:rPr>
              <w:t>Gas production (ml gas g</w:t>
            </w:r>
            <w:r>
              <w:rPr>
                <w:position w:val="9"/>
                <w:sz w:val="16"/>
              </w:rPr>
              <w:t>-1 </w:t>
            </w:r>
            <w:r>
              <w:rPr>
                <w:sz w:val="24"/>
              </w:rPr>
              <w:t>DM) and ruminal </w:t>
            </w:r>
            <w:r>
              <w:rPr>
                <w:i/>
                <w:sz w:val="24"/>
              </w:rPr>
              <w:t>in vitro </w:t>
            </w:r>
            <w:r>
              <w:rPr>
                <w:sz w:val="24"/>
              </w:rPr>
              <w:t>fermentation</w:t>
            </w:r>
          </w:p>
        </w:tc>
        <w:tc>
          <w:tcPr>
            <w:tcW w:w="896" w:type="dxa"/>
          </w:tcPr>
          <w:p>
            <w:pPr/>
          </w:p>
        </w:tc>
      </w:tr>
      <w:tr>
        <w:trPr>
          <w:trHeight w:val="436" w:hRule="exact"/>
        </w:trPr>
        <w:tc>
          <w:tcPr>
            <w:tcW w:w="1341" w:type="dxa"/>
          </w:tcPr>
          <w:p>
            <w:pPr/>
          </w:p>
        </w:tc>
        <w:tc>
          <w:tcPr>
            <w:tcW w:w="6954" w:type="dxa"/>
          </w:tcPr>
          <w:p>
            <w:pPr>
              <w:pStyle w:val="TableParagraph"/>
              <w:spacing w:before="66"/>
              <w:ind w:left="254" w:right="141"/>
              <w:rPr>
                <w:sz w:val="24"/>
              </w:rPr>
            </w:pPr>
            <w:r>
              <w:rPr>
                <w:sz w:val="24"/>
              </w:rPr>
              <w:t>parameters in for corn silage varieties (V) trated with maguey</w:t>
            </w:r>
          </w:p>
        </w:tc>
        <w:tc>
          <w:tcPr>
            <w:tcW w:w="896" w:type="dxa"/>
          </w:tcPr>
          <w:p>
            <w:pPr/>
          </w:p>
        </w:tc>
      </w:tr>
      <w:tr>
        <w:trPr>
          <w:trHeight w:val="439" w:hRule="exact"/>
        </w:trPr>
        <w:tc>
          <w:tcPr>
            <w:tcW w:w="1341" w:type="dxa"/>
          </w:tcPr>
          <w:p>
            <w:pPr/>
          </w:p>
        </w:tc>
        <w:tc>
          <w:tcPr>
            <w:tcW w:w="6954" w:type="dxa"/>
          </w:tcPr>
          <w:p>
            <w:pPr>
              <w:pStyle w:val="TableParagraph"/>
              <w:spacing w:before="67"/>
              <w:ind w:left="254" w:right="141"/>
              <w:rPr>
                <w:sz w:val="24"/>
              </w:rPr>
            </w:pPr>
            <w:r>
              <w:rPr>
                <w:sz w:val="24"/>
              </w:rPr>
              <w:t>extract, cellulose and xylanase</w:t>
            </w:r>
          </w:p>
        </w:tc>
        <w:tc>
          <w:tcPr>
            <w:tcW w:w="896" w:type="dxa"/>
          </w:tcPr>
          <w:p>
            <w:pPr>
              <w:pStyle w:val="TableParagraph"/>
              <w:spacing w:before="67"/>
              <w:ind w:right="99"/>
              <w:jc w:val="right"/>
              <w:rPr>
                <w:sz w:val="24"/>
              </w:rPr>
            </w:pPr>
            <w:r>
              <w:rPr>
                <w:sz w:val="24"/>
              </w:rPr>
              <w:t>68</w:t>
            </w:r>
          </w:p>
        </w:tc>
      </w:tr>
    </w:tbl>
    <w:p>
      <w:pPr>
        <w:spacing w:after="0"/>
        <w:jc w:val="right"/>
        <w:rPr>
          <w:sz w:val="24"/>
        </w:rPr>
        <w:sectPr>
          <w:footerReference w:type="default" r:id="rId6"/>
          <w:pgSz w:w="12240" w:h="15840"/>
          <w:pgMar w:footer="2005" w:header="0" w:top="1500" w:bottom="2200" w:left="1560" w:right="1280"/>
          <w:pgNumType w:start="7"/>
        </w:sectPr>
      </w:pPr>
    </w:p>
    <w:p>
      <w:pPr>
        <w:pStyle w:val="BodyText"/>
        <w:spacing w:before="3"/>
        <w:rPr>
          <w:sz w:val="11"/>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27"/>
        <w:gridCol w:w="7087"/>
        <w:gridCol w:w="856"/>
      </w:tblGrid>
      <w:tr>
        <w:trPr>
          <w:trHeight w:val="904" w:hRule="exact"/>
        </w:trPr>
        <w:tc>
          <w:tcPr>
            <w:tcW w:w="1227" w:type="dxa"/>
          </w:tcPr>
          <w:p>
            <w:pPr>
              <w:pStyle w:val="TableParagraph"/>
              <w:rPr>
                <w:sz w:val="24"/>
              </w:rPr>
            </w:pPr>
          </w:p>
          <w:p>
            <w:pPr>
              <w:pStyle w:val="TableParagraph"/>
              <w:spacing w:before="10"/>
              <w:rPr>
                <w:sz w:val="21"/>
              </w:rPr>
            </w:pPr>
          </w:p>
          <w:p>
            <w:pPr>
              <w:pStyle w:val="TableParagraph"/>
              <w:ind w:left="14" w:right="225"/>
              <w:jc w:val="center"/>
              <w:rPr>
                <w:b/>
                <w:sz w:val="24"/>
              </w:rPr>
            </w:pPr>
            <w:r>
              <w:rPr>
                <w:b/>
                <w:sz w:val="24"/>
              </w:rPr>
              <w:t>FIGURA</w:t>
            </w:r>
          </w:p>
        </w:tc>
        <w:tc>
          <w:tcPr>
            <w:tcW w:w="7087" w:type="dxa"/>
          </w:tcPr>
          <w:p>
            <w:pPr>
              <w:pStyle w:val="TableParagraph"/>
              <w:spacing w:before="69"/>
              <w:ind w:left="2240"/>
              <w:rPr>
                <w:b/>
                <w:sz w:val="24"/>
              </w:rPr>
            </w:pPr>
            <w:r>
              <w:rPr>
                <w:b/>
                <w:sz w:val="24"/>
              </w:rPr>
              <w:t>LISTA DE FIGURAS</w:t>
            </w:r>
          </w:p>
        </w:tc>
        <w:tc>
          <w:tcPr>
            <w:tcW w:w="856" w:type="dxa"/>
          </w:tcPr>
          <w:p>
            <w:pPr>
              <w:pStyle w:val="TableParagraph"/>
              <w:rPr>
                <w:sz w:val="24"/>
              </w:rPr>
            </w:pPr>
          </w:p>
          <w:p>
            <w:pPr>
              <w:pStyle w:val="TableParagraph"/>
              <w:spacing w:before="10"/>
              <w:rPr>
                <w:sz w:val="21"/>
              </w:rPr>
            </w:pPr>
          </w:p>
          <w:p>
            <w:pPr>
              <w:pStyle w:val="TableParagraph"/>
              <w:ind w:right="59"/>
              <w:jc w:val="right"/>
              <w:rPr>
                <w:b/>
                <w:sz w:val="24"/>
              </w:rPr>
            </w:pPr>
            <w:r>
              <w:rPr>
                <w:b/>
                <w:sz w:val="24"/>
              </w:rPr>
              <w:t>PAG.</w:t>
            </w:r>
          </w:p>
        </w:tc>
      </w:tr>
      <w:tr>
        <w:trPr>
          <w:trHeight w:val="455" w:hRule="exact"/>
        </w:trPr>
        <w:tc>
          <w:tcPr>
            <w:tcW w:w="1227" w:type="dxa"/>
          </w:tcPr>
          <w:p>
            <w:pPr>
              <w:pStyle w:val="TableParagraph"/>
              <w:spacing w:before="74"/>
              <w:ind w:right="314"/>
              <w:jc w:val="center"/>
              <w:rPr>
                <w:sz w:val="24"/>
              </w:rPr>
            </w:pPr>
            <w:r>
              <w:rPr>
                <w:sz w:val="24"/>
              </w:rPr>
              <w:t>1</w:t>
            </w:r>
          </w:p>
        </w:tc>
        <w:tc>
          <w:tcPr>
            <w:tcW w:w="7087" w:type="dxa"/>
          </w:tcPr>
          <w:p>
            <w:pPr>
              <w:pStyle w:val="TableParagraph"/>
              <w:spacing w:before="74"/>
              <w:ind w:left="248"/>
              <w:rPr>
                <w:sz w:val="24"/>
              </w:rPr>
            </w:pPr>
            <w:r>
              <w:rPr>
                <w:sz w:val="24"/>
              </w:rPr>
              <w:t>Localidades de estudio ubicadas en los Municipios de Metepec,</w:t>
            </w:r>
          </w:p>
        </w:tc>
        <w:tc>
          <w:tcPr>
            <w:tcW w:w="856" w:type="dxa"/>
          </w:tcPr>
          <w:p>
            <w:pPr/>
          </w:p>
        </w:tc>
      </w:tr>
      <w:tr>
        <w:trPr>
          <w:trHeight w:val="458" w:hRule="exact"/>
        </w:trPr>
        <w:tc>
          <w:tcPr>
            <w:tcW w:w="1227" w:type="dxa"/>
          </w:tcPr>
          <w:p>
            <w:pPr/>
          </w:p>
        </w:tc>
        <w:tc>
          <w:tcPr>
            <w:tcW w:w="7087" w:type="dxa"/>
          </w:tcPr>
          <w:p>
            <w:pPr>
              <w:pStyle w:val="TableParagraph"/>
              <w:spacing w:before="78"/>
              <w:ind w:left="248"/>
              <w:rPr>
                <w:sz w:val="24"/>
              </w:rPr>
            </w:pPr>
            <w:r>
              <w:rPr>
                <w:sz w:val="24"/>
              </w:rPr>
              <w:t>Almoloya de Juárez, Toluca y Jocotitlan, Valle de</w:t>
            </w:r>
          </w:p>
        </w:tc>
        <w:tc>
          <w:tcPr>
            <w:tcW w:w="856" w:type="dxa"/>
          </w:tcPr>
          <w:p>
            <w:pPr/>
          </w:p>
        </w:tc>
      </w:tr>
      <w:tr>
        <w:trPr>
          <w:trHeight w:val="686" w:hRule="exact"/>
        </w:trPr>
        <w:tc>
          <w:tcPr>
            <w:tcW w:w="1227" w:type="dxa"/>
          </w:tcPr>
          <w:p>
            <w:pPr/>
          </w:p>
        </w:tc>
        <w:tc>
          <w:tcPr>
            <w:tcW w:w="7087" w:type="dxa"/>
          </w:tcPr>
          <w:p>
            <w:pPr>
              <w:pStyle w:val="TableParagraph"/>
              <w:spacing w:before="78"/>
              <w:ind w:left="248"/>
              <w:rPr>
                <w:sz w:val="24"/>
              </w:rPr>
            </w:pPr>
            <w:r>
              <w:rPr>
                <w:sz w:val="24"/>
              </w:rPr>
              <w:t>Toluca-Atlacomulco, México</w:t>
            </w:r>
          </w:p>
        </w:tc>
        <w:tc>
          <w:tcPr>
            <w:tcW w:w="856" w:type="dxa"/>
          </w:tcPr>
          <w:p>
            <w:pPr>
              <w:pStyle w:val="TableParagraph"/>
              <w:spacing w:before="78"/>
              <w:ind w:right="52"/>
              <w:jc w:val="right"/>
              <w:rPr>
                <w:sz w:val="24"/>
              </w:rPr>
            </w:pPr>
            <w:r>
              <w:rPr>
                <w:sz w:val="24"/>
              </w:rPr>
              <w:t>17</w:t>
            </w:r>
          </w:p>
        </w:tc>
      </w:tr>
      <w:tr>
        <w:trPr>
          <w:trHeight w:val="916" w:hRule="exact"/>
        </w:trPr>
        <w:tc>
          <w:tcPr>
            <w:tcW w:w="1227" w:type="dxa"/>
          </w:tcPr>
          <w:p>
            <w:pPr>
              <w:pStyle w:val="TableParagraph"/>
              <w:spacing w:before="7"/>
              <w:rPr>
                <w:sz w:val="26"/>
              </w:rPr>
            </w:pPr>
          </w:p>
          <w:p>
            <w:pPr>
              <w:pStyle w:val="TableParagraph"/>
              <w:ind w:right="314"/>
              <w:jc w:val="center"/>
              <w:rPr>
                <w:sz w:val="24"/>
              </w:rPr>
            </w:pPr>
            <w:r>
              <w:rPr>
                <w:sz w:val="24"/>
              </w:rPr>
              <w:t>1</w:t>
            </w:r>
          </w:p>
        </w:tc>
        <w:tc>
          <w:tcPr>
            <w:tcW w:w="7087" w:type="dxa"/>
          </w:tcPr>
          <w:p>
            <w:pPr>
              <w:pStyle w:val="TableParagraph"/>
              <w:spacing w:before="7"/>
              <w:rPr>
                <w:sz w:val="26"/>
              </w:rPr>
            </w:pPr>
          </w:p>
          <w:p>
            <w:pPr>
              <w:pStyle w:val="TableParagraph"/>
              <w:ind w:left="250"/>
              <w:rPr>
                <w:sz w:val="24"/>
              </w:rPr>
            </w:pPr>
            <w:r>
              <w:rPr>
                <w:sz w:val="24"/>
              </w:rPr>
              <w:t>Interrelación entre 29 cultivares de maíz y 11 variables agronómicas</w:t>
            </w:r>
          </w:p>
        </w:tc>
        <w:tc>
          <w:tcPr>
            <w:tcW w:w="856" w:type="dxa"/>
          </w:tcPr>
          <w:p>
            <w:pPr>
              <w:pStyle w:val="TableParagraph"/>
              <w:spacing w:before="7"/>
              <w:rPr>
                <w:sz w:val="26"/>
              </w:rPr>
            </w:pPr>
          </w:p>
          <w:p>
            <w:pPr>
              <w:pStyle w:val="TableParagraph"/>
              <w:ind w:right="47"/>
              <w:jc w:val="right"/>
              <w:rPr>
                <w:sz w:val="24"/>
              </w:rPr>
            </w:pPr>
            <w:r>
              <w:rPr>
                <w:sz w:val="24"/>
              </w:rPr>
              <w:t>38</w:t>
            </w:r>
          </w:p>
        </w:tc>
      </w:tr>
      <w:tr>
        <w:trPr>
          <w:trHeight w:val="688" w:hRule="exact"/>
        </w:trPr>
        <w:tc>
          <w:tcPr>
            <w:tcW w:w="1227" w:type="dxa"/>
          </w:tcPr>
          <w:p>
            <w:pPr>
              <w:pStyle w:val="TableParagraph"/>
              <w:spacing w:before="8"/>
              <w:rPr>
                <w:sz w:val="26"/>
              </w:rPr>
            </w:pPr>
          </w:p>
          <w:p>
            <w:pPr>
              <w:pStyle w:val="TableParagraph"/>
              <w:ind w:right="314"/>
              <w:jc w:val="center"/>
              <w:rPr>
                <w:sz w:val="24"/>
              </w:rPr>
            </w:pPr>
            <w:r>
              <w:rPr>
                <w:sz w:val="24"/>
              </w:rPr>
              <w:t>2</w:t>
            </w:r>
          </w:p>
        </w:tc>
        <w:tc>
          <w:tcPr>
            <w:tcW w:w="7087" w:type="dxa"/>
          </w:tcPr>
          <w:p>
            <w:pPr>
              <w:pStyle w:val="TableParagraph"/>
              <w:spacing w:before="8"/>
              <w:rPr>
                <w:sz w:val="26"/>
              </w:rPr>
            </w:pPr>
          </w:p>
          <w:p>
            <w:pPr>
              <w:pStyle w:val="TableParagraph"/>
              <w:ind w:left="248"/>
              <w:rPr>
                <w:sz w:val="24"/>
              </w:rPr>
            </w:pPr>
            <w:r>
              <w:rPr>
                <w:sz w:val="24"/>
              </w:rPr>
              <w:t>Agrupamiento de 29 maíces considerando 11 variables agronómicas.</w:t>
            </w:r>
          </w:p>
        </w:tc>
        <w:tc>
          <w:tcPr>
            <w:tcW w:w="856" w:type="dxa"/>
          </w:tcPr>
          <w:p>
            <w:pPr/>
          </w:p>
        </w:tc>
      </w:tr>
      <w:tr>
        <w:trPr>
          <w:trHeight w:val="449" w:hRule="exact"/>
        </w:trPr>
        <w:tc>
          <w:tcPr>
            <w:tcW w:w="1227" w:type="dxa"/>
          </w:tcPr>
          <w:p>
            <w:pPr/>
          </w:p>
        </w:tc>
        <w:tc>
          <w:tcPr>
            <w:tcW w:w="7087" w:type="dxa"/>
          </w:tcPr>
          <w:p>
            <w:pPr>
              <w:pStyle w:val="TableParagraph"/>
              <w:spacing w:before="78"/>
              <w:ind w:left="248"/>
              <w:rPr>
                <w:sz w:val="24"/>
              </w:rPr>
            </w:pPr>
            <w:r>
              <w:rPr>
                <w:sz w:val="24"/>
              </w:rPr>
              <w:t>Metodo de media aritmética no ponderada</w:t>
            </w:r>
          </w:p>
        </w:tc>
        <w:tc>
          <w:tcPr>
            <w:tcW w:w="856" w:type="dxa"/>
          </w:tcPr>
          <w:p>
            <w:pPr>
              <w:pStyle w:val="TableParagraph"/>
              <w:spacing w:before="78"/>
              <w:ind w:right="33"/>
              <w:jc w:val="right"/>
              <w:rPr>
                <w:sz w:val="24"/>
              </w:rPr>
            </w:pPr>
            <w:r>
              <w:rPr>
                <w:sz w:val="24"/>
              </w:rPr>
              <w:t>40</w:t>
            </w:r>
          </w:p>
        </w:tc>
      </w:tr>
    </w:tbl>
    <w:p>
      <w:pPr>
        <w:spacing w:after="0"/>
        <w:jc w:val="right"/>
        <w:rPr>
          <w:sz w:val="24"/>
        </w:rPr>
        <w:sectPr>
          <w:pgSz w:w="12240" w:h="15840"/>
          <w:pgMar w:header="0" w:footer="2005" w:top="1500" w:bottom="2200" w:left="1560" w:right="1300"/>
        </w:sectPr>
      </w:pPr>
    </w:p>
    <w:p>
      <w:pPr>
        <w:pStyle w:val="BodyText"/>
        <w:spacing w:before="3"/>
        <w:rPr>
          <w:sz w:val="11"/>
        </w:rPr>
      </w:pPr>
    </w:p>
    <w:p>
      <w:pPr>
        <w:pStyle w:val="Heading1"/>
        <w:spacing w:before="69"/>
        <w:ind w:left="241" w:right="257"/>
        <w:jc w:val="center"/>
      </w:pPr>
      <w:bookmarkStart w:name="_TOC_250018" w:id="1"/>
      <w:bookmarkEnd w:id="1"/>
      <w:r>
        <w:rPr/>
        <w:t>RESUMEN GENERAL</w:t>
      </w:r>
    </w:p>
    <w:p>
      <w:pPr>
        <w:pStyle w:val="BodyText"/>
        <w:rPr>
          <w:b/>
          <w:sz w:val="24"/>
        </w:rPr>
      </w:pPr>
    </w:p>
    <w:p>
      <w:pPr>
        <w:pStyle w:val="BodyText"/>
        <w:spacing w:before="3"/>
        <w:rPr>
          <w:b/>
          <w:sz w:val="31"/>
        </w:rPr>
      </w:pPr>
    </w:p>
    <w:p>
      <w:pPr>
        <w:spacing w:line="259" w:lineRule="auto" w:before="0"/>
        <w:ind w:left="102" w:right="111" w:firstLine="0"/>
        <w:jc w:val="both"/>
        <w:rPr>
          <w:sz w:val="24"/>
        </w:rPr>
      </w:pPr>
      <w:r>
        <w:rPr>
          <w:sz w:val="24"/>
        </w:rPr>
        <w:t>Para trabajar con la producción y calidad del forraje de maíz se realizaron dos experimentos. El primero se hizo en 2013, para identificar cultivares forrajeros sobresalientes para el Valle Toluca-Atlacomulco, México. 29 cultivares fueron evaluados en campo bajo un diseño experimental de bloques completos al azar con tres repeticiones por sitio. El análisis de los datos a través de las cuatro localidades se hizo como una serie de experimentos en espacio.  Los resultados mostraron que las mejores localidades para la evaluación del material genético fueron Metepec y Tiacaque. Los cultivares Victoria, H-159 y SBA-470 constituyeron la fracción superior de los programas de hibridación y las variedades Amarillas Allende, San Cayetano y  Portes Gil,  las Blancas Tlacotepec, San Diego y Cacahuacintles Tlacotepec y   San Cristóbal, fueron las de mejor comportamiento. Las mayores producciones en forraje verde y seco se explican por aumentos significativos (P&lt;0.05) en número de hojas por planta, floración masculina, altura de planta, y producciones de materia verde y seca de elote, tallos y hojas. El segundo experimento considero la aplicación de 1 ml kg</w:t>
      </w:r>
      <w:r>
        <w:rPr>
          <w:position w:val="9"/>
          <w:sz w:val="16"/>
        </w:rPr>
        <w:t>-1 </w:t>
      </w:r>
      <w:r>
        <w:rPr>
          <w:sz w:val="24"/>
        </w:rPr>
        <w:t>materia verde (MV) de xilanasa (XYL), celulasa (CEL) y aguamiel de maguey (AGUAMIEL) a los ensilados de las variedades de maíz San Diego, Cacahuacintle, P-1832 y Victoria, seleccionados del experimento uno, para evaluar su composición química (CQ), producción de gas (PG) y fermentación ruminal </w:t>
      </w:r>
      <w:r>
        <w:rPr>
          <w:i/>
          <w:sz w:val="24"/>
        </w:rPr>
        <w:t>in vitro</w:t>
      </w:r>
      <w:r>
        <w:rPr>
          <w:sz w:val="24"/>
        </w:rPr>
        <w:t>. Se usó un diseño de bloques completos al azar con arreglo factorial. Se efectuó ANOVA y prueba de Tukey. Se encontró efecto significativo (P&lt;0.05) en la CQ para todas las variables del factor variedades, excepto para MO, y para los aditivos excepto para FDN. La PG incremento significativamente (P&lt;0.01) de manera ascendente  desde las 3 h hasta las 96 h. </w:t>
      </w:r>
      <w:r>
        <w:rPr>
          <w:spacing w:val="-3"/>
          <w:sz w:val="24"/>
        </w:rPr>
        <w:t>La </w:t>
      </w:r>
      <w:r>
        <w:rPr>
          <w:sz w:val="24"/>
        </w:rPr>
        <w:t>XYL, CEL y AGUAMIEL afectaron significativamente </w:t>
      </w:r>
      <w:r>
        <w:rPr>
          <w:position w:val="2"/>
          <w:sz w:val="24"/>
        </w:rPr>
        <w:t>(P&lt;0.01) la DMD, DMO, EM, AGCC, PPCM, PG</w:t>
      </w:r>
      <w:r>
        <w:rPr>
          <w:sz w:val="16"/>
        </w:rPr>
        <w:t>24h </w:t>
      </w:r>
      <w:r>
        <w:rPr>
          <w:position w:val="2"/>
          <w:sz w:val="24"/>
        </w:rPr>
        <w:t>y RGP. De los resultados se infiere que  </w:t>
      </w:r>
      <w:r>
        <w:rPr>
          <w:sz w:val="24"/>
        </w:rPr>
        <w:t>la adición de XYL, CEL y AGUAMIEL promueven el incremento de proteína, la actividad hidrolítica y degradación de la fibra en los ensilados de maíz. Los cultivares más  sobresalientes podrían emplearse para derivar líneas endogámicas y formar nuevas variedades e híbridos</w:t>
      </w:r>
      <w:r>
        <w:rPr>
          <w:spacing w:val="-5"/>
          <w:sz w:val="24"/>
        </w:rPr>
        <w:t> </w:t>
      </w:r>
      <w:r>
        <w:rPr>
          <w:sz w:val="24"/>
        </w:rPr>
        <w:t>forrajeros.</w:t>
      </w:r>
    </w:p>
    <w:p>
      <w:pPr>
        <w:spacing w:after="0" w:line="259" w:lineRule="auto"/>
        <w:jc w:val="both"/>
        <w:rPr>
          <w:sz w:val="24"/>
        </w:rPr>
        <w:sectPr>
          <w:footerReference w:type="default" r:id="rId7"/>
          <w:pgSz w:w="12240" w:h="15840"/>
          <w:pgMar w:footer="1863" w:header="0" w:top="1500" w:bottom="2060" w:left="1600" w:right="1300"/>
          <w:pgNumType w:start="9"/>
        </w:sectPr>
      </w:pPr>
    </w:p>
    <w:p>
      <w:pPr>
        <w:pStyle w:val="BodyText"/>
        <w:spacing w:before="3"/>
        <w:rPr>
          <w:sz w:val="11"/>
        </w:rPr>
      </w:pPr>
    </w:p>
    <w:p>
      <w:pPr>
        <w:pStyle w:val="Heading1"/>
        <w:spacing w:before="69"/>
        <w:ind w:left="242" w:right="257"/>
        <w:jc w:val="center"/>
      </w:pPr>
      <w:bookmarkStart w:name="_TOC_250017" w:id="2"/>
      <w:bookmarkEnd w:id="2"/>
      <w:r>
        <w:rPr/>
        <w:t>ABSTRACT</w:t>
      </w:r>
    </w:p>
    <w:p>
      <w:pPr>
        <w:pStyle w:val="BodyText"/>
        <w:rPr>
          <w:b/>
          <w:sz w:val="24"/>
        </w:rPr>
      </w:pPr>
    </w:p>
    <w:p>
      <w:pPr>
        <w:pStyle w:val="BodyText"/>
        <w:spacing w:before="3"/>
        <w:rPr>
          <w:b/>
          <w:sz w:val="31"/>
        </w:rPr>
      </w:pPr>
    </w:p>
    <w:p>
      <w:pPr>
        <w:spacing w:line="259" w:lineRule="auto" w:before="0"/>
        <w:ind w:left="102" w:right="112" w:firstLine="0"/>
        <w:jc w:val="both"/>
        <w:rPr>
          <w:sz w:val="24"/>
        </w:rPr>
      </w:pPr>
      <w:r>
        <w:rPr>
          <w:sz w:val="24"/>
        </w:rPr>
        <w:t>In order to work with the production and quality of corn stover, two experiments were conducted. The first was made in 2013 to identify outstanding stover cultivars for Toluca- Atlacomulco Valley, Mexico. Twenty nine cultivars were evaluated in field under an experimental design of randomized complete block with three replicates per site. The data analysis through the four locations was done as a series of experiments in space. The results showed that the best locations for the evaluation of genetic material were Metepec and Tiacaque. Victoria, H-159 and SBA-470 cultivars were the top fraction of hybridization programs and the varieties the yellow Allende, San Cayetano and Portes Gil, the white Tlacotepec, San Diego and Cacahuacintles Tlacotepec and San Cristobal were the best performers. The higher yields in green and dry matter are explained by significant increases in number of leaves per plant, male flowering, plant height, and production of green and dry corn matter, stalks and leaves. The second experiment included the application of 1 ml kg-1 MV xylanase (XYL), cellulase (CEL) and aguamiel of maguey (AGUAMIEL) to the corn silage varieties San Diego, Cacahuacintle, P-1832 and Victoria, selected from experiment one, to evaluate their chemical composition (CC), gas production (GP) and ruminal fermentation in vitro. A randomized complete block design with factorial arrangement was used. ANOVA and Tukey test was performed. Significant (P &lt;0.05) effect was found in the CC for all varieties factor variables except for OM, and for additives except for NDF. The GP significantly increased (P &lt;0.01) in ascending order from 3 h to 96 h. The XYL, CEL and AGUAMIEL </w:t>
      </w:r>
      <w:r>
        <w:rPr>
          <w:position w:val="2"/>
          <w:sz w:val="24"/>
        </w:rPr>
        <w:t>affected significantly (P &lt;0.01) the DMD, OMD, ME, SCFA, MCP, GP</w:t>
      </w:r>
      <w:r>
        <w:rPr>
          <w:sz w:val="16"/>
        </w:rPr>
        <w:t>24h</w:t>
      </w:r>
      <w:r>
        <w:rPr>
          <w:position w:val="2"/>
          <w:sz w:val="24"/>
        </w:rPr>
        <w:t>. From the results it </w:t>
      </w:r>
      <w:r>
        <w:rPr>
          <w:sz w:val="24"/>
        </w:rPr>
        <w:t>follows that the addition of XYL, CEL and AGUAMIEL promote an increase in protein, hydrolytic activity and fiber degradation in corn stover. The most outstanding cultivars could be used to derive inbred lines and form new corn stover varieties and hybrids.</w:t>
      </w:r>
    </w:p>
    <w:p>
      <w:pPr>
        <w:spacing w:after="0" w:line="259" w:lineRule="auto"/>
        <w:jc w:val="both"/>
        <w:rPr>
          <w:sz w:val="24"/>
        </w:rPr>
        <w:sectPr>
          <w:pgSz w:w="12240" w:h="15840"/>
          <w:pgMar w:header="0" w:footer="1863" w:top="1500" w:bottom="2060" w:left="1600" w:right="1300"/>
        </w:sectPr>
      </w:pPr>
    </w:p>
    <w:p>
      <w:pPr>
        <w:pStyle w:val="BodyText"/>
        <w:spacing w:before="3"/>
        <w:rPr>
          <w:sz w:val="11"/>
        </w:rPr>
      </w:pPr>
    </w:p>
    <w:p>
      <w:pPr>
        <w:pStyle w:val="ListParagraph"/>
        <w:numPr>
          <w:ilvl w:val="1"/>
          <w:numId w:val="1"/>
        </w:numPr>
        <w:tabs>
          <w:tab w:pos="3801" w:val="left" w:leader="none"/>
        </w:tabs>
        <w:spacing w:line="240" w:lineRule="auto" w:before="69" w:after="0"/>
        <w:ind w:left="3801" w:right="0" w:hanging="214"/>
        <w:jc w:val="left"/>
        <w:rPr>
          <w:b/>
          <w:sz w:val="24"/>
        </w:rPr>
      </w:pPr>
      <w:r>
        <w:rPr>
          <w:b/>
          <w:sz w:val="24"/>
        </w:rPr>
        <w:t>INTRODUCCIÓN</w:t>
      </w:r>
    </w:p>
    <w:p>
      <w:pPr>
        <w:pStyle w:val="BodyText"/>
        <w:spacing w:before="6"/>
        <w:rPr>
          <w:b/>
        </w:rPr>
      </w:pPr>
    </w:p>
    <w:p>
      <w:pPr>
        <w:spacing w:line="480" w:lineRule="auto" w:before="0"/>
        <w:ind w:left="102" w:right="113" w:firstLine="0"/>
        <w:jc w:val="both"/>
        <w:rPr>
          <w:sz w:val="24"/>
        </w:rPr>
      </w:pPr>
      <w:r>
        <w:rPr>
          <w:sz w:val="24"/>
        </w:rPr>
        <w:t>De los cultivos cuyo centro de origen y diversidad es México, el maíz (</w:t>
      </w:r>
      <w:r>
        <w:rPr>
          <w:i/>
          <w:sz w:val="24"/>
        </w:rPr>
        <w:t>Zea mays </w:t>
      </w:r>
      <w:r>
        <w:rPr>
          <w:sz w:val="24"/>
        </w:rPr>
        <w:t>L.) es el de mayor importancia a escala nacional y mundial, por su superficie sembrada asi como por el volumen de producción (FAO, 2009). Históricamente los esfuerzos de reproducción en este cultivo se han centrado en la mejora del rendimiento de grano y recientemente también en la utilidad potencial de su rastrojo (biomasa aérea excluyendo el grano). Actualmente existe un creciente interés en ampliar la base genética de los programas de mejoramiento de maíz en todo el mundo, no solo para mejorar el rendimiento de grano, sino también para mejorar la composición del ensilaje y el rastrojo (Muttoni </w:t>
      </w:r>
      <w:r>
        <w:rPr>
          <w:i/>
          <w:sz w:val="24"/>
        </w:rPr>
        <w:t>et al</w:t>
      </w:r>
      <w:r>
        <w:rPr>
          <w:sz w:val="24"/>
        </w:rPr>
        <w:t>., 2013). El ensilaje es una forma de conservar el forraje en húmedo mediante fermentación para preservar su calidad nutritiva por un largo periodo de tiempo, lo más cercano a la que tenía al momento de ser cosechado  (Harris,</w:t>
      </w:r>
      <w:r>
        <w:rPr>
          <w:spacing w:val="-4"/>
          <w:sz w:val="24"/>
        </w:rPr>
        <w:t> </w:t>
      </w:r>
      <w:r>
        <w:rPr>
          <w:sz w:val="24"/>
        </w:rPr>
        <w:t>2003).</w:t>
      </w:r>
    </w:p>
    <w:p>
      <w:pPr>
        <w:pStyle w:val="BodyText"/>
        <w:spacing w:before="9"/>
        <w:rPr>
          <w:sz w:val="21"/>
        </w:rPr>
      </w:pPr>
    </w:p>
    <w:p>
      <w:pPr>
        <w:spacing w:line="477" w:lineRule="auto" w:before="0"/>
        <w:ind w:left="102" w:right="112" w:firstLine="0"/>
        <w:jc w:val="both"/>
        <w:rPr>
          <w:sz w:val="24"/>
        </w:rPr>
      </w:pPr>
      <w:r>
        <w:rPr>
          <w:sz w:val="24"/>
        </w:rPr>
        <w:t>El forraje de maíz se utiliza en la alimentación animal, por su alto contenido de biomasa aérea de 35 a 95 toneladas por hectárea (t ha</w:t>
      </w:r>
      <w:r>
        <w:rPr>
          <w:position w:val="9"/>
          <w:sz w:val="16"/>
        </w:rPr>
        <w:t>-1</w:t>
      </w:r>
      <w:r>
        <w:rPr>
          <w:sz w:val="24"/>
        </w:rPr>
        <w:t>) (Castillo </w:t>
      </w:r>
      <w:r>
        <w:rPr>
          <w:i/>
          <w:sz w:val="24"/>
        </w:rPr>
        <w:t>et al</w:t>
      </w:r>
      <w:r>
        <w:rPr>
          <w:sz w:val="24"/>
        </w:rPr>
        <w:t>., 2009); su forraje es muy utilizado y apreciado en la producción animal por su valor energético (Bates, 1998). Se utiliza en la crianza de todo tipo de rumiantes, pero tiene especial importancia para el ganado lechero, debido a que la producción de leche es altamente dependiente de la cantidad de energía que consume la vaca lactante (Staples, 2003); pero también su forraje presenta algunas características poco deseables, como su bajo valor nutritivo dado su bajo contenido de proteína (63 a 95 g kg</w:t>
      </w:r>
      <w:r>
        <w:rPr>
          <w:position w:val="9"/>
          <w:sz w:val="16"/>
        </w:rPr>
        <w:t>-1</w:t>
      </w:r>
      <w:r>
        <w:rPr>
          <w:sz w:val="24"/>
        </w:rPr>
        <w:t>) y alta concentración de fibra (447 a 633 g kg</w:t>
      </w:r>
      <w:r>
        <w:rPr>
          <w:position w:val="9"/>
          <w:sz w:val="16"/>
        </w:rPr>
        <w:t>-1 </w:t>
      </w:r>
      <w:r>
        <w:rPr>
          <w:sz w:val="24"/>
        </w:rPr>
        <w:t>FDN (Nuñez </w:t>
      </w:r>
      <w:r>
        <w:rPr>
          <w:i/>
          <w:sz w:val="24"/>
        </w:rPr>
        <w:t>et al</w:t>
      </w:r>
      <w:r>
        <w:rPr>
          <w:sz w:val="24"/>
        </w:rPr>
        <w:t>., 2001; Vallejo </w:t>
      </w:r>
      <w:r>
        <w:rPr>
          <w:i/>
          <w:sz w:val="24"/>
        </w:rPr>
        <w:t>et al</w:t>
      </w:r>
      <w:r>
        <w:rPr>
          <w:sz w:val="24"/>
        </w:rPr>
        <w:t>., 2016).</w:t>
      </w:r>
    </w:p>
    <w:p>
      <w:pPr>
        <w:spacing w:after="0" w:line="477" w:lineRule="auto"/>
        <w:jc w:val="both"/>
        <w:rPr>
          <w:sz w:val="24"/>
        </w:rPr>
        <w:sectPr>
          <w:footerReference w:type="default" r:id="rId8"/>
          <w:pgSz w:w="12240" w:h="15840"/>
          <w:pgMar w:footer="0" w:header="0" w:top="1500" w:bottom="280" w:left="1600" w:right="1300"/>
        </w:sectPr>
      </w:pPr>
    </w:p>
    <w:p>
      <w:pPr>
        <w:pStyle w:val="BodyText"/>
        <w:spacing w:before="9"/>
        <w:rPr>
          <w:sz w:val="10"/>
        </w:rPr>
      </w:pPr>
    </w:p>
    <w:p>
      <w:pPr>
        <w:spacing w:line="480" w:lineRule="auto" w:before="70"/>
        <w:ind w:left="102" w:right="114" w:firstLine="0"/>
        <w:jc w:val="both"/>
        <w:rPr>
          <w:sz w:val="24"/>
        </w:rPr>
      </w:pPr>
      <w:r>
        <w:rPr>
          <w:sz w:val="24"/>
        </w:rPr>
        <w:t>Sobre esto último, varios estudios se han centrado sobre la degradación de los alimentos fibrosos en rumiantes usando aditivos como ionoforos, microbios y enzima degradantes de la pared celular o enzimas exógenas degradantes de fibra que estimulan la actividad de microorganismos del rumen digestivo (Kung </w:t>
      </w:r>
      <w:r>
        <w:rPr>
          <w:i/>
          <w:sz w:val="24"/>
        </w:rPr>
        <w:t>et al</w:t>
      </w:r>
      <w:r>
        <w:rPr>
          <w:sz w:val="24"/>
        </w:rPr>
        <w:t>., 2000; Nsereko </w:t>
      </w:r>
      <w:r>
        <w:rPr>
          <w:i/>
          <w:sz w:val="24"/>
        </w:rPr>
        <w:t>et al</w:t>
      </w:r>
      <w:r>
        <w:rPr>
          <w:sz w:val="24"/>
        </w:rPr>
        <w:t>., 2002; Giraldo </w:t>
      </w:r>
      <w:r>
        <w:rPr>
          <w:i/>
          <w:sz w:val="24"/>
        </w:rPr>
        <w:t>et al</w:t>
      </w:r>
      <w:r>
        <w:rPr>
          <w:sz w:val="24"/>
        </w:rPr>
        <w:t>., 2004), específicamente con la adición de enzimas fibroliticas exógenas (EFE) como celulasa o xilanasa se aumenta la degradación y fermentación del forraje de maíz (Valdés </w:t>
      </w:r>
      <w:r>
        <w:rPr>
          <w:i/>
          <w:sz w:val="24"/>
        </w:rPr>
        <w:t>et al</w:t>
      </w:r>
      <w:r>
        <w:rPr>
          <w:sz w:val="24"/>
        </w:rPr>
        <w:t>., 2015; Vallejo </w:t>
      </w:r>
      <w:r>
        <w:rPr>
          <w:i/>
          <w:sz w:val="24"/>
        </w:rPr>
        <w:t>et al</w:t>
      </w:r>
      <w:r>
        <w:rPr>
          <w:sz w:val="24"/>
        </w:rPr>
        <w:t>., 2016), así como la influencia de extractos de plantas como </w:t>
      </w:r>
      <w:r>
        <w:rPr>
          <w:i/>
          <w:sz w:val="24"/>
        </w:rPr>
        <w:t>Salix babylonica </w:t>
      </w:r>
      <w:r>
        <w:rPr>
          <w:sz w:val="24"/>
        </w:rPr>
        <w:t>en la alimentación animal (Cedillo </w:t>
      </w:r>
      <w:r>
        <w:rPr>
          <w:i/>
          <w:sz w:val="24"/>
        </w:rPr>
        <w:t>et al</w:t>
      </w:r>
      <w:r>
        <w:rPr>
          <w:sz w:val="24"/>
        </w:rPr>
        <w:t>, 2014; Salem </w:t>
      </w:r>
      <w:r>
        <w:rPr>
          <w:i/>
          <w:sz w:val="24"/>
        </w:rPr>
        <w:t>et al</w:t>
      </w:r>
      <w:r>
        <w:rPr>
          <w:sz w:val="24"/>
        </w:rPr>
        <w:t>.,</w:t>
      </w:r>
      <w:r>
        <w:rPr>
          <w:spacing w:val="-8"/>
          <w:sz w:val="24"/>
        </w:rPr>
        <w:t> </w:t>
      </w:r>
      <w:r>
        <w:rPr>
          <w:sz w:val="24"/>
        </w:rPr>
        <w:t>2014).</w:t>
      </w:r>
    </w:p>
    <w:p>
      <w:pPr>
        <w:pStyle w:val="BodyText"/>
        <w:spacing w:before="8"/>
        <w:rPr>
          <w:sz w:val="21"/>
        </w:rPr>
      </w:pPr>
    </w:p>
    <w:p>
      <w:pPr>
        <w:spacing w:line="480" w:lineRule="auto" w:before="0"/>
        <w:ind w:left="102" w:right="112" w:firstLine="0"/>
        <w:jc w:val="both"/>
        <w:rPr>
          <w:sz w:val="24"/>
        </w:rPr>
      </w:pPr>
      <w:r>
        <w:rPr>
          <w:sz w:val="24"/>
        </w:rPr>
        <w:t>En México existe una creciente demanda de buen forraje de maíz, dado el crecimiento de la ganadería productora de carne y especialmente la de leche, pero su calidad sigue siendo un problema debida a su baja proteína y digestión de su pared celular; situación que poco ha sido atendida, </w:t>
      </w:r>
      <w:r>
        <w:rPr>
          <w:spacing w:val="-3"/>
          <w:sz w:val="24"/>
        </w:rPr>
        <w:t>ya </w:t>
      </w:r>
      <w:r>
        <w:rPr>
          <w:sz w:val="24"/>
        </w:rPr>
        <w:t>que regionalmente, el mejoramiento genético que se continua realizando en la Meseta Central de México se ha enfocado principalmente a la obtención de cultivares de  mayor producción de grano, pero se han descuidado sus atributos de calidad y propiedades forrajeras.</w:t>
      </w:r>
    </w:p>
    <w:p>
      <w:pPr>
        <w:pStyle w:val="BodyText"/>
        <w:spacing w:before="8"/>
        <w:rPr>
          <w:sz w:val="21"/>
        </w:rPr>
      </w:pPr>
    </w:p>
    <w:p>
      <w:pPr>
        <w:spacing w:before="0"/>
        <w:ind w:left="102" w:right="0" w:firstLine="0"/>
        <w:jc w:val="both"/>
        <w:rPr>
          <w:sz w:val="24"/>
        </w:rPr>
      </w:pPr>
      <w:r>
        <w:rPr>
          <w:sz w:val="24"/>
        </w:rPr>
        <w:t>De acuerdo a lo anterior se tuvo como:</w:t>
      </w:r>
    </w:p>
    <w:p>
      <w:pPr>
        <w:pStyle w:val="BodyText"/>
        <w:rPr>
          <w:sz w:val="24"/>
        </w:rPr>
      </w:pPr>
    </w:p>
    <w:p>
      <w:pPr>
        <w:pStyle w:val="BodyText"/>
        <w:spacing w:before="3"/>
        <w:rPr>
          <w:sz w:val="21"/>
        </w:rPr>
      </w:pPr>
    </w:p>
    <w:p>
      <w:pPr>
        <w:spacing w:before="0"/>
        <w:ind w:left="102" w:right="0" w:firstLine="0"/>
        <w:jc w:val="both"/>
        <w:rPr>
          <w:b/>
          <w:sz w:val="24"/>
        </w:rPr>
      </w:pPr>
      <w:r>
        <w:rPr>
          <w:b/>
          <w:sz w:val="24"/>
        </w:rPr>
        <w:t>Hipótesis</w:t>
      </w:r>
    </w:p>
    <w:p>
      <w:pPr>
        <w:pStyle w:val="BodyText"/>
        <w:rPr>
          <w:b/>
          <w:sz w:val="24"/>
        </w:rPr>
      </w:pPr>
    </w:p>
    <w:p>
      <w:pPr>
        <w:pStyle w:val="BodyText"/>
        <w:spacing w:before="5"/>
        <w:rPr>
          <w:b/>
          <w:sz w:val="20"/>
        </w:rPr>
      </w:pPr>
    </w:p>
    <w:p>
      <w:pPr>
        <w:spacing w:line="480" w:lineRule="auto" w:before="1"/>
        <w:ind w:left="102" w:right="118" w:firstLine="0"/>
        <w:jc w:val="both"/>
        <w:rPr>
          <w:sz w:val="24"/>
        </w:rPr>
      </w:pPr>
      <w:r>
        <w:rPr>
          <w:sz w:val="24"/>
        </w:rPr>
        <w:t>La superioridad de los híbridos de doble propósito sobre las variedades criollas se atribuye principalmente a su mayor producción de materia verde y materia seca, mayor resistencia al acame y mayor calidad del forraje con el uso de aditivos.</w:t>
      </w:r>
    </w:p>
    <w:p>
      <w:pPr>
        <w:spacing w:after="0" w:line="480" w:lineRule="auto"/>
        <w:jc w:val="both"/>
        <w:rPr>
          <w:sz w:val="24"/>
        </w:rPr>
        <w:sectPr>
          <w:footerReference w:type="default" r:id="rId9"/>
          <w:pgSz w:w="12240" w:h="15840"/>
          <w:pgMar w:footer="1003" w:header="0" w:top="1500" w:bottom="1200" w:left="1600" w:right="1300"/>
          <w:pgNumType w:start="2"/>
        </w:sectPr>
      </w:pPr>
    </w:p>
    <w:p>
      <w:pPr>
        <w:pStyle w:val="BodyText"/>
        <w:spacing w:before="9"/>
        <w:rPr>
          <w:sz w:val="10"/>
        </w:rPr>
      </w:pPr>
    </w:p>
    <w:p>
      <w:pPr>
        <w:spacing w:before="70"/>
        <w:ind w:left="102" w:right="0" w:firstLine="0"/>
        <w:jc w:val="both"/>
        <w:rPr>
          <w:sz w:val="24"/>
        </w:rPr>
      </w:pPr>
      <w:r>
        <w:rPr>
          <w:sz w:val="24"/>
        </w:rPr>
        <w:t>Y como:</w:t>
      </w:r>
    </w:p>
    <w:p>
      <w:pPr>
        <w:pStyle w:val="BodyText"/>
        <w:rPr>
          <w:sz w:val="24"/>
        </w:rPr>
      </w:pPr>
    </w:p>
    <w:p>
      <w:pPr>
        <w:pStyle w:val="BodyText"/>
        <w:spacing w:before="3"/>
        <w:rPr>
          <w:sz w:val="21"/>
        </w:rPr>
      </w:pPr>
    </w:p>
    <w:p>
      <w:pPr>
        <w:spacing w:before="0"/>
        <w:ind w:left="102" w:right="0" w:firstLine="0"/>
        <w:jc w:val="both"/>
        <w:rPr>
          <w:b/>
          <w:sz w:val="24"/>
        </w:rPr>
      </w:pPr>
      <w:r>
        <w:rPr>
          <w:b/>
          <w:sz w:val="24"/>
        </w:rPr>
        <w:t>Objetivo General</w:t>
      </w:r>
    </w:p>
    <w:p>
      <w:pPr>
        <w:pStyle w:val="BodyText"/>
        <w:rPr>
          <w:b/>
          <w:sz w:val="24"/>
        </w:rPr>
      </w:pPr>
    </w:p>
    <w:p>
      <w:pPr>
        <w:pStyle w:val="BodyText"/>
        <w:spacing w:before="5"/>
        <w:rPr>
          <w:b/>
          <w:sz w:val="20"/>
        </w:rPr>
      </w:pPr>
    </w:p>
    <w:p>
      <w:pPr>
        <w:spacing w:line="480" w:lineRule="auto" w:before="0"/>
        <w:ind w:left="102" w:right="117" w:firstLine="0"/>
        <w:jc w:val="both"/>
        <w:rPr>
          <w:sz w:val="24"/>
        </w:rPr>
      </w:pPr>
      <w:r>
        <w:rPr>
          <w:sz w:val="24"/>
        </w:rPr>
        <w:t>Identificar maíces sobresalientes por su alto rendimiento y calidad del forraje influida por la aplicación de aditivos, como alternativa para programas de mejoramiento genético o de generación de tecnología.</w:t>
      </w:r>
    </w:p>
    <w:p>
      <w:pPr>
        <w:pStyle w:val="BodyText"/>
        <w:spacing w:before="2"/>
      </w:pPr>
    </w:p>
    <w:p>
      <w:pPr>
        <w:spacing w:before="0"/>
        <w:ind w:left="102" w:right="0" w:firstLine="0"/>
        <w:jc w:val="both"/>
        <w:rPr>
          <w:b/>
          <w:sz w:val="24"/>
        </w:rPr>
      </w:pPr>
      <w:r>
        <w:rPr>
          <w:b/>
          <w:sz w:val="24"/>
        </w:rPr>
        <w:t>Objetivos Específicos</w:t>
      </w:r>
    </w:p>
    <w:p>
      <w:pPr>
        <w:pStyle w:val="BodyText"/>
        <w:rPr>
          <w:b/>
          <w:sz w:val="24"/>
        </w:rPr>
      </w:pPr>
    </w:p>
    <w:p>
      <w:pPr>
        <w:pStyle w:val="BodyText"/>
        <w:spacing w:before="7"/>
        <w:rPr>
          <w:b/>
          <w:sz w:val="20"/>
        </w:rPr>
      </w:pPr>
    </w:p>
    <w:p>
      <w:pPr>
        <w:pStyle w:val="ListParagraph"/>
        <w:numPr>
          <w:ilvl w:val="0"/>
          <w:numId w:val="5"/>
        </w:numPr>
        <w:tabs>
          <w:tab w:pos="822" w:val="left" w:leader="none"/>
        </w:tabs>
        <w:spacing w:line="463" w:lineRule="auto" w:before="0" w:after="0"/>
        <w:ind w:left="822" w:right="119" w:hanging="360"/>
        <w:jc w:val="both"/>
        <w:rPr>
          <w:sz w:val="24"/>
        </w:rPr>
      </w:pPr>
      <w:r>
        <w:rPr>
          <w:sz w:val="24"/>
        </w:rPr>
        <w:t>Evaluar 10 híbridos y 19 variedades criollas por su producción de forraje y caracteres relacionados en cuatro ambientes de Valles Altos del Estado de</w:t>
      </w:r>
      <w:r>
        <w:rPr>
          <w:spacing w:val="-8"/>
          <w:sz w:val="24"/>
        </w:rPr>
        <w:t> </w:t>
      </w:r>
      <w:r>
        <w:rPr>
          <w:sz w:val="24"/>
        </w:rPr>
        <w:t>México.</w:t>
      </w:r>
    </w:p>
    <w:p>
      <w:pPr>
        <w:pStyle w:val="ListParagraph"/>
        <w:numPr>
          <w:ilvl w:val="0"/>
          <w:numId w:val="5"/>
        </w:numPr>
        <w:tabs>
          <w:tab w:pos="822" w:val="left" w:leader="none"/>
        </w:tabs>
        <w:spacing w:line="470" w:lineRule="auto" w:before="31" w:after="0"/>
        <w:ind w:left="822" w:right="112" w:hanging="360"/>
        <w:jc w:val="both"/>
        <w:rPr>
          <w:sz w:val="24"/>
        </w:rPr>
      </w:pPr>
      <w:r>
        <w:rPr>
          <w:sz w:val="24"/>
        </w:rPr>
        <w:t>Analizar la composición química, la degradación y la fermentación de la materia seca de ensilados de dos híbridos y dos variedades criollas de maíz tratados con las enzimas xilanasa y celulasa y aguamiel de</w:t>
      </w:r>
      <w:r>
        <w:rPr>
          <w:spacing w:val="-12"/>
          <w:sz w:val="24"/>
        </w:rPr>
        <w:t> </w:t>
      </w:r>
      <w:r>
        <w:rPr>
          <w:sz w:val="24"/>
        </w:rPr>
        <w:t>maguey.</w:t>
      </w:r>
    </w:p>
    <w:p>
      <w:pPr>
        <w:spacing w:after="0" w:line="470" w:lineRule="auto"/>
        <w:jc w:val="both"/>
        <w:rPr>
          <w:sz w:val="24"/>
        </w:rPr>
        <w:sectPr>
          <w:pgSz w:w="12240" w:h="15840"/>
          <w:pgMar w:header="0" w:footer="1003" w:top="1500" w:bottom="1200" w:left="1600" w:right="1300"/>
        </w:sectPr>
      </w:pPr>
    </w:p>
    <w:p>
      <w:pPr>
        <w:pStyle w:val="BodyText"/>
        <w:spacing w:before="3"/>
        <w:rPr>
          <w:sz w:val="11"/>
        </w:rPr>
      </w:pPr>
    </w:p>
    <w:p>
      <w:pPr>
        <w:pStyle w:val="Heading1"/>
        <w:numPr>
          <w:ilvl w:val="1"/>
          <w:numId w:val="1"/>
        </w:numPr>
        <w:tabs>
          <w:tab w:pos="3194" w:val="left" w:leader="none"/>
        </w:tabs>
        <w:spacing w:line="240" w:lineRule="auto" w:before="69" w:after="0"/>
        <w:ind w:left="3193" w:right="0" w:hanging="307"/>
        <w:jc w:val="left"/>
      </w:pPr>
      <w:bookmarkStart w:name="_TOC_250016" w:id="3"/>
      <w:r>
        <w:rPr/>
        <w:t>REVISIÓN DE</w:t>
      </w:r>
      <w:r>
        <w:rPr>
          <w:spacing w:val="-5"/>
        </w:rPr>
        <w:t> </w:t>
      </w:r>
      <w:bookmarkEnd w:id="3"/>
      <w:r>
        <w:rPr/>
        <w:t>LITERATURA</w:t>
      </w:r>
    </w:p>
    <w:p>
      <w:pPr>
        <w:pStyle w:val="BodyText"/>
        <w:rPr>
          <w:b/>
          <w:sz w:val="24"/>
        </w:rPr>
      </w:pPr>
    </w:p>
    <w:p>
      <w:pPr>
        <w:pStyle w:val="BodyText"/>
        <w:spacing w:before="10"/>
        <w:rPr>
          <w:b/>
          <w:sz w:val="20"/>
        </w:rPr>
      </w:pPr>
    </w:p>
    <w:p>
      <w:pPr>
        <w:pStyle w:val="Heading1"/>
        <w:numPr>
          <w:ilvl w:val="1"/>
          <w:numId w:val="6"/>
        </w:numPr>
        <w:tabs>
          <w:tab w:pos="523" w:val="left" w:leader="none"/>
        </w:tabs>
        <w:spacing w:line="240" w:lineRule="auto" w:before="0" w:after="0"/>
        <w:ind w:left="522" w:right="0" w:hanging="420"/>
        <w:jc w:val="both"/>
      </w:pPr>
      <w:bookmarkStart w:name="_TOC_250015" w:id="4"/>
      <w:r>
        <w:rPr/>
        <w:t>Características del material</w:t>
      </w:r>
      <w:r>
        <w:rPr>
          <w:spacing w:val="-9"/>
        </w:rPr>
        <w:t> </w:t>
      </w:r>
      <w:bookmarkEnd w:id="4"/>
      <w:r>
        <w:rPr/>
        <w:t>usado</w:t>
      </w:r>
    </w:p>
    <w:p>
      <w:pPr>
        <w:pStyle w:val="BodyText"/>
        <w:rPr>
          <w:b/>
          <w:sz w:val="24"/>
        </w:rPr>
      </w:pPr>
    </w:p>
    <w:p>
      <w:pPr>
        <w:pStyle w:val="BodyText"/>
        <w:spacing w:before="10"/>
        <w:rPr>
          <w:b/>
          <w:sz w:val="20"/>
        </w:rPr>
      </w:pPr>
    </w:p>
    <w:p>
      <w:pPr>
        <w:pStyle w:val="Heading1"/>
        <w:numPr>
          <w:ilvl w:val="2"/>
          <w:numId w:val="6"/>
        </w:numPr>
        <w:tabs>
          <w:tab w:pos="703" w:val="left" w:leader="none"/>
        </w:tabs>
        <w:spacing w:line="240" w:lineRule="auto" w:before="0" w:after="0"/>
        <w:ind w:left="702" w:right="0" w:hanging="600"/>
        <w:jc w:val="both"/>
      </w:pPr>
      <w:bookmarkStart w:name="_TOC_250014" w:id="5"/>
      <w:bookmarkEnd w:id="5"/>
      <w:r>
        <w:rPr/>
        <w:t>Maíz</w:t>
      </w:r>
    </w:p>
    <w:p>
      <w:pPr>
        <w:pStyle w:val="BodyText"/>
        <w:rPr>
          <w:b/>
          <w:sz w:val="24"/>
        </w:rPr>
      </w:pPr>
    </w:p>
    <w:p>
      <w:pPr>
        <w:pStyle w:val="BodyText"/>
        <w:spacing w:before="5"/>
        <w:rPr>
          <w:b/>
          <w:sz w:val="20"/>
        </w:rPr>
      </w:pPr>
    </w:p>
    <w:p>
      <w:pPr>
        <w:spacing w:line="480" w:lineRule="auto" w:before="0"/>
        <w:ind w:left="102" w:right="112" w:firstLine="0"/>
        <w:jc w:val="both"/>
        <w:rPr>
          <w:sz w:val="24"/>
        </w:rPr>
      </w:pPr>
      <w:r>
        <w:rPr>
          <w:sz w:val="24"/>
        </w:rPr>
        <w:t>El maíz (</w:t>
      </w:r>
      <w:r>
        <w:rPr>
          <w:i/>
          <w:sz w:val="24"/>
        </w:rPr>
        <w:t>Zea mays </w:t>
      </w:r>
      <w:r>
        <w:rPr>
          <w:sz w:val="24"/>
        </w:rPr>
        <w:t>L.) es la forma domesticada de la gramínea silvestre Mexicana conocida como Teocintle Raza Balsas, siendo Mesoamérica centro de origen y diversidad genética, en México se tienen identificadas 59 razas (Sánchez y Goodman, 1992a; Sánchez </w:t>
      </w:r>
      <w:r>
        <w:rPr>
          <w:i/>
          <w:sz w:val="24"/>
        </w:rPr>
        <w:t>et al</w:t>
      </w:r>
      <w:r>
        <w:rPr>
          <w:sz w:val="24"/>
        </w:rPr>
        <w:t>., 2000; Doebley, 2004; Kato </w:t>
      </w:r>
      <w:r>
        <w:rPr>
          <w:i/>
          <w:sz w:val="24"/>
        </w:rPr>
        <w:t>et al</w:t>
      </w:r>
      <w:r>
        <w:rPr>
          <w:sz w:val="24"/>
        </w:rPr>
        <w:t>., 2009). Dentro de la diversidad de maíz en México, uno de los grupos de mayor interés es el conocido como Complejo Piramidal Mexicano, que incluye a las razas Palomero Toluqueño, Arrocillo Amarillo, Cónico, Elotes Cónicos, Cacahuacintle, Chalqueño y Purépecha, todas cultivadas en Valles Altos (Mijangos-Cortés </w:t>
      </w:r>
      <w:r>
        <w:rPr>
          <w:i/>
          <w:sz w:val="24"/>
        </w:rPr>
        <w:t>et al</w:t>
      </w:r>
      <w:r>
        <w:rPr>
          <w:sz w:val="24"/>
        </w:rPr>
        <w:t>., 2007; Rocandio-Rodríguez, 2014), ubicados desde los 2200 metros sobre el nivel del mar (msnm) a más altura, cuya siembra se realiza a bajas densidades de población (40 000 plantas ha</w:t>
      </w:r>
      <w:r>
        <w:rPr>
          <w:position w:val="9"/>
          <w:sz w:val="16"/>
        </w:rPr>
        <w:t>-1</w:t>
      </w:r>
      <w:r>
        <w:rPr>
          <w:sz w:val="24"/>
        </w:rPr>
        <w:t>), son susceptibles a enfermedades y al acame de raíz y tallo (Polanco y Flores, 2008). En México cada año se siembran alrededor de 8 millones de ha y se cosechan alrededor de 7 millones de ha (Turrent </w:t>
      </w:r>
      <w:r>
        <w:rPr>
          <w:i/>
          <w:sz w:val="24"/>
        </w:rPr>
        <w:t>et al</w:t>
      </w:r>
      <w:r>
        <w:rPr>
          <w:sz w:val="24"/>
        </w:rPr>
        <w:t>., 2014); de esta superficie el 25% se siembra con híbridos, adquiridos del mercado en cada ciclo; otro 25% se siembra con variedades de polinización libre autoproducidas, que derivan del cruzamiento entre los maíces mejorados y las razas nativas (híbridos o variedades acriolladas); el 50% restante se siembra con razas nativas (Espinoza </w:t>
      </w:r>
      <w:r>
        <w:rPr>
          <w:i/>
          <w:sz w:val="24"/>
        </w:rPr>
        <w:t>et </w:t>
      </w:r>
      <w:r>
        <w:rPr>
          <w:i/>
          <w:sz w:val="24"/>
        </w:rPr>
        <w:t>al</w:t>
      </w:r>
      <w:r>
        <w:rPr>
          <w:sz w:val="24"/>
        </w:rPr>
        <w:t>., 2012; Turrent </w:t>
      </w:r>
      <w:r>
        <w:rPr>
          <w:i/>
          <w:sz w:val="24"/>
        </w:rPr>
        <w:t>et al</w:t>
      </w:r>
      <w:r>
        <w:rPr>
          <w:sz w:val="24"/>
        </w:rPr>
        <w:t>., 2012).</w:t>
      </w:r>
    </w:p>
    <w:p>
      <w:pPr>
        <w:pStyle w:val="BodyText"/>
        <w:spacing w:before="8"/>
        <w:rPr>
          <w:sz w:val="21"/>
        </w:rPr>
      </w:pPr>
    </w:p>
    <w:p>
      <w:pPr>
        <w:spacing w:line="480" w:lineRule="auto" w:before="0"/>
        <w:ind w:left="102" w:right="120" w:firstLine="0"/>
        <w:jc w:val="both"/>
        <w:rPr>
          <w:sz w:val="24"/>
        </w:rPr>
      </w:pPr>
      <w:r>
        <w:rPr>
          <w:sz w:val="24"/>
        </w:rPr>
        <w:t>La raza Cónico de maíz es probable que se haya obtenido de la cruza de la raza Palomero Toluqueño de frutos duros con la raza Cacahuacintle de frutos blandos, cuya dureza de   frutos</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4" w:firstLine="0"/>
        <w:jc w:val="both"/>
        <w:rPr>
          <w:sz w:val="24"/>
        </w:rPr>
      </w:pPr>
      <w:r>
        <w:rPr>
          <w:sz w:val="24"/>
        </w:rPr>
        <w:t>es intermedia entre la de los progenitores, pero con una adaptación mucho mas amplia (Wellhausen </w:t>
      </w:r>
      <w:r>
        <w:rPr>
          <w:i/>
          <w:sz w:val="24"/>
        </w:rPr>
        <w:t>et al</w:t>
      </w:r>
      <w:r>
        <w:rPr>
          <w:sz w:val="24"/>
        </w:rPr>
        <w:t>., 1951; Miranda, 1996), esta raza existe desde hace por lo menos 2000 años (Aguirre y Miranda, 2002), surgió durante la tercera etapa de domesticación del maíz, en la cual se descubrió la cerámica, que permitió incrementar sus usos; este maíz de granos  dentados se originó en los Valles Altos del eje transversal volcánico de México y de esta región emigro hacia el norte, hasta llegar a los Estados Unidos de Norteamérica (Miranda, 1998). Recibió su nombre de la forma cónica de su mazorca, se cultiva entre los 2200 y 2800 m de altitud, es el más solicitado para las siembras de temporal o secano en las regiones altas de los Estados de Veracruz, Tlaxcala, Puebla, México, Michoacán, Jalisco, Querétaro, Guanajuato y Zacatecas; la planta desarrolla una espiga con 5 a 6 ramificaciones; tiene 11 hojas en promedio y requiere de 90 días para la antesis (Wellhausen </w:t>
      </w:r>
      <w:r>
        <w:rPr>
          <w:i/>
          <w:sz w:val="24"/>
        </w:rPr>
        <w:t>et al</w:t>
      </w:r>
      <w:r>
        <w:rPr>
          <w:sz w:val="24"/>
        </w:rPr>
        <w:t>., 1951). Se desarrolla bien con lluvias de 696 a 733 mm presentes principalmente durante julio, agosto y septiembre (Ruiz </w:t>
      </w:r>
      <w:r>
        <w:rPr>
          <w:i/>
          <w:sz w:val="24"/>
        </w:rPr>
        <w:t>et al</w:t>
      </w:r>
      <w:r>
        <w:rPr>
          <w:sz w:val="24"/>
        </w:rPr>
        <w:t>., 2013). Esta raza ha dado origen a gran número de variedades que mantienen su identidad y variabilidad genética en forma de criollos locales (Nava y Mejía,</w:t>
      </w:r>
      <w:r>
        <w:rPr>
          <w:spacing w:val="-19"/>
          <w:sz w:val="24"/>
        </w:rPr>
        <w:t> </w:t>
      </w:r>
      <w:r>
        <w:rPr>
          <w:sz w:val="24"/>
        </w:rPr>
        <w:t>2002).</w:t>
      </w:r>
    </w:p>
    <w:p>
      <w:pPr>
        <w:pStyle w:val="BodyText"/>
        <w:spacing w:before="8"/>
        <w:rPr>
          <w:sz w:val="21"/>
        </w:rPr>
      </w:pPr>
    </w:p>
    <w:p>
      <w:pPr>
        <w:spacing w:line="480" w:lineRule="auto" w:before="0"/>
        <w:ind w:left="102" w:right="113" w:firstLine="0"/>
        <w:jc w:val="both"/>
        <w:rPr>
          <w:sz w:val="24"/>
        </w:rPr>
      </w:pPr>
      <w:r>
        <w:rPr>
          <w:sz w:val="24"/>
        </w:rPr>
        <w:t>La raza Chalqueño de maíz tiene como origen probable la región de Chalco-Amecameca, Estado de México, de donde toma su nombre (Wellhausen </w:t>
      </w:r>
      <w:r>
        <w:rPr>
          <w:i/>
          <w:sz w:val="24"/>
        </w:rPr>
        <w:t>et al</w:t>
      </w:r>
      <w:r>
        <w:rPr>
          <w:sz w:val="24"/>
        </w:rPr>
        <w:t>., 1951); guarda relación y semejanza con las razas Palomero Toluqueño, Cónico y Cacahuacintle (Wellhausen </w:t>
      </w:r>
      <w:r>
        <w:rPr>
          <w:i/>
          <w:sz w:val="24"/>
        </w:rPr>
        <w:t>et al</w:t>
      </w:r>
      <w:r>
        <w:rPr>
          <w:sz w:val="24"/>
        </w:rPr>
        <w:t>., 1951; Dobley </w:t>
      </w:r>
      <w:r>
        <w:rPr>
          <w:i/>
          <w:sz w:val="24"/>
        </w:rPr>
        <w:t>et al</w:t>
      </w:r>
      <w:r>
        <w:rPr>
          <w:sz w:val="24"/>
        </w:rPr>
        <w:t>., 1985; Sánchez y Goodman, 1992b). Este maíz se cultiva principalmente en extensas áreas de los Valles Altos Centrales de México (1900 a 2700 msnm). Las plantas son usualmente altas, son tolerantes a la sequía y a bajas temperaturas pero susceptibles a las heladas; la mayoría de los productores conservan poblaciones nativas por periodos de 20 o más años (Romero </w:t>
      </w:r>
      <w:r>
        <w:rPr>
          <w:i/>
          <w:sz w:val="24"/>
        </w:rPr>
        <w:t>et al</w:t>
      </w:r>
      <w:r>
        <w:rPr>
          <w:sz w:val="24"/>
        </w:rPr>
        <w:t>., 2002). Se desarrolla convenientemente con precipitaciones de 696 </w:t>
      </w:r>
      <w:r>
        <w:rPr>
          <w:spacing w:val="57"/>
          <w:sz w:val="24"/>
        </w:rPr>
        <w:t> </w:t>
      </w:r>
      <w:r>
        <w:rPr>
          <w:sz w:val="24"/>
        </w:rPr>
        <w:t>a</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3" w:firstLine="0"/>
        <w:jc w:val="both"/>
        <w:rPr>
          <w:sz w:val="24"/>
        </w:rPr>
      </w:pPr>
      <w:r>
        <w:rPr>
          <w:sz w:val="24"/>
        </w:rPr>
        <w:t>733 mm, caídos principalmente durante julio, agosto y septiembre (Ruiz </w:t>
      </w:r>
      <w:r>
        <w:rPr>
          <w:i/>
          <w:sz w:val="24"/>
        </w:rPr>
        <w:t>et al</w:t>
      </w:r>
      <w:r>
        <w:rPr>
          <w:sz w:val="24"/>
        </w:rPr>
        <w:t>., 2013).  Ha  dado origen a una gran diversidad de variedades que mantienen su identidad y variabilidad genética en forma de criollos locales (Nava y Mejía,</w:t>
      </w:r>
      <w:r>
        <w:rPr>
          <w:spacing w:val="-15"/>
          <w:sz w:val="24"/>
        </w:rPr>
        <w:t> </w:t>
      </w:r>
      <w:r>
        <w:rPr>
          <w:sz w:val="24"/>
        </w:rPr>
        <w:t>2002).</w:t>
      </w:r>
    </w:p>
    <w:p>
      <w:pPr>
        <w:pStyle w:val="BodyText"/>
        <w:spacing w:before="8"/>
        <w:rPr>
          <w:sz w:val="21"/>
        </w:rPr>
      </w:pPr>
    </w:p>
    <w:p>
      <w:pPr>
        <w:spacing w:line="480" w:lineRule="auto" w:before="0"/>
        <w:ind w:left="102" w:right="120" w:firstLine="0"/>
        <w:jc w:val="both"/>
        <w:rPr>
          <w:sz w:val="24"/>
        </w:rPr>
      </w:pPr>
      <w:r>
        <w:rPr>
          <w:sz w:val="24"/>
        </w:rPr>
        <w:t>La raza Cacahuacintle es un maíz blanco, harinoso y de semillas grandes y blandas (Wellhausen </w:t>
      </w:r>
      <w:r>
        <w:rPr>
          <w:i/>
          <w:sz w:val="24"/>
        </w:rPr>
        <w:t>et al</w:t>
      </w:r>
      <w:r>
        <w:rPr>
          <w:sz w:val="24"/>
        </w:rPr>
        <w:t>., 1951; Miranda, 1996).</w:t>
      </w:r>
    </w:p>
    <w:p>
      <w:pPr>
        <w:pStyle w:val="BodyText"/>
        <w:spacing w:before="9"/>
        <w:rPr>
          <w:sz w:val="21"/>
        </w:rPr>
      </w:pPr>
    </w:p>
    <w:p>
      <w:pPr>
        <w:spacing w:line="480" w:lineRule="auto" w:before="0"/>
        <w:ind w:left="102" w:right="112" w:firstLine="0"/>
        <w:jc w:val="both"/>
        <w:rPr>
          <w:sz w:val="24"/>
        </w:rPr>
      </w:pPr>
      <w:r>
        <w:rPr>
          <w:sz w:val="24"/>
        </w:rPr>
        <w:t>El uso de variedades e híbridos en Latinoamérica está concentrado en zonas específicas, con una superficie sembrada inferior a 32%, como en México (20.3%), América Central (21.8%) y el Caribe (31.3%) (Reynoso </w:t>
      </w:r>
      <w:r>
        <w:rPr>
          <w:i/>
          <w:sz w:val="24"/>
        </w:rPr>
        <w:t>et al</w:t>
      </w:r>
      <w:r>
        <w:rPr>
          <w:sz w:val="24"/>
        </w:rPr>
        <w:t>., 2014). En México ninguna variedad de maíz mejorada se  ha desarrollado para producción y calidad forrajera, solo se han generado para producción de grano (Peña </w:t>
      </w:r>
      <w:r>
        <w:rPr>
          <w:i/>
          <w:sz w:val="24"/>
        </w:rPr>
        <w:t>et al</w:t>
      </w:r>
      <w:r>
        <w:rPr>
          <w:sz w:val="24"/>
        </w:rPr>
        <w:t>., 2004); actualmente las opciones que ofrece el mercado en híbridos forrajeros siguen siendo limitadas (Peña </w:t>
      </w:r>
      <w:r>
        <w:rPr>
          <w:i/>
          <w:sz w:val="24"/>
        </w:rPr>
        <w:t>et al</w:t>
      </w:r>
      <w:r>
        <w:rPr>
          <w:sz w:val="24"/>
        </w:rPr>
        <w:t>.,</w:t>
      </w:r>
      <w:r>
        <w:rPr>
          <w:spacing w:val="-5"/>
          <w:sz w:val="24"/>
        </w:rPr>
        <w:t> </w:t>
      </w:r>
      <w:r>
        <w:rPr>
          <w:sz w:val="24"/>
        </w:rPr>
        <w:t>2012).</w:t>
      </w:r>
    </w:p>
    <w:p>
      <w:pPr>
        <w:pStyle w:val="BodyText"/>
        <w:spacing w:before="2"/>
      </w:pPr>
    </w:p>
    <w:p>
      <w:pPr>
        <w:pStyle w:val="Heading1"/>
        <w:numPr>
          <w:ilvl w:val="2"/>
          <w:numId w:val="6"/>
        </w:numPr>
        <w:tabs>
          <w:tab w:pos="703" w:val="left" w:leader="none"/>
        </w:tabs>
        <w:spacing w:line="240" w:lineRule="auto" w:before="0" w:after="0"/>
        <w:ind w:left="702" w:right="0" w:hanging="600"/>
        <w:jc w:val="both"/>
      </w:pPr>
      <w:bookmarkStart w:name="_TOC_250013" w:id="6"/>
      <w:bookmarkEnd w:id="6"/>
      <w:r>
        <w:rPr/>
        <w:t>Celulasa</w:t>
      </w:r>
    </w:p>
    <w:p>
      <w:pPr>
        <w:pStyle w:val="BodyText"/>
        <w:rPr>
          <w:b/>
          <w:sz w:val="24"/>
        </w:rPr>
      </w:pPr>
    </w:p>
    <w:p>
      <w:pPr>
        <w:pStyle w:val="BodyText"/>
        <w:spacing w:before="5"/>
        <w:rPr>
          <w:b/>
          <w:sz w:val="20"/>
        </w:rPr>
      </w:pPr>
    </w:p>
    <w:p>
      <w:pPr>
        <w:spacing w:line="480" w:lineRule="auto" w:before="0"/>
        <w:ind w:left="102" w:right="112" w:firstLine="0"/>
        <w:jc w:val="both"/>
        <w:rPr>
          <w:sz w:val="24"/>
        </w:rPr>
      </w:pPr>
      <w:r>
        <w:rPr>
          <w:sz w:val="24"/>
        </w:rPr>
        <w:t>Las celulasas son enzimas inducibles sintetizadas por una gran diversidad de  microorganismos, incluyendo hongos y bacterias (Sang-Mok y Koo, 2001). Los microorganismos pueden ser aerobios, anaerobios, mesofilos o termófilos; entre ellos los generos </w:t>
      </w:r>
      <w:r>
        <w:rPr>
          <w:i/>
          <w:sz w:val="24"/>
        </w:rPr>
        <w:t>Clostridium, Cellulomonas, Thermomonospora, Trichoderma </w:t>
      </w:r>
      <w:r>
        <w:rPr>
          <w:sz w:val="24"/>
        </w:rPr>
        <w:t>y </w:t>
      </w:r>
      <w:r>
        <w:rPr>
          <w:i/>
          <w:sz w:val="24"/>
        </w:rPr>
        <w:t>Asprergillus </w:t>
      </w:r>
      <w:r>
        <w:rPr>
          <w:sz w:val="24"/>
        </w:rPr>
        <w:t>son los productores de celulasa más ampliamente estudiados (Sun y Cheng, 2002), de este ultimo la especie </w:t>
      </w:r>
      <w:r>
        <w:rPr>
          <w:i/>
          <w:sz w:val="24"/>
        </w:rPr>
        <w:t>A. niger </w:t>
      </w:r>
      <w:r>
        <w:rPr>
          <w:sz w:val="24"/>
        </w:rPr>
        <w:t>es reconocida productora de celulasas (Onsori </w:t>
      </w:r>
      <w:r>
        <w:rPr>
          <w:i/>
          <w:sz w:val="24"/>
        </w:rPr>
        <w:t>et al</w:t>
      </w:r>
      <w:r>
        <w:rPr>
          <w:sz w:val="24"/>
        </w:rPr>
        <w:t>., 2005). Las celulasas fúngicas son más simples en comparación a las celulasas bacterianas, celulosomas; aunque la degradación de la celulosa por las bacterias aeróbicas es similar a la de los hongos  </w:t>
      </w:r>
      <w:r>
        <w:rPr>
          <w:spacing w:val="56"/>
          <w:sz w:val="24"/>
        </w:rPr>
        <w:t> </w:t>
      </w:r>
      <w:r>
        <w:rPr>
          <w:sz w:val="24"/>
        </w:rPr>
        <w:t>aeróbicos,</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2" w:firstLine="0"/>
        <w:jc w:val="both"/>
        <w:rPr>
          <w:sz w:val="24"/>
        </w:rPr>
      </w:pPr>
      <w:r>
        <w:rPr>
          <w:sz w:val="24"/>
        </w:rPr>
        <w:t>es evidente que las bacterias anaerobias operan en un sistema diferente (Bayer </w:t>
      </w:r>
      <w:r>
        <w:rPr>
          <w:i/>
          <w:sz w:val="24"/>
        </w:rPr>
        <w:t>et al</w:t>
      </w:r>
      <w:r>
        <w:rPr>
          <w:sz w:val="24"/>
        </w:rPr>
        <w:t>., 1994; Percival </w:t>
      </w:r>
      <w:r>
        <w:rPr>
          <w:i/>
          <w:sz w:val="24"/>
        </w:rPr>
        <w:t>et al</w:t>
      </w:r>
      <w:r>
        <w:rPr>
          <w:sz w:val="24"/>
        </w:rPr>
        <w:t>., 2006).</w:t>
      </w:r>
    </w:p>
    <w:p>
      <w:pPr>
        <w:pStyle w:val="BodyText"/>
        <w:spacing w:before="8"/>
        <w:rPr>
          <w:sz w:val="21"/>
        </w:rPr>
      </w:pPr>
    </w:p>
    <w:p>
      <w:pPr>
        <w:spacing w:line="480" w:lineRule="auto" w:before="0"/>
        <w:ind w:left="102" w:right="113" w:firstLine="0"/>
        <w:jc w:val="both"/>
        <w:rPr>
          <w:sz w:val="24"/>
        </w:rPr>
      </w:pPr>
      <w:r>
        <w:rPr>
          <w:sz w:val="24"/>
        </w:rPr>
        <w:t>La celulasa es una familia de al menos tres grupos de enzimas, que son: endo-(1,4)-β-D- gluconasa (EC3.2.1.4), exo(1,4)-β-D-gluconasa (CE3.2.1.91) y β-glucosidasa (CE3.2.1.21) (Percival </w:t>
      </w:r>
      <w:r>
        <w:rPr>
          <w:i/>
          <w:sz w:val="24"/>
        </w:rPr>
        <w:t>et al</w:t>
      </w:r>
      <w:r>
        <w:rPr>
          <w:sz w:val="24"/>
        </w:rPr>
        <w:t>., 2006; Deswal </w:t>
      </w:r>
      <w:r>
        <w:rPr>
          <w:i/>
          <w:sz w:val="24"/>
        </w:rPr>
        <w:t>et al</w:t>
      </w:r>
      <w:r>
        <w:rPr>
          <w:sz w:val="24"/>
        </w:rPr>
        <w:t>., 2011).</w:t>
      </w:r>
    </w:p>
    <w:p>
      <w:pPr>
        <w:pStyle w:val="BodyText"/>
        <w:spacing w:before="9"/>
        <w:rPr>
          <w:sz w:val="21"/>
        </w:rPr>
      </w:pPr>
    </w:p>
    <w:p>
      <w:pPr>
        <w:spacing w:line="480" w:lineRule="auto" w:before="0"/>
        <w:ind w:left="102" w:right="114" w:firstLine="0"/>
        <w:jc w:val="both"/>
        <w:rPr>
          <w:sz w:val="24"/>
        </w:rPr>
      </w:pPr>
      <w:r>
        <w:rPr>
          <w:sz w:val="24"/>
        </w:rPr>
        <w:t>Las celulasas microbianas se han convertido en el foco biocatalizador debido a su naturaleza compleja y amplias aplicaciones (Henrissat </w:t>
      </w:r>
      <w:r>
        <w:rPr>
          <w:i/>
          <w:sz w:val="24"/>
        </w:rPr>
        <w:t>et al</w:t>
      </w:r>
      <w:r>
        <w:rPr>
          <w:sz w:val="24"/>
        </w:rPr>
        <w:t>., 1998); por ejemplo en la alimentación animal, su adición en la dieta de los rumiantes mejora la digestión de la fibra (Alsersy </w:t>
      </w:r>
      <w:r>
        <w:rPr>
          <w:i/>
          <w:sz w:val="24"/>
        </w:rPr>
        <w:t>et al</w:t>
      </w:r>
      <w:r>
        <w:rPr>
          <w:sz w:val="24"/>
        </w:rPr>
        <w:t>., 2015; Salem </w:t>
      </w:r>
      <w:r>
        <w:rPr>
          <w:i/>
          <w:sz w:val="24"/>
        </w:rPr>
        <w:t>et al</w:t>
      </w:r>
      <w:r>
        <w:rPr>
          <w:sz w:val="24"/>
        </w:rPr>
        <w:t>., 2015).</w:t>
      </w:r>
    </w:p>
    <w:p>
      <w:pPr>
        <w:pStyle w:val="BodyText"/>
        <w:spacing w:before="2"/>
      </w:pPr>
    </w:p>
    <w:p>
      <w:pPr>
        <w:pStyle w:val="Heading1"/>
        <w:numPr>
          <w:ilvl w:val="2"/>
          <w:numId w:val="6"/>
        </w:numPr>
        <w:tabs>
          <w:tab w:pos="703" w:val="left" w:leader="none"/>
        </w:tabs>
        <w:spacing w:line="240" w:lineRule="auto" w:before="0" w:after="0"/>
        <w:ind w:left="702" w:right="0" w:hanging="600"/>
        <w:jc w:val="both"/>
      </w:pPr>
      <w:bookmarkStart w:name="_TOC_250012" w:id="7"/>
      <w:bookmarkEnd w:id="7"/>
      <w:r>
        <w:rPr/>
        <w:t>Xilanasa</w:t>
      </w:r>
    </w:p>
    <w:p>
      <w:pPr>
        <w:pStyle w:val="BodyText"/>
        <w:rPr>
          <w:b/>
          <w:sz w:val="24"/>
        </w:rPr>
      </w:pPr>
    </w:p>
    <w:p>
      <w:pPr>
        <w:pStyle w:val="BodyText"/>
        <w:spacing w:before="5"/>
        <w:rPr>
          <w:b/>
          <w:sz w:val="20"/>
        </w:rPr>
      </w:pPr>
    </w:p>
    <w:p>
      <w:pPr>
        <w:spacing w:line="480" w:lineRule="auto" w:before="0"/>
        <w:ind w:left="102" w:right="113" w:firstLine="0"/>
        <w:jc w:val="both"/>
        <w:rPr>
          <w:sz w:val="24"/>
        </w:rPr>
      </w:pPr>
      <w:r>
        <w:rPr>
          <w:sz w:val="24"/>
        </w:rPr>
        <w:t>Las xilanasas incluyen las endoxilanasas, las cuales generan oligomeros de xilosa y las β-1-4 xilosidasas, que hidrolizan las xilosas. Las hemicelulasas más importantes involucradas en la degradación de la hemicelulosa, son las xilanasas (E.C.3.2.1.8) y las β-1-4 xilodasas (E.C.3.2.1.37) (Bhat y Hazlewod, 2003). El xilano es el componente principal de la hemicelulosa y por la acción de un complejo sistema enzimático es hidrolizado y convertido  en azúcares constituyentes (Breccia </w:t>
      </w:r>
      <w:r>
        <w:rPr>
          <w:i/>
          <w:sz w:val="24"/>
        </w:rPr>
        <w:t>et al</w:t>
      </w:r>
      <w:r>
        <w:rPr>
          <w:sz w:val="24"/>
        </w:rPr>
        <w:t>., 1998). Los sistemas enzimáticos xilanoliticos están conformados por bacterias y hongos (Wong </w:t>
      </w:r>
      <w:r>
        <w:rPr>
          <w:i/>
          <w:sz w:val="24"/>
        </w:rPr>
        <w:t>et al</w:t>
      </w:r>
      <w:r>
        <w:rPr>
          <w:sz w:val="24"/>
        </w:rPr>
        <w:t>., 1988). Las enzimas xilanolíticas mas estudiadas en hongos han sido las endoxilanasas y las b-xilosidasas (Polizeli </w:t>
      </w:r>
      <w:r>
        <w:rPr>
          <w:i/>
          <w:sz w:val="24"/>
        </w:rPr>
        <w:t>et al</w:t>
      </w:r>
      <w:r>
        <w:rPr>
          <w:sz w:val="24"/>
        </w:rPr>
        <w:t>., 2005). Diferentes cepas de </w:t>
      </w:r>
      <w:r>
        <w:rPr>
          <w:i/>
          <w:sz w:val="24"/>
        </w:rPr>
        <w:t>Aspergillus niger </w:t>
      </w:r>
      <w:r>
        <w:rPr>
          <w:sz w:val="24"/>
        </w:rPr>
        <w:t>son reconocidas productoras de xilanasas (Park </w:t>
      </w:r>
      <w:r>
        <w:rPr>
          <w:i/>
          <w:sz w:val="24"/>
        </w:rPr>
        <w:t>et al</w:t>
      </w:r>
      <w:r>
        <w:rPr>
          <w:sz w:val="24"/>
        </w:rPr>
        <w:t>., 2002; Wu </w:t>
      </w:r>
      <w:r>
        <w:rPr>
          <w:i/>
          <w:sz w:val="24"/>
        </w:rPr>
        <w:t>et al</w:t>
      </w:r>
      <w:r>
        <w:rPr>
          <w:sz w:val="24"/>
        </w:rPr>
        <w:t>., 2005), pero se ha observado que el hongo </w:t>
      </w:r>
      <w:r>
        <w:rPr>
          <w:i/>
          <w:sz w:val="24"/>
        </w:rPr>
        <w:t>Trametes </w:t>
      </w:r>
      <w:r>
        <w:rPr>
          <w:sz w:val="24"/>
        </w:rPr>
        <w:t>sp. EUM1 produce mayor cantidad de  xilanasas que  </w:t>
      </w:r>
      <w:r>
        <w:rPr>
          <w:i/>
          <w:sz w:val="24"/>
        </w:rPr>
        <w:t>Pleurotus ostreatus  </w:t>
      </w:r>
      <w:r>
        <w:rPr>
          <w:sz w:val="24"/>
        </w:rPr>
        <w:t>IE8  y </w:t>
      </w:r>
      <w:r>
        <w:rPr>
          <w:i/>
          <w:sz w:val="24"/>
        </w:rPr>
        <w:t>Aspergillus niger  </w:t>
      </w:r>
      <w:r>
        <w:rPr>
          <w:sz w:val="24"/>
        </w:rPr>
        <w:t>AD94.6   </w:t>
      </w:r>
      <w:r>
        <w:rPr>
          <w:spacing w:val="46"/>
          <w:sz w:val="24"/>
        </w:rPr>
        <w:t> </w:t>
      </w:r>
      <w:r>
        <w:rPr>
          <w:sz w:val="24"/>
        </w:rPr>
        <w:t>(Márquez-</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8" w:firstLine="0"/>
        <w:jc w:val="both"/>
        <w:rPr>
          <w:sz w:val="24"/>
        </w:rPr>
      </w:pPr>
      <w:r>
        <w:rPr>
          <w:sz w:val="24"/>
        </w:rPr>
        <w:t>Araque </w:t>
      </w:r>
      <w:r>
        <w:rPr>
          <w:i/>
          <w:sz w:val="24"/>
        </w:rPr>
        <w:t>et al</w:t>
      </w:r>
      <w:r>
        <w:rPr>
          <w:sz w:val="24"/>
        </w:rPr>
        <w:t>., 2007). El pH óptimo de las enzimas fibroliticas producidas por hongos aeróbicos oscila de 4.0 a 6.0 (Muzakhar </w:t>
      </w:r>
      <w:r>
        <w:rPr>
          <w:i/>
          <w:sz w:val="24"/>
        </w:rPr>
        <w:t>et al</w:t>
      </w:r>
      <w:r>
        <w:rPr>
          <w:sz w:val="24"/>
        </w:rPr>
        <w:t>.,</w:t>
      </w:r>
      <w:r>
        <w:rPr>
          <w:spacing w:val="-5"/>
          <w:sz w:val="24"/>
        </w:rPr>
        <w:t> </w:t>
      </w:r>
      <w:r>
        <w:rPr>
          <w:sz w:val="24"/>
        </w:rPr>
        <w:t>1998).</w:t>
      </w:r>
    </w:p>
    <w:p>
      <w:pPr>
        <w:pStyle w:val="BodyText"/>
        <w:spacing w:before="2"/>
      </w:pPr>
    </w:p>
    <w:p>
      <w:pPr>
        <w:pStyle w:val="Heading1"/>
        <w:numPr>
          <w:ilvl w:val="2"/>
          <w:numId w:val="6"/>
        </w:numPr>
        <w:tabs>
          <w:tab w:pos="702" w:val="left" w:leader="none"/>
        </w:tabs>
        <w:spacing w:line="240" w:lineRule="auto" w:before="0" w:after="0"/>
        <w:ind w:left="702" w:right="0" w:hanging="600"/>
        <w:jc w:val="both"/>
      </w:pPr>
      <w:bookmarkStart w:name="_TOC_250011" w:id="8"/>
      <w:r>
        <w:rPr/>
        <w:t>Aguamiel de</w:t>
      </w:r>
      <w:r>
        <w:rPr>
          <w:spacing w:val="-6"/>
        </w:rPr>
        <w:t> </w:t>
      </w:r>
      <w:bookmarkEnd w:id="8"/>
      <w:r>
        <w:rPr/>
        <w:t>maguey</w:t>
      </w:r>
    </w:p>
    <w:p>
      <w:pPr>
        <w:pStyle w:val="BodyText"/>
        <w:rPr>
          <w:b/>
          <w:sz w:val="24"/>
        </w:rPr>
      </w:pPr>
    </w:p>
    <w:p>
      <w:pPr>
        <w:pStyle w:val="BodyText"/>
        <w:spacing w:before="5"/>
        <w:rPr>
          <w:b/>
          <w:sz w:val="20"/>
        </w:rPr>
      </w:pPr>
    </w:p>
    <w:p>
      <w:pPr>
        <w:spacing w:line="480" w:lineRule="auto" w:before="0"/>
        <w:ind w:left="102" w:right="109" w:firstLine="0"/>
        <w:jc w:val="both"/>
        <w:rPr>
          <w:sz w:val="24"/>
        </w:rPr>
      </w:pPr>
      <w:r>
        <w:rPr>
          <w:sz w:val="24"/>
        </w:rPr>
        <w:t>El maguey (</w:t>
      </w:r>
      <w:r>
        <w:rPr>
          <w:i/>
          <w:sz w:val="24"/>
        </w:rPr>
        <w:t>Agave </w:t>
      </w:r>
      <w:r>
        <w:rPr>
          <w:sz w:val="24"/>
        </w:rPr>
        <w:t>ssp.) pertenece a la familia </w:t>
      </w:r>
      <w:r>
        <w:rPr>
          <w:i/>
          <w:sz w:val="24"/>
        </w:rPr>
        <w:t>Agavaceae </w:t>
      </w:r>
      <w:r>
        <w:rPr>
          <w:sz w:val="24"/>
        </w:rPr>
        <w:t>y México se considera centro de origen de este genero (García-Mendoza,1995; Nobel, 1998), con 136 a 150 especies (Rzedowski y Calderón, 1990; Nobel, 1998), que se desarrollan en ambientes limitados como suelos someros, infértiles y secos (García-Mendoza, 1995). Uno de los principales productos que produce esta planta es el aguamiel (González </w:t>
      </w:r>
      <w:r>
        <w:rPr>
          <w:i/>
          <w:sz w:val="24"/>
        </w:rPr>
        <w:t>et al</w:t>
      </w:r>
      <w:r>
        <w:rPr>
          <w:sz w:val="24"/>
        </w:rPr>
        <w:t>., 2004). Existe una gran diversidad de agaves que producen aguamiel, pero las principales especies son </w:t>
      </w:r>
      <w:r>
        <w:rPr>
          <w:i/>
          <w:sz w:val="24"/>
        </w:rPr>
        <w:t>A. salmiana, A. mapisaga    </w:t>
      </w:r>
      <w:r>
        <w:rPr>
          <w:sz w:val="24"/>
        </w:rPr>
        <w:t>y</w:t>
      </w:r>
    </w:p>
    <w:p>
      <w:pPr>
        <w:spacing w:line="480" w:lineRule="auto" w:before="10"/>
        <w:ind w:left="102" w:right="112" w:firstLine="0"/>
        <w:jc w:val="both"/>
        <w:rPr>
          <w:sz w:val="24"/>
        </w:rPr>
      </w:pPr>
      <w:r>
        <w:rPr>
          <w:i/>
          <w:sz w:val="24"/>
        </w:rPr>
        <w:t>A. atrovirens</w:t>
      </w:r>
      <w:r>
        <w:rPr>
          <w:sz w:val="24"/>
        </w:rPr>
        <w:t>, que se distribuyen principalmente en el Valle de México, en los estados de México, Tlaxcala, Hidalgo y Puebla ( Rzedowski y Calderón, 1990). El aguamiel es un liquido dulce, ácido o ligeramente alcalino, transparente, con olor herbáceo; tiene una composición donde destaca la humedad, glucosa, fructuosa, maltosa, sacarosa, sustancias minerales y proteínas (Flores </w:t>
      </w:r>
      <w:r>
        <w:rPr>
          <w:i/>
          <w:sz w:val="24"/>
        </w:rPr>
        <w:t>et al</w:t>
      </w:r>
      <w:r>
        <w:rPr>
          <w:sz w:val="24"/>
        </w:rPr>
        <w:t>., 1996). Las plantas de este género almacenan fructanos (polímero de fructosa) como principal carbohidrato de reserva (López </w:t>
      </w:r>
      <w:r>
        <w:rPr>
          <w:i/>
          <w:sz w:val="24"/>
        </w:rPr>
        <w:t>et al</w:t>
      </w:r>
      <w:r>
        <w:rPr>
          <w:sz w:val="24"/>
        </w:rPr>
        <w:t>., 2003; Mancilla-Margalli y López, 2006).</w:t>
      </w:r>
    </w:p>
    <w:p>
      <w:pPr>
        <w:pStyle w:val="BodyText"/>
        <w:spacing w:before="2"/>
      </w:pPr>
    </w:p>
    <w:p>
      <w:pPr>
        <w:pStyle w:val="Heading1"/>
        <w:numPr>
          <w:ilvl w:val="1"/>
          <w:numId w:val="7"/>
        </w:numPr>
        <w:tabs>
          <w:tab w:pos="523" w:val="left" w:leader="none"/>
        </w:tabs>
        <w:spacing w:line="240" w:lineRule="auto" w:before="0" w:after="0"/>
        <w:ind w:left="522" w:right="0" w:hanging="420"/>
        <w:jc w:val="both"/>
      </w:pPr>
      <w:bookmarkStart w:name="_TOC_250010" w:id="9"/>
      <w:r>
        <w:rPr/>
        <w:t>Perspectivas del mejoramiento genético del maíz para</w:t>
      </w:r>
      <w:r>
        <w:rPr>
          <w:spacing w:val="-16"/>
        </w:rPr>
        <w:t> </w:t>
      </w:r>
      <w:bookmarkEnd w:id="9"/>
      <w:r>
        <w:rPr/>
        <w:t>forraje</w:t>
      </w:r>
    </w:p>
    <w:p>
      <w:pPr>
        <w:pStyle w:val="BodyText"/>
        <w:rPr>
          <w:b/>
          <w:sz w:val="24"/>
        </w:rPr>
      </w:pPr>
    </w:p>
    <w:p>
      <w:pPr>
        <w:pStyle w:val="BodyText"/>
        <w:spacing w:before="5"/>
        <w:rPr>
          <w:b/>
          <w:sz w:val="20"/>
        </w:rPr>
      </w:pPr>
    </w:p>
    <w:p>
      <w:pPr>
        <w:spacing w:line="480" w:lineRule="auto" w:before="1"/>
        <w:ind w:left="102" w:right="116" w:firstLine="0"/>
        <w:jc w:val="both"/>
        <w:rPr>
          <w:sz w:val="24"/>
        </w:rPr>
      </w:pPr>
      <w:r>
        <w:rPr>
          <w:sz w:val="24"/>
        </w:rPr>
        <w:t>En el contexto de amplitud de adaptación ambiental y características morfológicas apropiadas para diversos usos, las poblaciones de maíz se agrupan con base en la categoría de Raza, lo que implica valorar la diversidad de poblaciones consideradas como variantes de una raza, con el propósito de diseñar el aprovechamiento de algunas formas dentro de la diversidad</w:t>
      </w:r>
      <w:r>
        <w:rPr>
          <w:spacing w:val="57"/>
          <w:sz w:val="24"/>
        </w:rPr>
        <w:t> </w:t>
      </w:r>
      <w:r>
        <w:rPr>
          <w:sz w:val="24"/>
        </w:rPr>
        <w:t>genética</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4" w:firstLine="0"/>
        <w:jc w:val="both"/>
        <w:rPr>
          <w:sz w:val="24"/>
        </w:rPr>
      </w:pPr>
      <w:r>
        <w:rPr>
          <w:sz w:val="24"/>
        </w:rPr>
        <w:t>regional de la especie (Rocandio-Rodriguez, 2014). Las razas de maíz con frecuencia poseen mejor adaptación a ciertas condiciones locales que las variedades mejoradas (Smith </w:t>
      </w:r>
      <w:r>
        <w:rPr>
          <w:i/>
          <w:sz w:val="24"/>
        </w:rPr>
        <w:t>et al</w:t>
      </w:r>
      <w:r>
        <w:rPr>
          <w:sz w:val="24"/>
        </w:rPr>
        <w:t>., 2001); las conservadas </w:t>
      </w:r>
      <w:r>
        <w:rPr>
          <w:i/>
          <w:sz w:val="24"/>
        </w:rPr>
        <w:t>in situ </w:t>
      </w:r>
      <w:r>
        <w:rPr>
          <w:sz w:val="24"/>
        </w:rPr>
        <w:t>son más rusticas, tolerantes y con mejor adaptación a cambios climáticos (Mercer y Perales, 2010). La diversidad genética de una especie representa la variación heredable dentro y entre estas sus poblaciones, y en las especies cultivadas ésta tiene trascendencia pues es sobre la que operan los procesos de selección que aplican los agricultores y fitomejoradores (Montes-Hernández </w:t>
      </w:r>
      <w:r>
        <w:rPr>
          <w:i/>
          <w:sz w:val="24"/>
        </w:rPr>
        <w:t>et al</w:t>
      </w:r>
      <w:r>
        <w:rPr>
          <w:sz w:val="24"/>
        </w:rPr>
        <w:t>., 2014). El aprovechamiento de la diversidad del maíz en una región debe enfocarse a detectar poblaciones para enriquecer la variación usada en los programas de mejoramiento y a evitar la pérdida de la diversidad útil que han generado y conservado los agricultores (Castro </w:t>
      </w:r>
      <w:r>
        <w:rPr>
          <w:i/>
          <w:sz w:val="24"/>
        </w:rPr>
        <w:t>et al</w:t>
      </w:r>
      <w:r>
        <w:rPr>
          <w:sz w:val="24"/>
        </w:rPr>
        <w:t>.,</w:t>
      </w:r>
      <w:r>
        <w:rPr>
          <w:spacing w:val="-9"/>
          <w:sz w:val="24"/>
        </w:rPr>
        <w:t> </w:t>
      </w:r>
      <w:r>
        <w:rPr>
          <w:sz w:val="24"/>
        </w:rPr>
        <w:t>2013).</w:t>
      </w:r>
    </w:p>
    <w:p>
      <w:pPr>
        <w:pStyle w:val="BodyText"/>
        <w:spacing w:before="8"/>
        <w:rPr>
          <w:sz w:val="21"/>
        </w:rPr>
      </w:pPr>
    </w:p>
    <w:p>
      <w:pPr>
        <w:spacing w:line="480" w:lineRule="auto" w:before="0"/>
        <w:ind w:left="102" w:right="112" w:firstLine="0"/>
        <w:jc w:val="both"/>
        <w:rPr>
          <w:sz w:val="24"/>
        </w:rPr>
      </w:pPr>
      <w:r>
        <w:rPr>
          <w:sz w:val="24"/>
        </w:rPr>
        <w:t>Debido a una estructura genómica única y al proceso de selección humana continuo, el maíz es una de las especies más plásticas en términos de su adaptación ambiental, capaz de desarrollarse a altas y bajas altitudes, y en climas tropicales, subtropicales y templados (Hayano </w:t>
      </w:r>
      <w:r>
        <w:rPr>
          <w:i/>
          <w:sz w:val="24"/>
        </w:rPr>
        <w:t>et al</w:t>
      </w:r>
      <w:r>
        <w:rPr>
          <w:sz w:val="24"/>
        </w:rPr>
        <w:t>., 2009). La diversidad genética de sus materiales y el aprovechamiento integral de sus cultivos, son alternativas para escapar de algunos desastres naturales provocados por los cambios climáticos (Gámez </w:t>
      </w:r>
      <w:r>
        <w:rPr>
          <w:i/>
          <w:sz w:val="24"/>
        </w:rPr>
        <w:t>et al</w:t>
      </w:r>
      <w:r>
        <w:rPr>
          <w:sz w:val="24"/>
        </w:rPr>
        <w:t>., 2014); en donde el efecto del medio ambiente es el resultado de una combinación de componentes que interactúan incluyendo los factores abióticos y bióticos, que influyen el crecimiento y desarrollo vegetal y por lo tanto, la composición de la pared celular y la digestibilidad (Muttoni </w:t>
      </w:r>
      <w:r>
        <w:rPr>
          <w:i/>
          <w:sz w:val="24"/>
        </w:rPr>
        <w:t>et al</w:t>
      </w:r>
      <w:r>
        <w:rPr>
          <w:sz w:val="24"/>
        </w:rPr>
        <w:t>., 2013); en este caso Van Soest (1994) menciona que la temperatura es la principal variable ambiental que afecta la calidad del forraje y conjuntamente con las grandes altitudes contribuyen a un proceso retrasado</w:t>
      </w:r>
      <w:r>
        <w:rPr>
          <w:spacing w:val="15"/>
          <w:sz w:val="24"/>
        </w:rPr>
        <w:t> </w:t>
      </w:r>
      <w:r>
        <w:rPr>
          <w:sz w:val="24"/>
        </w:rPr>
        <w:t>de</w:t>
      </w:r>
      <w:r>
        <w:rPr>
          <w:spacing w:val="14"/>
          <w:sz w:val="24"/>
        </w:rPr>
        <w:t> </w:t>
      </w:r>
      <w:r>
        <w:rPr>
          <w:sz w:val="24"/>
        </w:rPr>
        <w:t>lignificación;</w:t>
      </w:r>
      <w:r>
        <w:rPr>
          <w:spacing w:val="18"/>
          <w:sz w:val="24"/>
        </w:rPr>
        <w:t> </w:t>
      </w:r>
      <w:r>
        <w:rPr>
          <w:sz w:val="24"/>
        </w:rPr>
        <w:t>haciendo</w:t>
      </w:r>
      <w:r>
        <w:rPr>
          <w:spacing w:val="15"/>
          <w:sz w:val="24"/>
        </w:rPr>
        <w:t> </w:t>
      </w:r>
      <w:r>
        <w:rPr>
          <w:sz w:val="24"/>
        </w:rPr>
        <w:t>alusión</w:t>
      </w:r>
      <w:r>
        <w:rPr>
          <w:spacing w:val="16"/>
          <w:sz w:val="24"/>
        </w:rPr>
        <w:t> </w:t>
      </w:r>
      <w:r>
        <w:rPr>
          <w:sz w:val="24"/>
        </w:rPr>
        <w:t>que</w:t>
      </w:r>
      <w:r>
        <w:rPr>
          <w:spacing w:val="17"/>
          <w:sz w:val="24"/>
        </w:rPr>
        <w:t> </w:t>
      </w:r>
      <w:r>
        <w:rPr>
          <w:sz w:val="24"/>
        </w:rPr>
        <w:t>los</w:t>
      </w:r>
      <w:r>
        <w:rPr>
          <w:spacing w:val="15"/>
          <w:sz w:val="24"/>
        </w:rPr>
        <w:t> </w:t>
      </w:r>
      <w:r>
        <w:rPr>
          <w:sz w:val="24"/>
        </w:rPr>
        <w:t>mutantes</w:t>
      </w:r>
      <w:r>
        <w:rPr>
          <w:spacing w:val="16"/>
          <w:sz w:val="24"/>
        </w:rPr>
        <w:t> </w:t>
      </w:r>
      <w:r>
        <w:rPr>
          <w:sz w:val="24"/>
        </w:rPr>
        <w:t>de</w:t>
      </w:r>
      <w:r>
        <w:rPr>
          <w:spacing w:val="14"/>
          <w:sz w:val="24"/>
        </w:rPr>
        <w:t> </w:t>
      </w:r>
      <w:r>
        <w:rPr>
          <w:sz w:val="24"/>
        </w:rPr>
        <w:t>maíz</w:t>
      </w:r>
      <w:r>
        <w:rPr>
          <w:spacing w:val="16"/>
          <w:sz w:val="24"/>
        </w:rPr>
        <w:t> </w:t>
      </w:r>
      <w:r>
        <w:rPr>
          <w:sz w:val="24"/>
        </w:rPr>
        <w:t>de</w:t>
      </w:r>
      <w:r>
        <w:rPr>
          <w:spacing w:val="14"/>
          <w:sz w:val="24"/>
        </w:rPr>
        <w:t> </w:t>
      </w:r>
      <w:r>
        <w:rPr>
          <w:sz w:val="24"/>
        </w:rPr>
        <w:t>nervadura</w:t>
      </w:r>
      <w:r>
        <w:rPr>
          <w:spacing w:val="14"/>
          <w:sz w:val="24"/>
        </w:rPr>
        <w:t> </w:t>
      </w:r>
      <w:r>
        <w:rPr>
          <w:sz w:val="24"/>
        </w:rPr>
        <w:t>café,</w:t>
      </w:r>
      <w:r>
        <w:rPr>
          <w:spacing w:val="15"/>
          <w:sz w:val="24"/>
        </w:rPr>
        <w:t> </w:t>
      </w:r>
      <w:r>
        <w:rPr>
          <w:sz w:val="24"/>
        </w:rPr>
        <w:t>que</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21" w:firstLine="0"/>
        <w:jc w:val="both"/>
        <w:rPr>
          <w:sz w:val="24"/>
        </w:rPr>
      </w:pPr>
      <w:r>
        <w:rPr>
          <w:sz w:val="24"/>
        </w:rPr>
        <w:t>tienen altos valores de digestibilidad, fueron originalmente descubiertos en una colección de variedades mexicanas de las tierras altas.</w:t>
      </w:r>
    </w:p>
    <w:p>
      <w:pPr>
        <w:pStyle w:val="BodyText"/>
        <w:spacing w:before="8"/>
        <w:rPr>
          <w:sz w:val="21"/>
        </w:rPr>
      </w:pPr>
    </w:p>
    <w:p>
      <w:pPr>
        <w:spacing w:line="480" w:lineRule="auto" w:before="0"/>
        <w:ind w:left="102" w:right="113" w:firstLine="0"/>
        <w:jc w:val="both"/>
        <w:rPr>
          <w:sz w:val="24"/>
        </w:rPr>
      </w:pPr>
      <w:r>
        <w:rPr>
          <w:sz w:val="24"/>
        </w:rPr>
        <w:t>En el incremento de la producción tanto de grano como forraje, se requieren híbridos y variedades de alto rendimiento, con tolerancia a factores abióticos y bióticos que afectan al maíz en las diferentes áreas agrícolas (Peña </w:t>
      </w:r>
      <w:r>
        <w:rPr>
          <w:i/>
          <w:sz w:val="24"/>
        </w:rPr>
        <w:t>et al</w:t>
      </w:r>
      <w:r>
        <w:rPr>
          <w:sz w:val="24"/>
        </w:rPr>
        <w:t>., 2010); los granos tienen la mejor digestibilidad para la alimentación del ganado (Tang </w:t>
      </w:r>
      <w:r>
        <w:rPr>
          <w:i/>
          <w:sz w:val="24"/>
        </w:rPr>
        <w:t>et al</w:t>
      </w:r>
      <w:r>
        <w:rPr>
          <w:sz w:val="24"/>
        </w:rPr>
        <w:t>., 2006; Estrada-Flores </w:t>
      </w:r>
      <w:r>
        <w:rPr>
          <w:i/>
          <w:sz w:val="24"/>
        </w:rPr>
        <w:t>et al</w:t>
      </w:r>
      <w:r>
        <w:rPr>
          <w:sz w:val="24"/>
        </w:rPr>
        <w:t>., 2006); y una forma de mejorar los rendimientos de biomasa por ha es aplicar mayores densidades de siembra o hacer plantas más altas, con hojas más grandes o con mayor número de ellas, y con base en esto último favorecer el rendimiento energético (Zsubori </w:t>
      </w:r>
      <w:r>
        <w:rPr>
          <w:i/>
          <w:sz w:val="24"/>
        </w:rPr>
        <w:t>et al</w:t>
      </w:r>
      <w:r>
        <w:rPr>
          <w:sz w:val="24"/>
        </w:rPr>
        <w:t>., 2013) ; </w:t>
      </w:r>
      <w:r>
        <w:rPr>
          <w:spacing w:val="-3"/>
          <w:sz w:val="24"/>
        </w:rPr>
        <w:t>ya </w:t>
      </w:r>
      <w:r>
        <w:rPr>
          <w:sz w:val="24"/>
        </w:rPr>
        <w:t>que de acuerdo a Tang </w:t>
      </w:r>
      <w:r>
        <w:rPr>
          <w:i/>
          <w:sz w:val="24"/>
        </w:rPr>
        <w:t>et al</w:t>
      </w:r>
      <w:r>
        <w:rPr>
          <w:sz w:val="24"/>
        </w:rPr>
        <w:t>. (2006) y Sun </w:t>
      </w:r>
      <w:r>
        <w:rPr>
          <w:i/>
          <w:sz w:val="24"/>
        </w:rPr>
        <w:t>et al</w:t>
      </w:r>
      <w:r>
        <w:rPr>
          <w:sz w:val="24"/>
        </w:rPr>
        <w:t>. (2009), el contenido de energía de las hojas es mayor; en este sentido Thomas </w:t>
      </w:r>
      <w:r>
        <w:rPr>
          <w:i/>
          <w:sz w:val="24"/>
        </w:rPr>
        <w:t>et al</w:t>
      </w:r>
      <w:r>
        <w:rPr>
          <w:sz w:val="24"/>
        </w:rPr>
        <w:t>. (2001) y Clark </w:t>
      </w:r>
      <w:r>
        <w:rPr>
          <w:i/>
          <w:sz w:val="24"/>
        </w:rPr>
        <w:t>et al</w:t>
      </w:r>
      <w:r>
        <w:rPr>
          <w:sz w:val="24"/>
        </w:rPr>
        <w:t>. (2002), mencionan que las vacas alimentadas con ensilaje realizado con híbridos de mayor numero de hojas producen más  leche con mejor calidad, en comparación con las alimentadas con los convencionales híbridos no isogénicos; por lo que Esquivel </w:t>
      </w:r>
      <w:r>
        <w:rPr>
          <w:i/>
          <w:sz w:val="24"/>
        </w:rPr>
        <w:t>et al</w:t>
      </w:r>
      <w:r>
        <w:rPr>
          <w:sz w:val="24"/>
        </w:rPr>
        <w:t>. (2013), opinan que en todo programa de  mejoramiento genético, la elección del germoplasma progenitor es una de las decisiones más importantes que se deben tomar para conocer su componente genético; en donde según Buxton y Casler (1993), pronuncian que la existencia de la variación genética de la digestibilidad es suficiente para justificar el desarrollo de genotipos con la mejora de la calidad del forraje; lo cual es aseverado por Muttoni </w:t>
      </w:r>
      <w:r>
        <w:rPr>
          <w:i/>
          <w:sz w:val="24"/>
        </w:rPr>
        <w:t>et al</w:t>
      </w:r>
      <w:r>
        <w:rPr>
          <w:sz w:val="24"/>
        </w:rPr>
        <w:t>. (2013), quienes de acuerdo a resultados apoyan la reconocida importancia de la digestibilidad de la pared celular como el componente principal para la mejora de la calidad del</w:t>
      </w:r>
      <w:r>
        <w:rPr>
          <w:spacing w:val="-7"/>
          <w:sz w:val="24"/>
        </w:rPr>
        <w:t> </w:t>
      </w:r>
      <w:r>
        <w:rPr>
          <w:sz w:val="24"/>
        </w:rPr>
        <w:t>forraje.</w:t>
      </w:r>
    </w:p>
    <w:p>
      <w:pPr>
        <w:spacing w:after="0" w:line="480" w:lineRule="auto"/>
        <w:jc w:val="both"/>
        <w:rPr>
          <w:sz w:val="24"/>
        </w:rPr>
        <w:sectPr>
          <w:footerReference w:type="default" r:id="rId10"/>
          <w:pgSz w:w="12240" w:h="15840"/>
          <w:pgMar w:footer="1003" w:header="0" w:top="1500" w:bottom="1200" w:left="1600" w:right="1300"/>
        </w:sectPr>
      </w:pPr>
    </w:p>
    <w:p>
      <w:pPr>
        <w:pStyle w:val="BodyText"/>
        <w:spacing w:before="3"/>
        <w:rPr>
          <w:sz w:val="11"/>
        </w:rPr>
      </w:pPr>
    </w:p>
    <w:p>
      <w:pPr>
        <w:pStyle w:val="Heading1"/>
        <w:numPr>
          <w:ilvl w:val="1"/>
          <w:numId w:val="7"/>
        </w:numPr>
        <w:tabs>
          <w:tab w:pos="522" w:val="left" w:leader="none"/>
        </w:tabs>
        <w:spacing w:line="240" w:lineRule="auto" w:before="69" w:after="0"/>
        <w:ind w:left="522" w:right="0" w:hanging="420"/>
        <w:jc w:val="both"/>
      </w:pPr>
      <w:bookmarkStart w:name="_TOC_250009" w:id="10"/>
      <w:r>
        <w:rPr/>
        <w:t>Influencia de aditivos fibrolíticos en la composición química del forraje de</w:t>
      </w:r>
      <w:r>
        <w:rPr>
          <w:spacing w:val="-19"/>
        </w:rPr>
        <w:t> </w:t>
      </w:r>
      <w:bookmarkEnd w:id="10"/>
      <w:r>
        <w:rPr/>
        <w:t>maíz</w:t>
      </w:r>
    </w:p>
    <w:p>
      <w:pPr>
        <w:pStyle w:val="BodyText"/>
        <w:rPr>
          <w:b/>
          <w:sz w:val="24"/>
        </w:rPr>
      </w:pPr>
    </w:p>
    <w:p>
      <w:pPr>
        <w:pStyle w:val="BodyText"/>
        <w:spacing w:before="5"/>
        <w:rPr>
          <w:b/>
          <w:sz w:val="20"/>
        </w:rPr>
      </w:pPr>
    </w:p>
    <w:p>
      <w:pPr>
        <w:spacing w:line="480" w:lineRule="auto" w:before="0"/>
        <w:ind w:left="102" w:right="116" w:firstLine="62"/>
        <w:jc w:val="both"/>
        <w:rPr>
          <w:sz w:val="24"/>
        </w:rPr>
      </w:pPr>
      <w:r>
        <w:rPr>
          <w:sz w:val="24"/>
        </w:rPr>
        <w:t>Las estructuras morfológicas de los tejidos celulares de los forrajes conocidas como paredes celulares primarias y secundarias, le proporcionan rigidez física, permiten el transporte de agua y protegen contra el ataque de plagas (Paulson </w:t>
      </w:r>
      <w:r>
        <w:rPr>
          <w:i/>
          <w:sz w:val="24"/>
        </w:rPr>
        <w:t>et al</w:t>
      </w:r>
      <w:r>
        <w:rPr>
          <w:sz w:val="24"/>
        </w:rPr>
        <w:t>., 2008). De acuerdo a Aman (1993) las paredes celulares de los forrajes están compuestas por polisacáridos, proteínas, lignina, grupos acetilos y componentes fenólicos, formadas por pentosas (arabinosa y xilosa), hexosas (glucosa, galactosa y manosa), 6-deoxi hexosas (ramanosa y fucosa) y ácidos uronicos (galacturónico, glucorónico y 4-O-metil</w:t>
      </w:r>
      <w:r>
        <w:rPr>
          <w:spacing w:val="-10"/>
          <w:sz w:val="24"/>
        </w:rPr>
        <w:t> </w:t>
      </w:r>
      <w:r>
        <w:rPr>
          <w:sz w:val="24"/>
        </w:rPr>
        <w:t>glucorónico).</w:t>
      </w:r>
    </w:p>
    <w:p>
      <w:pPr>
        <w:pStyle w:val="BodyText"/>
        <w:spacing w:before="8"/>
        <w:rPr>
          <w:sz w:val="21"/>
        </w:rPr>
      </w:pPr>
    </w:p>
    <w:p>
      <w:pPr>
        <w:spacing w:line="480" w:lineRule="auto" w:before="0"/>
        <w:ind w:left="102" w:right="114" w:firstLine="0"/>
        <w:jc w:val="both"/>
        <w:rPr>
          <w:sz w:val="24"/>
        </w:rPr>
      </w:pPr>
      <w:r>
        <w:rPr>
          <w:sz w:val="24"/>
        </w:rPr>
        <w:t>El forraje es la principal fuente de alimentación de los rumiantes. Los rumiantes presentan un ecosistema diverso y sofisticado para utilizar carbohidratos fibrosos de la pared celular vegetal de los forrajes como el maíz, debido a la relación simbiótica con la población microbiana variada en el rumen (Settimi </w:t>
      </w:r>
      <w:r>
        <w:rPr>
          <w:i/>
          <w:sz w:val="24"/>
        </w:rPr>
        <w:t>et al</w:t>
      </w:r>
      <w:r>
        <w:rPr>
          <w:sz w:val="24"/>
        </w:rPr>
        <w:t>., 2013), pero la digestibilidad total de la pared celular en el tubo digestivo es de tan solo 65% (Van Soest, 1982); situación donde las EFE de origen micotico o bacteriano como xilanasas, celulasas, esterasas y lacasas, han sido ampliamente usadas para mejorar el valor nutritivo del alimento para rumiantes (Bhat y Hazlewod, 2003; Beauchemin </w:t>
      </w:r>
      <w:r>
        <w:rPr>
          <w:i/>
          <w:sz w:val="24"/>
        </w:rPr>
        <w:t>et al</w:t>
      </w:r>
      <w:r>
        <w:rPr>
          <w:sz w:val="24"/>
        </w:rPr>
        <w:t>., 2003; Graminha </w:t>
      </w:r>
      <w:r>
        <w:rPr>
          <w:i/>
          <w:sz w:val="24"/>
        </w:rPr>
        <w:t>et al</w:t>
      </w:r>
      <w:r>
        <w:rPr>
          <w:sz w:val="24"/>
        </w:rPr>
        <w:t>., 2008). Las EFE son más eficaces cuando se aplican en forma líquida al alimento antes de la ingestión, </w:t>
      </w:r>
      <w:r>
        <w:rPr>
          <w:spacing w:val="-3"/>
          <w:sz w:val="24"/>
        </w:rPr>
        <w:t>ya </w:t>
      </w:r>
      <w:r>
        <w:rPr>
          <w:sz w:val="24"/>
        </w:rPr>
        <w:t>que pueden ayudar a eliminar las  barreras estructurales que limitan la digestión microbiana del alimento en el rumen, favoreciendo la liberación de carbohidratos solubles (Beauchemin </w:t>
      </w:r>
      <w:r>
        <w:rPr>
          <w:i/>
          <w:sz w:val="24"/>
        </w:rPr>
        <w:t>et al</w:t>
      </w:r>
      <w:r>
        <w:rPr>
          <w:sz w:val="24"/>
        </w:rPr>
        <w:t>.,</w:t>
      </w:r>
      <w:r>
        <w:rPr>
          <w:spacing w:val="-12"/>
          <w:sz w:val="24"/>
        </w:rPr>
        <w:t> </w:t>
      </w:r>
      <w:r>
        <w:rPr>
          <w:sz w:val="24"/>
        </w:rPr>
        <w:t>2004).</w:t>
      </w:r>
    </w:p>
    <w:p>
      <w:pPr>
        <w:pStyle w:val="BodyText"/>
        <w:spacing w:before="8"/>
        <w:rPr>
          <w:sz w:val="21"/>
        </w:rPr>
      </w:pPr>
    </w:p>
    <w:p>
      <w:pPr>
        <w:spacing w:line="480" w:lineRule="auto" w:before="0"/>
        <w:ind w:left="102" w:right="115" w:firstLine="0"/>
        <w:jc w:val="both"/>
        <w:rPr>
          <w:sz w:val="24"/>
        </w:rPr>
      </w:pPr>
      <w:r>
        <w:rPr>
          <w:sz w:val="24"/>
        </w:rPr>
        <w:t>Las enzimas fibrolíticas exógenas como xilanasas, celulasas no son sintetizadas por los microorganismos ruminales, siendo adicionadas al alimento para aumentar la degradación  </w:t>
      </w:r>
      <w:r>
        <w:rPr>
          <w:spacing w:val="59"/>
          <w:sz w:val="24"/>
        </w:rPr>
        <w:t> </w:t>
      </w:r>
      <w:r>
        <w:rPr>
          <w:sz w:val="24"/>
        </w:rPr>
        <w:t>de</w:t>
      </w:r>
    </w:p>
    <w:p>
      <w:pPr>
        <w:spacing w:after="0" w:line="480" w:lineRule="auto"/>
        <w:jc w:val="both"/>
        <w:rPr>
          <w:sz w:val="24"/>
        </w:rPr>
        <w:sectPr>
          <w:footerReference w:type="default" r:id="rId11"/>
          <w:pgSz w:w="12240" w:h="15840"/>
          <w:pgMar w:footer="1003" w:header="0" w:top="1500" w:bottom="1200" w:left="1600" w:right="1300"/>
          <w:pgNumType w:start="11"/>
        </w:sectPr>
      </w:pPr>
    </w:p>
    <w:p>
      <w:pPr>
        <w:pStyle w:val="BodyText"/>
        <w:spacing w:before="9"/>
        <w:rPr>
          <w:sz w:val="10"/>
        </w:rPr>
      </w:pPr>
    </w:p>
    <w:p>
      <w:pPr>
        <w:spacing w:line="480" w:lineRule="auto" w:before="70"/>
        <w:ind w:left="102" w:right="109" w:firstLine="0"/>
        <w:jc w:val="both"/>
        <w:rPr>
          <w:sz w:val="24"/>
        </w:rPr>
      </w:pPr>
      <w:r>
        <w:rPr>
          <w:sz w:val="24"/>
        </w:rPr>
        <w:t>la fibra (Meraz-Romero </w:t>
      </w:r>
      <w:r>
        <w:rPr>
          <w:i/>
          <w:sz w:val="24"/>
        </w:rPr>
        <w:t>et al</w:t>
      </w:r>
      <w:r>
        <w:rPr>
          <w:sz w:val="24"/>
        </w:rPr>
        <w:t>., 2012); </w:t>
      </w:r>
      <w:r>
        <w:rPr>
          <w:spacing w:val="-3"/>
          <w:sz w:val="24"/>
        </w:rPr>
        <w:t>ya </w:t>
      </w:r>
      <w:r>
        <w:rPr>
          <w:sz w:val="24"/>
        </w:rPr>
        <w:t>que debido al alto contenido de fibra de los alimentos fibrosos las enzimas ruminales no pueden acceder a la pared celular vegetal y se reduce la digestibilidad de los alimentos (Togtokhbayar </w:t>
      </w:r>
      <w:r>
        <w:rPr>
          <w:i/>
          <w:sz w:val="24"/>
        </w:rPr>
        <w:t>et al</w:t>
      </w:r>
      <w:r>
        <w:rPr>
          <w:sz w:val="24"/>
        </w:rPr>
        <w:t>., 2015). Por su estructura compleja y heterogénea, la degradación de la fibra por hongos requiere de un complejo sistema enzimático, en el que las polisacaridasas (xilanasas y calulasas) actúan en conjunto con enzimas lignolíticas (Eichlerová </w:t>
      </w:r>
      <w:r>
        <w:rPr>
          <w:i/>
          <w:sz w:val="24"/>
        </w:rPr>
        <w:t>et al</w:t>
      </w:r>
      <w:r>
        <w:rPr>
          <w:sz w:val="24"/>
        </w:rPr>
        <w:t>., 2000); en este sentido el tratamiento de materiales lignocelulosicos con el hongo </w:t>
      </w:r>
      <w:r>
        <w:rPr>
          <w:i/>
          <w:sz w:val="24"/>
        </w:rPr>
        <w:t>Pleurotus ostreatus </w:t>
      </w:r>
      <w:r>
        <w:rPr>
          <w:sz w:val="24"/>
        </w:rPr>
        <w:t>(productor de xilanasas y celulasas) ocasiona cambios en la composición química, reduciendo las fracciones fibra neutro  detergente (FND), fibra ácido detergente (FAD), celulosa y hemicelulosa (Fazaeli </w:t>
      </w:r>
      <w:r>
        <w:rPr>
          <w:i/>
          <w:sz w:val="24"/>
        </w:rPr>
        <w:t>et al</w:t>
      </w:r>
      <w:r>
        <w:rPr>
          <w:sz w:val="24"/>
        </w:rPr>
        <w:t>., 2003; Marquez-Araque </w:t>
      </w:r>
      <w:r>
        <w:rPr>
          <w:i/>
          <w:sz w:val="24"/>
        </w:rPr>
        <w:t>et al</w:t>
      </w:r>
      <w:r>
        <w:rPr>
          <w:sz w:val="24"/>
        </w:rPr>
        <w:t>.,</w:t>
      </w:r>
      <w:r>
        <w:rPr>
          <w:spacing w:val="-6"/>
          <w:sz w:val="24"/>
        </w:rPr>
        <w:t> </w:t>
      </w:r>
      <w:r>
        <w:rPr>
          <w:sz w:val="24"/>
        </w:rPr>
        <w:t>2007).</w:t>
      </w:r>
    </w:p>
    <w:p>
      <w:pPr>
        <w:pStyle w:val="BodyText"/>
        <w:spacing w:before="8"/>
        <w:rPr>
          <w:sz w:val="21"/>
        </w:rPr>
      </w:pPr>
    </w:p>
    <w:p>
      <w:pPr>
        <w:spacing w:line="480" w:lineRule="auto" w:before="0"/>
        <w:ind w:left="102" w:right="112" w:firstLine="0"/>
        <w:jc w:val="both"/>
        <w:rPr>
          <w:sz w:val="24"/>
        </w:rPr>
      </w:pPr>
      <w:r>
        <w:rPr>
          <w:sz w:val="24"/>
        </w:rPr>
        <w:t>Las enzimas fibrolíticas mejoran la degradación de la MS tanto </w:t>
      </w:r>
      <w:r>
        <w:rPr>
          <w:i/>
          <w:sz w:val="24"/>
        </w:rPr>
        <w:t>in vitro </w:t>
      </w:r>
      <w:r>
        <w:rPr>
          <w:sz w:val="24"/>
        </w:rPr>
        <w:t>como </w:t>
      </w:r>
      <w:r>
        <w:rPr>
          <w:i/>
          <w:sz w:val="24"/>
        </w:rPr>
        <w:t>in sacco </w:t>
      </w:r>
      <w:r>
        <w:rPr>
          <w:sz w:val="24"/>
        </w:rPr>
        <w:t>(Gallardo </w:t>
      </w:r>
      <w:r>
        <w:rPr>
          <w:i/>
          <w:sz w:val="24"/>
        </w:rPr>
        <w:t>et al</w:t>
      </w:r>
      <w:r>
        <w:rPr>
          <w:sz w:val="24"/>
        </w:rPr>
        <w:t>., 2010). Al disminuir el pH de 6.5 a 5.5 se reduce la desaparición de MS de ensilaje de maíz, esta desaparición fue más pronunciada en ausencia de enzimas añadidas y con un pH bajo (McAllister </w:t>
      </w:r>
      <w:r>
        <w:rPr>
          <w:i/>
          <w:sz w:val="24"/>
        </w:rPr>
        <w:t>et al</w:t>
      </w:r>
      <w:r>
        <w:rPr>
          <w:sz w:val="24"/>
        </w:rPr>
        <w:t>., 2001). </w:t>
      </w:r>
      <w:r>
        <w:rPr>
          <w:spacing w:val="-3"/>
          <w:sz w:val="24"/>
        </w:rPr>
        <w:t>La </w:t>
      </w:r>
      <w:r>
        <w:rPr>
          <w:sz w:val="24"/>
        </w:rPr>
        <w:t>adición de enzimas al alimento puede crear un complejo enzima-alimento estable que protege a las enzimas de la proteólisis ruminal (Kung </w:t>
      </w:r>
      <w:r>
        <w:rPr>
          <w:i/>
          <w:sz w:val="24"/>
        </w:rPr>
        <w:t>et </w:t>
      </w:r>
      <w:r>
        <w:rPr>
          <w:i/>
          <w:sz w:val="24"/>
        </w:rPr>
        <w:t>al</w:t>
      </w:r>
      <w:r>
        <w:rPr>
          <w:sz w:val="24"/>
        </w:rPr>
        <w:t>.,</w:t>
      </w:r>
      <w:r>
        <w:rPr>
          <w:spacing w:val="-2"/>
          <w:sz w:val="24"/>
        </w:rPr>
        <w:t> </w:t>
      </w:r>
      <w:r>
        <w:rPr>
          <w:sz w:val="24"/>
        </w:rPr>
        <w:t>2000).</w:t>
      </w:r>
    </w:p>
    <w:p>
      <w:pPr>
        <w:pStyle w:val="BodyText"/>
        <w:spacing w:before="8"/>
        <w:rPr>
          <w:sz w:val="21"/>
        </w:rPr>
      </w:pPr>
    </w:p>
    <w:p>
      <w:pPr>
        <w:spacing w:line="480" w:lineRule="auto" w:before="0"/>
        <w:ind w:left="102" w:right="114" w:firstLine="0"/>
        <w:jc w:val="both"/>
        <w:rPr>
          <w:sz w:val="24"/>
        </w:rPr>
      </w:pPr>
      <w:r>
        <w:rPr>
          <w:sz w:val="24"/>
        </w:rPr>
        <w:t>La adición de enzimas exógenas está influenciada por factores como la composición de la dieta, tipo de preparación enzimática, estabilidad de la enzima, actividades enzimáticas específicas, método de aplicación y la cantidad de enzimas añadidas (Yang </w:t>
      </w:r>
      <w:r>
        <w:rPr>
          <w:i/>
          <w:sz w:val="24"/>
        </w:rPr>
        <w:t>et al</w:t>
      </w:r>
      <w:r>
        <w:rPr>
          <w:sz w:val="24"/>
        </w:rPr>
        <w:t>., 2000; Wallace </w:t>
      </w:r>
      <w:r>
        <w:rPr>
          <w:i/>
          <w:sz w:val="24"/>
        </w:rPr>
        <w:t>et al</w:t>
      </w:r>
      <w:r>
        <w:rPr>
          <w:sz w:val="24"/>
        </w:rPr>
        <w:t>., 2001); así como el pretratamiento de la comida, el pH, la susceptibilidad de las enzimas exógenas al ataque de las enzimas endógenas, la concentración de enzimas endógenas y el tipo de ingrediente utilizado en la dieta (Acamovic y MaClearly, 1996).</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2" w:firstLine="0"/>
        <w:jc w:val="both"/>
        <w:rPr>
          <w:sz w:val="24"/>
        </w:rPr>
      </w:pPr>
      <w:r>
        <w:rPr>
          <w:sz w:val="24"/>
        </w:rPr>
        <w:t>Al utilizar preparaciones específicas de enzimas fibroliticas en estudios </w:t>
      </w:r>
      <w:r>
        <w:rPr>
          <w:i/>
          <w:sz w:val="24"/>
        </w:rPr>
        <w:t>in vitro </w:t>
      </w:r>
      <w:r>
        <w:rPr>
          <w:sz w:val="24"/>
        </w:rPr>
        <w:t>se obtuvo aumento de la tasa de desaparición inicial de MS o de la tasa de desaparición de la FND del forraje (Dawson y Tricarico, 2007).</w:t>
      </w:r>
    </w:p>
    <w:p>
      <w:pPr>
        <w:pStyle w:val="BodyText"/>
        <w:spacing w:before="8"/>
        <w:rPr>
          <w:sz w:val="21"/>
        </w:rPr>
      </w:pPr>
    </w:p>
    <w:p>
      <w:pPr>
        <w:spacing w:line="480" w:lineRule="auto" w:before="0"/>
        <w:ind w:left="102" w:right="110" w:firstLine="0"/>
        <w:jc w:val="both"/>
        <w:rPr>
          <w:sz w:val="24"/>
        </w:rPr>
      </w:pPr>
      <w:r>
        <w:rPr>
          <w:sz w:val="24"/>
        </w:rPr>
        <w:t>La aplicación directa de un complejo enzimático formado por celulasa, β-glucosidasa y xilanasa, sobre forraje de maíz favorece la formación de un complejo enzima-sustrato estable, que aumenta la eficacia de las enzimas exógenas en el rumen (Settimi </w:t>
      </w:r>
      <w:r>
        <w:rPr>
          <w:i/>
          <w:sz w:val="24"/>
        </w:rPr>
        <w:t>et al</w:t>
      </w:r>
      <w:r>
        <w:rPr>
          <w:sz w:val="24"/>
        </w:rPr>
        <w:t>., 2013); y también su aplicación previa a la ingestión puede aumentar la unión de la enzima con el sustrato, lo cual puede aumentar su resistencia a la proteólisis ruminal (Beauchemin </w:t>
      </w:r>
      <w:r>
        <w:rPr>
          <w:i/>
          <w:sz w:val="24"/>
        </w:rPr>
        <w:t>et al</w:t>
      </w:r>
      <w:r>
        <w:rPr>
          <w:sz w:val="24"/>
        </w:rPr>
        <w:t>.,</w:t>
      </w:r>
      <w:r>
        <w:rPr>
          <w:spacing w:val="-10"/>
          <w:sz w:val="24"/>
        </w:rPr>
        <w:t> </w:t>
      </w:r>
      <w:r>
        <w:rPr>
          <w:sz w:val="24"/>
        </w:rPr>
        <w:t>2004).</w:t>
      </w:r>
    </w:p>
    <w:p>
      <w:pPr>
        <w:pStyle w:val="BodyText"/>
        <w:spacing w:before="2"/>
      </w:pPr>
    </w:p>
    <w:p>
      <w:pPr>
        <w:pStyle w:val="ListParagraph"/>
        <w:numPr>
          <w:ilvl w:val="1"/>
          <w:numId w:val="7"/>
        </w:numPr>
        <w:tabs>
          <w:tab w:pos="522" w:val="left" w:leader="none"/>
        </w:tabs>
        <w:spacing w:line="240" w:lineRule="auto" w:before="0" w:after="0"/>
        <w:ind w:left="522" w:right="0" w:hanging="420"/>
        <w:jc w:val="both"/>
        <w:rPr>
          <w:b/>
          <w:sz w:val="24"/>
        </w:rPr>
      </w:pPr>
      <w:r>
        <w:rPr>
          <w:b/>
          <w:sz w:val="24"/>
        </w:rPr>
        <w:t>Influencia de aditivos fibrolíticos en la producción de gas </w:t>
      </w:r>
      <w:r>
        <w:rPr>
          <w:b/>
          <w:i/>
          <w:sz w:val="24"/>
        </w:rPr>
        <w:t>in vitro </w:t>
      </w:r>
      <w:r>
        <w:rPr>
          <w:b/>
          <w:sz w:val="24"/>
        </w:rPr>
        <w:t>de forraje de</w:t>
      </w:r>
      <w:r>
        <w:rPr>
          <w:b/>
          <w:spacing w:val="-19"/>
          <w:sz w:val="24"/>
        </w:rPr>
        <w:t> </w:t>
      </w:r>
      <w:r>
        <w:rPr>
          <w:b/>
          <w:sz w:val="24"/>
        </w:rPr>
        <w:t>maíz</w:t>
      </w:r>
    </w:p>
    <w:p>
      <w:pPr>
        <w:pStyle w:val="BodyText"/>
        <w:rPr>
          <w:b/>
          <w:sz w:val="24"/>
        </w:rPr>
      </w:pPr>
    </w:p>
    <w:p>
      <w:pPr>
        <w:pStyle w:val="BodyText"/>
        <w:spacing w:before="1"/>
        <w:rPr>
          <w:b/>
          <w:sz w:val="19"/>
        </w:rPr>
      </w:pPr>
    </w:p>
    <w:p>
      <w:pPr>
        <w:spacing w:line="477" w:lineRule="auto" w:before="0"/>
        <w:ind w:left="102" w:right="111" w:firstLine="0"/>
        <w:jc w:val="both"/>
        <w:rPr>
          <w:sz w:val="24"/>
        </w:rPr>
      </w:pPr>
      <w:r>
        <w:rPr>
          <w:sz w:val="24"/>
        </w:rPr>
        <w:t>En un estudio al trabajar con xilanasa y celulasa a las dosis de 10, 20, 40 y 80 mg g</w:t>
      </w:r>
      <w:r>
        <w:rPr>
          <w:position w:val="9"/>
          <w:sz w:val="16"/>
        </w:rPr>
        <w:t>-1 </w:t>
      </w:r>
      <w:r>
        <w:rPr>
          <w:sz w:val="24"/>
        </w:rPr>
        <w:t>MS de forraje de maíz, se aumentó la producción de gas (PG) a diferentes horas de incubación, obteniendo la mayor PG al adicionar 40 mg g</w:t>
      </w:r>
      <w:r>
        <w:rPr>
          <w:position w:val="9"/>
          <w:sz w:val="16"/>
        </w:rPr>
        <w:t>-1 </w:t>
      </w:r>
      <w:r>
        <w:rPr>
          <w:sz w:val="24"/>
        </w:rPr>
        <w:t>MS tanto de xilanasa como de celulasa, pero con 80 mg g</w:t>
      </w:r>
      <w:r>
        <w:rPr>
          <w:position w:val="9"/>
          <w:sz w:val="16"/>
        </w:rPr>
        <w:t>-1 </w:t>
      </w:r>
      <w:r>
        <w:rPr>
          <w:sz w:val="24"/>
        </w:rPr>
        <w:t>MS de xilanasa se obtuvo la menor PG (Vallejo </w:t>
      </w:r>
      <w:r>
        <w:rPr>
          <w:i/>
          <w:sz w:val="24"/>
        </w:rPr>
        <w:t>et al</w:t>
      </w:r>
      <w:r>
        <w:rPr>
          <w:sz w:val="24"/>
        </w:rPr>
        <w:t>., 2016). Por su parte Yang </w:t>
      </w:r>
      <w:r>
        <w:rPr>
          <w:i/>
          <w:sz w:val="24"/>
        </w:rPr>
        <w:t>et al</w:t>
      </w:r>
      <w:r>
        <w:rPr>
          <w:sz w:val="24"/>
        </w:rPr>
        <w:t>. (2000) y Beauchemin </w:t>
      </w:r>
      <w:r>
        <w:rPr>
          <w:i/>
          <w:sz w:val="24"/>
        </w:rPr>
        <w:t>et al</w:t>
      </w:r>
      <w:r>
        <w:rPr>
          <w:sz w:val="24"/>
        </w:rPr>
        <w:t>. (2003), mencionan que con altos niveles de enzimas adicionadas, se tiene reducción de impactos de acuerdo al sustrato usado. Al adicionar 10 ml de una multienzima fibrolítica (celulasa, β-glucosidasa y xilanasa) en 17 g de MS de forraje de maíz, se mejoró la digestibilidad a las 12, 24, 48, y 96 h de incubación (Settimi </w:t>
      </w:r>
      <w:r>
        <w:rPr>
          <w:i/>
          <w:sz w:val="24"/>
        </w:rPr>
        <w:t>et al</w:t>
      </w:r>
      <w:r>
        <w:rPr>
          <w:sz w:val="24"/>
        </w:rPr>
        <w:t>., 2013). Cysneiros </w:t>
      </w:r>
      <w:r>
        <w:rPr>
          <w:i/>
          <w:sz w:val="24"/>
        </w:rPr>
        <w:t>et al</w:t>
      </w:r>
      <w:r>
        <w:rPr>
          <w:sz w:val="24"/>
        </w:rPr>
        <w:t>. (2006), no observaron efectos sobre la desaparición ruminal de MS al adicionar 5, 10 y 20 mg de enzimas fibrolíticas por kg de ensilado de maíz a las 6, 24 y 96 h. El aumento del nivel de enzimas a partir de 1x a 5x aumento la velocidad y grado de PG, pero la adición a 10x niveles no es eficaz (Colombatto </w:t>
      </w:r>
      <w:r>
        <w:rPr>
          <w:i/>
          <w:sz w:val="24"/>
        </w:rPr>
        <w:t>et al</w:t>
      </w:r>
      <w:r>
        <w:rPr>
          <w:sz w:val="24"/>
        </w:rPr>
        <w:t>.,</w:t>
      </w:r>
      <w:r>
        <w:rPr>
          <w:spacing w:val="-5"/>
          <w:sz w:val="24"/>
        </w:rPr>
        <w:t> </w:t>
      </w:r>
      <w:r>
        <w:rPr>
          <w:sz w:val="24"/>
        </w:rPr>
        <w:t>2003).</w:t>
      </w:r>
    </w:p>
    <w:p>
      <w:pPr>
        <w:spacing w:after="0" w:line="477"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2" w:firstLine="0"/>
        <w:jc w:val="both"/>
        <w:rPr>
          <w:sz w:val="24"/>
        </w:rPr>
      </w:pPr>
      <w:r>
        <w:rPr>
          <w:sz w:val="24"/>
        </w:rPr>
        <w:t>En el modo de acción con la adición de las EFE a la dieta de rumiantes aumenta la capacidad hidrolítica del rumen, debido a un incremento en el ataque bacteriano, a la estimulación de poblaciones microbianas del rumen y a un efecto sinérgico con las hidrolasas de los microorganismos ruminales (Beauchemin </w:t>
      </w:r>
      <w:r>
        <w:rPr>
          <w:i/>
          <w:sz w:val="24"/>
        </w:rPr>
        <w:t>et al</w:t>
      </w:r>
      <w:r>
        <w:rPr>
          <w:sz w:val="24"/>
        </w:rPr>
        <w:t>., 2004); estando de acuerdo al aumento de bacterias fibrolíticas y no fifrolíticas en el rumen y la producción de proteína cruda microbiana (PCM) al agregar xilanasa y celulasa en forraje de maíz (Vallejo </w:t>
      </w:r>
      <w:r>
        <w:rPr>
          <w:i/>
          <w:sz w:val="24"/>
        </w:rPr>
        <w:t>et al</w:t>
      </w:r>
      <w:r>
        <w:rPr>
          <w:sz w:val="24"/>
        </w:rPr>
        <w:t>., 2016), llegando a la mejora del valor nutritivo de los alimentos y crear estabilidad entre el complejo enzima- alimento (Kung </w:t>
      </w:r>
      <w:r>
        <w:rPr>
          <w:i/>
          <w:sz w:val="24"/>
        </w:rPr>
        <w:t>et al</w:t>
      </w:r>
      <w:r>
        <w:rPr>
          <w:sz w:val="24"/>
        </w:rPr>
        <w:t>., 2000).</w:t>
      </w:r>
    </w:p>
    <w:p>
      <w:pPr>
        <w:pStyle w:val="BodyText"/>
        <w:spacing w:before="8"/>
        <w:rPr>
          <w:sz w:val="21"/>
        </w:rPr>
      </w:pPr>
    </w:p>
    <w:p>
      <w:pPr>
        <w:spacing w:line="480" w:lineRule="auto" w:before="0"/>
        <w:ind w:left="102" w:right="115" w:firstLine="0"/>
        <w:jc w:val="both"/>
        <w:rPr>
          <w:sz w:val="24"/>
        </w:rPr>
      </w:pPr>
      <w:r>
        <w:rPr>
          <w:sz w:val="24"/>
        </w:rPr>
        <w:t>El aumento en la PG </w:t>
      </w:r>
      <w:r>
        <w:rPr>
          <w:i/>
          <w:sz w:val="24"/>
        </w:rPr>
        <w:t>in vitro </w:t>
      </w:r>
      <w:r>
        <w:rPr>
          <w:sz w:val="24"/>
        </w:rPr>
        <w:t>con el uso de enzimas puede permitir un mayor consumo voluntario de alimentos (Gado </w:t>
      </w:r>
      <w:r>
        <w:rPr>
          <w:i/>
          <w:sz w:val="24"/>
        </w:rPr>
        <w:t>et al</w:t>
      </w:r>
      <w:r>
        <w:rPr>
          <w:sz w:val="24"/>
        </w:rPr>
        <w:t>., 2009). Situación donde Rojo </w:t>
      </w:r>
      <w:r>
        <w:rPr>
          <w:i/>
          <w:sz w:val="24"/>
        </w:rPr>
        <w:t>et al</w:t>
      </w:r>
      <w:r>
        <w:rPr>
          <w:sz w:val="24"/>
        </w:rPr>
        <w:t>. (2015) trabajando con cabras lactantes suplementadas con celulasa consumieron aproximadamente el 11% más de MS, materia orgánica (MO) y FND en comparación con las cabras control, incrementando su producción de leche y mejorando su composición.</w:t>
      </w:r>
    </w:p>
    <w:p>
      <w:pPr>
        <w:pStyle w:val="BodyText"/>
        <w:spacing w:before="11"/>
        <w:rPr>
          <w:sz w:val="21"/>
        </w:rPr>
      </w:pPr>
    </w:p>
    <w:p>
      <w:pPr>
        <w:pStyle w:val="ListParagraph"/>
        <w:numPr>
          <w:ilvl w:val="1"/>
          <w:numId w:val="7"/>
        </w:numPr>
        <w:tabs>
          <w:tab w:pos="522" w:val="left" w:leader="none"/>
        </w:tabs>
        <w:spacing w:line="240" w:lineRule="auto" w:before="0" w:after="0"/>
        <w:ind w:left="522" w:right="0" w:hanging="420"/>
        <w:jc w:val="both"/>
        <w:rPr>
          <w:b/>
          <w:sz w:val="24"/>
        </w:rPr>
      </w:pPr>
      <w:r>
        <w:rPr>
          <w:b/>
          <w:sz w:val="24"/>
        </w:rPr>
        <w:t>Influencia de aditivos fibrolíticos en la fermentación </w:t>
      </w:r>
      <w:r>
        <w:rPr>
          <w:b/>
          <w:i/>
          <w:sz w:val="24"/>
        </w:rPr>
        <w:t>in vitro </w:t>
      </w:r>
      <w:r>
        <w:rPr>
          <w:b/>
          <w:sz w:val="24"/>
        </w:rPr>
        <w:t>de forraje de</w:t>
      </w:r>
      <w:r>
        <w:rPr>
          <w:b/>
          <w:spacing w:val="-17"/>
          <w:sz w:val="24"/>
        </w:rPr>
        <w:t> </w:t>
      </w:r>
      <w:r>
        <w:rPr>
          <w:b/>
          <w:sz w:val="24"/>
        </w:rPr>
        <w:t>maíz</w:t>
      </w:r>
    </w:p>
    <w:p>
      <w:pPr>
        <w:pStyle w:val="BodyText"/>
        <w:rPr>
          <w:b/>
          <w:sz w:val="24"/>
        </w:rPr>
      </w:pPr>
    </w:p>
    <w:p>
      <w:pPr>
        <w:pStyle w:val="BodyText"/>
        <w:spacing w:before="5"/>
        <w:rPr>
          <w:b/>
          <w:sz w:val="20"/>
        </w:rPr>
      </w:pPr>
    </w:p>
    <w:p>
      <w:pPr>
        <w:spacing w:line="480" w:lineRule="auto" w:before="0"/>
        <w:ind w:left="102" w:right="111" w:firstLine="0"/>
        <w:jc w:val="both"/>
        <w:rPr>
          <w:sz w:val="24"/>
        </w:rPr>
      </w:pPr>
      <w:r>
        <w:rPr>
          <w:sz w:val="24"/>
        </w:rPr>
        <w:t>Aunque los microorganismos del rumen pueden digerir la celulosa y otros carbohidratos fibrosos, factores relacionados con la estructura de la planta y de la composición, tales como las interacciones físico-químicas entre la matriz de la hemicelulosa y lignina, así como los aspectos relacionados con el animal, tales como la masticación, salivación y pH ruminal, pueden limitar la digestión de la comida en el rumen (Martins </w:t>
      </w:r>
      <w:r>
        <w:rPr>
          <w:i/>
          <w:sz w:val="24"/>
        </w:rPr>
        <w:t>et al</w:t>
      </w:r>
      <w:r>
        <w:rPr>
          <w:sz w:val="24"/>
        </w:rPr>
        <w:t>., 2006). El pH ruminal de  la digestión de la fibra se modula a través del efecto que tiene la adhesión bacteriana en los sustratos</w:t>
      </w:r>
      <w:r>
        <w:rPr>
          <w:spacing w:val="37"/>
          <w:sz w:val="24"/>
        </w:rPr>
        <w:t> </w:t>
      </w:r>
      <w:r>
        <w:rPr>
          <w:sz w:val="24"/>
        </w:rPr>
        <w:t>de</w:t>
      </w:r>
      <w:r>
        <w:rPr>
          <w:spacing w:val="36"/>
          <w:sz w:val="24"/>
        </w:rPr>
        <w:t> </w:t>
      </w:r>
      <w:r>
        <w:rPr>
          <w:sz w:val="24"/>
        </w:rPr>
        <w:t>fibra,</w:t>
      </w:r>
      <w:r>
        <w:rPr>
          <w:spacing w:val="37"/>
          <w:sz w:val="24"/>
        </w:rPr>
        <w:t> </w:t>
      </w:r>
      <w:r>
        <w:rPr>
          <w:sz w:val="24"/>
        </w:rPr>
        <w:t>porque</w:t>
      </w:r>
      <w:r>
        <w:rPr>
          <w:spacing w:val="36"/>
          <w:sz w:val="24"/>
        </w:rPr>
        <w:t> </w:t>
      </w:r>
      <w:r>
        <w:rPr>
          <w:sz w:val="24"/>
        </w:rPr>
        <w:t>las</w:t>
      </w:r>
      <w:r>
        <w:rPr>
          <w:spacing w:val="36"/>
          <w:sz w:val="24"/>
        </w:rPr>
        <w:t> </w:t>
      </w:r>
      <w:r>
        <w:rPr>
          <w:sz w:val="24"/>
        </w:rPr>
        <w:t>bacterias</w:t>
      </w:r>
      <w:r>
        <w:rPr>
          <w:spacing w:val="39"/>
          <w:sz w:val="24"/>
        </w:rPr>
        <w:t> </w:t>
      </w:r>
      <w:r>
        <w:rPr>
          <w:sz w:val="24"/>
        </w:rPr>
        <w:t>fibrolíticas</w:t>
      </w:r>
      <w:r>
        <w:rPr>
          <w:spacing w:val="37"/>
          <w:sz w:val="24"/>
        </w:rPr>
        <w:t> </w:t>
      </w:r>
      <w:r>
        <w:rPr>
          <w:sz w:val="24"/>
        </w:rPr>
        <w:t>son</w:t>
      </w:r>
      <w:r>
        <w:rPr>
          <w:spacing w:val="37"/>
          <w:sz w:val="24"/>
        </w:rPr>
        <w:t> </w:t>
      </w:r>
      <w:r>
        <w:rPr>
          <w:sz w:val="24"/>
        </w:rPr>
        <w:t>muy</w:t>
      </w:r>
      <w:r>
        <w:rPr>
          <w:spacing w:val="32"/>
          <w:sz w:val="24"/>
        </w:rPr>
        <w:t> </w:t>
      </w:r>
      <w:r>
        <w:rPr>
          <w:sz w:val="24"/>
        </w:rPr>
        <w:t>sensibles</w:t>
      </w:r>
      <w:r>
        <w:rPr>
          <w:spacing w:val="37"/>
          <w:sz w:val="24"/>
        </w:rPr>
        <w:t> </w:t>
      </w:r>
      <w:r>
        <w:rPr>
          <w:sz w:val="24"/>
        </w:rPr>
        <w:t>a</w:t>
      </w:r>
      <w:r>
        <w:rPr>
          <w:spacing w:val="38"/>
          <w:sz w:val="24"/>
        </w:rPr>
        <w:t> </w:t>
      </w:r>
      <w:r>
        <w:rPr>
          <w:sz w:val="24"/>
        </w:rPr>
        <w:t>los</w:t>
      </w:r>
      <w:r>
        <w:rPr>
          <w:spacing w:val="37"/>
          <w:sz w:val="24"/>
        </w:rPr>
        <w:t> </w:t>
      </w:r>
      <w:r>
        <w:rPr>
          <w:sz w:val="24"/>
        </w:rPr>
        <w:t>cambios</w:t>
      </w:r>
      <w:r>
        <w:rPr>
          <w:spacing w:val="37"/>
          <w:sz w:val="24"/>
        </w:rPr>
        <w:t> </w:t>
      </w:r>
      <w:r>
        <w:rPr>
          <w:sz w:val="24"/>
        </w:rPr>
        <w:t>de</w:t>
      </w:r>
      <w:r>
        <w:rPr>
          <w:spacing w:val="36"/>
          <w:sz w:val="24"/>
        </w:rPr>
        <w:t> </w:t>
      </w:r>
      <w:r>
        <w:rPr>
          <w:sz w:val="24"/>
        </w:rPr>
        <w:t>pH</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3" w:firstLine="0"/>
        <w:jc w:val="both"/>
        <w:rPr>
          <w:sz w:val="24"/>
        </w:rPr>
      </w:pPr>
      <w:r>
        <w:rPr>
          <w:sz w:val="24"/>
        </w:rPr>
        <w:t>ruminal (Sung </w:t>
      </w:r>
      <w:r>
        <w:rPr>
          <w:i/>
          <w:sz w:val="24"/>
        </w:rPr>
        <w:t>et al</w:t>
      </w:r>
      <w:r>
        <w:rPr>
          <w:sz w:val="24"/>
        </w:rPr>
        <w:t>., 2007). En este sentido Tajima </w:t>
      </w:r>
      <w:r>
        <w:rPr>
          <w:i/>
          <w:sz w:val="24"/>
        </w:rPr>
        <w:t>et al</w:t>
      </w:r>
      <w:r>
        <w:rPr>
          <w:sz w:val="24"/>
        </w:rPr>
        <w:t>. (2001) comentan que el pH ruminal superior a 6.0 es más adecuado para la actividad fibrolitica microbial que un pH menor a 6.0, cambiando la población microbiana ruminal de fibrolítica a amilolitica., cuando esta es menor a un pH de 6.</w:t>
      </w:r>
    </w:p>
    <w:p>
      <w:pPr>
        <w:pStyle w:val="BodyText"/>
        <w:spacing w:before="8"/>
        <w:rPr>
          <w:sz w:val="21"/>
        </w:rPr>
      </w:pPr>
    </w:p>
    <w:p>
      <w:pPr>
        <w:spacing w:line="480" w:lineRule="auto" w:before="0"/>
        <w:ind w:left="102" w:right="113" w:firstLine="0"/>
        <w:jc w:val="both"/>
        <w:rPr>
          <w:sz w:val="24"/>
        </w:rPr>
      </w:pPr>
      <w:r>
        <w:rPr>
          <w:sz w:val="24"/>
        </w:rPr>
        <w:t>Settimi </w:t>
      </w:r>
      <w:r>
        <w:rPr>
          <w:i/>
          <w:sz w:val="24"/>
        </w:rPr>
        <w:t>et al </w:t>
      </w:r>
      <w:r>
        <w:rPr>
          <w:sz w:val="24"/>
        </w:rPr>
        <w:t>(2013) al trabajar con xilanasa, celulasa y β-glucosidasa producidos por el hongo </w:t>
      </w:r>
      <w:r>
        <w:rPr>
          <w:i/>
          <w:sz w:val="24"/>
        </w:rPr>
        <w:t>Humidicola grisea</w:t>
      </w:r>
      <w:r>
        <w:rPr>
          <w:sz w:val="24"/>
        </w:rPr>
        <w:t>, observaron que el aumento de la digestibilidad </w:t>
      </w:r>
      <w:r>
        <w:rPr>
          <w:i/>
          <w:sz w:val="24"/>
        </w:rPr>
        <w:t>in </w:t>
      </w:r>
      <w:r>
        <w:rPr>
          <w:sz w:val="24"/>
        </w:rPr>
        <w:t>vitro de la materia seca (DIVMS) del forraje de maíz es el resultado de la actividad hidrolítica de las enzimas en el sustrato. Por su parte Morgavi </w:t>
      </w:r>
      <w:r>
        <w:rPr>
          <w:i/>
          <w:sz w:val="24"/>
        </w:rPr>
        <w:t>et al</w:t>
      </w:r>
      <w:r>
        <w:rPr>
          <w:sz w:val="24"/>
        </w:rPr>
        <w:t>. (2001) demostraron sinergismo entre enzimas exógenas y ruminales, de tal manera que el efecto combinado hidrolítico en el rumen es mayor que el estimado a partir de las actividades enzimáticas individuales.</w:t>
      </w:r>
    </w:p>
    <w:p>
      <w:pPr>
        <w:pStyle w:val="BodyText"/>
        <w:spacing w:before="8"/>
        <w:rPr>
          <w:sz w:val="21"/>
        </w:rPr>
      </w:pPr>
    </w:p>
    <w:p>
      <w:pPr>
        <w:spacing w:line="480" w:lineRule="auto" w:before="0"/>
        <w:ind w:left="102" w:right="113" w:firstLine="0"/>
        <w:jc w:val="both"/>
        <w:rPr>
          <w:sz w:val="24"/>
        </w:rPr>
      </w:pPr>
      <w:r>
        <w:rPr>
          <w:sz w:val="24"/>
        </w:rPr>
        <w:t>Los ensayos </w:t>
      </w:r>
      <w:r>
        <w:rPr>
          <w:i/>
          <w:sz w:val="24"/>
        </w:rPr>
        <w:t>in vitro </w:t>
      </w:r>
      <w:r>
        <w:rPr>
          <w:sz w:val="24"/>
        </w:rPr>
        <w:t>se usan para evaluar la eficiencia de los diferentes grupos de enzimas sobre la digestibilidad de las dietas que se ofrecen a los rumiantes (Colombatto </w:t>
      </w:r>
      <w:r>
        <w:rPr>
          <w:i/>
          <w:sz w:val="24"/>
        </w:rPr>
        <w:t>et al</w:t>
      </w:r>
      <w:r>
        <w:rPr>
          <w:sz w:val="24"/>
        </w:rPr>
        <w:t>., 2003). Con la adición de una multienzima (endo gluconasa, xilanasa, α-amilasa y proteasa) a los alimentos para rumiantes, se aumentó la digestión de la MS y fibra (Gado </w:t>
      </w:r>
      <w:r>
        <w:rPr>
          <w:i/>
          <w:sz w:val="24"/>
        </w:rPr>
        <w:t>et al</w:t>
      </w:r>
      <w:r>
        <w:rPr>
          <w:sz w:val="24"/>
        </w:rPr>
        <w:t>., 2009); pero disminuyo linealmente la proteina microbiana (PCM) al aplicarla en cuatro materiales  fibrosos, en comparación al control (Elghandour </w:t>
      </w:r>
      <w:r>
        <w:rPr>
          <w:i/>
          <w:sz w:val="24"/>
        </w:rPr>
        <w:t>et al</w:t>
      </w:r>
      <w:r>
        <w:rPr>
          <w:sz w:val="24"/>
        </w:rPr>
        <w:t>.,</w:t>
      </w:r>
      <w:r>
        <w:rPr>
          <w:spacing w:val="-5"/>
          <w:sz w:val="24"/>
        </w:rPr>
        <w:t> </w:t>
      </w:r>
      <w:r>
        <w:rPr>
          <w:sz w:val="24"/>
        </w:rPr>
        <w:t>2013).</w:t>
      </w:r>
    </w:p>
    <w:p>
      <w:pPr>
        <w:pStyle w:val="BodyText"/>
        <w:spacing w:before="8"/>
        <w:rPr>
          <w:sz w:val="21"/>
        </w:rPr>
      </w:pPr>
    </w:p>
    <w:p>
      <w:pPr>
        <w:spacing w:line="480" w:lineRule="auto" w:before="0"/>
        <w:ind w:left="102" w:right="115" w:firstLine="0"/>
        <w:jc w:val="both"/>
        <w:rPr>
          <w:sz w:val="24"/>
        </w:rPr>
      </w:pPr>
      <w:r>
        <w:rPr>
          <w:sz w:val="24"/>
        </w:rPr>
        <w:t>El mayor contenido de fibra y la superficie de la epidermis de la planta con una alta concentración de sílice impide el acceso de las enzimas ruminales a la pared celular de la planta y reduce la digestibilidad de los nutrientes (Kholif </w:t>
      </w:r>
      <w:r>
        <w:rPr>
          <w:i/>
          <w:sz w:val="24"/>
        </w:rPr>
        <w:t>et al</w:t>
      </w:r>
      <w:r>
        <w:rPr>
          <w:sz w:val="24"/>
        </w:rPr>
        <w:t>., 2014).</w:t>
      </w:r>
    </w:p>
    <w:p>
      <w:pPr>
        <w:pStyle w:val="BodyText"/>
        <w:spacing w:before="4"/>
        <w:rPr>
          <w:sz w:val="20"/>
        </w:rPr>
      </w:pPr>
    </w:p>
    <w:p>
      <w:pPr>
        <w:spacing w:line="480" w:lineRule="auto" w:before="1"/>
        <w:ind w:left="102" w:right="115" w:firstLine="0"/>
        <w:jc w:val="both"/>
        <w:rPr>
          <w:sz w:val="24"/>
        </w:rPr>
      </w:pPr>
      <w:r>
        <w:rPr>
          <w:sz w:val="24"/>
        </w:rPr>
        <w:t>La adición de 40 mg g</w:t>
      </w:r>
      <w:r>
        <w:rPr>
          <w:position w:val="9"/>
          <w:sz w:val="16"/>
        </w:rPr>
        <w:t>-1 </w:t>
      </w:r>
      <w:r>
        <w:rPr>
          <w:sz w:val="24"/>
        </w:rPr>
        <w:t>MS de xilanasa y celulasa en forraje de maíz redujeron el pH y aumentaron  la  digestibilidad  de  la  materia  orgánica  (DMO),  energía  metabolizable (EM),</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4" w:firstLine="0"/>
        <w:jc w:val="both"/>
        <w:rPr>
          <w:sz w:val="24"/>
        </w:rPr>
      </w:pPr>
      <w:r>
        <w:rPr>
          <w:sz w:val="24"/>
        </w:rPr>
        <w:t>ácidos grasos de cadena corta (AGCC) y PCM (Vallejo </w:t>
      </w:r>
      <w:r>
        <w:rPr>
          <w:i/>
          <w:sz w:val="24"/>
        </w:rPr>
        <w:t>et al</w:t>
      </w:r>
      <w:r>
        <w:rPr>
          <w:sz w:val="24"/>
        </w:rPr>
        <w:t>., 2016). Por otra parte Omar </w:t>
      </w:r>
      <w:r>
        <w:rPr>
          <w:i/>
          <w:sz w:val="24"/>
        </w:rPr>
        <w:t>et al</w:t>
      </w:r>
      <w:r>
        <w:rPr>
          <w:sz w:val="24"/>
        </w:rPr>
        <w:t>. (2009), observaron que los suplementos de enzimas en las raciones mejora la digestibilidad y las concentraciones de AGCC.</w:t>
      </w:r>
    </w:p>
    <w:p>
      <w:pPr>
        <w:pStyle w:val="BodyText"/>
        <w:spacing w:before="8"/>
        <w:rPr>
          <w:sz w:val="21"/>
        </w:rPr>
      </w:pPr>
    </w:p>
    <w:p>
      <w:pPr>
        <w:spacing w:line="480" w:lineRule="auto" w:before="0"/>
        <w:ind w:left="102" w:right="115" w:firstLine="0"/>
        <w:jc w:val="both"/>
        <w:rPr>
          <w:sz w:val="24"/>
        </w:rPr>
      </w:pPr>
      <w:r>
        <w:rPr>
          <w:sz w:val="24"/>
        </w:rPr>
        <w:t>Con el uso de EFE la celulosa del forraje de maíz se digiere con mayor facilidad que otras fuentes de celulosa y hemicelulosa, destinadas a la alimentación de rumiantes (Yescas-Yescas </w:t>
      </w:r>
      <w:r>
        <w:rPr>
          <w:i/>
          <w:sz w:val="24"/>
        </w:rPr>
        <w:t>et al</w:t>
      </w:r>
      <w:r>
        <w:rPr>
          <w:sz w:val="24"/>
        </w:rPr>
        <w:t>., 2004), y se incrementa la energía digestible en la producción de rumiantes (Beauchemin y Holtshausen, 2011).</w:t>
      </w:r>
    </w:p>
    <w:p>
      <w:pPr>
        <w:pStyle w:val="BodyText"/>
        <w:spacing w:before="8"/>
        <w:rPr>
          <w:sz w:val="21"/>
        </w:rPr>
      </w:pPr>
    </w:p>
    <w:p>
      <w:pPr>
        <w:spacing w:line="480" w:lineRule="auto" w:before="0"/>
        <w:ind w:left="102" w:right="112" w:firstLine="0"/>
        <w:jc w:val="both"/>
        <w:rPr>
          <w:sz w:val="24"/>
        </w:rPr>
      </w:pPr>
      <w:r>
        <w:rPr>
          <w:sz w:val="24"/>
        </w:rPr>
        <w:t>Las EFE pueden permanecer viables en el intestino delgado durante un tiempo suficiente para tener un efecto hidrolítico, cuando se administran directamente en el rumen o cuando se adicionan en alimentos húmedos o en concentrados que permitan una fácil solubilidad en el alimento y un rápido paso en el rumen (Beauchemin </w:t>
      </w:r>
      <w:r>
        <w:rPr>
          <w:i/>
          <w:sz w:val="24"/>
        </w:rPr>
        <w:t>et al</w:t>
      </w:r>
      <w:r>
        <w:rPr>
          <w:sz w:val="24"/>
        </w:rPr>
        <w:t>., 2004).</w:t>
      </w:r>
    </w:p>
    <w:p>
      <w:pPr>
        <w:spacing w:after="0" w:line="480" w:lineRule="auto"/>
        <w:jc w:val="both"/>
        <w:rPr>
          <w:sz w:val="24"/>
        </w:rPr>
        <w:sectPr>
          <w:pgSz w:w="12240" w:h="15840"/>
          <w:pgMar w:header="0" w:footer="1003" w:top="1500" w:bottom="1200" w:left="1600" w:right="1300"/>
        </w:sectPr>
      </w:pPr>
    </w:p>
    <w:p>
      <w:pPr>
        <w:pStyle w:val="BodyText"/>
        <w:spacing w:before="3"/>
        <w:rPr>
          <w:sz w:val="11"/>
        </w:rPr>
      </w:pPr>
    </w:p>
    <w:p>
      <w:pPr>
        <w:pStyle w:val="ListParagraph"/>
        <w:numPr>
          <w:ilvl w:val="1"/>
          <w:numId w:val="1"/>
        </w:numPr>
        <w:tabs>
          <w:tab w:pos="3297" w:val="left" w:leader="none"/>
        </w:tabs>
        <w:spacing w:line="240" w:lineRule="auto" w:before="69" w:after="0"/>
        <w:ind w:left="3297" w:right="0" w:hanging="401"/>
        <w:jc w:val="left"/>
        <w:rPr>
          <w:b/>
          <w:sz w:val="24"/>
        </w:rPr>
      </w:pPr>
      <w:r>
        <w:rPr>
          <w:b/>
          <w:sz w:val="24"/>
        </w:rPr>
        <w:t>MATERIALES Y</w:t>
      </w:r>
      <w:r>
        <w:rPr>
          <w:b/>
          <w:spacing w:val="-7"/>
          <w:sz w:val="24"/>
        </w:rPr>
        <w:t> </w:t>
      </w:r>
      <w:r>
        <w:rPr>
          <w:b/>
          <w:sz w:val="24"/>
        </w:rPr>
        <w:t>MÉTODOS</w:t>
      </w:r>
    </w:p>
    <w:p>
      <w:pPr>
        <w:pStyle w:val="BodyText"/>
        <w:rPr>
          <w:b/>
          <w:sz w:val="24"/>
        </w:rPr>
      </w:pPr>
    </w:p>
    <w:p>
      <w:pPr>
        <w:pStyle w:val="BodyText"/>
        <w:spacing w:before="10"/>
        <w:rPr>
          <w:b/>
          <w:sz w:val="20"/>
        </w:rPr>
      </w:pPr>
    </w:p>
    <w:p>
      <w:pPr>
        <w:pStyle w:val="Heading1"/>
        <w:numPr>
          <w:ilvl w:val="1"/>
          <w:numId w:val="8"/>
        </w:numPr>
        <w:tabs>
          <w:tab w:pos="523" w:val="left" w:leader="none"/>
        </w:tabs>
        <w:spacing w:line="240" w:lineRule="auto" w:before="0" w:after="0"/>
        <w:ind w:left="522" w:right="0" w:hanging="420"/>
        <w:jc w:val="both"/>
      </w:pPr>
      <w:bookmarkStart w:name="_TOC_250008" w:id="11"/>
      <w:r>
        <w:rPr/>
        <w:t>Identificación de maíces forrajeros</w:t>
      </w:r>
      <w:r>
        <w:rPr>
          <w:spacing w:val="-13"/>
        </w:rPr>
        <w:t> </w:t>
      </w:r>
      <w:bookmarkEnd w:id="11"/>
      <w:r>
        <w:rPr/>
        <w:t>sobresalientes</w:t>
      </w:r>
    </w:p>
    <w:p>
      <w:pPr>
        <w:pStyle w:val="BodyText"/>
        <w:rPr>
          <w:b/>
          <w:sz w:val="24"/>
        </w:rPr>
      </w:pPr>
    </w:p>
    <w:p>
      <w:pPr>
        <w:pStyle w:val="BodyText"/>
        <w:spacing w:before="5"/>
        <w:rPr>
          <w:b/>
          <w:sz w:val="20"/>
        </w:rPr>
      </w:pPr>
    </w:p>
    <w:p>
      <w:pPr>
        <w:spacing w:line="480" w:lineRule="auto" w:before="0" w:after="17"/>
        <w:ind w:left="102" w:right="474" w:firstLine="0"/>
        <w:jc w:val="both"/>
        <w:rPr>
          <w:sz w:val="24"/>
        </w:rPr>
      </w:pPr>
      <w:r>
        <w:rPr>
          <w:sz w:val="24"/>
        </w:rPr>
        <w:t>Las características del área de estudio, el material genético evaluado, la metodología de establecimiento del experimento, las variables medidas y la metodología de análisis de la información para el experimento uno, se encuentran descritas en el artículo uno. Para apoyar la descripción        del        área        de        estudio        se        presenta        la        Figura         1.</w:t>
      </w:r>
    </w:p>
    <w:p>
      <w:pPr>
        <w:pStyle w:val="BodyText"/>
        <w:ind w:left="101"/>
        <w:rPr>
          <w:sz w:val="20"/>
        </w:rPr>
      </w:pPr>
      <w:r>
        <w:rPr>
          <w:sz w:val="20"/>
        </w:rPr>
        <w:drawing>
          <wp:inline distT="0" distB="0" distL="0" distR="0">
            <wp:extent cx="6027675" cy="407431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2" cstate="print"/>
                    <a:stretch>
                      <a:fillRect/>
                    </a:stretch>
                  </pic:blipFill>
                  <pic:spPr>
                    <a:xfrm>
                      <a:off x="0" y="0"/>
                      <a:ext cx="6027675" cy="4074318"/>
                    </a:xfrm>
                    <a:prstGeom prst="rect">
                      <a:avLst/>
                    </a:prstGeom>
                  </pic:spPr>
                </pic:pic>
              </a:graphicData>
            </a:graphic>
          </wp:inline>
        </w:drawing>
      </w:r>
      <w:r>
        <w:rPr>
          <w:sz w:val="20"/>
        </w:rPr>
      </w:r>
    </w:p>
    <w:p>
      <w:pPr>
        <w:pStyle w:val="BodyText"/>
        <w:rPr>
          <w:sz w:val="24"/>
        </w:rPr>
      </w:pPr>
    </w:p>
    <w:p>
      <w:pPr>
        <w:pStyle w:val="BodyText"/>
        <w:spacing w:before="7"/>
        <w:rPr>
          <w:sz w:val="20"/>
        </w:rPr>
      </w:pPr>
    </w:p>
    <w:p>
      <w:pPr>
        <w:spacing w:line="480" w:lineRule="auto" w:before="0"/>
        <w:ind w:left="102" w:right="476" w:firstLine="0"/>
        <w:jc w:val="both"/>
        <w:rPr>
          <w:sz w:val="24"/>
        </w:rPr>
      </w:pPr>
      <w:r>
        <w:rPr>
          <w:sz w:val="24"/>
        </w:rPr>
        <w:t>Figura 1. Localidades de estudio ubicadas en los Municipios de Metepec, Almoloya de Juárez, Toluca y Jocotitlan, Valle de Toluca-Atlacomulco, Estado de México.</w:t>
      </w:r>
    </w:p>
    <w:p>
      <w:pPr>
        <w:spacing w:after="0" w:line="480" w:lineRule="auto"/>
        <w:jc w:val="both"/>
        <w:rPr>
          <w:sz w:val="24"/>
        </w:rPr>
        <w:sectPr>
          <w:pgSz w:w="12240" w:h="15840"/>
          <w:pgMar w:header="0" w:footer="1003" w:top="1500" w:bottom="1200" w:left="1600" w:right="940"/>
        </w:sectPr>
      </w:pPr>
    </w:p>
    <w:p>
      <w:pPr>
        <w:pStyle w:val="BodyText"/>
        <w:spacing w:before="3"/>
        <w:rPr>
          <w:sz w:val="11"/>
        </w:rPr>
      </w:pPr>
    </w:p>
    <w:p>
      <w:pPr>
        <w:pStyle w:val="Heading1"/>
        <w:numPr>
          <w:ilvl w:val="1"/>
          <w:numId w:val="8"/>
        </w:numPr>
        <w:tabs>
          <w:tab w:pos="523" w:val="left" w:leader="none"/>
        </w:tabs>
        <w:spacing w:line="240" w:lineRule="auto" w:before="69" w:after="0"/>
        <w:ind w:left="522" w:right="0" w:hanging="420"/>
        <w:jc w:val="both"/>
      </w:pPr>
      <w:bookmarkStart w:name="_TOC_250007" w:id="12"/>
      <w:r>
        <w:rPr/>
        <w:t>Calidad forrajera de maíces</w:t>
      </w:r>
      <w:r>
        <w:rPr>
          <w:spacing w:val="-9"/>
        </w:rPr>
        <w:t> </w:t>
      </w:r>
      <w:bookmarkEnd w:id="12"/>
      <w:r>
        <w:rPr/>
        <w:t>sobresalientes</w:t>
      </w:r>
    </w:p>
    <w:p>
      <w:pPr>
        <w:pStyle w:val="BodyText"/>
        <w:rPr>
          <w:b/>
          <w:sz w:val="24"/>
        </w:rPr>
      </w:pPr>
    </w:p>
    <w:p>
      <w:pPr>
        <w:pStyle w:val="BodyText"/>
        <w:spacing w:before="10"/>
        <w:rPr>
          <w:b/>
          <w:sz w:val="20"/>
        </w:rPr>
      </w:pPr>
    </w:p>
    <w:p>
      <w:pPr>
        <w:pStyle w:val="Heading1"/>
        <w:numPr>
          <w:ilvl w:val="2"/>
          <w:numId w:val="8"/>
        </w:numPr>
        <w:tabs>
          <w:tab w:pos="703" w:val="left" w:leader="none"/>
        </w:tabs>
        <w:spacing w:line="240" w:lineRule="auto" w:before="0" w:after="0"/>
        <w:ind w:left="702" w:right="0" w:hanging="600"/>
        <w:jc w:val="both"/>
      </w:pPr>
      <w:bookmarkStart w:name="_TOC_250006" w:id="13"/>
      <w:r>
        <w:rPr/>
        <w:t>Sitio de</w:t>
      </w:r>
      <w:r>
        <w:rPr>
          <w:spacing w:val="-5"/>
        </w:rPr>
        <w:t> </w:t>
      </w:r>
      <w:bookmarkEnd w:id="13"/>
      <w:r>
        <w:rPr/>
        <w:t>trabajo</w:t>
      </w:r>
    </w:p>
    <w:p>
      <w:pPr>
        <w:pStyle w:val="BodyText"/>
        <w:rPr>
          <w:b/>
          <w:sz w:val="24"/>
        </w:rPr>
      </w:pPr>
    </w:p>
    <w:p>
      <w:pPr>
        <w:pStyle w:val="BodyText"/>
        <w:spacing w:before="5"/>
        <w:rPr>
          <w:b/>
          <w:sz w:val="20"/>
        </w:rPr>
      </w:pPr>
    </w:p>
    <w:p>
      <w:pPr>
        <w:spacing w:line="480" w:lineRule="auto" w:before="0"/>
        <w:ind w:left="102" w:right="114" w:firstLine="0"/>
        <w:jc w:val="both"/>
        <w:rPr>
          <w:sz w:val="24"/>
        </w:rPr>
      </w:pPr>
      <w:r>
        <w:rPr>
          <w:sz w:val="24"/>
        </w:rPr>
        <w:t>Los trabajos del experimento dos se realizaron en la Posta Zootecnica y Laboratorio de Nutrición Animal de la Facultad de Medicina Veterinaria y Zootecnia, y en el Laboratorio de Bromatología del Centro Universitario Temascaltepec de la Universidad Autónoma del Estado de México, durante octubre de 2013 a diciembre de 2014.</w:t>
      </w:r>
    </w:p>
    <w:p>
      <w:pPr>
        <w:pStyle w:val="BodyText"/>
        <w:spacing w:before="2"/>
      </w:pPr>
    </w:p>
    <w:p>
      <w:pPr>
        <w:pStyle w:val="Heading1"/>
        <w:numPr>
          <w:ilvl w:val="2"/>
          <w:numId w:val="8"/>
        </w:numPr>
        <w:tabs>
          <w:tab w:pos="703" w:val="left" w:leader="none"/>
        </w:tabs>
        <w:spacing w:line="240" w:lineRule="auto" w:before="0" w:after="0"/>
        <w:ind w:left="702" w:right="0" w:hanging="600"/>
        <w:jc w:val="both"/>
      </w:pPr>
      <w:bookmarkStart w:name="_TOC_250005" w:id="14"/>
      <w:r>
        <w:rPr/>
        <w:t>Material</w:t>
      </w:r>
      <w:r>
        <w:rPr>
          <w:spacing w:val="-5"/>
        </w:rPr>
        <w:t> </w:t>
      </w:r>
      <w:bookmarkEnd w:id="14"/>
      <w:r>
        <w:rPr/>
        <w:t>evaluado</w:t>
      </w:r>
    </w:p>
    <w:p>
      <w:pPr>
        <w:pStyle w:val="BodyText"/>
        <w:rPr>
          <w:b/>
          <w:sz w:val="24"/>
        </w:rPr>
      </w:pPr>
    </w:p>
    <w:p>
      <w:pPr>
        <w:pStyle w:val="BodyText"/>
        <w:spacing w:before="5"/>
        <w:rPr>
          <w:b/>
          <w:sz w:val="20"/>
        </w:rPr>
      </w:pPr>
    </w:p>
    <w:p>
      <w:pPr>
        <w:spacing w:line="480" w:lineRule="auto" w:before="0"/>
        <w:ind w:left="102" w:right="113" w:firstLine="0"/>
        <w:jc w:val="both"/>
        <w:rPr>
          <w:sz w:val="24"/>
        </w:rPr>
      </w:pPr>
      <w:r>
        <w:rPr>
          <w:sz w:val="24"/>
        </w:rPr>
        <w:t>Se evaluaron cuatro variedades de maíz, las cuales fueron dos variedades criollas Cacahuacintle Tlacotepec (grano blanco) y San Diego (grano amarillo) y dos Híbridos P-1832 (grano amarillo) y Victoria (grano blanco), seleccionados por su buen potencial forrajero del experimento uno. El corte de las plantas se efectuó cuando los granos de elote alcanzaron un estado masoso, siendo a los 155, 149, 176 y 168 días posteriores a la siembra,  respectivamente. Las plantas completas de las parcelas experimentales de cada variedad  fueron cortadas y después trozadas en un molino (DPM Junior, Noriega), para obtener un tamaño de partículas de 1.5 a 4.0 cm. Posteriormente para formar los microsilos se usó 1 ml de cada producto por kg de ensilado, por lo que se pesaron por cuadriplicado 10 kg de material fresco de cada variedad, para aplicarle 10 ml de xilanasa (producto constituido por 34,000 a 41,000 unidades de xilanasa/g, de 12,000 a 15,000 unidades de β-glucanasa/g y entre 45,000 y 55,000 unidades de celulasa/g), 10 ml de celulasa (constituido por 30,000 a 36,000 unidades  de celulasa/g y 7,500 a 10,000 unidades de β-glucanasa/g) o 10 ml de Aguamiel de maguey (con 8.62% de azucares, 0.3% de aminoácidos, 3.0% de proteína y 3.0% de minerales) y </w:t>
      </w:r>
      <w:r>
        <w:rPr>
          <w:spacing w:val="13"/>
          <w:sz w:val="24"/>
        </w:rPr>
        <w:t> </w:t>
      </w:r>
      <w:r>
        <w:rPr>
          <w:sz w:val="24"/>
        </w:rPr>
        <w:t>dejar</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3" w:firstLine="0"/>
        <w:jc w:val="both"/>
        <w:rPr>
          <w:sz w:val="24"/>
        </w:rPr>
      </w:pPr>
      <w:r>
        <w:rPr>
          <w:sz w:val="24"/>
        </w:rPr>
        <w:t>sus correspondientes testigos; después fueron llenados tres cilindros de PVC de 15x30 cm, con cada una de las variedades de maíz y sus respectivos tratamientos, compactando el forraje de cada cilindro con una prensa metálica y finalmente sellarlos con plástico negro. Los microsilos fueron apilados dentro de un lugar fresco y cubierto durante seis meses a temperatura ambiente.</w:t>
      </w:r>
    </w:p>
    <w:p>
      <w:pPr>
        <w:pStyle w:val="BodyText"/>
        <w:spacing w:before="2"/>
      </w:pPr>
    </w:p>
    <w:p>
      <w:pPr>
        <w:pStyle w:val="Heading1"/>
        <w:numPr>
          <w:ilvl w:val="2"/>
          <w:numId w:val="8"/>
        </w:numPr>
        <w:tabs>
          <w:tab w:pos="702" w:val="left" w:leader="none"/>
        </w:tabs>
        <w:spacing w:line="240" w:lineRule="auto" w:before="0" w:after="0"/>
        <w:ind w:left="702" w:right="0" w:hanging="600"/>
        <w:jc w:val="both"/>
      </w:pPr>
      <w:bookmarkStart w:name="_TOC_250004" w:id="15"/>
      <w:r>
        <w:rPr/>
        <w:t>Composición</w:t>
      </w:r>
      <w:r>
        <w:rPr>
          <w:spacing w:val="-9"/>
        </w:rPr>
        <w:t> </w:t>
      </w:r>
      <w:bookmarkEnd w:id="15"/>
      <w:r>
        <w:rPr/>
        <w:t>química</w:t>
      </w:r>
    </w:p>
    <w:p>
      <w:pPr>
        <w:pStyle w:val="BodyText"/>
        <w:rPr>
          <w:b/>
          <w:sz w:val="24"/>
        </w:rPr>
      </w:pPr>
    </w:p>
    <w:p>
      <w:pPr>
        <w:pStyle w:val="BodyText"/>
        <w:spacing w:before="5"/>
        <w:rPr>
          <w:b/>
          <w:sz w:val="20"/>
        </w:rPr>
      </w:pPr>
    </w:p>
    <w:p>
      <w:pPr>
        <w:spacing w:line="480" w:lineRule="auto" w:before="1"/>
        <w:ind w:left="102" w:right="115" w:firstLine="0"/>
        <w:jc w:val="both"/>
        <w:rPr>
          <w:sz w:val="24"/>
        </w:rPr>
      </w:pPr>
      <w:r>
        <w:rPr>
          <w:sz w:val="24"/>
        </w:rPr>
        <w:t>En abril de 2014 fueron abiertos los microsilos, obteniendo muestras de forraje para el análisis químico (3 ensilajes por muestra). Fueron tomados 6 núcleos de cada bolsa y se agruparon  para producir una muestra por bolsa. Las muestras se congelaron a -18°C antes del análisis de composición</w:t>
      </w:r>
      <w:r>
        <w:rPr>
          <w:spacing w:val="-3"/>
          <w:sz w:val="24"/>
        </w:rPr>
        <w:t> </w:t>
      </w:r>
      <w:r>
        <w:rPr>
          <w:sz w:val="24"/>
        </w:rPr>
        <w:t>química.</w:t>
      </w:r>
    </w:p>
    <w:p>
      <w:pPr>
        <w:pStyle w:val="BodyText"/>
        <w:spacing w:before="8"/>
        <w:rPr>
          <w:sz w:val="21"/>
        </w:rPr>
      </w:pPr>
    </w:p>
    <w:p>
      <w:pPr>
        <w:spacing w:line="480" w:lineRule="auto" w:before="0"/>
        <w:ind w:left="102" w:right="109" w:firstLine="0"/>
        <w:jc w:val="both"/>
        <w:rPr>
          <w:sz w:val="24"/>
        </w:rPr>
      </w:pPr>
      <w:r>
        <w:rPr>
          <w:sz w:val="24"/>
        </w:rPr>
        <w:t>Las muestras alimenticias agrupadas se molieron con un Molino Wiley hasta un tamaño máximo de 1 mm y se analizaron por duplicado, siguiendo el procedimiento de la AOAC (1997). El pH se midió inmediatamente después de abrir cada silo; la material seca (MS) se determinó mediante secado en horno a 105°C hasta peso constante (ref. 934.01), la MO y cenizas totales por mufla (ref. 942.05) y PC por el método Kjeldahl (ref. 976.05). El contenido de FDN y FDA se determinaron según Van Soest </w:t>
      </w:r>
      <w:r>
        <w:rPr>
          <w:i/>
          <w:sz w:val="24"/>
        </w:rPr>
        <w:t>et al. </w:t>
      </w:r>
      <w:r>
        <w:rPr>
          <w:sz w:val="24"/>
        </w:rPr>
        <w:t>(1991), utilizando un analizador de fibra Ankom 200 (Ankom Technol. Co. Macedonia, Nueva York, EE. UU.). FDN se ensayó sin α-amilasa. FDN y FDA se expresan sin cenizas residuales. El contenido de humedad de los ensilajes se determinó a través de destilación con tolueno (Haigh y Hopkins, 1977).</w:t>
      </w:r>
    </w:p>
    <w:p>
      <w:pPr>
        <w:spacing w:after="0" w:line="480" w:lineRule="auto"/>
        <w:jc w:val="both"/>
        <w:rPr>
          <w:sz w:val="24"/>
        </w:rPr>
        <w:sectPr>
          <w:pgSz w:w="12240" w:h="15840"/>
          <w:pgMar w:header="0" w:footer="1003" w:top="1500" w:bottom="1200" w:left="1600" w:right="1300"/>
        </w:sectPr>
      </w:pPr>
    </w:p>
    <w:p>
      <w:pPr>
        <w:pStyle w:val="BodyText"/>
        <w:spacing w:before="3"/>
        <w:rPr>
          <w:sz w:val="11"/>
        </w:rPr>
      </w:pPr>
    </w:p>
    <w:p>
      <w:pPr>
        <w:pStyle w:val="ListParagraph"/>
        <w:numPr>
          <w:ilvl w:val="2"/>
          <w:numId w:val="8"/>
        </w:numPr>
        <w:tabs>
          <w:tab w:pos="702" w:val="left" w:leader="none"/>
        </w:tabs>
        <w:spacing w:line="240" w:lineRule="auto" w:before="69" w:after="0"/>
        <w:ind w:left="702" w:right="0" w:hanging="600"/>
        <w:jc w:val="both"/>
        <w:rPr>
          <w:b/>
          <w:i/>
          <w:sz w:val="24"/>
        </w:rPr>
      </w:pPr>
      <w:r>
        <w:rPr>
          <w:b/>
          <w:sz w:val="24"/>
        </w:rPr>
        <w:t>Producción de gas </w:t>
      </w:r>
      <w:r>
        <w:rPr>
          <w:b/>
          <w:i/>
          <w:sz w:val="24"/>
        </w:rPr>
        <w:t>in</w:t>
      </w:r>
      <w:r>
        <w:rPr>
          <w:b/>
          <w:i/>
          <w:spacing w:val="-3"/>
          <w:sz w:val="24"/>
        </w:rPr>
        <w:t> </w:t>
      </w:r>
      <w:r>
        <w:rPr>
          <w:b/>
          <w:i/>
          <w:sz w:val="24"/>
        </w:rPr>
        <w:t>vitro</w:t>
      </w:r>
    </w:p>
    <w:p>
      <w:pPr>
        <w:pStyle w:val="BodyText"/>
        <w:rPr>
          <w:b/>
          <w:i/>
          <w:sz w:val="24"/>
        </w:rPr>
      </w:pPr>
    </w:p>
    <w:p>
      <w:pPr>
        <w:pStyle w:val="BodyText"/>
        <w:spacing w:before="5"/>
        <w:rPr>
          <w:b/>
          <w:i/>
          <w:sz w:val="20"/>
        </w:rPr>
      </w:pPr>
    </w:p>
    <w:p>
      <w:pPr>
        <w:spacing w:line="480" w:lineRule="auto" w:before="0"/>
        <w:ind w:left="102" w:right="114" w:firstLine="0"/>
        <w:jc w:val="both"/>
        <w:rPr>
          <w:sz w:val="24"/>
        </w:rPr>
      </w:pPr>
      <w:r>
        <w:rPr>
          <w:sz w:val="24"/>
        </w:rPr>
        <w:t>Durante el día de inicio de la incubación, se utilizaron dos vacas Holstein (450 kg LW), fistulada de rumen y con una dieta alimenticia continua a base de alfalfa, concentrado comercial y agua a libre acceso, el líquido ruminal fue extraído a las 0800 h antes de ser alimentadas las vacas, y transportado en un termo al laboratorio donde fue filtrado usando </w:t>
      </w:r>
      <w:r>
        <w:rPr>
          <w:position w:val="2"/>
          <w:sz w:val="24"/>
        </w:rPr>
        <w:t>triple capa de gasa, manteniéndolo a una temperatura de 39°C y gaseado con CO</w:t>
      </w:r>
      <w:r>
        <w:rPr>
          <w:sz w:val="16"/>
        </w:rPr>
        <w:t>2</w:t>
      </w:r>
      <w:r>
        <w:rPr>
          <w:position w:val="2"/>
          <w:sz w:val="24"/>
        </w:rPr>
        <w:t>. </w:t>
      </w:r>
      <w:r>
        <w:rPr>
          <w:sz w:val="24"/>
        </w:rPr>
        <w:t>Manteniendo en agitación las soluciones (Menke y Steingas, 1988) (buffer, macronutrientes, micronutrientes, resarzurina, reductora y agua destilada), a una temperatura de 39°C, se les agrego el 10% de líquido ruminal y se continuó mezclándolas. Se pesaron 950 mg de MS de cada uno de los tratamientos y depositados en 48 frascos ámbar de 120 ml (considerando </w:t>
      </w:r>
      <w:r>
        <w:rPr>
          <w:spacing w:val="2"/>
          <w:sz w:val="24"/>
        </w:rPr>
        <w:t>los </w:t>
      </w:r>
      <w:r>
        <w:rPr>
          <w:sz w:val="24"/>
        </w:rPr>
        <w:t>16 tratamientos por triplicado), añadiéndoles 90 ml de la solución preparada, cerrándolos y  una vez agitados fueron colocados dentro de un baño de agua con temperatura controlada a 39°C. Posteriormente se determinó la presión (PSI) mediante el uso de un transductor de presión DELTA OHM HD2124.1, y se realizó la medición de producción de gas a las 3, 6, 9, 12, 24, 36, 48, 72 y 96 horas de incubación, Para su corrección se utilizaron cuatro frascos sin sustrato como blancos; además, de cuatro frascos con heno de cebada como estándar (Theodorou </w:t>
      </w:r>
      <w:r>
        <w:rPr>
          <w:i/>
          <w:sz w:val="24"/>
        </w:rPr>
        <w:t>et al</w:t>
      </w:r>
      <w:r>
        <w:rPr>
          <w:sz w:val="24"/>
        </w:rPr>
        <w:t>.,</w:t>
      </w:r>
      <w:r>
        <w:rPr>
          <w:spacing w:val="-5"/>
          <w:sz w:val="24"/>
        </w:rPr>
        <w:t> </w:t>
      </w:r>
      <w:r>
        <w:rPr>
          <w:sz w:val="24"/>
        </w:rPr>
        <w:t>1994).</w:t>
      </w:r>
    </w:p>
    <w:p>
      <w:pPr>
        <w:pStyle w:val="BodyText"/>
        <w:spacing w:before="2"/>
      </w:pPr>
    </w:p>
    <w:p>
      <w:pPr>
        <w:pStyle w:val="Heading1"/>
        <w:numPr>
          <w:ilvl w:val="2"/>
          <w:numId w:val="8"/>
        </w:numPr>
        <w:tabs>
          <w:tab w:pos="702" w:val="left" w:leader="none"/>
        </w:tabs>
        <w:spacing w:line="240" w:lineRule="auto" w:before="0" w:after="0"/>
        <w:ind w:left="702" w:right="0" w:hanging="600"/>
        <w:jc w:val="both"/>
      </w:pPr>
      <w:bookmarkStart w:name="_TOC_250003" w:id="16"/>
      <w:bookmarkEnd w:id="16"/>
      <w:r>
        <w:rPr/>
        <w:t>Calculos</w:t>
      </w:r>
    </w:p>
    <w:p>
      <w:pPr>
        <w:pStyle w:val="BodyText"/>
        <w:rPr>
          <w:b/>
          <w:sz w:val="24"/>
        </w:rPr>
      </w:pPr>
    </w:p>
    <w:p>
      <w:pPr>
        <w:pStyle w:val="BodyText"/>
        <w:spacing w:before="5"/>
        <w:rPr>
          <w:b/>
          <w:sz w:val="20"/>
        </w:rPr>
      </w:pPr>
    </w:p>
    <w:p>
      <w:pPr>
        <w:spacing w:line="480" w:lineRule="auto" w:before="0"/>
        <w:ind w:left="102" w:right="115" w:firstLine="0"/>
        <w:jc w:val="both"/>
        <w:rPr>
          <w:sz w:val="24"/>
        </w:rPr>
      </w:pPr>
      <w:r>
        <w:rPr>
          <w:sz w:val="24"/>
        </w:rPr>
        <w:t>Los parámetros cinéticos de PG se estimaron a través de un procedimiento interactivo de análisis de regresión no lineal (PROC NLIN, SAS Institute 2002) de acuerdo con Krishnamoorthy et al. (1991), calculado como:</w:t>
      </w:r>
    </w:p>
    <w:p>
      <w:pPr>
        <w:spacing w:after="0" w:line="480" w:lineRule="auto"/>
        <w:jc w:val="both"/>
        <w:rPr>
          <w:sz w:val="24"/>
        </w:rPr>
        <w:sectPr>
          <w:footerReference w:type="default" r:id="rId13"/>
          <w:pgSz w:w="12240" w:h="15840"/>
          <w:pgMar w:footer="1003" w:header="0" w:top="1500" w:bottom="1200" w:left="1600" w:right="1300"/>
        </w:sectPr>
      </w:pPr>
    </w:p>
    <w:p>
      <w:pPr>
        <w:tabs>
          <w:tab w:pos="8863" w:val="left" w:leader="none"/>
        </w:tabs>
        <w:spacing w:before="178"/>
        <w:ind w:left="102" w:right="0" w:firstLine="0"/>
        <w:jc w:val="both"/>
        <w:rPr>
          <w:sz w:val="24"/>
        </w:rPr>
      </w:pPr>
      <w:r>
        <w:rPr>
          <w:sz w:val="24"/>
        </w:rPr>
        <w:t>GP = b</w:t>
      </w:r>
      <w:r>
        <w:rPr>
          <w:spacing w:val="-3"/>
          <w:sz w:val="24"/>
        </w:rPr>
        <w:t> </w:t>
      </w:r>
      <w:r>
        <w:rPr>
          <w:sz w:val="24"/>
        </w:rPr>
        <w:t>(1-e</w:t>
      </w:r>
      <w:r>
        <w:rPr>
          <w:spacing w:val="-2"/>
          <w:sz w:val="24"/>
        </w:rPr>
        <w:t> </w:t>
      </w:r>
      <w:r>
        <w:rPr>
          <w:sz w:val="24"/>
        </w:rPr>
        <w:t>–c</w:t>
      </w:r>
      <w:r>
        <w:rPr>
          <w:position w:val="9"/>
          <w:sz w:val="16"/>
        </w:rPr>
        <w:t>(t-l)</w:t>
      </w:r>
      <w:r>
        <w:rPr>
          <w:sz w:val="24"/>
        </w:rPr>
        <w:t>)</w:t>
        <w:tab/>
        <w:t>(1)</w:t>
      </w:r>
    </w:p>
    <w:p>
      <w:pPr>
        <w:pStyle w:val="BodyText"/>
        <w:rPr>
          <w:sz w:val="26"/>
        </w:rPr>
      </w:pPr>
    </w:p>
    <w:p>
      <w:pPr>
        <w:spacing w:line="480" w:lineRule="auto" w:before="217"/>
        <w:ind w:left="102" w:right="19" w:firstLine="0"/>
        <w:jc w:val="left"/>
        <w:rPr>
          <w:sz w:val="24"/>
        </w:rPr>
      </w:pPr>
      <w:r>
        <w:rPr>
          <w:sz w:val="24"/>
        </w:rPr>
        <w:t>Donde PG es el volumen de PG en el tiempo t; b es la PG asintótica (ml/g MS); c es la velocidad de PG (g/h) y l (h) es el tiempo de retraso discreto antes de la producción de gas.</w:t>
      </w:r>
    </w:p>
    <w:p>
      <w:pPr>
        <w:pStyle w:val="BodyText"/>
        <w:spacing w:before="8"/>
        <w:rPr>
          <w:sz w:val="21"/>
        </w:rPr>
      </w:pPr>
    </w:p>
    <w:p>
      <w:pPr>
        <w:spacing w:line="480" w:lineRule="auto" w:before="0"/>
        <w:ind w:left="102" w:right="114" w:firstLine="0"/>
        <w:jc w:val="both"/>
        <w:rPr>
          <w:sz w:val="24"/>
        </w:rPr>
      </w:pPr>
      <w:r>
        <w:rPr>
          <w:sz w:val="24"/>
        </w:rPr>
        <w:t>Al final de la incubación fueron determinados la degradabilidad de la MS (DMS, mg) y la </w:t>
      </w:r>
      <w:r>
        <w:rPr>
          <w:position w:val="2"/>
          <w:sz w:val="24"/>
        </w:rPr>
        <w:t>degradabilidad de la MO (DMO, mg); el rendimiento de gas (GY</w:t>
      </w:r>
      <w:r>
        <w:rPr>
          <w:sz w:val="16"/>
        </w:rPr>
        <w:t>24</w:t>
      </w:r>
      <w:r>
        <w:rPr>
          <w:position w:val="2"/>
          <w:sz w:val="24"/>
        </w:rPr>
        <w:t>) se calculó como el </w:t>
      </w:r>
      <w:r>
        <w:rPr>
          <w:sz w:val="24"/>
        </w:rPr>
        <w:t>volumen de gas (mg gas/g MS) producido después de 24 h de incubación, dividido por la cantidad de DMS (g) como:</w:t>
      </w:r>
    </w:p>
    <w:p>
      <w:pPr>
        <w:pStyle w:val="BodyText"/>
        <w:spacing w:before="7"/>
        <w:rPr>
          <w:sz w:val="21"/>
        </w:rPr>
      </w:pPr>
    </w:p>
    <w:p>
      <w:pPr>
        <w:tabs>
          <w:tab w:pos="8599" w:val="left" w:leader="none"/>
        </w:tabs>
        <w:spacing w:before="1"/>
        <w:ind w:left="102" w:right="0" w:firstLine="0"/>
        <w:jc w:val="both"/>
        <w:rPr>
          <w:sz w:val="24"/>
        </w:rPr>
      </w:pPr>
      <w:r>
        <w:rPr>
          <w:position w:val="2"/>
          <w:sz w:val="24"/>
        </w:rPr>
        <w:t>La producción de gas (GY</w:t>
      </w:r>
      <w:r>
        <w:rPr>
          <w:sz w:val="16"/>
        </w:rPr>
        <w:t>24</w:t>
      </w:r>
      <w:r>
        <w:rPr>
          <w:position w:val="2"/>
          <w:sz w:val="24"/>
        </w:rPr>
        <w:t>) = ml de gas. g MS</w:t>
      </w:r>
      <w:r>
        <w:rPr>
          <w:sz w:val="16"/>
        </w:rPr>
        <w:t>24h  </w:t>
      </w:r>
      <w:r>
        <w:rPr>
          <w:position w:val="2"/>
          <w:sz w:val="24"/>
        </w:rPr>
        <w:t>/</w:t>
      </w:r>
      <w:r>
        <w:rPr>
          <w:spacing w:val="-28"/>
          <w:position w:val="2"/>
          <w:sz w:val="24"/>
        </w:rPr>
        <w:t> </w:t>
      </w:r>
      <w:r>
        <w:rPr>
          <w:position w:val="2"/>
          <w:sz w:val="24"/>
        </w:rPr>
        <w:t>g</w:t>
      </w:r>
      <w:r>
        <w:rPr>
          <w:spacing w:val="-3"/>
          <w:position w:val="2"/>
          <w:sz w:val="24"/>
        </w:rPr>
        <w:t> </w:t>
      </w:r>
      <w:r>
        <w:rPr>
          <w:position w:val="2"/>
          <w:sz w:val="24"/>
        </w:rPr>
        <w:t>DMS</w:t>
        <w:tab/>
        <w:t>(2)</w:t>
      </w:r>
    </w:p>
    <w:p>
      <w:pPr>
        <w:pStyle w:val="BodyText"/>
        <w:rPr>
          <w:sz w:val="24"/>
        </w:rPr>
      </w:pPr>
    </w:p>
    <w:p>
      <w:pPr>
        <w:pStyle w:val="BodyText"/>
        <w:spacing w:before="8"/>
        <w:rPr>
          <w:sz w:val="20"/>
        </w:rPr>
      </w:pPr>
    </w:p>
    <w:p>
      <w:pPr>
        <w:spacing w:before="0"/>
        <w:ind w:left="102" w:right="0" w:firstLine="0"/>
        <w:jc w:val="both"/>
        <w:rPr>
          <w:i/>
          <w:sz w:val="24"/>
        </w:rPr>
      </w:pPr>
      <w:r>
        <w:rPr>
          <w:sz w:val="24"/>
        </w:rPr>
        <w:t>La energía metabolizable (EM, Mj/ kg MS) se calculó de acuerdo a Fernández-Carmona </w:t>
      </w:r>
      <w:r>
        <w:rPr>
          <w:i/>
          <w:sz w:val="24"/>
        </w:rPr>
        <w:t>et  al.</w:t>
      </w:r>
    </w:p>
    <w:p>
      <w:pPr>
        <w:pStyle w:val="BodyText"/>
        <w:spacing w:before="4"/>
        <w:rPr>
          <w:i/>
          <w:sz w:val="27"/>
        </w:rPr>
      </w:pPr>
    </w:p>
    <w:p>
      <w:pPr>
        <w:tabs>
          <w:tab w:pos="8551" w:val="left" w:leader="none"/>
        </w:tabs>
        <w:spacing w:before="0"/>
        <w:ind w:left="102" w:right="0" w:firstLine="0"/>
        <w:jc w:val="both"/>
        <w:rPr>
          <w:sz w:val="24"/>
        </w:rPr>
      </w:pPr>
      <w:r>
        <w:rPr>
          <w:sz w:val="24"/>
        </w:rPr>
        <w:t>(2004) como: </w:t>
      </w:r>
      <w:r>
        <w:rPr>
          <w:rFonts w:ascii="Cambria Math" w:hAnsi="Cambria Math"/>
          <w:sz w:val="24"/>
        </w:rPr>
        <w:t>EM  =  15.3 –  0.19</w:t>
      </w:r>
      <w:r>
        <w:rPr>
          <w:rFonts w:ascii="Cambria Math" w:hAnsi="Cambria Math"/>
          <w:spacing w:val="10"/>
          <w:sz w:val="24"/>
        </w:rPr>
        <w:t> </w:t>
      </w:r>
      <w:r>
        <w:rPr>
          <w:rFonts w:ascii="Cambria Math" w:hAnsi="Cambria Math"/>
          <w:sz w:val="24"/>
        </w:rPr>
        <w:t>FDA</w:t>
      </w:r>
      <w:r>
        <w:rPr>
          <w:rFonts w:ascii="Cambria Math" w:hAnsi="Cambria Math"/>
          <w:spacing w:val="-1"/>
          <w:sz w:val="24"/>
        </w:rPr>
        <w:t> </w:t>
      </w:r>
      <w:r>
        <w:rPr>
          <w:rFonts w:ascii="Cambria Math" w:hAnsi="Cambria Math"/>
          <w:sz w:val="24"/>
        </w:rPr>
        <w:t>(%)</w:t>
        <w:tab/>
      </w:r>
      <w:r>
        <w:rPr>
          <w:sz w:val="24"/>
        </w:rPr>
        <w:t>(3)</w:t>
      </w:r>
    </w:p>
    <w:p>
      <w:pPr>
        <w:pStyle w:val="BodyText"/>
        <w:rPr>
          <w:sz w:val="24"/>
        </w:rPr>
      </w:pPr>
    </w:p>
    <w:p>
      <w:pPr>
        <w:pStyle w:val="BodyText"/>
        <w:spacing w:before="11"/>
        <w:rPr>
          <w:sz w:val="20"/>
        </w:rPr>
      </w:pPr>
    </w:p>
    <w:p>
      <w:pPr>
        <w:spacing w:line="480" w:lineRule="auto" w:before="0"/>
        <w:ind w:left="102" w:right="19" w:firstLine="0"/>
        <w:jc w:val="left"/>
        <w:rPr>
          <w:sz w:val="24"/>
        </w:rPr>
      </w:pPr>
      <w:r>
        <w:rPr>
          <w:sz w:val="24"/>
        </w:rPr>
        <w:t>La producción de gas relativa (PGR) se calculó como mililitros de gas por gramo de DMS </w:t>
      </w:r>
      <w:r>
        <w:rPr>
          <w:position w:val="2"/>
          <w:sz w:val="24"/>
        </w:rPr>
        <w:t>después de 48 horas de incubación (DMS</w:t>
      </w:r>
      <w:r>
        <w:rPr>
          <w:sz w:val="16"/>
        </w:rPr>
        <w:t>48h</w:t>
      </w:r>
      <w:r>
        <w:rPr>
          <w:position w:val="2"/>
          <w:sz w:val="24"/>
        </w:rPr>
        <w:t>):</w:t>
      </w:r>
    </w:p>
    <w:p>
      <w:pPr>
        <w:pStyle w:val="BodyText"/>
        <w:spacing w:before="7"/>
        <w:rPr>
          <w:sz w:val="21"/>
        </w:rPr>
      </w:pPr>
    </w:p>
    <w:p>
      <w:pPr>
        <w:tabs>
          <w:tab w:pos="8517" w:val="left" w:leader="none"/>
        </w:tabs>
        <w:spacing w:before="0"/>
        <w:ind w:left="162" w:right="0" w:firstLine="0"/>
        <w:jc w:val="both"/>
        <w:rPr>
          <w:sz w:val="24"/>
        </w:rPr>
      </w:pPr>
      <w:r>
        <w:rPr>
          <w:rFonts w:ascii="Cambria Math"/>
          <w:sz w:val="24"/>
        </w:rPr>
        <w:t>RGP  =  ml gas/</w:t>
      </w:r>
      <w:r>
        <w:rPr>
          <w:rFonts w:ascii="Cambria Math"/>
          <w:spacing w:val="35"/>
          <w:sz w:val="24"/>
        </w:rPr>
        <w:t> </w:t>
      </w:r>
      <w:r>
        <w:rPr>
          <w:rFonts w:ascii="Cambria Math"/>
          <w:sz w:val="24"/>
        </w:rPr>
        <w:t>g DMD</w:t>
      </w:r>
      <w:r>
        <w:rPr>
          <w:rFonts w:ascii="Cambria Math"/>
          <w:position w:val="-4"/>
          <w:sz w:val="17"/>
        </w:rPr>
        <w:t>48h</w:t>
        <w:tab/>
      </w:r>
      <w:r>
        <w:rPr>
          <w:sz w:val="24"/>
        </w:rPr>
        <w:t>(4)</w:t>
      </w:r>
    </w:p>
    <w:p>
      <w:pPr>
        <w:pStyle w:val="BodyText"/>
        <w:spacing w:before="11"/>
        <w:rPr>
          <w:sz w:val="41"/>
        </w:rPr>
      </w:pPr>
    </w:p>
    <w:p>
      <w:pPr>
        <w:spacing w:line="482" w:lineRule="auto" w:before="0"/>
        <w:ind w:left="102" w:right="19" w:firstLine="0"/>
        <w:jc w:val="left"/>
        <w:rPr>
          <w:rFonts w:ascii="Cambria Math" w:hAnsi="Cambria Math"/>
          <w:sz w:val="24"/>
        </w:rPr>
      </w:pPr>
      <w:r>
        <w:rPr>
          <w:sz w:val="24"/>
        </w:rPr>
        <w:t>La concentración de ácidos grasos de cadena corta (AGCC) fueron calculados de acuerdo a GETACHEW </w:t>
      </w:r>
      <w:r>
        <w:rPr>
          <w:i/>
          <w:sz w:val="24"/>
        </w:rPr>
        <w:t>et al</w:t>
      </w:r>
      <w:r>
        <w:rPr>
          <w:sz w:val="24"/>
        </w:rPr>
        <w:t>. (2002) como</w:t>
      </w:r>
      <w:r>
        <w:rPr>
          <w:rFonts w:ascii="Cambria Math" w:hAnsi="Cambria Math"/>
          <w:sz w:val="24"/>
        </w:rPr>
        <w:t>:</w:t>
      </w:r>
    </w:p>
    <w:p>
      <w:pPr>
        <w:pStyle w:val="BodyText"/>
        <w:spacing w:before="7"/>
        <w:rPr>
          <w:rFonts w:ascii="Cambria Math"/>
          <w:sz w:val="21"/>
        </w:rPr>
      </w:pPr>
    </w:p>
    <w:p>
      <w:pPr>
        <w:tabs>
          <w:tab w:pos="8503" w:val="left" w:leader="none"/>
        </w:tabs>
        <w:spacing w:before="0"/>
        <w:ind w:left="102" w:right="0" w:firstLine="0"/>
        <w:jc w:val="both"/>
        <w:rPr>
          <w:sz w:val="24"/>
        </w:rPr>
      </w:pPr>
      <w:r>
        <w:rPr>
          <w:rFonts w:ascii="Cambria Math" w:hAnsi="Cambria Math"/>
          <w:sz w:val="24"/>
        </w:rPr>
        <w:t>AGCC (mmol/200 mg MS)  =  0.0222 PG </w:t>
      </w:r>
      <w:r>
        <w:rPr>
          <w:rFonts w:ascii="Cambria Math" w:hAnsi="Cambria Math"/>
          <w:spacing w:val="22"/>
          <w:sz w:val="24"/>
        </w:rPr>
        <w:t> </w:t>
      </w:r>
      <w:r>
        <w:rPr>
          <w:rFonts w:ascii="Cambria Math" w:hAnsi="Cambria Math"/>
          <w:sz w:val="24"/>
        </w:rPr>
        <w:t>−</w:t>
      </w:r>
      <w:r>
        <w:rPr>
          <w:rFonts w:ascii="Cambria Math" w:hAnsi="Cambria Math"/>
          <w:spacing w:val="51"/>
          <w:sz w:val="24"/>
        </w:rPr>
        <w:t> </w:t>
      </w:r>
      <w:r>
        <w:rPr>
          <w:rFonts w:ascii="Cambria Math" w:hAnsi="Cambria Math"/>
          <w:sz w:val="24"/>
        </w:rPr>
        <w:t>0.00425</w:t>
        <w:tab/>
      </w:r>
      <w:r>
        <w:rPr>
          <w:sz w:val="24"/>
        </w:rPr>
        <w:t>(5)</w:t>
      </w:r>
    </w:p>
    <w:p>
      <w:pPr>
        <w:pStyle w:val="BodyText"/>
        <w:rPr>
          <w:sz w:val="24"/>
        </w:rPr>
      </w:pPr>
    </w:p>
    <w:p>
      <w:pPr>
        <w:pStyle w:val="BodyText"/>
        <w:spacing w:before="11"/>
        <w:rPr>
          <w:sz w:val="20"/>
        </w:rPr>
      </w:pPr>
    </w:p>
    <w:p>
      <w:pPr>
        <w:spacing w:before="0"/>
        <w:ind w:left="102" w:right="0" w:firstLine="0"/>
        <w:jc w:val="both"/>
        <w:rPr>
          <w:sz w:val="24"/>
        </w:rPr>
      </w:pPr>
      <w:r>
        <w:rPr>
          <w:sz w:val="24"/>
        </w:rPr>
        <w:t>Donde PG es la producción neta de gas a la 24 h (ml/200 mg DM).</w:t>
      </w:r>
    </w:p>
    <w:p>
      <w:pPr>
        <w:spacing w:after="0"/>
        <w:jc w:val="both"/>
        <w:rPr>
          <w:sz w:val="24"/>
        </w:rPr>
        <w:sectPr>
          <w:footerReference w:type="default" r:id="rId14"/>
          <w:pgSz w:w="12240" w:h="15840"/>
          <w:pgMar w:footer="943" w:header="0" w:top="1500" w:bottom="1140" w:left="1600" w:right="1300"/>
          <w:pgNumType w:start="21"/>
        </w:sectPr>
      </w:pPr>
    </w:p>
    <w:p>
      <w:pPr>
        <w:pStyle w:val="BodyText"/>
        <w:spacing w:before="9"/>
        <w:rPr>
          <w:sz w:val="10"/>
        </w:rPr>
      </w:pPr>
    </w:p>
    <w:p>
      <w:pPr>
        <w:tabs>
          <w:tab w:pos="8599" w:val="left" w:leader="none"/>
        </w:tabs>
        <w:spacing w:line="482" w:lineRule="auto" w:before="70"/>
        <w:ind w:left="102" w:right="113" w:firstLine="0"/>
        <w:jc w:val="both"/>
        <w:rPr>
          <w:sz w:val="24"/>
        </w:rPr>
      </w:pPr>
      <w:r>
        <w:rPr>
          <w:sz w:val="24"/>
        </w:rPr>
        <w:t>La producción de biomasa microbial fue calculada de acuerdo a BLUMMEL </w:t>
      </w:r>
      <w:r>
        <w:rPr>
          <w:i/>
          <w:sz w:val="24"/>
        </w:rPr>
        <w:t>et al. </w:t>
      </w:r>
      <w:r>
        <w:rPr>
          <w:sz w:val="24"/>
        </w:rPr>
        <w:t>(1997) como: </w:t>
      </w:r>
      <w:r>
        <w:rPr>
          <w:rFonts w:ascii="Cambria Math" w:hAnsi="Cambria Math"/>
          <w:sz w:val="24"/>
        </w:rPr>
        <w:t>MCP (mg/g MS)  =  mg DMS  −  (ml gas  × </w:t>
      </w:r>
      <w:r>
        <w:rPr>
          <w:rFonts w:ascii="Cambria Math" w:hAnsi="Cambria Math"/>
          <w:spacing w:val="19"/>
          <w:sz w:val="24"/>
        </w:rPr>
        <w:t> </w:t>
      </w:r>
      <w:r>
        <w:rPr>
          <w:rFonts w:ascii="Cambria Math" w:hAnsi="Cambria Math"/>
          <w:sz w:val="24"/>
        </w:rPr>
        <w:t>2.2</w:t>
      </w:r>
      <w:r>
        <w:rPr>
          <w:rFonts w:ascii="Cambria Math" w:hAnsi="Cambria Math"/>
          <w:spacing w:val="-2"/>
          <w:sz w:val="24"/>
        </w:rPr>
        <w:t> </w:t>
      </w:r>
      <w:r>
        <w:rPr>
          <w:rFonts w:ascii="Cambria Math" w:hAnsi="Cambria Math"/>
          <w:sz w:val="24"/>
        </w:rPr>
        <w:t>mg/ml)</w:t>
        <w:tab/>
      </w:r>
      <w:r>
        <w:rPr>
          <w:sz w:val="24"/>
        </w:rPr>
        <w:t>(6)</w:t>
      </w:r>
    </w:p>
    <w:p>
      <w:pPr>
        <w:pStyle w:val="BodyText"/>
        <w:spacing w:before="5"/>
        <w:rPr>
          <w:sz w:val="21"/>
        </w:rPr>
      </w:pPr>
    </w:p>
    <w:p>
      <w:pPr>
        <w:spacing w:line="480" w:lineRule="auto" w:before="0"/>
        <w:ind w:left="102" w:right="118" w:firstLine="0"/>
        <w:jc w:val="both"/>
        <w:rPr>
          <w:sz w:val="24"/>
        </w:rPr>
      </w:pPr>
      <w:r>
        <w:rPr>
          <w:sz w:val="24"/>
        </w:rPr>
        <w:t>Donde 2.2 mg/ml es un factor estequiométrico que expresa mg de C, H y O requeridos para la producción de AGCC asociado con la producción de 1 ml de gas.</w:t>
      </w:r>
    </w:p>
    <w:p>
      <w:pPr>
        <w:pStyle w:val="BodyText"/>
        <w:spacing w:before="2"/>
      </w:pPr>
    </w:p>
    <w:p>
      <w:pPr>
        <w:pStyle w:val="Heading1"/>
        <w:numPr>
          <w:ilvl w:val="2"/>
          <w:numId w:val="8"/>
        </w:numPr>
        <w:tabs>
          <w:tab w:pos="702" w:val="left" w:leader="none"/>
        </w:tabs>
        <w:spacing w:line="240" w:lineRule="auto" w:before="0" w:after="0"/>
        <w:ind w:left="702" w:right="0" w:hanging="600"/>
        <w:jc w:val="both"/>
      </w:pPr>
      <w:bookmarkStart w:name="_TOC_250002" w:id="17"/>
      <w:r>
        <w:rPr/>
        <w:t>Análisis</w:t>
      </w:r>
      <w:r>
        <w:rPr>
          <w:spacing w:val="-5"/>
        </w:rPr>
        <w:t> </w:t>
      </w:r>
      <w:bookmarkEnd w:id="17"/>
      <w:r>
        <w:rPr/>
        <w:t>estadístico</w:t>
      </w:r>
    </w:p>
    <w:p>
      <w:pPr>
        <w:pStyle w:val="BodyText"/>
        <w:rPr>
          <w:b/>
          <w:sz w:val="24"/>
        </w:rPr>
      </w:pPr>
    </w:p>
    <w:p>
      <w:pPr>
        <w:pStyle w:val="BodyText"/>
        <w:spacing w:before="5"/>
        <w:rPr>
          <w:b/>
          <w:sz w:val="20"/>
        </w:rPr>
      </w:pPr>
    </w:p>
    <w:p>
      <w:pPr>
        <w:spacing w:line="480" w:lineRule="auto" w:before="1"/>
        <w:ind w:left="102" w:right="112" w:firstLine="0"/>
        <w:jc w:val="both"/>
        <w:rPr>
          <w:sz w:val="24"/>
        </w:rPr>
      </w:pPr>
      <w:r>
        <w:rPr>
          <w:sz w:val="24"/>
        </w:rPr>
        <w:t>El experimento tuvo un diseño completamente aleatorizado con arreglo factorial 4 x 3 (Steel </w:t>
      </w:r>
      <w:r>
        <w:rPr>
          <w:i/>
          <w:sz w:val="24"/>
        </w:rPr>
        <w:t>et </w:t>
      </w:r>
      <w:r>
        <w:rPr>
          <w:i/>
          <w:sz w:val="24"/>
        </w:rPr>
        <w:t>al</w:t>
      </w:r>
      <w:r>
        <w:rPr>
          <w:sz w:val="24"/>
        </w:rPr>
        <w:t>., 1997), en donde los tratamientos fueron las variedades de maíz (V)(n=4) y los aditivos (control, xilanasa, celulasa y Aguamiel de maguey) (A)(n=4), con tres repeticiones. Los datos se analizaron con mediciones repetidas en el tiempo, usando procedimiento estadístico (SAS, 2002). El modelo estadístico fue:</w:t>
      </w:r>
    </w:p>
    <w:p>
      <w:pPr>
        <w:pStyle w:val="BodyText"/>
        <w:spacing w:before="8"/>
        <w:rPr>
          <w:sz w:val="21"/>
        </w:rPr>
      </w:pPr>
    </w:p>
    <w:p>
      <w:pPr>
        <w:tabs>
          <w:tab w:pos="8534" w:val="left" w:leader="none"/>
        </w:tabs>
        <w:spacing w:before="0"/>
        <w:ind w:left="102" w:right="0" w:firstLine="0"/>
        <w:jc w:val="both"/>
        <w:rPr>
          <w:sz w:val="24"/>
        </w:rPr>
      </w:pPr>
      <w:r>
        <w:rPr>
          <w:position w:val="2"/>
          <w:sz w:val="24"/>
        </w:rPr>
        <w:t>Y</w:t>
      </w:r>
      <w:r>
        <w:rPr>
          <w:sz w:val="16"/>
        </w:rPr>
        <w:t>ijk  </w:t>
      </w:r>
      <w:r>
        <w:rPr>
          <w:position w:val="2"/>
          <w:sz w:val="24"/>
        </w:rPr>
        <w:t>= µ + V</w:t>
      </w:r>
      <w:r>
        <w:rPr>
          <w:sz w:val="16"/>
        </w:rPr>
        <w:t>i </w:t>
      </w:r>
      <w:r>
        <w:rPr>
          <w:position w:val="2"/>
          <w:sz w:val="24"/>
        </w:rPr>
        <w:t>+ A</w:t>
      </w:r>
      <w:r>
        <w:rPr>
          <w:sz w:val="16"/>
        </w:rPr>
        <w:t>j </w:t>
      </w:r>
      <w:r>
        <w:rPr>
          <w:position w:val="2"/>
          <w:sz w:val="24"/>
        </w:rPr>
        <w:t>+ (V*A)</w:t>
      </w:r>
      <w:r>
        <w:rPr>
          <w:sz w:val="16"/>
        </w:rPr>
        <w:t>ij</w:t>
      </w:r>
      <w:r>
        <w:rPr>
          <w:spacing w:val="32"/>
          <w:sz w:val="16"/>
        </w:rPr>
        <w:t> </w:t>
      </w:r>
      <w:r>
        <w:rPr>
          <w:position w:val="2"/>
          <w:sz w:val="24"/>
        </w:rPr>
        <w:t>+</w:t>
      </w:r>
      <w:r>
        <w:rPr>
          <w:spacing w:val="-2"/>
          <w:position w:val="2"/>
          <w:sz w:val="24"/>
        </w:rPr>
        <w:t> </w:t>
      </w:r>
      <w:r>
        <w:rPr>
          <w:position w:val="2"/>
          <w:sz w:val="24"/>
        </w:rPr>
        <w:t>E</w:t>
      </w:r>
      <w:r>
        <w:rPr>
          <w:sz w:val="16"/>
        </w:rPr>
        <w:t>ijk</w:t>
        <w:tab/>
      </w:r>
      <w:r>
        <w:rPr>
          <w:position w:val="2"/>
          <w:sz w:val="24"/>
        </w:rPr>
        <w:t>(7)</w:t>
      </w:r>
    </w:p>
    <w:p>
      <w:pPr>
        <w:pStyle w:val="BodyText"/>
        <w:rPr>
          <w:sz w:val="24"/>
        </w:rPr>
      </w:pPr>
    </w:p>
    <w:p>
      <w:pPr>
        <w:pStyle w:val="BodyText"/>
        <w:spacing w:before="7"/>
        <w:rPr>
          <w:sz w:val="20"/>
        </w:rPr>
      </w:pPr>
    </w:p>
    <w:p>
      <w:pPr>
        <w:spacing w:line="477" w:lineRule="auto" w:before="0"/>
        <w:ind w:left="102" w:right="114" w:firstLine="0"/>
        <w:jc w:val="both"/>
        <w:rPr>
          <w:sz w:val="24"/>
        </w:rPr>
      </w:pPr>
      <w:r>
        <w:rPr>
          <w:position w:val="2"/>
          <w:sz w:val="24"/>
        </w:rPr>
        <w:t>Donde Y</w:t>
      </w:r>
      <w:r>
        <w:rPr>
          <w:sz w:val="16"/>
        </w:rPr>
        <w:t>ijk </w:t>
      </w:r>
      <w:r>
        <w:rPr>
          <w:position w:val="2"/>
          <w:sz w:val="24"/>
        </w:rPr>
        <w:t>= variable respuesta de los ensilados tratados con la xilanasa, celulasa y Aguamiel de maguey; µ = media general; V</w:t>
      </w:r>
      <w:r>
        <w:rPr>
          <w:sz w:val="16"/>
        </w:rPr>
        <w:t>i </w:t>
      </w:r>
      <w:r>
        <w:rPr>
          <w:position w:val="2"/>
          <w:sz w:val="24"/>
        </w:rPr>
        <w:t>= efecto de la i-esima variedad (i=1-4); A</w:t>
      </w:r>
      <w:r>
        <w:rPr>
          <w:sz w:val="16"/>
        </w:rPr>
        <w:t>j </w:t>
      </w:r>
      <w:r>
        <w:rPr>
          <w:position w:val="2"/>
          <w:sz w:val="24"/>
        </w:rPr>
        <w:t>= efecto del j- esimo aditivo (j=1-4); (V*A)</w:t>
      </w:r>
      <w:r>
        <w:rPr>
          <w:sz w:val="16"/>
        </w:rPr>
        <w:t>ij </w:t>
      </w:r>
      <w:r>
        <w:rPr>
          <w:position w:val="2"/>
          <w:sz w:val="24"/>
        </w:rPr>
        <w:t>= efecto de la interacción entre la i-esima variedad y el j-esimo aditivo; E</w:t>
      </w:r>
      <w:r>
        <w:rPr>
          <w:sz w:val="16"/>
        </w:rPr>
        <w:t>ijk</w:t>
      </w:r>
      <w:r>
        <w:rPr>
          <w:position w:val="2"/>
          <w:sz w:val="24"/>
        </w:rPr>
        <w:t>=error experimental de la i-esima variedad, j-esimo aditivo y k-esima repetición. </w:t>
      </w:r>
      <w:r>
        <w:rPr>
          <w:sz w:val="24"/>
        </w:rPr>
        <w:t>Las medias se compararon mediante la prueba de Tukey a una probabilidad menor igual al 1%.</w:t>
      </w:r>
    </w:p>
    <w:p>
      <w:pPr>
        <w:spacing w:after="0" w:line="477" w:lineRule="auto"/>
        <w:jc w:val="both"/>
        <w:rPr>
          <w:sz w:val="24"/>
        </w:rPr>
        <w:sectPr>
          <w:pgSz w:w="12240" w:h="15840"/>
          <w:pgMar w:header="0" w:footer="943" w:top="1500" w:bottom="120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ListParagraph"/>
        <w:numPr>
          <w:ilvl w:val="1"/>
          <w:numId w:val="1"/>
        </w:numPr>
        <w:tabs>
          <w:tab w:pos="1003" w:val="left" w:leader="none"/>
        </w:tabs>
        <w:spacing w:line="240" w:lineRule="auto" w:before="28" w:after="0"/>
        <w:ind w:left="1002" w:right="0" w:hanging="900"/>
        <w:jc w:val="left"/>
        <w:rPr>
          <w:b/>
          <w:sz w:val="56"/>
        </w:rPr>
      </w:pPr>
      <w:r>
        <w:rPr>
          <w:b/>
          <w:sz w:val="56"/>
        </w:rPr>
        <w:t>RESULTADOS Y</w:t>
      </w:r>
      <w:r>
        <w:rPr>
          <w:b/>
          <w:spacing w:val="-7"/>
          <w:sz w:val="56"/>
        </w:rPr>
        <w:t> </w:t>
      </w:r>
      <w:r>
        <w:rPr>
          <w:b/>
          <w:sz w:val="56"/>
        </w:rPr>
        <w:t>DISCUSIÓN</w:t>
      </w:r>
    </w:p>
    <w:p>
      <w:pPr>
        <w:spacing w:after="0" w:line="240" w:lineRule="auto"/>
        <w:jc w:val="left"/>
        <w:rPr>
          <w:sz w:val="56"/>
        </w:rPr>
        <w:sectPr>
          <w:pgSz w:w="12240" w:h="15840"/>
          <w:pgMar w:header="0" w:footer="943" w:top="1500" w:bottom="1200" w:left="1600" w:right="1300"/>
        </w:sectPr>
      </w:pPr>
    </w:p>
    <w:p>
      <w:pPr>
        <w:pStyle w:val="BodyText"/>
        <w:spacing w:before="3"/>
        <w:rPr>
          <w:sz w:val="16"/>
        </w:rPr>
      </w:pPr>
    </w:p>
    <w:p>
      <w:pPr>
        <w:pStyle w:val="BodyText"/>
        <w:ind w:left="107"/>
        <w:rPr>
          <w:sz w:val="20"/>
        </w:rPr>
      </w:pPr>
      <w:r>
        <w:rPr>
          <w:sz w:val="20"/>
        </w:rPr>
        <w:drawing>
          <wp:inline distT="0" distB="0" distL="0" distR="0">
            <wp:extent cx="5500095" cy="756075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5" cstate="print"/>
                    <a:stretch>
                      <a:fillRect/>
                    </a:stretch>
                  </pic:blipFill>
                  <pic:spPr>
                    <a:xfrm>
                      <a:off x="0" y="0"/>
                      <a:ext cx="5500095" cy="7560754"/>
                    </a:xfrm>
                    <a:prstGeom prst="rect">
                      <a:avLst/>
                    </a:prstGeom>
                  </pic:spPr>
                </pic:pic>
              </a:graphicData>
            </a:graphic>
          </wp:inline>
        </w:drawing>
      </w:r>
      <w:r>
        <w:rPr>
          <w:sz w:val="20"/>
        </w:rPr>
      </w:r>
    </w:p>
    <w:p>
      <w:pPr>
        <w:spacing w:after="0"/>
        <w:rPr>
          <w:sz w:val="20"/>
        </w:rPr>
        <w:sectPr>
          <w:pgSz w:w="12240" w:h="15840"/>
          <w:pgMar w:header="0" w:footer="943" w:top="1500" w:bottom="1140" w:left="1580" w:right="1300"/>
        </w:sectPr>
      </w:pPr>
    </w:p>
    <w:p>
      <w:pPr>
        <w:pStyle w:val="BodyText"/>
        <w:spacing w:before="5"/>
        <w:rPr>
          <w:sz w:val="11"/>
        </w:rPr>
      </w:pPr>
    </w:p>
    <w:p>
      <w:pPr>
        <w:pStyle w:val="Heading1"/>
        <w:spacing w:before="69"/>
        <w:ind w:left="102"/>
      </w:pPr>
      <w:r>
        <w:rPr/>
        <w:t>Artículo 1:</w:t>
      </w:r>
    </w:p>
    <w:p>
      <w:pPr>
        <w:pStyle w:val="BodyText"/>
        <w:spacing w:before="9"/>
        <w:rPr>
          <w:b/>
          <w:sz w:val="25"/>
        </w:rPr>
      </w:pPr>
    </w:p>
    <w:p>
      <w:pPr>
        <w:pStyle w:val="Heading2"/>
        <w:spacing w:line="480" w:lineRule="auto" w:before="0"/>
        <w:ind w:left="245" w:right="257"/>
        <w:jc w:val="center"/>
      </w:pPr>
      <w:r>
        <w:rPr/>
        <w:t>CARACTERIZACIÓN FENOTÍPICA DE HÍBRIDOS Y VARIEDADES DE MAÍZ FORRAJERO EN VALLES ALTOS DEL ESTADO DE MÉXICO, MÉXICO</w:t>
      </w:r>
    </w:p>
    <w:p>
      <w:pPr>
        <w:spacing w:line="480" w:lineRule="auto" w:before="168"/>
        <w:ind w:left="246" w:right="257" w:firstLine="0"/>
        <w:jc w:val="center"/>
        <w:rPr>
          <w:b/>
          <w:sz w:val="22"/>
        </w:rPr>
      </w:pPr>
      <w:r>
        <w:rPr>
          <w:b/>
          <w:sz w:val="22"/>
        </w:rPr>
        <w:t>PHENOTIPIC CHARACTERIZATION OF FORAGE MAIZE HYBRIDS AND VARIETIES AT MEXICO STATE HIGHLANDS, MEXICO</w:t>
      </w:r>
    </w:p>
    <w:p>
      <w:pPr>
        <w:spacing w:line="475" w:lineRule="auto" w:before="163"/>
        <w:ind w:left="102" w:right="790" w:firstLine="0"/>
        <w:jc w:val="left"/>
        <w:rPr>
          <w:b/>
          <w:sz w:val="14"/>
        </w:rPr>
      </w:pPr>
      <w:r>
        <w:rPr>
          <w:b/>
          <w:sz w:val="22"/>
        </w:rPr>
        <w:t>José Ramón Pascual Franco Martínez</w:t>
      </w:r>
      <w:r>
        <w:rPr>
          <w:b/>
          <w:position w:val="8"/>
          <w:sz w:val="14"/>
        </w:rPr>
        <w:t>1</w:t>
      </w:r>
      <w:r>
        <w:rPr>
          <w:b/>
          <w:sz w:val="22"/>
        </w:rPr>
        <w:t>, Andrés González Huerta</w:t>
      </w:r>
      <w:r>
        <w:rPr>
          <w:b/>
          <w:position w:val="8"/>
          <w:sz w:val="14"/>
        </w:rPr>
        <w:t>2§</w:t>
      </w:r>
      <w:r>
        <w:rPr>
          <w:b/>
          <w:sz w:val="22"/>
        </w:rPr>
        <w:t>, Delfina de Jesús Pérez López</w:t>
      </w:r>
      <w:r>
        <w:rPr>
          <w:b/>
          <w:position w:val="8"/>
          <w:sz w:val="14"/>
        </w:rPr>
        <w:t>2  </w:t>
      </w:r>
      <w:r>
        <w:rPr>
          <w:b/>
          <w:sz w:val="22"/>
        </w:rPr>
        <w:t>y Manuel González Ronquillo</w:t>
      </w:r>
      <w:r>
        <w:rPr>
          <w:b/>
          <w:position w:val="8"/>
          <w:sz w:val="14"/>
        </w:rPr>
        <w:t>3</w:t>
      </w:r>
    </w:p>
    <w:p>
      <w:pPr>
        <w:pStyle w:val="BodyText"/>
        <w:spacing w:line="477" w:lineRule="auto" w:before="157"/>
        <w:ind w:left="102" w:right="113"/>
        <w:jc w:val="both"/>
      </w:pPr>
      <w:r>
        <w:rPr>
          <w:position w:val="8"/>
          <w:sz w:val="14"/>
        </w:rPr>
        <w:t>1 </w:t>
      </w:r>
      <w:r>
        <w:rPr/>
        <w:t>Programa de Maestría y Doctorado en Ciencias Agropecuarias y Recursos Naturales, Facultad de Ciencias Agrícolas (FCAgri), Universidad Autónoma del Estado de México (UAEMéx), Campus Universitario “El Cerrillo”. El Cerrillo Piedras Blancas, Municipio de Toluca, Estado de México, México (CPB-TEM).Tel. 01(722) 2965574. </w:t>
      </w:r>
      <w:r>
        <w:rPr>
          <w:position w:val="8"/>
          <w:sz w:val="14"/>
        </w:rPr>
        <w:t>2 </w:t>
      </w:r>
      <w:r>
        <w:rPr/>
        <w:t>Centro de Investigación y Estudios Avanzados en Fitomejoramiento, FCAgri, UAEMéx, CPB-TEM. Apartado Postal 435. Tel. y/o Fax: 01(722) 2965519. Ext. 148.</w:t>
      </w:r>
      <w:r>
        <w:rPr>
          <w:position w:val="8"/>
          <w:sz w:val="14"/>
        </w:rPr>
        <w:t>3 </w:t>
      </w:r>
      <w:r>
        <w:rPr/>
        <w:t>Facultad de Medicina Veterinaria y Zootecnia, UAEMéx. CPB-TEM. Tel. 01(722) 3966032    (</w:t>
      </w:r>
      <w:hyperlink r:id="rId16">
        <w:r>
          <w:rPr>
            <w:u w:val="single"/>
          </w:rPr>
          <w:t>jrfrancom@uaemex.mx</w:t>
        </w:r>
      </w:hyperlink>
      <w:r>
        <w:rPr/>
        <w:t>;    </w:t>
      </w:r>
      <w:hyperlink r:id="rId17">
        <w:r>
          <w:rPr>
            <w:u w:val="single"/>
          </w:rPr>
          <w:t>djperezl@uaemex.mx</w:t>
        </w:r>
      </w:hyperlink>
      <w:r>
        <w:rPr/>
        <w:t>;    </w:t>
      </w:r>
      <w:hyperlink r:id="rId18">
        <w:r>
          <w:rPr>
            <w:u w:val="single"/>
          </w:rPr>
          <w:t>mrg@uaemex.mx</w:t>
        </w:r>
      </w:hyperlink>
      <w:r>
        <w:rPr/>
        <w:t>).       §   Autor  </w:t>
      </w:r>
      <w:r>
        <w:rPr>
          <w:spacing w:val="32"/>
        </w:rPr>
        <w:t> </w:t>
      </w:r>
      <w:r>
        <w:rPr/>
        <w:t>para</w:t>
      </w:r>
    </w:p>
    <w:p>
      <w:pPr>
        <w:pStyle w:val="BodyText"/>
        <w:spacing w:before="12"/>
        <w:ind w:left="102"/>
        <w:jc w:val="both"/>
      </w:pPr>
      <w:r>
        <w:rPr/>
        <w:t>correspondencia: </w:t>
      </w:r>
      <w:hyperlink r:id="rId19">
        <w:r>
          <w:rPr/>
          <w:t>agonzalezh@uaemex.mx.</w:t>
        </w:r>
      </w:hyperlink>
    </w:p>
    <w:p>
      <w:pPr>
        <w:pStyle w:val="BodyText"/>
      </w:pPr>
    </w:p>
    <w:p>
      <w:pPr>
        <w:pStyle w:val="Heading2"/>
        <w:spacing w:before="163"/>
      </w:pPr>
      <w:r>
        <w:rPr/>
        <w:t>RESUMEN</w:t>
      </w:r>
    </w:p>
    <w:p>
      <w:pPr>
        <w:pStyle w:val="BodyText"/>
        <w:rPr>
          <w:b/>
        </w:rPr>
      </w:pPr>
    </w:p>
    <w:p>
      <w:pPr>
        <w:pStyle w:val="BodyText"/>
        <w:spacing w:line="480" w:lineRule="auto" w:before="154"/>
        <w:ind w:left="102" w:right="112"/>
        <w:jc w:val="both"/>
      </w:pPr>
      <w:r>
        <w:rPr/>
        <w:t>En México, la aplicación de la selección y hibridación han generado maíces de mayor producción de grano y los criollos se usan con doble propósito pero existe escasa información sobre su potencial para desarrollar materia verde y/o seca. Este estudio se hizo en 2013 para identificar cultivares forrajeros sobresalientes para el Valle Toluca-Atlacomulco, México. 29 cultivares fueron evaluados en campo bajo un diseño experimental de bloques completos al azar con tres repeticiones por sitio. El análisis de los datos a través de las cuatro localidades se hizo como una serie de experimentos en espacio. Los resultados más importantes mostraron que las mejores localidades para la evaluación del material</w:t>
      </w:r>
    </w:p>
    <w:p>
      <w:pPr>
        <w:spacing w:after="0" w:line="480" w:lineRule="auto"/>
        <w:jc w:val="both"/>
        <w:sectPr>
          <w:pgSz w:w="12240" w:h="15840"/>
          <w:pgMar w:header="0" w:footer="943" w:top="1500" w:bottom="1140" w:left="1600" w:right="1300"/>
        </w:sectPr>
      </w:pPr>
    </w:p>
    <w:p>
      <w:pPr>
        <w:pStyle w:val="BodyText"/>
        <w:spacing w:before="8"/>
        <w:rPr>
          <w:sz w:val="10"/>
        </w:rPr>
      </w:pPr>
    </w:p>
    <w:p>
      <w:pPr>
        <w:pStyle w:val="BodyText"/>
        <w:spacing w:line="480" w:lineRule="auto" w:before="73"/>
        <w:ind w:left="102" w:right="113"/>
        <w:jc w:val="both"/>
      </w:pPr>
      <w:r>
        <w:rPr/>
        <w:t>genético fueron Metepec y Tiacaque. Los cultivares Victoria, H-159 y SBA-470 constituyeron la fracción superior de los programas de hibridación obtenidos a partir de metodologías convencionales y los Amarillos Allende, San Cayetano y Portes Gil, Cacahuacintles Tlacotepec y San Cristóbal y Blancos Tlacotepec y San Diego representan la obra artística y cultural de los agricultores mexiquenses que, por medio de selección masal visual aplicada a las dimensiones de la mazorca y de la planta, han incrementado el potencial productivo de grano y/o forraje. Las mayores producciones en forraje verde  y seco que se obtuvieron en el material genético más sobresaliente se explican por aumentos significativos en número de hojas por planta, floración masculina, altura de planta, y producciones de materia verde y seca de elote, tallos y hojas. Los cultivares más sobresalientes podrían emplearse para derivar líneas endogámicas y formar nuevas variedades y híbridos forrajeros o destinarse a  un programa de aplicación, validación o generación de tecnología</w:t>
      </w:r>
      <w:r>
        <w:rPr>
          <w:spacing w:val="-22"/>
        </w:rPr>
        <w:t> </w:t>
      </w:r>
      <w:r>
        <w:rPr/>
        <w:t>agropecuaria.</w:t>
      </w:r>
    </w:p>
    <w:p>
      <w:pPr>
        <w:pStyle w:val="BodyText"/>
        <w:spacing w:line="480" w:lineRule="auto" w:before="168"/>
        <w:ind w:left="102" w:right="119"/>
        <w:jc w:val="both"/>
      </w:pPr>
      <w:r>
        <w:rPr>
          <w:b/>
        </w:rPr>
        <w:t>Palabras clave: </w:t>
      </w:r>
      <w:r>
        <w:rPr>
          <w:i/>
        </w:rPr>
        <w:t>Zea mays</w:t>
      </w:r>
      <w:r>
        <w:rPr/>
        <w:t>, maíces forrajeros sobresalientes, razas de Valles Altos del Centro de México, análisis multivariados.</w:t>
      </w:r>
    </w:p>
    <w:p>
      <w:pPr>
        <w:pStyle w:val="Heading2"/>
        <w:spacing w:before="175"/>
      </w:pPr>
      <w:r>
        <w:rPr/>
        <w:t>ABSTRACT</w:t>
      </w:r>
    </w:p>
    <w:p>
      <w:pPr>
        <w:pStyle w:val="BodyText"/>
        <w:rPr>
          <w:b/>
        </w:rPr>
      </w:pPr>
    </w:p>
    <w:p>
      <w:pPr>
        <w:pStyle w:val="BodyText"/>
        <w:spacing w:line="480" w:lineRule="auto" w:before="154"/>
        <w:ind w:left="102" w:right="110"/>
        <w:jc w:val="both"/>
      </w:pPr>
      <w:r>
        <w:rPr/>
        <w:t>In Mexico the application of the selection and hybridization technics was generated higher grain production and creoles were used with double purpose but there is a little information about its potential to develop green and dry matter. This study was conducted in 2013 to identify outstanding forage cultivars in the Toluca-Atlacomulco Valley, Mexico. 29 cultivars were evaluated in field conditions under an experimental design of randomized complete block with three replicates per site. The analysis of data through the four towns was done as a series of experiments in space. The most important results shown the best sites for genetic material evaluation were Metepec and Tiacaque. The Victoria, H-159 and SBA-470 cultivars were the top fraction of hybridization programs obtained from conventional methodologies and Allende, San Cayetano, and Portes Gil (Yellow maize), Tlacotepec and San Cristobal Cacahuacintles and San Diego and Tlacotepec  (White maize)  represent the  </w:t>
      </w:r>
      <w:r>
        <w:rPr>
          <w:spacing w:val="15"/>
        </w:rPr>
        <w:t> </w:t>
      </w:r>
      <w:r>
        <w:rPr/>
        <w:t>artistic</w:t>
      </w:r>
    </w:p>
    <w:p>
      <w:pPr>
        <w:spacing w:after="0" w:line="480" w:lineRule="auto"/>
        <w:jc w:val="both"/>
        <w:sectPr>
          <w:pgSz w:w="12240" w:h="15840"/>
          <w:pgMar w:header="0" w:footer="943" w:top="1500" w:bottom="1200" w:left="1600" w:right="1300"/>
        </w:sectPr>
      </w:pPr>
    </w:p>
    <w:p>
      <w:pPr>
        <w:pStyle w:val="BodyText"/>
        <w:spacing w:before="8"/>
        <w:rPr>
          <w:sz w:val="10"/>
        </w:rPr>
      </w:pPr>
    </w:p>
    <w:p>
      <w:pPr>
        <w:pStyle w:val="BodyText"/>
        <w:spacing w:line="480" w:lineRule="auto" w:before="73"/>
        <w:ind w:left="102" w:right="112"/>
        <w:jc w:val="both"/>
      </w:pPr>
      <w:r>
        <w:rPr/>
        <w:t>and cultural work of mexiquense farmers who, by means of visual mass selection applied to the dimensions of the ear and plant, have increased the production potential in grain and forage maize. The most outstanding cultivars could be used to derive new inbred lines to obtain other forage varieties and hybrids or allocated them to an application, validation or generation technology programs.</w:t>
      </w:r>
    </w:p>
    <w:p>
      <w:pPr>
        <w:pStyle w:val="BodyText"/>
        <w:spacing w:line="477" w:lineRule="auto" w:before="170"/>
        <w:ind w:left="102" w:right="120"/>
        <w:jc w:val="both"/>
      </w:pPr>
      <w:r>
        <w:rPr>
          <w:b/>
        </w:rPr>
        <w:t>Keywords: </w:t>
      </w:r>
      <w:r>
        <w:rPr>
          <w:i/>
        </w:rPr>
        <w:t>Zea mays</w:t>
      </w:r>
      <w:r>
        <w:rPr/>
        <w:t>, outstanding forage maize, races of Central Highland’ Mexico, multivariate analysis.</w:t>
      </w:r>
    </w:p>
    <w:p>
      <w:pPr>
        <w:pStyle w:val="Heading2"/>
        <w:spacing w:before="178"/>
      </w:pPr>
      <w:r>
        <w:rPr/>
        <w:t>INTRODUCCIÓN</w:t>
      </w:r>
    </w:p>
    <w:p>
      <w:pPr>
        <w:pStyle w:val="BodyText"/>
        <w:rPr>
          <w:b/>
        </w:rPr>
      </w:pPr>
    </w:p>
    <w:p>
      <w:pPr>
        <w:pStyle w:val="BodyText"/>
        <w:spacing w:line="480" w:lineRule="auto" w:before="154"/>
        <w:ind w:left="102" w:right="114"/>
        <w:jc w:val="both"/>
      </w:pPr>
      <w:r>
        <w:rPr/>
        <w:t>En América Latina los maíces (</w:t>
      </w:r>
      <w:r>
        <w:rPr>
          <w:i/>
        </w:rPr>
        <w:t>Zea mays </w:t>
      </w:r>
      <w:r>
        <w:rPr/>
        <w:t>L.) de granos blancos y amarillos se usan principalmente en la elaboración de tortillas y en la alimentación animal. El maíz forrajero es la principal fuente en el centro de México (Antolín </w:t>
      </w:r>
      <w:r>
        <w:rPr>
          <w:i/>
        </w:rPr>
        <w:t>et al</w:t>
      </w:r>
      <w:r>
        <w:rPr/>
        <w:t>., 2009), y su ensilado es el más utilizado en las principales cuencas lecheras por su alto valor energético y elevada producción de materia verde y/o seca (MV y/o MS), lo cual incrementa las ganancias por su explotación (Peña </w:t>
      </w:r>
      <w:r>
        <w:rPr>
          <w:i/>
        </w:rPr>
        <w:t>et al</w:t>
      </w:r>
      <w:r>
        <w:rPr/>
        <w:t>., 2010). En México se siembran con maíz forrajero</w:t>
      </w:r>
      <w:r>
        <w:rPr>
          <w:spacing w:val="11"/>
        </w:rPr>
        <w:t> </w:t>
      </w:r>
      <w:r>
        <w:rPr/>
        <w:t>137</w:t>
      </w:r>
      <w:r>
        <w:rPr>
          <w:spacing w:val="14"/>
        </w:rPr>
        <w:t> </w:t>
      </w:r>
      <w:r>
        <w:rPr/>
        <w:t>432</w:t>
      </w:r>
      <w:r>
        <w:rPr>
          <w:spacing w:val="11"/>
        </w:rPr>
        <w:t> </w:t>
      </w:r>
      <w:r>
        <w:rPr/>
        <w:t>ha</w:t>
      </w:r>
      <w:r>
        <w:rPr>
          <w:spacing w:val="14"/>
        </w:rPr>
        <w:t> </w:t>
      </w:r>
      <w:r>
        <w:rPr/>
        <w:t>en</w:t>
      </w:r>
      <w:r>
        <w:rPr>
          <w:spacing w:val="12"/>
        </w:rPr>
        <w:t> </w:t>
      </w:r>
      <w:r>
        <w:rPr/>
        <w:t>riego</w:t>
      </w:r>
      <w:r>
        <w:rPr>
          <w:spacing w:val="14"/>
        </w:rPr>
        <w:t> </w:t>
      </w:r>
      <w:r>
        <w:rPr/>
        <w:t>y</w:t>
      </w:r>
      <w:r>
        <w:rPr>
          <w:spacing w:val="11"/>
        </w:rPr>
        <w:t> </w:t>
      </w:r>
      <w:r>
        <w:rPr/>
        <w:t>440</w:t>
      </w:r>
      <w:r>
        <w:rPr>
          <w:spacing w:val="14"/>
        </w:rPr>
        <w:t> </w:t>
      </w:r>
      <w:r>
        <w:rPr/>
        <w:t>382</w:t>
      </w:r>
      <w:r>
        <w:rPr>
          <w:spacing w:val="14"/>
        </w:rPr>
        <w:t> </w:t>
      </w:r>
      <w:r>
        <w:rPr/>
        <w:t>ha</w:t>
      </w:r>
      <w:r>
        <w:rPr>
          <w:spacing w:val="14"/>
        </w:rPr>
        <w:t> </w:t>
      </w:r>
      <w:r>
        <w:rPr/>
        <w:t>en</w:t>
      </w:r>
      <w:r>
        <w:rPr>
          <w:spacing w:val="14"/>
        </w:rPr>
        <w:t> </w:t>
      </w:r>
      <w:r>
        <w:rPr/>
        <w:t>temporal,</w:t>
      </w:r>
      <w:r>
        <w:rPr>
          <w:spacing w:val="14"/>
        </w:rPr>
        <w:t> </w:t>
      </w:r>
      <w:r>
        <w:rPr/>
        <w:t>con</w:t>
      </w:r>
      <w:r>
        <w:rPr>
          <w:spacing w:val="14"/>
        </w:rPr>
        <w:t> </w:t>
      </w:r>
      <w:r>
        <w:rPr/>
        <w:t>rendimientos</w:t>
      </w:r>
      <w:r>
        <w:rPr>
          <w:spacing w:val="15"/>
        </w:rPr>
        <w:t> </w:t>
      </w:r>
      <w:r>
        <w:rPr/>
        <w:t>de</w:t>
      </w:r>
      <w:r>
        <w:rPr>
          <w:spacing w:val="12"/>
        </w:rPr>
        <w:t> </w:t>
      </w:r>
      <w:r>
        <w:rPr/>
        <w:t>33.6</w:t>
      </w:r>
      <w:r>
        <w:rPr>
          <w:spacing w:val="14"/>
        </w:rPr>
        <w:t> </w:t>
      </w:r>
      <w:r>
        <w:rPr/>
        <w:t>a</w:t>
      </w:r>
      <w:r>
        <w:rPr>
          <w:spacing w:val="14"/>
        </w:rPr>
        <w:t> </w:t>
      </w:r>
      <w:r>
        <w:rPr/>
        <w:t>47.7</w:t>
      </w:r>
      <w:r>
        <w:rPr>
          <w:spacing w:val="14"/>
        </w:rPr>
        <w:t> </w:t>
      </w:r>
      <w:r>
        <w:rPr/>
        <w:t>y</w:t>
      </w:r>
      <w:r>
        <w:rPr>
          <w:spacing w:val="11"/>
        </w:rPr>
        <w:t> </w:t>
      </w:r>
      <w:r>
        <w:rPr/>
        <w:t>de</w:t>
      </w:r>
      <w:r>
        <w:rPr>
          <w:spacing w:val="14"/>
        </w:rPr>
        <w:t> </w:t>
      </w:r>
      <w:r>
        <w:rPr/>
        <w:t>17.4</w:t>
      </w:r>
      <w:r>
        <w:rPr>
          <w:spacing w:val="11"/>
        </w:rPr>
        <w:t> </w:t>
      </w:r>
      <w:r>
        <w:rPr/>
        <w:t>a</w:t>
      </w:r>
    </w:p>
    <w:p>
      <w:pPr>
        <w:pStyle w:val="BodyText"/>
        <w:spacing w:line="480" w:lineRule="auto" w:before="2"/>
        <w:ind w:left="102" w:right="112"/>
        <w:jc w:val="both"/>
      </w:pPr>
      <w:r>
        <w:rPr/>
        <w:t>20.7 t ha</w:t>
      </w:r>
      <w:r>
        <w:rPr>
          <w:position w:val="8"/>
          <w:sz w:val="14"/>
        </w:rPr>
        <w:t>-1  </w:t>
      </w:r>
      <w:r>
        <w:rPr/>
        <w:t>de MV, respectivamente (SAGARPA, 2014); otros rendimientos en  riego varían de 70 a 95 t ha</w:t>
      </w:r>
      <w:r>
        <w:rPr>
          <w:position w:val="8"/>
          <w:sz w:val="14"/>
        </w:rPr>
        <w:t>-1 </w:t>
      </w:r>
      <w:r>
        <w:rPr/>
        <w:t>de MV, y más de 20.0 t ha</w:t>
      </w:r>
      <w:r>
        <w:rPr>
          <w:position w:val="8"/>
          <w:sz w:val="14"/>
        </w:rPr>
        <w:t>-1 </w:t>
      </w:r>
      <w:r>
        <w:rPr/>
        <w:t>de MS (Núñez </w:t>
      </w:r>
      <w:r>
        <w:rPr>
          <w:i/>
        </w:rPr>
        <w:t>et al</w:t>
      </w:r>
      <w:r>
        <w:rPr/>
        <w:t>., 1999; Peña </w:t>
      </w:r>
      <w:r>
        <w:rPr>
          <w:i/>
        </w:rPr>
        <w:t>et al</w:t>
      </w:r>
      <w:r>
        <w:rPr/>
        <w:t>., 2008; Castillo </w:t>
      </w:r>
      <w:r>
        <w:rPr>
          <w:i/>
        </w:rPr>
        <w:t>et al</w:t>
      </w:r>
      <w:r>
        <w:rPr/>
        <w:t>., 2009). Entre 1980 y 2010 el crecimiento en la producción de forraje, leche y carne de res fue de 61.2, 43.8 y 40 %, respectivamente, pero los dos últimos están por debajo del incremento de la población mexicana (45.6 %; Brambila-Paz </w:t>
      </w:r>
      <w:r>
        <w:rPr>
          <w:i/>
        </w:rPr>
        <w:t>et al</w:t>
      </w:r>
      <w:r>
        <w:rPr/>
        <w:t>., 2014). La tasa media de crecimiento anual de maíz forrajero en 2012 y 2013</w:t>
      </w:r>
      <w:r>
        <w:rPr>
          <w:spacing w:val="13"/>
        </w:rPr>
        <w:t> </w:t>
      </w:r>
      <w:r>
        <w:rPr/>
        <w:t>fue</w:t>
      </w:r>
      <w:r>
        <w:rPr>
          <w:spacing w:val="13"/>
        </w:rPr>
        <w:t> </w:t>
      </w:r>
      <w:r>
        <w:rPr/>
        <w:t>de</w:t>
      </w:r>
      <w:r>
        <w:rPr>
          <w:spacing w:val="11"/>
        </w:rPr>
        <w:t> </w:t>
      </w:r>
      <w:r>
        <w:rPr/>
        <w:t>4.3</w:t>
      </w:r>
      <w:r>
        <w:rPr>
          <w:spacing w:val="13"/>
        </w:rPr>
        <w:t> </w:t>
      </w:r>
      <w:r>
        <w:rPr/>
        <w:t>y</w:t>
      </w:r>
      <w:r>
        <w:rPr>
          <w:spacing w:val="10"/>
        </w:rPr>
        <w:t> </w:t>
      </w:r>
      <w:r>
        <w:rPr/>
        <w:t>8.4,</w:t>
      </w:r>
      <w:r>
        <w:rPr>
          <w:spacing w:val="10"/>
        </w:rPr>
        <w:t> </w:t>
      </w:r>
      <w:r>
        <w:rPr/>
        <w:t>respectivamente.</w:t>
      </w:r>
      <w:r>
        <w:rPr>
          <w:spacing w:val="13"/>
        </w:rPr>
        <w:t> </w:t>
      </w:r>
      <w:r>
        <w:rPr/>
        <w:t>En</w:t>
      </w:r>
      <w:r>
        <w:rPr>
          <w:spacing w:val="12"/>
        </w:rPr>
        <w:t> </w:t>
      </w:r>
      <w:r>
        <w:rPr/>
        <w:t>el</w:t>
      </w:r>
      <w:r>
        <w:rPr>
          <w:spacing w:val="14"/>
        </w:rPr>
        <w:t> </w:t>
      </w:r>
      <w:r>
        <w:rPr/>
        <w:t>Estado</w:t>
      </w:r>
      <w:r>
        <w:rPr>
          <w:spacing w:val="8"/>
        </w:rPr>
        <w:t> </w:t>
      </w:r>
      <w:r>
        <w:rPr/>
        <w:t>de</w:t>
      </w:r>
      <w:r>
        <w:rPr>
          <w:spacing w:val="13"/>
        </w:rPr>
        <w:t> </w:t>
      </w:r>
      <w:r>
        <w:rPr/>
        <w:t>México</w:t>
      </w:r>
      <w:r>
        <w:rPr>
          <w:spacing w:val="13"/>
        </w:rPr>
        <w:t> </w:t>
      </w:r>
      <w:r>
        <w:rPr/>
        <w:t>se</w:t>
      </w:r>
      <w:r>
        <w:rPr>
          <w:spacing w:val="11"/>
        </w:rPr>
        <w:t> </w:t>
      </w:r>
      <w:r>
        <w:rPr/>
        <w:t>cosechan</w:t>
      </w:r>
      <w:r>
        <w:rPr>
          <w:spacing w:val="13"/>
        </w:rPr>
        <w:t> </w:t>
      </w:r>
      <w:r>
        <w:rPr/>
        <w:t>26</w:t>
      </w:r>
      <w:r>
        <w:rPr>
          <w:spacing w:val="10"/>
        </w:rPr>
        <w:t> </w:t>
      </w:r>
      <w:r>
        <w:rPr/>
        <w:t>187</w:t>
      </w:r>
      <w:r>
        <w:rPr>
          <w:spacing w:val="13"/>
        </w:rPr>
        <w:t> </w:t>
      </w:r>
      <w:r>
        <w:rPr/>
        <w:t>ha</w:t>
      </w:r>
      <w:r>
        <w:rPr>
          <w:spacing w:val="13"/>
        </w:rPr>
        <w:t> </w:t>
      </w:r>
      <w:r>
        <w:rPr/>
        <w:t>y</w:t>
      </w:r>
      <w:r>
        <w:rPr>
          <w:spacing w:val="10"/>
        </w:rPr>
        <w:t> </w:t>
      </w:r>
      <w:r>
        <w:rPr/>
        <w:t>se</w:t>
      </w:r>
      <w:r>
        <w:rPr>
          <w:spacing w:val="11"/>
        </w:rPr>
        <w:t> </w:t>
      </w:r>
      <w:r>
        <w:rPr/>
        <w:t>obtienen</w:t>
      </w:r>
    </w:p>
    <w:p>
      <w:pPr>
        <w:pStyle w:val="BodyText"/>
        <w:spacing w:before="5"/>
        <w:ind w:left="102"/>
        <w:jc w:val="both"/>
      </w:pPr>
      <w:r>
        <w:rPr/>
        <w:t>44.4 t ha</w:t>
      </w:r>
      <w:r>
        <w:rPr>
          <w:position w:val="8"/>
          <w:sz w:val="14"/>
        </w:rPr>
        <w:t>-1  </w:t>
      </w:r>
      <w:r>
        <w:rPr/>
        <w:t>de MV (SAGARPA, 2014).</w:t>
      </w:r>
    </w:p>
    <w:p>
      <w:pPr>
        <w:pStyle w:val="BodyText"/>
      </w:pPr>
    </w:p>
    <w:p>
      <w:pPr>
        <w:pStyle w:val="BodyText"/>
        <w:spacing w:line="480" w:lineRule="auto" w:before="161"/>
        <w:ind w:left="102" w:right="112"/>
        <w:jc w:val="both"/>
      </w:pPr>
      <w:r>
        <w:rPr/>
        <w:t>Los maíces nativos ocupan de 70 a 80% de la superficie cultivada en México. En los Valles Altos de la Meseta Central, conformada por los estados de Hidalgo, México, Puebla y Tlaxcala, se siembran 3.5 millones  de  ha  con  las  razas  Arrocillo  Amarillo,  Palomero  Toluqueño,    Cacahuacintle,  Cónico y</w:t>
      </w:r>
    </w:p>
    <w:p>
      <w:pPr>
        <w:spacing w:after="0" w:line="480" w:lineRule="auto"/>
        <w:jc w:val="both"/>
        <w:sectPr>
          <w:pgSz w:w="12240" w:h="15840"/>
          <w:pgMar w:header="0" w:footer="943" w:top="1500" w:bottom="1200" w:left="1600" w:right="1300"/>
        </w:sectPr>
      </w:pPr>
    </w:p>
    <w:p>
      <w:pPr>
        <w:pStyle w:val="BodyText"/>
        <w:spacing w:before="8"/>
        <w:rPr>
          <w:sz w:val="10"/>
        </w:rPr>
      </w:pPr>
    </w:p>
    <w:p>
      <w:pPr>
        <w:pStyle w:val="BodyText"/>
        <w:spacing w:line="480" w:lineRule="auto" w:before="73"/>
        <w:ind w:left="102" w:right="113"/>
        <w:jc w:val="both"/>
      </w:pPr>
      <w:r>
        <w:rPr/>
        <w:t>Chalqueño; las dos últimas se explotan ampliamente. Los agricultores mexicanos han incrementado la producción de MV o MS, así como el rendimiento de grano y otras variables agronómicas en sus criollos por medio de la selección masal visual y con la aplicación de paquetes tecnológicos que ellos han generado (Wellhausen </w:t>
      </w:r>
      <w:r>
        <w:rPr>
          <w:i/>
        </w:rPr>
        <w:t>et al., </w:t>
      </w:r>
      <w:r>
        <w:rPr/>
        <w:t>1951; González </w:t>
      </w:r>
      <w:r>
        <w:rPr>
          <w:i/>
        </w:rPr>
        <w:t>et al</w:t>
      </w:r>
      <w:r>
        <w:rPr/>
        <w:t>., 2008; Rocandio-Rodriguez </w:t>
      </w:r>
      <w:r>
        <w:rPr>
          <w:i/>
        </w:rPr>
        <w:t>et al</w:t>
      </w:r>
      <w:r>
        <w:rPr/>
        <w:t>., 2014). En el Estado de México se siembran 573 000 ha de maíz para grano; la principal zona productora es el Valle Toluca-Atlacomulco con casi 250 000 ha. Las razas que predominan son Cacahuacintle, Cónico y Chalqueño usadas para la producción de elote, grano y forraje; sus rendimientos en la segunda modalidad varían de 4.0 a 11.36 t ha</w:t>
      </w:r>
      <w:r>
        <w:rPr>
          <w:position w:val="8"/>
          <w:sz w:val="14"/>
        </w:rPr>
        <w:t>-1 </w:t>
      </w:r>
      <w:r>
        <w:rPr/>
        <w:t>(González </w:t>
      </w:r>
      <w:r>
        <w:rPr>
          <w:i/>
        </w:rPr>
        <w:t>et al</w:t>
      </w:r>
      <w:r>
        <w:rPr/>
        <w:t>., 2006; González </w:t>
      </w:r>
      <w:r>
        <w:rPr>
          <w:i/>
        </w:rPr>
        <w:t>et al</w:t>
      </w:r>
      <w:r>
        <w:rPr/>
        <w:t>., 2008; Reynoso </w:t>
      </w:r>
      <w:r>
        <w:rPr>
          <w:i/>
        </w:rPr>
        <w:t>et al</w:t>
      </w:r>
      <w:r>
        <w:rPr/>
        <w:t>., 2014, Rodríguez </w:t>
      </w:r>
      <w:r>
        <w:rPr>
          <w:i/>
        </w:rPr>
        <w:t>et al</w:t>
      </w:r>
      <w:r>
        <w:rPr/>
        <w:t>., 2015).</w:t>
      </w:r>
    </w:p>
    <w:p>
      <w:pPr>
        <w:pStyle w:val="BodyText"/>
        <w:spacing w:line="480" w:lineRule="auto" w:before="170"/>
        <w:ind w:left="102" w:right="113"/>
        <w:jc w:val="both"/>
      </w:pPr>
      <w:r>
        <w:rPr/>
        <w:t>El mejoramiento genético que se ha realizado en la Meseta Central de México se ha enfocado principalmente a la obtención de cultivares de mayor producción de grano pero se han descuidado sus atributos de calidad y sus propiedades forrajeras. Los criollos se siembran con doble propósito y su rastrojo es un subproducto importante para la alimentación de varias especies en unidades de producción campesina bajo condiciones de secano, por lo que debería darse especial atención a la generación de nuevos materiales con características deseables para la producción de leche y carne (Muñoz-Tlahuiz </w:t>
      </w:r>
      <w:r>
        <w:rPr>
          <w:i/>
        </w:rPr>
        <w:t>et al</w:t>
      </w:r>
      <w:r>
        <w:rPr/>
        <w:t>., 2013; Peña </w:t>
      </w:r>
      <w:r>
        <w:rPr>
          <w:i/>
        </w:rPr>
        <w:t>et al</w:t>
      </w:r>
      <w:r>
        <w:rPr/>
        <w:t>., 2012). Así, el objetivo principal del presente estudio fue evaluar criollos e híbridos para identificar una fracción forrajera sobresaliente que permite su recomendación en siembra comercial, para mejoramiento genético y para aplicar, validar o generar tecnología agropecuaria.</w:t>
      </w:r>
    </w:p>
    <w:p>
      <w:pPr>
        <w:pStyle w:val="Heading2"/>
        <w:spacing w:before="176"/>
      </w:pPr>
      <w:r>
        <w:rPr/>
        <w:t>MATERIALES Y MÉTODOS</w:t>
      </w:r>
    </w:p>
    <w:p>
      <w:pPr>
        <w:pStyle w:val="BodyText"/>
        <w:rPr>
          <w:b/>
        </w:rPr>
      </w:pPr>
    </w:p>
    <w:p>
      <w:pPr>
        <w:pStyle w:val="BodyText"/>
        <w:spacing w:line="480" w:lineRule="auto" w:before="154"/>
        <w:ind w:left="102" w:right="114"/>
        <w:jc w:val="both"/>
      </w:pPr>
      <w:r>
        <w:rPr/>
        <w:t>En el ciclo agrícola primavera-verano de 2013 se establecieron cuatro experimentos en Metepec, El Cerrillo Piedras Blancas, Mina México y Tiacaque (Municipios de Metepec, Toluca, Almoloya de Juárez y Jocotitlán), localizadas  en  el  Valle Toluca-Atlacomulco, Estado de  México, México;    éstas</w:t>
      </w:r>
    </w:p>
    <w:p>
      <w:pPr>
        <w:spacing w:after="0" w:line="480" w:lineRule="auto"/>
        <w:jc w:val="both"/>
        <w:sectPr>
          <w:pgSz w:w="12240" w:h="15840"/>
          <w:pgMar w:header="0" w:footer="943" w:top="1500" w:bottom="1200" w:left="1600" w:right="1300"/>
        </w:sectPr>
      </w:pPr>
    </w:p>
    <w:p>
      <w:pPr>
        <w:pStyle w:val="BodyText"/>
        <w:spacing w:before="8"/>
        <w:rPr>
          <w:sz w:val="10"/>
        </w:rPr>
      </w:pPr>
    </w:p>
    <w:p>
      <w:pPr>
        <w:pStyle w:val="BodyText"/>
        <w:spacing w:line="480" w:lineRule="auto" w:before="73"/>
        <w:ind w:left="102" w:right="121"/>
        <w:jc w:val="both"/>
      </w:pPr>
      <w:r>
        <w:rPr/>
        <w:t>presentan diferencias en ubicación geográfica, precipitación, clima, pH, materia orgánica y tipo de suelo (Cuadro 1).</w:t>
      </w:r>
    </w:p>
    <w:p>
      <w:pPr>
        <w:pStyle w:val="BodyText"/>
        <w:spacing w:line="480" w:lineRule="auto" w:before="168"/>
        <w:ind w:left="102" w:right="115"/>
        <w:jc w:val="both"/>
      </w:pPr>
      <w:r>
        <w:rPr/>
        <w:t>Se utilizaron 10 híbridos y 19 variedades. Los primeros son explotados para la producción de grano o con doble propósito; cuatro son amarillos y seis blancos. La colecta de las variedades se hizo en Metepec, Santiago Tianguistenco, Zinacantepec, Toluca, Almoloya de Juárez, Ixtlahuaca, Jiquipilco, Temoaya y San Felipe del Progreso; según el Instituto Nacional de Investigaciones Forestales, Agrícolas y Pecuarias (INIFAP) 10 cultivares amarillos pertenecen a la raza Cónico, y de las otras nueve de grano blanco, cinco son Cónico, dos Cónico-Chalqueño y dos Cacahuacintle (Cuadro 2).</w:t>
      </w:r>
    </w:p>
    <w:p>
      <w:pPr>
        <w:spacing w:after="0" w:line="480" w:lineRule="auto"/>
        <w:jc w:val="both"/>
        <w:sectPr>
          <w:pgSz w:w="12240" w:h="15840"/>
          <w:pgMar w:header="0" w:footer="943" w:top="1500" w:bottom="1200" w:left="1600" w:right="1300"/>
        </w:sectPr>
      </w:pPr>
    </w:p>
    <w:p>
      <w:pPr>
        <w:pStyle w:val="BodyText"/>
        <w:spacing w:before="1"/>
        <w:rPr>
          <w:sz w:val="11"/>
        </w:rPr>
      </w:pPr>
    </w:p>
    <w:p>
      <w:pPr>
        <w:pStyle w:val="Heading2"/>
        <w:ind w:left="222"/>
        <w:jc w:val="left"/>
      </w:pPr>
      <w:r>
        <w:rPr/>
        <w:t>Cuadro 1. Características de las localidades.</w:t>
      </w:r>
    </w:p>
    <w:p>
      <w:pPr>
        <w:pStyle w:val="BodyText"/>
        <w:rPr>
          <w:b/>
          <w:sz w:val="20"/>
        </w:rPr>
      </w:pPr>
    </w:p>
    <w:p>
      <w:pPr>
        <w:pStyle w:val="BodyText"/>
        <w:spacing w:before="10"/>
        <w:rPr>
          <w:b/>
          <w:sz w:val="1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8"/>
        <w:gridCol w:w="1905"/>
        <w:gridCol w:w="2038"/>
        <w:gridCol w:w="1838"/>
        <w:gridCol w:w="1768"/>
      </w:tblGrid>
      <w:tr>
        <w:trPr>
          <w:trHeight w:val="1183" w:hRule="exact"/>
        </w:trPr>
        <w:tc>
          <w:tcPr>
            <w:tcW w:w="1788" w:type="dxa"/>
            <w:tcBorders>
              <w:left w:val="nil"/>
              <w:right w:val="nil"/>
            </w:tcBorders>
          </w:tcPr>
          <w:p>
            <w:pPr>
              <w:pStyle w:val="TableParagraph"/>
              <w:spacing w:line="252" w:lineRule="exact"/>
              <w:ind w:left="108" w:right="164"/>
              <w:rPr>
                <w:b/>
                <w:sz w:val="22"/>
              </w:rPr>
            </w:pPr>
            <w:r>
              <w:rPr>
                <w:b/>
                <w:sz w:val="22"/>
              </w:rPr>
              <w:t>Características</w:t>
            </w:r>
          </w:p>
        </w:tc>
        <w:tc>
          <w:tcPr>
            <w:tcW w:w="1905" w:type="dxa"/>
            <w:tcBorders>
              <w:left w:val="nil"/>
              <w:right w:val="nil"/>
            </w:tcBorders>
          </w:tcPr>
          <w:p>
            <w:pPr>
              <w:pStyle w:val="TableParagraph"/>
              <w:spacing w:line="252" w:lineRule="exact"/>
              <w:ind w:left="181"/>
              <w:rPr>
                <w:b/>
                <w:sz w:val="22"/>
              </w:rPr>
            </w:pPr>
            <w:r>
              <w:rPr>
                <w:b/>
                <w:sz w:val="22"/>
              </w:rPr>
              <w:t>Metepec</w:t>
            </w:r>
          </w:p>
        </w:tc>
        <w:tc>
          <w:tcPr>
            <w:tcW w:w="2038" w:type="dxa"/>
            <w:tcBorders>
              <w:left w:val="nil"/>
              <w:right w:val="nil"/>
            </w:tcBorders>
          </w:tcPr>
          <w:p>
            <w:pPr>
              <w:pStyle w:val="TableParagraph"/>
              <w:spacing w:line="252" w:lineRule="exact"/>
              <w:ind w:left="132"/>
              <w:rPr>
                <w:b/>
                <w:sz w:val="22"/>
              </w:rPr>
            </w:pPr>
            <w:r>
              <w:rPr>
                <w:b/>
                <w:sz w:val="22"/>
              </w:rPr>
              <w:t>Mina México</w:t>
            </w:r>
          </w:p>
        </w:tc>
        <w:tc>
          <w:tcPr>
            <w:tcW w:w="1838" w:type="dxa"/>
            <w:tcBorders>
              <w:left w:val="nil"/>
              <w:right w:val="nil"/>
            </w:tcBorders>
          </w:tcPr>
          <w:p>
            <w:pPr>
              <w:pStyle w:val="TableParagraph"/>
              <w:spacing w:line="480" w:lineRule="auto"/>
              <w:ind w:left="149" w:right="172"/>
              <w:rPr>
                <w:b/>
                <w:sz w:val="22"/>
              </w:rPr>
            </w:pPr>
            <w:r>
              <w:rPr>
                <w:b/>
                <w:sz w:val="22"/>
              </w:rPr>
              <w:t>El Cerrillo Piedras Blancas</w:t>
            </w:r>
          </w:p>
        </w:tc>
        <w:tc>
          <w:tcPr>
            <w:tcW w:w="1768" w:type="dxa"/>
            <w:tcBorders>
              <w:left w:val="nil"/>
              <w:right w:val="nil"/>
            </w:tcBorders>
          </w:tcPr>
          <w:p>
            <w:pPr>
              <w:pStyle w:val="TableParagraph"/>
              <w:spacing w:line="252" w:lineRule="exact"/>
              <w:ind w:left="190"/>
              <w:rPr>
                <w:b/>
                <w:sz w:val="22"/>
              </w:rPr>
            </w:pPr>
            <w:r>
              <w:rPr>
                <w:b/>
                <w:sz w:val="22"/>
              </w:rPr>
              <w:t>Tiacaque</w:t>
            </w:r>
          </w:p>
        </w:tc>
      </w:tr>
      <w:tr>
        <w:trPr>
          <w:trHeight w:val="469" w:hRule="exact"/>
        </w:trPr>
        <w:tc>
          <w:tcPr>
            <w:tcW w:w="1788" w:type="dxa"/>
            <w:tcBorders>
              <w:left w:val="nil"/>
              <w:bottom w:val="nil"/>
              <w:right w:val="nil"/>
            </w:tcBorders>
          </w:tcPr>
          <w:p>
            <w:pPr>
              <w:pStyle w:val="TableParagraph"/>
              <w:spacing w:line="247" w:lineRule="exact"/>
              <w:ind w:left="108" w:right="164"/>
              <w:rPr>
                <w:sz w:val="22"/>
              </w:rPr>
            </w:pPr>
            <w:r>
              <w:rPr>
                <w:sz w:val="22"/>
              </w:rPr>
              <w:t>Latitud norte</w:t>
            </w:r>
          </w:p>
        </w:tc>
        <w:tc>
          <w:tcPr>
            <w:tcW w:w="1905" w:type="dxa"/>
            <w:tcBorders>
              <w:left w:val="nil"/>
              <w:bottom w:val="nil"/>
              <w:right w:val="nil"/>
            </w:tcBorders>
          </w:tcPr>
          <w:p>
            <w:pPr>
              <w:pStyle w:val="TableParagraph"/>
              <w:spacing w:line="247" w:lineRule="exact"/>
              <w:ind w:left="181"/>
              <w:rPr>
                <w:sz w:val="22"/>
              </w:rPr>
            </w:pPr>
            <w:r>
              <w:rPr>
                <w:sz w:val="22"/>
              </w:rPr>
              <w:t>19°   14’ </w:t>
            </w:r>
            <w:r>
              <w:rPr>
                <w:spacing w:val="54"/>
                <w:sz w:val="22"/>
              </w:rPr>
              <w:t> </w:t>
            </w:r>
            <w:r>
              <w:rPr>
                <w:sz w:val="22"/>
              </w:rPr>
              <w:t>54”</w:t>
            </w:r>
          </w:p>
        </w:tc>
        <w:tc>
          <w:tcPr>
            <w:tcW w:w="2038" w:type="dxa"/>
            <w:tcBorders>
              <w:left w:val="nil"/>
              <w:bottom w:val="nil"/>
              <w:right w:val="nil"/>
            </w:tcBorders>
          </w:tcPr>
          <w:p>
            <w:pPr>
              <w:pStyle w:val="TableParagraph"/>
              <w:spacing w:line="247" w:lineRule="exact"/>
              <w:ind w:left="132"/>
              <w:rPr>
                <w:sz w:val="22"/>
              </w:rPr>
            </w:pPr>
            <w:r>
              <w:rPr>
                <w:sz w:val="22"/>
              </w:rPr>
              <w:t>19°   20’ </w:t>
            </w:r>
            <w:r>
              <w:rPr>
                <w:spacing w:val="54"/>
                <w:sz w:val="22"/>
              </w:rPr>
              <w:t> </w:t>
            </w:r>
            <w:r>
              <w:rPr>
                <w:sz w:val="22"/>
              </w:rPr>
              <w:t>20”</w:t>
            </w:r>
          </w:p>
        </w:tc>
        <w:tc>
          <w:tcPr>
            <w:tcW w:w="1838" w:type="dxa"/>
            <w:tcBorders>
              <w:left w:val="nil"/>
              <w:bottom w:val="nil"/>
              <w:right w:val="nil"/>
            </w:tcBorders>
          </w:tcPr>
          <w:p>
            <w:pPr>
              <w:pStyle w:val="TableParagraph"/>
              <w:spacing w:line="247" w:lineRule="exact"/>
              <w:ind w:left="149" w:right="172"/>
              <w:rPr>
                <w:sz w:val="22"/>
              </w:rPr>
            </w:pPr>
            <w:r>
              <w:rPr>
                <w:sz w:val="22"/>
              </w:rPr>
              <w:t>19°   24’ </w:t>
            </w:r>
            <w:r>
              <w:rPr>
                <w:spacing w:val="54"/>
                <w:sz w:val="22"/>
              </w:rPr>
              <w:t> </w:t>
            </w:r>
            <w:r>
              <w:rPr>
                <w:sz w:val="22"/>
              </w:rPr>
              <w:t>40”</w:t>
            </w:r>
          </w:p>
        </w:tc>
        <w:tc>
          <w:tcPr>
            <w:tcW w:w="1768" w:type="dxa"/>
            <w:tcBorders>
              <w:left w:val="nil"/>
              <w:bottom w:val="nil"/>
              <w:right w:val="nil"/>
            </w:tcBorders>
          </w:tcPr>
          <w:p>
            <w:pPr>
              <w:pStyle w:val="TableParagraph"/>
              <w:spacing w:line="247" w:lineRule="exact"/>
              <w:ind w:left="190"/>
              <w:rPr>
                <w:sz w:val="22"/>
              </w:rPr>
            </w:pPr>
            <w:r>
              <w:rPr>
                <w:sz w:val="22"/>
              </w:rPr>
              <w:t>19°   42’ </w:t>
            </w:r>
            <w:r>
              <w:rPr>
                <w:spacing w:val="54"/>
                <w:sz w:val="22"/>
              </w:rPr>
              <w:t> </w:t>
            </w:r>
            <w:r>
              <w:rPr>
                <w:sz w:val="22"/>
              </w:rPr>
              <w:t>16”</w:t>
            </w:r>
          </w:p>
        </w:tc>
      </w:tr>
      <w:tr>
        <w:trPr>
          <w:trHeight w:val="666" w:hRule="exact"/>
        </w:trPr>
        <w:tc>
          <w:tcPr>
            <w:tcW w:w="1788" w:type="dxa"/>
            <w:tcBorders>
              <w:top w:val="nil"/>
              <w:left w:val="nil"/>
              <w:bottom w:val="nil"/>
              <w:right w:val="nil"/>
            </w:tcBorders>
          </w:tcPr>
          <w:p>
            <w:pPr>
              <w:pStyle w:val="TableParagraph"/>
              <w:spacing w:before="194"/>
              <w:ind w:left="108" w:right="164"/>
              <w:rPr>
                <w:sz w:val="22"/>
              </w:rPr>
            </w:pPr>
            <w:r>
              <w:rPr>
                <w:sz w:val="22"/>
              </w:rPr>
              <w:t>Longitud oeste</w:t>
            </w:r>
          </w:p>
        </w:tc>
        <w:tc>
          <w:tcPr>
            <w:tcW w:w="1905" w:type="dxa"/>
            <w:tcBorders>
              <w:top w:val="nil"/>
              <w:left w:val="nil"/>
              <w:bottom w:val="nil"/>
              <w:right w:val="nil"/>
            </w:tcBorders>
          </w:tcPr>
          <w:p>
            <w:pPr>
              <w:pStyle w:val="TableParagraph"/>
              <w:spacing w:before="194"/>
              <w:ind w:left="181"/>
              <w:rPr>
                <w:sz w:val="22"/>
              </w:rPr>
            </w:pPr>
            <w:r>
              <w:rPr>
                <w:sz w:val="22"/>
              </w:rPr>
              <w:t>99°   34’ </w:t>
            </w:r>
            <w:r>
              <w:rPr>
                <w:spacing w:val="54"/>
                <w:sz w:val="22"/>
              </w:rPr>
              <w:t> </w:t>
            </w:r>
            <w:r>
              <w:rPr>
                <w:sz w:val="22"/>
              </w:rPr>
              <w:t>32”</w:t>
            </w:r>
          </w:p>
        </w:tc>
        <w:tc>
          <w:tcPr>
            <w:tcW w:w="2038" w:type="dxa"/>
            <w:tcBorders>
              <w:top w:val="nil"/>
              <w:left w:val="nil"/>
              <w:bottom w:val="nil"/>
              <w:right w:val="nil"/>
            </w:tcBorders>
          </w:tcPr>
          <w:p>
            <w:pPr>
              <w:pStyle w:val="TableParagraph"/>
              <w:spacing w:before="194"/>
              <w:ind w:left="132"/>
              <w:rPr>
                <w:sz w:val="22"/>
              </w:rPr>
            </w:pPr>
            <w:r>
              <w:rPr>
                <w:sz w:val="22"/>
              </w:rPr>
              <w:t>99°   41’ </w:t>
            </w:r>
            <w:r>
              <w:rPr>
                <w:spacing w:val="54"/>
                <w:sz w:val="22"/>
              </w:rPr>
              <w:t> </w:t>
            </w:r>
            <w:r>
              <w:rPr>
                <w:sz w:val="22"/>
              </w:rPr>
              <w:t>03”</w:t>
            </w:r>
          </w:p>
        </w:tc>
        <w:tc>
          <w:tcPr>
            <w:tcW w:w="1838" w:type="dxa"/>
            <w:tcBorders>
              <w:top w:val="nil"/>
              <w:left w:val="nil"/>
              <w:bottom w:val="nil"/>
              <w:right w:val="nil"/>
            </w:tcBorders>
          </w:tcPr>
          <w:p>
            <w:pPr>
              <w:pStyle w:val="TableParagraph"/>
              <w:spacing w:before="194"/>
              <w:ind w:left="149" w:right="172"/>
              <w:rPr>
                <w:sz w:val="22"/>
              </w:rPr>
            </w:pPr>
            <w:r>
              <w:rPr>
                <w:sz w:val="22"/>
              </w:rPr>
              <w:t>99°   41’ </w:t>
            </w:r>
            <w:r>
              <w:rPr>
                <w:spacing w:val="54"/>
                <w:sz w:val="22"/>
              </w:rPr>
              <w:t> </w:t>
            </w:r>
            <w:r>
              <w:rPr>
                <w:sz w:val="22"/>
              </w:rPr>
              <w:t>58”</w:t>
            </w:r>
          </w:p>
        </w:tc>
        <w:tc>
          <w:tcPr>
            <w:tcW w:w="1768" w:type="dxa"/>
            <w:tcBorders>
              <w:top w:val="nil"/>
              <w:left w:val="nil"/>
              <w:bottom w:val="nil"/>
              <w:right w:val="nil"/>
            </w:tcBorders>
          </w:tcPr>
          <w:p>
            <w:pPr>
              <w:pStyle w:val="TableParagraph"/>
              <w:spacing w:before="194"/>
              <w:ind w:left="190"/>
              <w:rPr>
                <w:sz w:val="22"/>
              </w:rPr>
            </w:pPr>
            <w:r>
              <w:rPr>
                <w:sz w:val="22"/>
              </w:rPr>
              <w:t>99°   42’   11”</w:t>
            </w:r>
          </w:p>
        </w:tc>
      </w:tr>
      <w:tr>
        <w:trPr>
          <w:trHeight w:val="666" w:hRule="exact"/>
        </w:trPr>
        <w:tc>
          <w:tcPr>
            <w:tcW w:w="1788" w:type="dxa"/>
            <w:tcBorders>
              <w:top w:val="nil"/>
              <w:left w:val="nil"/>
              <w:bottom w:val="nil"/>
              <w:right w:val="nil"/>
            </w:tcBorders>
          </w:tcPr>
          <w:p>
            <w:pPr>
              <w:pStyle w:val="TableParagraph"/>
              <w:spacing w:before="195"/>
              <w:ind w:left="108" w:right="164"/>
              <w:rPr>
                <w:sz w:val="22"/>
              </w:rPr>
            </w:pPr>
            <w:r>
              <w:rPr>
                <w:sz w:val="22"/>
              </w:rPr>
              <w:t>Altitud (m)</w:t>
            </w:r>
          </w:p>
        </w:tc>
        <w:tc>
          <w:tcPr>
            <w:tcW w:w="1905" w:type="dxa"/>
            <w:tcBorders>
              <w:top w:val="nil"/>
              <w:left w:val="nil"/>
              <w:bottom w:val="nil"/>
              <w:right w:val="nil"/>
            </w:tcBorders>
          </w:tcPr>
          <w:p>
            <w:pPr>
              <w:pStyle w:val="TableParagraph"/>
              <w:spacing w:before="195"/>
              <w:ind w:left="181"/>
              <w:rPr>
                <w:sz w:val="22"/>
              </w:rPr>
            </w:pPr>
            <w:r>
              <w:rPr>
                <w:sz w:val="22"/>
              </w:rPr>
              <w:t>2662</w:t>
            </w:r>
          </w:p>
        </w:tc>
        <w:tc>
          <w:tcPr>
            <w:tcW w:w="2038" w:type="dxa"/>
            <w:tcBorders>
              <w:top w:val="nil"/>
              <w:left w:val="nil"/>
              <w:bottom w:val="nil"/>
              <w:right w:val="nil"/>
            </w:tcBorders>
          </w:tcPr>
          <w:p>
            <w:pPr>
              <w:pStyle w:val="TableParagraph"/>
              <w:spacing w:before="195"/>
              <w:ind w:left="132"/>
              <w:rPr>
                <w:sz w:val="22"/>
              </w:rPr>
            </w:pPr>
            <w:r>
              <w:rPr>
                <w:sz w:val="22"/>
              </w:rPr>
              <w:t>2630</w:t>
            </w:r>
          </w:p>
        </w:tc>
        <w:tc>
          <w:tcPr>
            <w:tcW w:w="1838" w:type="dxa"/>
            <w:tcBorders>
              <w:top w:val="nil"/>
              <w:left w:val="nil"/>
              <w:bottom w:val="nil"/>
              <w:right w:val="nil"/>
            </w:tcBorders>
          </w:tcPr>
          <w:p>
            <w:pPr>
              <w:pStyle w:val="TableParagraph"/>
              <w:spacing w:before="195"/>
              <w:ind w:left="149" w:right="172"/>
              <w:rPr>
                <w:sz w:val="22"/>
              </w:rPr>
            </w:pPr>
            <w:r>
              <w:rPr>
                <w:sz w:val="22"/>
              </w:rPr>
              <w:t>2611</w:t>
            </w:r>
          </w:p>
        </w:tc>
        <w:tc>
          <w:tcPr>
            <w:tcW w:w="1768" w:type="dxa"/>
            <w:tcBorders>
              <w:top w:val="nil"/>
              <w:left w:val="nil"/>
              <w:bottom w:val="nil"/>
              <w:right w:val="nil"/>
            </w:tcBorders>
          </w:tcPr>
          <w:p>
            <w:pPr>
              <w:pStyle w:val="TableParagraph"/>
              <w:spacing w:before="195"/>
              <w:ind w:left="190"/>
              <w:rPr>
                <w:sz w:val="22"/>
              </w:rPr>
            </w:pPr>
            <w:r>
              <w:rPr>
                <w:sz w:val="22"/>
              </w:rPr>
              <w:t>2569</w:t>
            </w:r>
          </w:p>
        </w:tc>
      </w:tr>
      <w:tr>
        <w:trPr>
          <w:trHeight w:val="1172" w:hRule="exact"/>
        </w:trPr>
        <w:tc>
          <w:tcPr>
            <w:tcW w:w="1788" w:type="dxa"/>
            <w:tcBorders>
              <w:top w:val="nil"/>
              <w:left w:val="nil"/>
              <w:bottom w:val="nil"/>
              <w:right w:val="nil"/>
            </w:tcBorders>
          </w:tcPr>
          <w:p>
            <w:pPr>
              <w:pStyle w:val="TableParagraph"/>
              <w:spacing w:line="480" w:lineRule="auto" w:before="194"/>
              <w:ind w:left="108" w:right="536"/>
              <w:rPr>
                <w:sz w:val="22"/>
              </w:rPr>
            </w:pPr>
            <w:r>
              <w:rPr>
                <w:sz w:val="22"/>
              </w:rPr>
              <w:t>Temperatura media (°C)</w:t>
            </w:r>
          </w:p>
        </w:tc>
        <w:tc>
          <w:tcPr>
            <w:tcW w:w="1905" w:type="dxa"/>
            <w:tcBorders>
              <w:top w:val="nil"/>
              <w:left w:val="nil"/>
              <w:bottom w:val="nil"/>
              <w:right w:val="nil"/>
            </w:tcBorders>
          </w:tcPr>
          <w:p>
            <w:pPr>
              <w:pStyle w:val="TableParagraph"/>
              <w:spacing w:before="194"/>
              <w:ind w:left="181"/>
              <w:rPr>
                <w:sz w:val="22"/>
              </w:rPr>
            </w:pPr>
            <w:r>
              <w:rPr>
                <w:sz w:val="22"/>
              </w:rPr>
              <w:t>12.84</w:t>
            </w:r>
          </w:p>
        </w:tc>
        <w:tc>
          <w:tcPr>
            <w:tcW w:w="2038" w:type="dxa"/>
            <w:tcBorders>
              <w:top w:val="nil"/>
              <w:left w:val="nil"/>
              <w:bottom w:val="nil"/>
              <w:right w:val="nil"/>
            </w:tcBorders>
          </w:tcPr>
          <w:p>
            <w:pPr>
              <w:pStyle w:val="TableParagraph"/>
              <w:spacing w:before="194"/>
              <w:ind w:left="132"/>
              <w:rPr>
                <w:sz w:val="22"/>
              </w:rPr>
            </w:pPr>
            <w:r>
              <w:rPr>
                <w:sz w:val="22"/>
              </w:rPr>
              <w:t>12.61</w:t>
            </w:r>
          </w:p>
        </w:tc>
        <w:tc>
          <w:tcPr>
            <w:tcW w:w="1838" w:type="dxa"/>
            <w:tcBorders>
              <w:top w:val="nil"/>
              <w:left w:val="nil"/>
              <w:bottom w:val="nil"/>
              <w:right w:val="nil"/>
            </w:tcBorders>
          </w:tcPr>
          <w:p>
            <w:pPr>
              <w:pStyle w:val="TableParagraph"/>
              <w:spacing w:before="194"/>
              <w:ind w:left="149" w:right="172"/>
              <w:rPr>
                <w:sz w:val="22"/>
              </w:rPr>
            </w:pPr>
            <w:r>
              <w:rPr>
                <w:sz w:val="22"/>
              </w:rPr>
              <w:t>13.02</w:t>
            </w:r>
          </w:p>
        </w:tc>
        <w:tc>
          <w:tcPr>
            <w:tcW w:w="1768" w:type="dxa"/>
            <w:tcBorders>
              <w:top w:val="nil"/>
              <w:left w:val="nil"/>
              <w:bottom w:val="nil"/>
              <w:right w:val="nil"/>
            </w:tcBorders>
          </w:tcPr>
          <w:p>
            <w:pPr>
              <w:pStyle w:val="TableParagraph"/>
              <w:spacing w:before="194"/>
              <w:ind w:left="190"/>
              <w:rPr>
                <w:sz w:val="22"/>
              </w:rPr>
            </w:pPr>
            <w:r>
              <w:rPr>
                <w:sz w:val="22"/>
              </w:rPr>
              <w:t>13.34</w:t>
            </w:r>
          </w:p>
        </w:tc>
      </w:tr>
      <w:tr>
        <w:trPr>
          <w:trHeight w:val="1171" w:hRule="exact"/>
        </w:trPr>
        <w:tc>
          <w:tcPr>
            <w:tcW w:w="1788" w:type="dxa"/>
            <w:tcBorders>
              <w:top w:val="nil"/>
              <w:left w:val="nil"/>
              <w:bottom w:val="nil"/>
              <w:right w:val="nil"/>
            </w:tcBorders>
          </w:tcPr>
          <w:p>
            <w:pPr>
              <w:pStyle w:val="TableParagraph"/>
              <w:spacing w:line="477" w:lineRule="auto" w:before="195"/>
              <w:ind w:left="108" w:right="499"/>
              <w:rPr>
                <w:sz w:val="22"/>
              </w:rPr>
            </w:pPr>
            <w:r>
              <w:rPr>
                <w:sz w:val="22"/>
              </w:rPr>
              <w:t>Precipitación (mm)</w:t>
            </w:r>
          </w:p>
        </w:tc>
        <w:tc>
          <w:tcPr>
            <w:tcW w:w="1905" w:type="dxa"/>
            <w:tcBorders>
              <w:top w:val="nil"/>
              <w:left w:val="nil"/>
              <w:bottom w:val="nil"/>
              <w:right w:val="nil"/>
            </w:tcBorders>
          </w:tcPr>
          <w:p>
            <w:pPr>
              <w:pStyle w:val="TableParagraph"/>
              <w:spacing w:before="195"/>
              <w:ind w:left="181"/>
              <w:rPr>
                <w:sz w:val="22"/>
              </w:rPr>
            </w:pPr>
            <w:r>
              <w:rPr>
                <w:sz w:val="22"/>
              </w:rPr>
              <w:t>806.9</w:t>
            </w:r>
          </w:p>
        </w:tc>
        <w:tc>
          <w:tcPr>
            <w:tcW w:w="2038" w:type="dxa"/>
            <w:tcBorders>
              <w:top w:val="nil"/>
              <w:left w:val="nil"/>
              <w:bottom w:val="nil"/>
              <w:right w:val="nil"/>
            </w:tcBorders>
          </w:tcPr>
          <w:p>
            <w:pPr>
              <w:pStyle w:val="TableParagraph"/>
              <w:spacing w:before="195"/>
              <w:ind w:left="132"/>
              <w:rPr>
                <w:sz w:val="22"/>
              </w:rPr>
            </w:pPr>
            <w:r>
              <w:rPr>
                <w:sz w:val="22"/>
              </w:rPr>
              <w:t>642.9</w:t>
            </w:r>
          </w:p>
        </w:tc>
        <w:tc>
          <w:tcPr>
            <w:tcW w:w="1838" w:type="dxa"/>
            <w:tcBorders>
              <w:top w:val="nil"/>
              <w:left w:val="nil"/>
              <w:bottom w:val="nil"/>
              <w:right w:val="nil"/>
            </w:tcBorders>
          </w:tcPr>
          <w:p>
            <w:pPr>
              <w:pStyle w:val="TableParagraph"/>
              <w:spacing w:before="195"/>
              <w:ind w:left="149" w:right="172"/>
              <w:rPr>
                <w:sz w:val="22"/>
              </w:rPr>
            </w:pPr>
            <w:r>
              <w:rPr>
                <w:sz w:val="22"/>
              </w:rPr>
              <w:t>763</w:t>
            </w:r>
          </w:p>
        </w:tc>
        <w:tc>
          <w:tcPr>
            <w:tcW w:w="1768" w:type="dxa"/>
            <w:tcBorders>
              <w:top w:val="nil"/>
              <w:left w:val="nil"/>
              <w:bottom w:val="nil"/>
              <w:right w:val="nil"/>
            </w:tcBorders>
          </w:tcPr>
          <w:p>
            <w:pPr>
              <w:pStyle w:val="TableParagraph"/>
              <w:spacing w:before="195"/>
              <w:ind w:left="190"/>
              <w:rPr>
                <w:sz w:val="22"/>
              </w:rPr>
            </w:pPr>
            <w:r>
              <w:rPr>
                <w:sz w:val="22"/>
              </w:rPr>
              <w:t>912.4</w:t>
            </w:r>
          </w:p>
        </w:tc>
      </w:tr>
      <w:tr>
        <w:trPr>
          <w:trHeight w:val="1173" w:hRule="exact"/>
        </w:trPr>
        <w:tc>
          <w:tcPr>
            <w:tcW w:w="1788" w:type="dxa"/>
            <w:tcBorders>
              <w:top w:val="nil"/>
              <w:left w:val="nil"/>
              <w:bottom w:val="nil"/>
              <w:right w:val="nil"/>
            </w:tcBorders>
          </w:tcPr>
          <w:p>
            <w:pPr>
              <w:pStyle w:val="TableParagraph"/>
              <w:spacing w:before="195"/>
              <w:ind w:left="108" w:right="164"/>
              <w:rPr>
                <w:sz w:val="22"/>
              </w:rPr>
            </w:pPr>
            <w:r>
              <w:rPr>
                <w:sz w:val="22"/>
              </w:rPr>
              <w:t>Clima</w:t>
            </w:r>
          </w:p>
        </w:tc>
        <w:tc>
          <w:tcPr>
            <w:tcW w:w="1905" w:type="dxa"/>
            <w:tcBorders>
              <w:top w:val="nil"/>
              <w:left w:val="nil"/>
              <w:bottom w:val="nil"/>
              <w:right w:val="nil"/>
            </w:tcBorders>
          </w:tcPr>
          <w:p>
            <w:pPr>
              <w:pStyle w:val="TableParagraph"/>
              <w:spacing w:line="480" w:lineRule="auto" w:before="195"/>
              <w:ind w:left="181" w:right="451"/>
              <w:rPr>
                <w:sz w:val="22"/>
              </w:rPr>
            </w:pPr>
            <w:r>
              <w:rPr>
                <w:sz w:val="22"/>
              </w:rPr>
              <w:t>Templado sub húmedo</w:t>
            </w:r>
          </w:p>
        </w:tc>
        <w:tc>
          <w:tcPr>
            <w:tcW w:w="2038" w:type="dxa"/>
            <w:tcBorders>
              <w:top w:val="nil"/>
              <w:left w:val="nil"/>
              <w:bottom w:val="nil"/>
              <w:right w:val="nil"/>
            </w:tcBorders>
          </w:tcPr>
          <w:p>
            <w:pPr>
              <w:pStyle w:val="TableParagraph"/>
              <w:spacing w:before="195"/>
              <w:ind w:left="132"/>
              <w:rPr>
                <w:sz w:val="22"/>
              </w:rPr>
            </w:pPr>
            <w:r>
              <w:rPr>
                <w:sz w:val="22"/>
              </w:rPr>
              <w:t>Templado semiseco</w:t>
            </w:r>
          </w:p>
        </w:tc>
        <w:tc>
          <w:tcPr>
            <w:tcW w:w="1838" w:type="dxa"/>
            <w:tcBorders>
              <w:top w:val="nil"/>
              <w:left w:val="nil"/>
              <w:bottom w:val="nil"/>
              <w:right w:val="nil"/>
            </w:tcBorders>
          </w:tcPr>
          <w:p>
            <w:pPr>
              <w:pStyle w:val="TableParagraph"/>
              <w:spacing w:line="480" w:lineRule="auto" w:before="195"/>
              <w:ind w:left="149" w:right="777"/>
              <w:rPr>
                <w:sz w:val="22"/>
              </w:rPr>
            </w:pPr>
            <w:r>
              <w:rPr>
                <w:sz w:val="22"/>
              </w:rPr>
              <w:t>Templado semiseco</w:t>
            </w:r>
          </w:p>
        </w:tc>
        <w:tc>
          <w:tcPr>
            <w:tcW w:w="1768" w:type="dxa"/>
            <w:tcBorders>
              <w:top w:val="nil"/>
              <w:left w:val="nil"/>
              <w:bottom w:val="nil"/>
              <w:right w:val="nil"/>
            </w:tcBorders>
          </w:tcPr>
          <w:p>
            <w:pPr>
              <w:pStyle w:val="TableParagraph"/>
              <w:spacing w:line="480" w:lineRule="auto" w:before="195"/>
              <w:ind w:left="190" w:right="305"/>
              <w:rPr>
                <w:sz w:val="22"/>
              </w:rPr>
            </w:pPr>
            <w:r>
              <w:rPr>
                <w:sz w:val="22"/>
              </w:rPr>
              <w:t>Templado sub húmedo</w:t>
            </w:r>
          </w:p>
        </w:tc>
      </w:tr>
      <w:tr>
        <w:trPr>
          <w:trHeight w:val="666" w:hRule="exact"/>
        </w:trPr>
        <w:tc>
          <w:tcPr>
            <w:tcW w:w="1788" w:type="dxa"/>
            <w:tcBorders>
              <w:top w:val="nil"/>
              <w:left w:val="nil"/>
              <w:bottom w:val="nil"/>
              <w:right w:val="nil"/>
            </w:tcBorders>
          </w:tcPr>
          <w:p>
            <w:pPr>
              <w:pStyle w:val="TableParagraph"/>
              <w:spacing w:before="194"/>
              <w:ind w:left="108" w:right="164"/>
              <w:rPr>
                <w:sz w:val="22"/>
              </w:rPr>
            </w:pPr>
            <w:r>
              <w:rPr>
                <w:sz w:val="22"/>
              </w:rPr>
              <w:t>pH</w:t>
            </w:r>
          </w:p>
        </w:tc>
        <w:tc>
          <w:tcPr>
            <w:tcW w:w="1905" w:type="dxa"/>
            <w:tcBorders>
              <w:top w:val="nil"/>
              <w:left w:val="nil"/>
              <w:bottom w:val="nil"/>
              <w:right w:val="nil"/>
            </w:tcBorders>
          </w:tcPr>
          <w:p>
            <w:pPr>
              <w:pStyle w:val="TableParagraph"/>
              <w:spacing w:before="194"/>
              <w:ind w:left="181"/>
              <w:rPr>
                <w:sz w:val="22"/>
              </w:rPr>
            </w:pPr>
            <w:r>
              <w:rPr>
                <w:sz w:val="22"/>
              </w:rPr>
              <w:t>5.61</w:t>
            </w:r>
          </w:p>
        </w:tc>
        <w:tc>
          <w:tcPr>
            <w:tcW w:w="2038" w:type="dxa"/>
            <w:tcBorders>
              <w:top w:val="nil"/>
              <w:left w:val="nil"/>
              <w:bottom w:val="nil"/>
              <w:right w:val="nil"/>
            </w:tcBorders>
          </w:tcPr>
          <w:p>
            <w:pPr>
              <w:pStyle w:val="TableParagraph"/>
              <w:spacing w:before="194"/>
              <w:ind w:left="132"/>
              <w:rPr>
                <w:sz w:val="22"/>
              </w:rPr>
            </w:pPr>
            <w:r>
              <w:rPr>
                <w:sz w:val="22"/>
              </w:rPr>
              <w:t>5.52</w:t>
            </w:r>
          </w:p>
        </w:tc>
        <w:tc>
          <w:tcPr>
            <w:tcW w:w="1838" w:type="dxa"/>
            <w:tcBorders>
              <w:top w:val="nil"/>
              <w:left w:val="nil"/>
              <w:bottom w:val="nil"/>
              <w:right w:val="nil"/>
            </w:tcBorders>
          </w:tcPr>
          <w:p>
            <w:pPr>
              <w:pStyle w:val="TableParagraph"/>
              <w:spacing w:before="194"/>
              <w:ind w:left="149" w:right="172"/>
              <w:rPr>
                <w:sz w:val="22"/>
              </w:rPr>
            </w:pPr>
            <w:r>
              <w:rPr>
                <w:sz w:val="22"/>
              </w:rPr>
              <w:t>6.29</w:t>
            </w:r>
          </w:p>
        </w:tc>
        <w:tc>
          <w:tcPr>
            <w:tcW w:w="1768" w:type="dxa"/>
            <w:tcBorders>
              <w:top w:val="nil"/>
              <w:left w:val="nil"/>
              <w:bottom w:val="nil"/>
              <w:right w:val="nil"/>
            </w:tcBorders>
          </w:tcPr>
          <w:p>
            <w:pPr>
              <w:pStyle w:val="TableParagraph"/>
              <w:spacing w:before="194"/>
              <w:ind w:left="190"/>
              <w:rPr>
                <w:sz w:val="22"/>
              </w:rPr>
            </w:pPr>
            <w:r>
              <w:rPr>
                <w:sz w:val="22"/>
              </w:rPr>
              <w:t>6.18</w:t>
            </w:r>
          </w:p>
        </w:tc>
      </w:tr>
      <w:tr>
        <w:trPr>
          <w:trHeight w:val="1171" w:hRule="exact"/>
        </w:trPr>
        <w:tc>
          <w:tcPr>
            <w:tcW w:w="1788" w:type="dxa"/>
            <w:tcBorders>
              <w:top w:val="nil"/>
              <w:left w:val="nil"/>
              <w:bottom w:val="nil"/>
              <w:right w:val="nil"/>
            </w:tcBorders>
          </w:tcPr>
          <w:p>
            <w:pPr>
              <w:pStyle w:val="TableParagraph"/>
              <w:spacing w:line="477" w:lineRule="auto" w:before="195"/>
              <w:ind w:left="108" w:right="164"/>
              <w:rPr>
                <w:sz w:val="22"/>
              </w:rPr>
            </w:pPr>
            <w:r>
              <w:rPr>
                <w:sz w:val="22"/>
              </w:rPr>
              <w:t>Materia orgánica (%)</w:t>
            </w:r>
          </w:p>
        </w:tc>
        <w:tc>
          <w:tcPr>
            <w:tcW w:w="1905" w:type="dxa"/>
            <w:tcBorders>
              <w:top w:val="nil"/>
              <w:left w:val="nil"/>
              <w:bottom w:val="nil"/>
              <w:right w:val="nil"/>
            </w:tcBorders>
          </w:tcPr>
          <w:p>
            <w:pPr>
              <w:pStyle w:val="TableParagraph"/>
              <w:spacing w:before="195"/>
              <w:ind w:left="181"/>
              <w:rPr>
                <w:sz w:val="22"/>
              </w:rPr>
            </w:pPr>
            <w:r>
              <w:rPr>
                <w:sz w:val="22"/>
              </w:rPr>
              <w:t>1.75 (medio-bajo)</w:t>
            </w:r>
          </w:p>
        </w:tc>
        <w:tc>
          <w:tcPr>
            <w:tcW w:w="2038" w:type="dxa"/>
            <w:tcBorders>
              <w:top w:val="nil"/>
              <w:left w:val="nil"/>
              <w:bottom w:val="nil"/>
              <w:right w:val="nil"/>
            </w:tcBorders>
          </w:tcPr>
          <w:p>
            <w:pPr>
              <w:pStyle w:val="TableParagraph"/>
              <w:spacing w:before="195"/>
              <w:ind w:left="132"/>
              <w:rPr>
                <w:sz w:val="22"/>
              </w:rPr>
            </w:pPr>
            <w:r>
              <w:rPr>
                <w:sz w:val="22"/>
              </w:rPr>
              <w:t>1.79 (medio-bajo)</w:t>
            </w:r>
          </w:p>
        </w:tc>
        <w:tc>
          <w:tcPr>
            <w:tcW w:w="1838" w:type="dxa"/>
            <w:tcBorders>
              <w:top w:val="nil"/>
              <w:left w:val="nil"/>
              <w:bottom w:val="nil"/>
              <w:right w:val="nil"/>
            </w:tcBorders>
          </w:tcPr>
          <w:p>
            <w:pPr>
              <w:pStyle w:val="TableParagraph"/>
              <w:spacing w:before="195"/>
              <w:ind w:left="149" w:right="172"/>
              <w:rPr>
                <w:sz w:val="22"/>
              </w:rPr>
            </w:pPr>
            <w:r>
              <w:rPr>
                <w:sz w:val="22"/>
              </w:rPr>
              <w:t>1.88 (medio)</w:t>
            </w:r>
          </w:p>
        </w:tc>
        <w:tc>
          <w:tcPr>
            <w:tcW w:w="1768" w:type="dxa"/>
            <w:tcBorders>
              <w:top w:val="nil"/>
              <w:left w:val="nil"/>
              <w:bottom w:val="nil"/>
              <w:right w:val="nil"/>
            </w:tcBorders>
          </w:tcPr>
          <w:p>
            <w:pPr>
              <w:pStyle w:val="TableParagraph"/>
              <w:spacing w:line="477" w:lineRule="auto" w:before="195"/>
              <w:ind w:left="190" w:right="421"/>
              <w:rPr>
                <w:sz w:val="22"/>
              </w:rPr>
            </w:pPr>
            <w:r>
              <w:rPr>
                <w:sz w:val="22"/>
              </w:rPr>
              <w:t>2.74 (medio- alto)</w:t>
            </w:r>
          </w:p>
        </w:tc>
      </w:tr>
      <w:tr>
        <w:trPr>
          <w:trHeight w:val="1885" w:hRule="exact"/>
        </w:trPr>
        <w:tc>
          <w:tcPr>
            <w:tcW w:w="1788" w:type="dxa"/>
            <w:tcBorders>
              <w:top w:val="nil"/>
              <w:left w:val="nil"/>
              <w:right w:val="nil"/>
            </w:tcBorders>
          </w:tcPr>
          <w:p>
            <w:pPr>
              <w:pStyle w:val="TableParagraph"/>
              <w:spacing w:before="195"/>
              <w:ind w:left="108" w:right="164"/>
              <w:rPr>
                <w:sz w:val="22"/>
              </w:rPr>
            </w:pPr>
            <w:r>
              <w:rPr>
                <w:sz w:val="22"/>
              </w:rPr>
              <w:t>Textura</w:t>
            </w:r>
          </w:p>
        </w:tc>
        <w:tc>
          <w:tcPr>
            <w:tcW w:w="1905" w:type="dxa"/>
            <w:tcBorders>
              <w:top w:val="nil"/>
              <w:left w:val="nil"/>
              <w:right w:val="nil"/>
            </w:tcBorders>
          </w:tcPr>
          <w:p>
            <w:pPr>
              <w:pStyle w:val="TableParagraph"/>
              <w:spacing w:line="480" w:lineRule="auto" w:before="195"/>
              <w:ind w:left="181" w:right="350"/>
              <w:rPr>
                <w:sz w:val="22"/>
              </w:rPr>
            </w:pPr>
            <w:r>
              <w:rPr>
                <w:sz w:val="22"/>
              </w:rPr>
              <w:t>Franco-arenoso (13arc-19Li- 68%are)</w:t>
            </w:r>
          </w:p>
        </w:tc>
        <w:tc>
          <w:tcPr>
            <w:tcW w:w="2038" w:type="dxa"/>
            <w:tcBorders>
              <w:top w:val="nil"/>
              <w:left w:val="nil"/>
              <w:right w:val="nil"/>
            </w:tcBorders>
          </w:tcPr>
          <w:p>
            <w:pPr>
              <w:pStyle w:val="TableParagraph"/>
              <w:spacing w:line="480" w:lineRule="auto" w:before="195"/>
              <w:ind w:left="132" w:right="526"/>
              <w:jc w:val="both"/>
              <w:rPr>
                <w:sz w:val="22"/>
              </w:rPr>
            </w:pPr>
            <w:r>
              <w:rPr>
                <w:sz w:val="22"/>
              </w:rPr>
              <w:t>Franco-arcillo- arenoso (30arc- 26Li-44%are)</w:t>
            </w:r>
          </w:p>
        </w:tc>
        <w:tc>
          <w:tcPr>
            <w:tcW w:w="1838" w:type="dxa"/>
            <w:tcBorders>
              <w:top w:val="nil"/>
              <w:left w:val="nil"/>
              <w:right w:val="nil"/>
            </w:tcBorders>
          </w:tcPr>
          <w:p>
            <w:pPr>
              <w:pStyle w:val="TableParagraph"/>
              <w:spacing w:line="480" w:lineRule="auto" w:before="195"/>
              <w:ind w:left="149" w:right="242"/>
              <w:rPr>
                <w:sz w:val="22"/>
              </w:rPr>
            </w:pPr>
            <w:r>
              <w:rPr>
                <w:sz w:val="22"/>
              </w:rPr>
              <w:t>Franco-arcilloso (32arc-29Li- 39%are)</w:t>
            </w:r>
          </w:p>
        </w:tc>
        <w:tc>
          <w:tcPr>
            <w:tcW w:w="1768" w:type="dxa"/>
            <w:tcBorders>
              <w:top w:val="nil"/>
              <w:left w:val="nil"/>
              <w:right w:val="nil"/>
            </w:tcBorders>
          </w:tcPr>
          <w:p>
            <w:pPr>
              <w:pStyle w:val="TableParagraph"/>
              <w:spacing w:line="480" w:lineRule="auto" w:before="195"/>
              <w:ind w:left="190" w:right="449"/>
              <w:rPr>
                <w:sz w:val="22"/>
              </w:rPr>
            </w:pPr>
            <w:r>
              <w:rPr>
                <w:sz w:val="22"/>
              </w:rPr>
              <w:t>Arcilloso (47arc-26Li- 27%are)</w:t>
            </w:r>
          </w:p>
        </w:tc>
      </w:tr>
    </w:tbl>
    <w:p>
      <w:pPr>
        <w:pStyle w:val="BodyText"/>
        <w:spacing w:line="247" w:lineRule="exact"/>
        <w:ind w:left="277"/>
      </w:pPr>
      <w:r>
        <w:rPr/>
        <w:t>Fuente: CONAGUA (2013).</w:t>
      </w:r>
    </w:p>
    <w:p>
      <w:pPr>
        <w:spacing w:after="0" w:line="247" w:lineRule="exact"/>
        <w:sectPr>
          <w:footerReference w:type="default" r:id="rId20"/>
          <w:pgSz w:w="12240" w:h="15840"/>
          <w:pgMar w:footer="1003" w:header="0" w:top="1500" w:bottom="1200" w:left="1480" w:right="1200"/>
        </w:sectPr>
      </w:pPr>
    </w:p>
    <w:p>
      <w:pPr>
        <w:pStyle w:val="BodyText"/>
        <w:spacing w:before="1"/>
        <w:rPr>
          <w:sz w:val="11"/>
        </w:rPr>
      </w:pPr>
    </w:p>
    <w:p>
      <w:pPr>
        <w:pStyle w:val="Heading2"/>
        <w:ind w:left="222"/>
        <w:jc w:val="left"/>
      </w:pPr>
      <w:r>
        <w:rPr/>
        <w:t>Cuadro 2. Material genético evaluado.</w:t>
      </w:r>
    </w:p>
    <w:p>
      <w:pPr>
        <w:pStyle w:val="BodyText"/>
        <w:rPr>
          <w:b/>
          <w:sz w:val="20"/>
        </w:rPr>
      </w:pPr>
    </w:p>
    <w:p>
      <w:pPr>
        <w:pStyle w:val="BodyText"/>
        <w:spacing w:before="10"/>
        <w:rPr>
          <w:b/>
          <w:sz w:val="1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9"/>
        <w:gridCol w:w="1595"/>
        <w:gridCol w:w="2398"/>
        <w:gridCol w:w="1514"/>
        <w:gridCol w:w="2135"/>
      </w:tblGrid>
      <w:tr>
        <w:trPr>
          <w:trHeight w:val="677" w:hRule="exact"/>
        </w:trPr>
        <w:tc>
          <w:tcPr>
            <w:tcW w:w="889" w:type="dxa"/>
            <w:tcBorders>
              <w:left w:val="nil"/>
              <w:right w:val="nil"/>
            </w:tcBorders>
          </w:tcPr>
          <w:p>
            <w:pPr>
              <w:pStyle w:val="TableParagraph"/>
              <w:spacing w:line="252" w:lineRule="exact"/>
              <w:ind w:left="108"/>
              <w:rPr>
                <w:b/>
                <w:sz w:val="22"/>
              </w:rPr>
            </w:pPr>
            <w:r>
              <w:rPr>
                <w:b/>
                <w:sz w:val="22"/>
              </w:rPr>
              <w:t>Código</w:t>
            </w:r>
          </w:p>
        </w:tc>
        <w:tc>
          <w:tcPr>
            <w:tcW w:w="1595" w:type="dxa"/>
            <w:tcBorders>
              <w:left w:val="nil"/>
              <w:right w:val="nil"/>
            </w:tcBorders>
          </w:tcPr>
          <w:p>
            <w:pPr>
              <w:pStyle w:val="TableParagraph"/>
              <w:spacing w:line="252" w:lineRule="exact"/>
              <w:ind w:left="107"/>
              <w:rPr>
                <w:b/>
                <w:sz w:val="22"/>
              </w:rPr>
            </w:pPr>
            <w:r>
              <w:rPr>
                <w:b/>
                <w:sz w:val="22"/>
              </w:rPr>
              <w:t>Híbrido</w:t>
            </w:r>
          </w:p>
        </w:tc>
        <w:tc>
          <w:tcPr>
            <w:tcW w:w="2398" w:type="dxa"/>
            <w:tcBorders>
              <w:left w:val="nil"/>
              <w:right w:val="nil"/>
            </w:tcBorders>
          </w:tcPr>
          <w:p>
            <w:pPr>
              <w:pStyle w:val="TableParagraph"/>
              <w:spacing w:line="252" w:lineRule="exact"/>
              <w:ind w:left="269"/>
              <w:rPr>
                <w:b/>
                <w:sz w:val="22"/>
              </w:rPr>
            </w:pPr>
            <w:r>
              <w:rPr>
                <w:b/>
                <w:sz w:val="22"/>
              </w:rPr>
              <w:t>Procedencia</w:t>
            </w:r>
          </w:p>
        </w:tc>
        <w:tc>
          <w:tcPr>
            <w:tcW w:w="1514" w:type="dxa"/>
            <w:tcBorders>
              <w:left w:val="nil"/>
              <w:right w:val="nil"/>
            </w:tcBorders>
          </w:tcPr>
          <w:p>
            <w:pPr>
              <w:pStyle w:val="TableParagraph"/>
              <w:spacing w:line="252" w:lineRule="exact"/>
              <w:ind w:left="182"/>
              <w:rPr>
                <w:b/>
                <w:sz w:val="22"/>
              </w:rPr>
            </w:pPr>
            <w:r>
              <w:rPr>
                <w:b/>
                <w:sz w:val="22"/>
              </w:rPr>
              <w:t>Tipo</w:t>
            </w:r>
          </w:p>
        </w:tc>
        <w:tc>
          <w:tcPr>
            <w:tcW w:w="2135" w:type="dxa"/>
            <w:tcBorders>
              <w:left w:val="nil"/>
              <w:right w:val="nil"/>
            </w:tcBorders>
          </w:tcPr>
          <w:p>
            <w:pPr>
              <w:pStyle w:val="TableParagraph"/>
              <w:spacing w:line="252" w:lineRule="exact"/>
              <w:ind w:left="547"/>
              <w:rPr>
                <w:b/>
                <w:sz w:val="22"/>
              </w:rPr>
            </w:pPr>
            <w:r>
              <w:rPr>
                <w:b/>
                <w:sz w:val="22"/>
              </w:rPr>
              <w:t>Color del grano</w:t>
            </w:r>
          </w:p>
        </w:tc>
      </w:tr>
      <w:tr>
        <w:trPr>
          <w:trHeight w:val="470" w:hRule="exact"/>
        </w:trPr>
        <w:tc>
          <w:tcPr>
            <w:tcW w:w="889" w:type="dxa"/>
            <w:tcBorders>
              <w:left w:val="nil"/>
              <w:bottom w:val="nil"/>
              <w:right w:val="nil"/>
            </w:tcBorders>
          </w:tcPr>
          <w:p>
            <w:pPr>
              <w:pStyle w:val="TableParagraph"/>
              <w:spacing w:line="247" w:lineRule="exact"/>
              <w:ind w:left="108"/>
              <w:rPr>
                <w:sz w:val="22"/>
              </w:rPr>
            </w:pPr>
            <w:r>
              <w:rPr>
                <w:w w:val="100"/>
                <w:sz w:val="22"/>
              </w:rPr>
              <w:t>1</w:t>
            </w:r>
          </w:p>
        </w:tc>
        <w:tc>
          <w:tcPr>
            <w:tcW w:w="1595" w:type="dxa"/>
            <w:tcBorders>
              <w:left w:val="nil"/>
              <w:bottom w:val="nil"/>
              <w:right w:val="nil"/>
            </w:tcBorders>
          </w:tcPr>
          <w:p>
            <w:pPr>
              <w:pStyle w:val="TableParagraph"/>
              <w:spacing w:line="247" w:lineRule="exact"/>
              <w:ind w:left="107"/>
              <w:rPr>
                <w:sz w:val="22"/>
              </w:rPr>
            </w:pPr>
            <w:r>
              <w:rPr>
                <w:sz w:val="22"/>
              </w:rPr>
              <w:t>S-4(30)</w:t>
            </w:r>
          </w:p>
        </w:tc>
        <w:tc>
          <w:tcPr>
            <w:tcW w:w="2398" w:type="dxa"/>
            <w:tcBorders>
              <w:left w:val="nil"/>
              <w:bottom w:val="nil"/>
              <w:right w:val="nil"/>
            </w:tcBorders>
          </w:tcPr>
          <w:p>
            <w:pPr>
              <w:pStyle w:val="TableParagraph"/>
              <w:spacing w:line="247" w:lineRule="exact"/>
              <w:ind w:left="269"/>
              <w:rPr>
                <w:sz w:val="22"/>
              </w:rPr>
            </w:pPr>
            <w:r>
              <w:rPr>
                <w:sz w:val="22"/>
              </w:rPr>
              <w:t>ICAMEX</w:t>
            </w:r>
          </w:p>
        </w:tc>
        <w:tc>
          <w:tcPr>
            <w:tcW w:w="1514" w:type="dxa"/>
            <w:tcBorders>
              <w:left w:val="nil"/>
              <w:bottom w:val="nil"/>
              <w:right w:val="nil"/>
            </w:tcBorders>
          </w:tcPr>
          <w:p>
            <w:pPr>
              <w:pStyle w:val="TableParagraph"/>
              <w:spacing w:line="247" w:lineRule="exact"/>
              <w:ind w:left="182"/>
              <w:rPr>
                <w:sz w:val="22"/>
              </w:rPr>
            </w:pPr>
            <w:r>
              <w:rPr>
                <w:sz w:val="22"/>
              </w:rPr>
              <w:t>Sintético</w:t>
            </w:r>
          </w:p>
        </w:tc>
        <w:tc>
          <w:tcPr>
            <w:tcW w:w="2135" w:type="dxa"/>
            <w:tcBorders>
              <w:left w:val="nil"/>
              <w:bottom w:val="nil"/>
              <w:right w:val="nil"/>
            </w:tcBorders>
          </w:tcPr>
          <w:p>
            <w:pPr>
              <w:pStyle w:val="TableParagraph"/>
              <w:spacing w:line="247" w:lineRule="exact"/>
              <w:ind w:left="547"/>
              <w:rPr>
                <w:sz w:val="22"/>
              </w:rPr>
            </w:pPr>
            <w:r>
              <w:rPr>
                <w:sz w:val="22"/>
              </w:rPr>
              <w:t>Amarillo</w:t>
            </w:r>
          </w:p>
        </w:tc>
      </w:tr>
      <w:tr>
        <w:trPr>
          <w:trHeight w:val="666" w:hRule="exact"/>
        </w:trPr>
        <w:tc>
          <w:tcPr>
            <w:tcW w:w="889" w:type="dxa"/>
            <w:tcBorders>
              <w:top w:val="nil"/>
              <w:left w:val="nil"/>
              <w:bottom w:val="nil"/>
              <w:right w:val="nil"/>
            </w:tcBorders>
          </w:tcPr>
          <w:p>
            <w:pPr>
              <w:pStyle w:val="TableParagraph"/>
              <w:spacing w:before="195"/>
              <w:ind w:left="108"/>
              <w:rPr>
                <w:sz w:val="22"/>
              </w:rPr>
            </w:pPr>
            <w:r>
              <w:rPr>
                <w:w w:val="100"/>
                <w:sz w:val="22"/>
              </w:rPr>
              <w:t>9</w:t>
            </w:r>
          </w:p>
        </w:tc>
        <w:tc>
          <w:tcPr>
            <w:tcW w:w="1595" w:type="dxa"/>
            <w:tcBorders>
              <w:top w:val="nil"/>
              <w:left w:val="nil"/>
              <w:bottom w:val="nil"/>
              <w:right w:val="nil"/>
            </w:tcBorders>
          </w:tcPr>
          <w:p>
            <w:pPr>
              <w:pStyle w:val="TableParagraph"/>
              <w:spacing w:before="195"/>
              <w:ind w:left="107"/>
              <w:rPr>
                <w:sz w:val="22"/>
              </w:rPr>
            </w:pPr>
            <w:r>
              <w:rPr>
                <w:sz w:val="22"/>
              </w:rPr>
              <w:t>Insurgente</w:t>
            </w:r>
          </w:p>
        </w:tc>
        <w:tc>
          <w:tcPr>
            <w:tcW w:w="2398" w:type="dxa"/>
            <w:tcBorders>
              <w:top w:val="nil"/>
              <w:left w:val="nil"/>
              <w:bottom w:val="nil"/>
              <w:right w:val="nil"/>
            </w:tcBorders>
          </w:tcPr>
          <w:p>
            <w:pPr>
              <w:pStyle w:val="TableParagraph"/>
              <w:spacing w:before="195"/>
              <w:ind w:left="269"/>
              <w:rPr>
                <w:sz w:val="22"/>
              </w:rPr>
            </w:pPr>
            <w:r>
              <w:rPr>
                <w:sz w:val="22"/>
              </w:rPr>
              <w:t>ICAMEX</w:t>
            </w:r>
          </w:p>
        </w:tc>
        <w:tc>
          <w:tcPr>
            <w:tcW w:w="1514" w:type="dxa"/>
            <w:tcBorders>
              <w:top w:val="nil"/>
              <w:left w:val="nil"/>
              <w:bottom w:val="nil"/>
              <w:right w:val="nil"/>
            </w:tcBorders>
          </w:tcPr>
          <w:p>
            <w:pPr>
              <w:pStyle w:val="TableParagraph"/>
              <w:spacing w:before="195"/>
              <w:ind w:left="182"/>
              <w:rPr>
                <w:sz w:val="22"/>
              </w:rPr>
            </w:pPr>
            <w:r>
              <w:rPr>
                <w:sz w:val="22"/>
              </w:rPr>
              <w:t>Triple</w:t>
            </w:r>
          </w:p>
        </w:tc>
        <w:tc>
          <w:tcPr>
            <w:tcW w:w="2135" w:type="dxa"/>
            <w:tcBorders>
              <w:top w:val="nil"/>
              <w:left w:val="nil"/>
              <w:bottom w:val="nil"/>
              <w:right w:val="nil"/>
            </w:tcBorders>
          </w:tcPr>
          <w:p>
            <w:pPr>
              <w:pStyle w:val="TableParagraph"/>
              <w:spacing w:before="195"/>
              <w:ind w:left="547"/>
              <w:rPr>
                <w:sz w:val="22"/>
              </w:rPr>
            </w:pPr>
            <w:r>
              <w:rPr>
                <w:sz w:val="22"/>
              </w:rPr>
              <w:t>Amarillo</w:t>
            </w:r>
          </w:p>
        </w:tc>
      </w:tr>
      <w:tr>
        <w:trPr>
          <w:trHeight w:val="665" w:hRule="exact"/>
        </w:trPr>
        <w:tc>
          <w:tcPr>
            <w:tcW w:w="889" w:type="dxa"/>
            <w:tcBorders>
              <w:top w:val="nil"/>
              <w:left w:val="nil"/>
              <w:bottom w:val="nil"/>
              <w:right w:val="nil"/>
            </w:tcBorders>
          </w:tcPr>
          <w:p>
            <w:pPr>
              <w:pStyle w:val="TableParagraph"/>
              <w:spacing w:before="194"/>
              <w:ind w:left="108"/>
              <w:rPr>
                <w:sz w:val="22"/>
              </w:rPr>
            </w:pPr>
            <w:r>
              <w:rPr>
                <w:w w:val="100"/>
                <w:sz w:val="22"/>
              </w:rPr>
              <w:t>3</w:t>
            </w:r>
          </w:p>
        </w:tc>
        <w:tc>
          <w:tcPr>
            <w:tcW w:w="1595" w:type="dxa"/>
            <w:tcBorders>
              <w:top w:val="nil"/>
              <w:left w:val="nil"/>
              <w:bottom w:val="nil"/>
              <w:right w:val="nil"/>
            </w:tcBorders>
          </w:tcPr>
          <w:p>
            <w:pPr>
              <w:pStyle w:val="TableParagraph"/>
              <w:spacing w:before="194"/>
              <w:ind w:left="107"/>
              <w:rPr>
                <w:sz w:val="22"/>
              </w:rPr>
            </w:pPr>
            <w:r>
              <w:rPr>
                <w:sz w:val="22"/>
              </w:rPr>
              <w:t>P-1832</w:t>
            </w:r>
          </w:p>
        </w:tc>
        <w:tc>
          <w:tcPr>
            <w:tcW w:w="2398" w:type="dxa"/>
            <w:tcBorders>
              <w:top w:val="nil"/>
              <w:left w:val="nil"/>
              <w:bottom w:val="nil"/>
              <w:right w:val="nil"/>
            </w:tcBorders>
          </w:tcPr>
          <w:p>
            <w:pPr>
              <w:pStyle w:val="TableParagraph"/>
              <w:spacing w:before="194"/>
              <w:ind w:left="269"/>
              <w:rPr>
                <w:sz w:val="22"/>
              </w:rPr>
            </w:pPr>
            <w:r>
              <w:rPr>
                <w:sz w:val="22"/>
              </w:rPr>
              <w:t>Pioneer</w:t>
            </w:r>
          </w:p>
        </w:tc>
        <w:tc>
          <w:tcPr>
            <w:tcW w:w="1514" w:type="dxa"/>
            <w:tcBorders>
              <w:top w:val="nil"/>
              <w:left w:val="nil"/>
              <w:bottom w:val="nil"/>
              <w:right w:val="nil"/>
            </w:tcBorders>
          </w:tcPr>
          <w:p>
            <w:pPr>
              <w:pStyle w:val="TableParagraph"/>
              <w:spacing w:before="194"/>
              <w:ind w:left="182"/>
              <w:rPr>
                <w:sz w:val="22"/>
              </w:rPr>
            </w:pPr>
            <w:r>
              <w:rPr>
                <w:sz w:val="22"/>
              </w:rPr>
              <w:t>Triple</w:t>
            </w:r>
          </w:p>
        </w:tc>
        <w:tc>
          <w:tcPr>
            <w:tcW w:w="2135" w:type="dxa"/>
            <w:tcBorders>
              <w:top w:val="nil"/>
              <w:left w:val="nil"/>
              <w:bottom w:val="nil"/>
              <w:right w:val="nil"/>
            </w:tcBorders>
          </w:tcPr>
          <w:p>
            <w:pPr>
              <w:pStyle w:val="TableParagraph"/>
              <w:spacing w:before="194"/>
              <w:ind w:left="547"/>
              <w:rPr>
                <w:sz w:val="22"/>
              </w:rPr>
            </w:pPr>
            <w:r>
              <w:rPr>
                <w:sz w:val="22"/>
              </w:rPr>
              <w:t>Amarillo</w:t>
            </w:r>
          </w:p>
        </w:tc>
      </w:tr>
      <w:tr>
        <w:trPr>
          <w:trHeight w:val="666" w:hRule="exact"/>
        </w:trPr>
        <w:tc>
          <w:tcPr>
            <w:tcW w:w="889" w:type="dxa"/>
            <w:tcBorders>
              <w:top w:val="nil"/>
              <w:left w:val="nil"/>
              <w:bottom w:val="nil"/>
              <w:right w:val="nil"/>
            </w:tcBorders>
          </w:tcPr>
          <w:p>
            <w:pPr>
              <w:pStyle w:val="TableParagraph"/>
              <w:spacing w:before="194"/>
              <w:ind w:left="108"/>
              <w:rPr>
                <w:sz w:val="22"/>
              </w:rPr>
            </w:pPr>
            <w:r>
              <w:rPr>
                <w:w w:val="100"/>
                <w:sz w:val="22"/>
              </w:rPr>
              <w:t>4</w:t>
            </w:r>
          </w:p>
        </w:tc>
        <w:tc>
          <w:tcPr>
            <w:tcW w:w="1595" w:type="dxa"/>
            <w:tcBorders>
              <w:top w:val="nil"/>
              <w:left w:val="nil"/>
              <w:bottom w:val="nil"/>
              <w:right w:val="nil"/>
            </w:tcBorders>
          </w:tcPr>
          <w:p>
            <w:pPr>
              <w:pStyle w:val="TableParagraph"/>
              <w:spacing w:before="194"/>
              <w:ind w:left="107"/>
              <w:rPr>
                <w:sz w:val="22"/>
              </w:rPr>
            </w:pPr>
            <w:r>
              <w:rPr>
                <w:sz w:val="22"/>
              </w:rPr>
              <w:t>SBA-470</w:t>
            </w:r>
          </w:p>
        </w:tc>
        <w:tc>
          <w:tcPr>
            <w:tcW w:w="2398" w:type="dxa"/>
            <w:tcBorders>
              <w:top w:val="nil"/>
              <w:left w:val="nil"/>
              <w:bottom w:val="nil"/>
              <w:right w:val="nil"/>
            </w:tcBorders>
          </w:tcPr>
          <w:p>
            <w:pPr>
              <w:pStyle w:val="TableParagraph"/>
              <w:spacing w:before="194"/>
              <w:ind w:left="269"/>
              <w:rPr>
                <w:sz w:val="22"/>
              </w:rPr>
            </w:pPr>
            <w:r>
              <w:rPr>
                <w:sz w:val="22"/>
              </w:rPr>
              <w:t>Berentsen</w:t>
            </w:r>
          </w:p>
        </w:tc>
        <w:tc>
          <w:tcPr>
            <w:tcW w:w="1514" w:type="dxa"/>
            <w:tcBorders>
              <w:top w:val="nil"/>
              <w:left w:val="nil"/>
              <w:bottom w:val="nil"/>
              <w:right w:val="nil"/>
            </w:tcBorders>
          </w:tcPr>
          <w:p>
            <w:pPr>
              <w:pStyle w:val="TableParagraph"/>
              <w:spacing w:before="194"/>
              <w:ind w:left="182"/>
              <w:rPr>
                <w:sz w:val="22"/>
              </w:rPr>
            </w:pPr>
            <w:r>
              <w:rPr>
                <w:sz w:val="22"/>
              </w:rPr>
              <w:t>Triple</w:t>
            </w:r>
          </w:p>
        </w:tc>
        <w:tc>
          <w:tcPr>
            <w:tcW w:w="2135" w:type="dxa"/>
            <w:tcBorders>
              <w:top w:val="nil"/>
              <w:left w:val="nil"/>
              <w:bottom w:val="nil"/>
              <w:right w:val="nil"/>
            </w:tcBorders>
          </w:tcPr>
          <w:p>
            <w:pPr>
              <w:pStyle w:val="TableParagraph"/>
              <w:spacing w:before="194"/>
              <w:ind w:left="547"/>
              <w:rPr>
                <w:sz w:val="22"/>
              </w:rPr>
            </w:pPr>
            <w:r>
              <w:rPr>
                <w:sz w:val="22"/>
              </w:rPr>
              <w:t>Amarillo</w:t>
            </w:r>
          </w:p>
        </w:tc>
      </w:tr>
      <w:tr>
        <w:trPr>
          <w:trHeight w:val="666" w:hRule="exact"/>
        </w:trPr>
        <w:tc>
          <w:tcPr>
            <w:tcW w:w="889" w:type="dxa"/>
            <w:tcBorders>
              <w:top w:val="nil"/>
              <w:left w:val="nil"/>
              <w:bottom w:val="nil"/>
              <w:right w:val="nil"/>
            </w:tcBorders>
          </w:tcPr>
          <w:p>
            <w:pPr>
              <w:pStyle w:val="TableParagraph"/>
              <w:spacing w:before="195"/>
              <w:ind w:left="108"/>
              <w:rPr>
                <w:sz w:val="22"/>
              </w:rPr>
            </w:pPr>
            <w:r>
              <w:rPr>
                <w:w w:val="100"/>
                <w:sz w:val="22"/>
              </w:rPr>
              <w:t>5</w:t>
            </w:r>
          </w:p>
        </w:tc>
        <w:tc>
          <w:tcPr>
            <w:tcW w:w="1595" w:type="dxa"/>
            <w:tcBorders>
              <w:top w:val="nil"/>
              <w:left w:val="nil"/>
              <w:bottom w:val="nil"/>
              <w:right w:val="nil"/>
            </w:tcBorders>
          </w:tcPr>
          <w:p>
            <w:pPr>
              <w:pStyle w:val="TableParagraph"/>
              <w:spacing w:before="195"/>
              <w:ind w:left="107"/>
              <w:rPr>
                <w:sz w:val="22"/>
              </w:rPr>
            </w:pPr>
            <w:r>
              <w:rPr>
                <w:sz w:val="22"/>
              </w:rPr>
              <w:t>H-40</w:t>
            </w:r>
          </w:p>
        </w:tc>
        <w:tc>
          <w:tcPr>
            <w:tcW w:w="2398" w:type="dxa"/>
            <w:tcBorders>
              <w:top w:val="nil"/>
              <w:left w:val="nil"/>
              <w:bottom w:val="nil"/>
              <w:right w:val="nil"/>
            </w:tcBorders>
          </w:tcPr>
          <w:p>
            <w:pPr>
              <w:pStyle w:val="TableParagraph"/>
              <w:spacing w:before="195"/>
              <w:ind w:left="269"/>
              <w:rPr>
                <w:sz w:val="22"/>
              </w:rPr>
            </w:pPr>
            <w:r>
              <w:rPr>
                <w:sz w:val="22"/>
              </w:rPr>
              <w:t>INIFAP</w:t>
            </w:r>
          </w:p>
        </w:tc>
        <w:tc>
          <w:tcPr>
            <w:tcW w:w="1514" w:type="dxa"/>
            <w:tcBorders>
              <w:top w:val="nil"/>
              <w:left w:val="nil"/>
              <w:bottom w:val="nil"/>
              <w:right w:val="nil"/>
            </w:tcBorders>
          </w:tcPr>
          <w:p>
            <w:pPr>
              <w:pStyle w:val="TableParagraph"/>
              <w:spacing w:before="195"/>
              <w:ind w:left="182"/>
              <w:rPr>
                <w:sz w:val="22"/>
              </w:rPr>
            </w:pPr>
            <w:r>
              <w:rPr>
                <w:sz w:val="22"/>
              </w:rPr>
              <w:t>Triple</w:t>
            </w:r>
          </w:p>
        </w:tc>
        <w:tc>
          <w:tcPr>
            <w:tcW w:w="2135" w:type="dxa"/>
            <w:tcBorders>
              <w:top w:val="nil"/>
              <w:left w:val="nil"/>
              <w:bottom w:val="nil"/>
              <w:right w:val="nil"/>
            </w:tcBorders>
          </w:tcPr>
          <w:p>
            <w:pPr>
              <w:pStyle w:val="TableParagraph"/>
              <w:spacing w:before="195"/>
              <w:ind w:left="547"/>
              <w:rPr>
                <w:sz w:val="22"/>
              </w:rPr>
            </w:pPr>
            <w:r>
              <w:rPr>
                <w:sz w:val="22"/>
              </w:rPr>
              <w:t>Blanco</w:t>
            </w:r>
          </w:p>
        </w:tc>
      </w:tr>
      <w:tr>
        <w:trPr>
          <w:trHeight w:val="666" w:hRule="exact"/>
        </w:trPr>
        <w:tc>
          <w:tcPr>
            <w:tcW w:w="889" w:type="dxa"/>
            <w:tcBorders>
              <w:top w:val="nil"/>
              <w:left w:val="nil"/>
              <w:bottom w:val="nil"/>
              <w:right w:val="nil"/>
            </w:tcBorders>
          </w:tcPr>
          <w:p>
            <w:pPr>
              <w:pStyle w:val="TableParagraph"/>
              <w:spacing w:before="194"/>
              <w:ind w:left="108"/>
              <w:rPr>
                <w:sz w:val="22"/>
              </w:rPr>
            </w:pPr>
            <w:r>
              <w:rPr>
                <w:w w:val="100"/>
                <w:sz w:val="22"/>
              </w:rPr>
              <w:t>6</w:t>
            </w:r>
          </w:p>
        </w:tc>
        <w:tc>
          <w:tcPr>
            <w:tcW w:w="1595" w:type="dxa"/>
            <w:tcBorders>
              <w:top w:val="nil"/>
              <w:left w:val="nil"/>
              <w:bottom w:val="nil"/>
              <w:right w:val="nil"/>
            </w:tcBorders>
          </w:tcPr>
          <w:p>
            <w:pPr>
              <w:pStyle w:val="TableParagraph"/>
              <w:spacing w:before="194"/>
              <w:ind w:left="107"/>
              <w:rPr>
                <w:sz w:val="22"/>
              </w:rPr>
            </w:pPr>
            <w:r>
              <w:rPr>
                <w:sz w:val="22"/>
              </w:rPr>
              <w:t>H-159</w:t>
            </w:r>
          </w:p>
        </w:tc>
        <w:tc>
          <w:tcPr>
            <w:tcW w:w="2398" w:type="dxa"/>
            <w:tcBorders>
              <w:top w:val="nil"/>
              <w:left w:val="nil"/>
              <w:bottom w:val="nil"/>
              <w:right w:val="nil"/>
            </w:tcBorders>
          </w:tcPr>
          <w:p>
            <w:pPr>
              <w:pStyle w:val="TableParagraph"/>
              <w:spacing w:before="194"/>
              <w:ind w:left="269"/>
              <w:rPr>
                <w:sz w:val="22"/>
              </w:rPr>
            </w:pPr>
            <w:r>
              <w:rPr>
                <w:sz w:val="22"/>
              </w:rPr>
              <w:t>INIFAP</w:t>
            </w:r>
          </w:p>
        </w:tc>
        <w:tc>
          <w:tcPr>
            <w:tcW w:w="1514" w:type="dxa"/>
            <w:tcBorders>
              <w:top w:val="nil"/>
              <w:left w:val="nil"/>
              <w:bottom w:val="nil"/>
              <w:right w:val="nil"/>
            </w:tcBorders>
          </w:tcPr>
          <w:p>
            <w:pPr>
              <w:pStyle w:val="TableParagraph"/>
              <w:spacing w:before="194"/>
              <w:ind w:left="182"/>
              <w:rPr>
                <w:sz w:val="22"/>
              </w:rPr>
            </w:pPr>
            <w:r>
              <w:rPr>
                <w:sz w:val="22"/>
              </w:rPr>
              <w:t>Triple</w:t>
            </w:r>
          </w:p>
        </w:tc>
        <w:tc>
          <w:tcPr>
            <w:tcW w:w="2135" w:type="dxa"/>
            <w:tcBorders>
              <w:top w:val="nil"/>
              <w:left w:val="nil"/>
              <w:bottom w:val="nil"/>
              <w:right w:val="nil"/>
            </w:tcBorders>
          </w:tcPr>
          <w:p>
            <w:pPr>
              <w:pStyle w:val="TableParagraph"/>
              <w:spacing w:before="194"/>
              <w:ind w:left="547"/>
              <w:rPr>
                <w:sz w:val="22"/>
              </w:rPr>
            </w:pPr>
            <w:r>
              <w:rPr>
                <w:sz w:val="22"/>
              </w:rPr>
              <w:t>Blanco</w:t>
            </w:r>
          </w:p>
        </w:tc>
      </w:tr>
      <w:tr>
        <w:trPr>
          <w:trHeight w:val="666" w:hRule="exact"/>
        </w:trPr>
        <w:tc>
          <w:tcPr>
            <w:tcW w:w="889" w:type="dxa"/>
            <w:tcBorders>
              <w:top w:val="nil"/>
              <w:left w:val="nil"/>
              <w:bottom w:val="nil"/>
              <w:right w:val="nil"/>
            </w:tcBorders>
          </w:tcPr>
          <w:p>
            <w:pPr>
              <w:pStyle w:val="TableParagraph"/>
              <w:spacing w:before="195"/>
              <w:ind w:left="108"/>
              <w:rPr>
                <w:sz w:val="22"/>
              </w:rPr>
            </w:pPr>
            <w:r>
              <w:rPr>
                <w:w w:val="100"/>
                <w:sz w:val="22"/>
              </w:rPr>
              <w:t>7</w:t>
            </w:r>
          </w:p>
        </w:tc>
        <w:tc>
          <w:tcPr>
            <w:tcW w:w="1595" w:type="dxa"/>
            <w:tcBorders>
              <w:top w:val="nil"/>
              <w:left w:val="nil"/>
              <w:bottom w:val="nil"/>
              <w:right w:val="nil"/>
            </w:tcBorders>
          </w:tcPr>
          <w:p>
            <w:pPr>
              <w:pStyle w:val="TableParagraph"/>
              <w:spacing w:before="195"/>
              <w:ind w:left="107"/>
              <w:rPr>
                <w:sz w:val="22"/>
              </w:rPr>
            </w:pPr>
            <w:r>
              <w:rPr>
                <w:sz w:val="22"/>
              </w:rPr>
              <w:t>AS-722</w:t>
            </w:r>
          </w:p>
        </w:tc>
        <w:tc>
          <w:tcPr>
            <w:tcW w:w="2398" w:type="dxa"/>
            <w:tcBorders>
              <w:top w:val="nil"/>
              <w:left w:val="nil"/>
              <w:bottom w:val="nil"/>
              <w:right w:val="nil"/>
            </w:tcBorders>
          </w:tcPr>
          <w:p>
            <w:pPr>
              <w:pStyle w:val="TableParagraph"/>
              <w:spacing w:before="195"/>
              <w:ind w:left="269"/>
              <w:rPr>
                <w:sz w:val="22"/>
              </w:rPr>
            </w:pPr>
            <w:r>
              <w:rPr>
                <w:sz w:val="22"/>
              </w:rPr>
              <w:t>ASPROS</w:t>
            </w:r>
          </w:p>
        </w:tc>
        <w:tc>
          <w:tcPr>
            <w:tcW w:w="1514" w:type="dxa"/>
            <w:tcBorders>
              <w:top w:val="nil"/>
              <w:left w:val="nil"/>
              <w:bottom w:val="nil"/>
              <w:right w:val="nil"/>
            </w:tcBorders>
          </w:tcPr>
          <w:p>
            <w:pPr>
              <w:pStyle w:val="TableParagraph"/>
              <w:spacing w:before="195"/>
              <w:ind w:left="182"/>
              <w:rPr>
                <w:sz w:val="22"/>
              </w:rPr>
            </w:pPr>
            <w:r>
              <w:rPr>
                <w:sz w:val="22"/>
              </w:rPr>
              <w:t>Triple</w:t>
            </w:r>
          </w:p>
        </w:tc>
        <w:tc>
          <w:tcPr>
            <w:tcW w:w="2135" w:type="dxa"/>
            <w:tcBorders>
              <w:top w:val="nil"/>
              <w:left w:val="nil"/>
              <w:bottom w:val="nil"/>
              <w:right w:val="nil"/>
            </w:tcBorders>
          </w:tcPr>
          <w:p>
            <w:pPr>
              <w:pStyle w:val="TableParagraph"/>
              <w:spacing w:before="195"/>
              <w:ind w:left="547"/>
              <w:rPr>
                <w:sz w:val="22"/>
              </w:rPr>
            </w:pPr>
            <w:r>
              <w:rPr>
                <w:sz w:val="22"/>
              </w:rPr>
              <w:t>Blanco</w:t>
            </w:r>
          </w:p>
        </w:tc>
      </w:tr>
      <w:tr>
        <w:trPr>
          <w:trHeight w:val="666" w:hRule="exact"/>
        </w:trPr>
        <w:tc>
          <w:tcPr>
            <w:tcW w:w="889" w:type="dxa"/>
            <w:tcBorders>
              <w:top w:val="nil"/>
              <w:left w:val="nil"/>
              <w:bottom w:val="nil"/>
              <w:right w:val="nil"/>
            </w:tcBorders>
          </w:tcPr>
          <w:p>
            <w:pPr>
              <w:pStyle w:val="TableParagraph"/>
              <w:spacing w:before="194"/>
              <w:ind w:left="108"/>
              <w:rPr>
                <w:sz w:val="22"/>
              </w:rPr>
            </w:pPr>
            <w:r>
              <w:rPr>
                <w:w w:val="100"/>
                <w:sz w:val="22"/>
              </w:rPr>
              <w:t>8</w:t>
            </w:r>
          </w:p>
        </w:tc>
        <w:tc>
          <w:tcPr>
            <w:tcW w:w="1595" w:type="dxa"/>
            <w:tcBorders>
              <w:top w:val="nil"/>
              <w:left w:val="nil"/>
              <w:bottom w:val="nil"/>
              <w:right w:val="nil"/>
            </w:tcBorders>
          </w:tcPr>
          <w:p>
            <w:pPr>
              <w:pStyle w:val="TableParagraph"/>
              <w:spacing w:before="194"/>
              <w:ind w:left="107"/>
              <w:rPr>
                <w:sz w:val="22"/>
              </w:rPr>
            </w:pPr>
            <w:r>
              <w:rPr>
                <w:sz w:val="22"/>
              </w:rPr>
              <w:t>AS-820</w:t>
            </w:r>
          </w:p>
        </w:tc>
        <w:tc>
          <w:tcPr>
            <w:tcW w:w="2398" w:type="dxa"/>
            <w:tcBorders>
              <w:top w:val="nil"/>
              <w:left w:val="nil"/>
              <w:bottom w:val="nil"/>
              <w:right w:val="nil"/>
            </w:tcBorders>
          </w:tcPr>
          <w:p>
            <w:pPr>
              <w:pStyle w:val="TableParagraph"/>
              <w:spacing w:before="194"/>
              <w:ind w:left="269"/>
              <w:rPr>
                <w:sz w:val="22"/>
              </w:rPr>
            </w:pPr>
            <w:r>
              <w:rPr>
                <w:sz w:val="22"/>
              </w:rPr>
              <w:t>ASPROS</w:t>
            </w:r>
          </w:p>
        </w:tc>
        <w:tc>
          <w:tcPr>
            <w:tcW w:w="1514" w:type="dxa"/>
            <w:tcBorders>
              <w:top w:val="nil"/>
              <w:left w:val="nil"/>
              <w:bottom w:val="nil"/>
              <w:right w:val="nil"/>
            </w:tcBorders>
          </w:tcPr>
          <w:p>
            <w:pPr>
              <w:pStyle w:val="TableParagraph"/>
              <w:spacing w:before="194"/>
              <w:ind w:left="182"/>
              <w:rPr>
                <w:sz w:val="22"/>
              </w:rPr>
            </w:pPr>
            <w:r>
              <w:rPr>
                <w:sz w:val="22"/>
              </w:rPr>
              <w:t>Triple</w:t>
            </w:r>
          </w:p>
        </w:tc>
        <w:tc>
          <w:tcPr>
            <w:tcW w:w="2135" w:type="dxa"/>
            <w:tcBorders>
              <w:top w:val="nil"/>
              <w:left w:val="nil"/>
              <w:bottom w:val="nil"/>
              <w:right w:val="nil"/>
            </w:tcBorders>
          </w:tcPr>
          <w:p>
            <w:pPr>
              <w:pStyle w:val="TableParagraph"/>
              <w:spacing w:before="194"/>
              <w:ind w:left="547"/>
              <w:rPr>
                <w:sz w:val="22"/>
              </w:rPr>
            </w:pPr>
            <w:r>
              <w:rPr>
                <w:sz w:val="22"/>
              </w:rPr>
              <w:t>Blanco</w:t>
            </w:r>
          </w:p>
        </w:tc>
      </w:tr>
      <w:tr>
        <w:trPr>
          <w:trHeight w:val="666" w:hRule="exact"/>
        </w:trPr>
        <w:tc>
          <w:tcPr>
            <w:tcW w:w="889" w:type="dxa"/>
            <w:tcBorders>
              <w:top w:val="nil"/>
              <w:left w:val="nil"/>
              <w:bottom w:val="nil"/>
              <w:right w:val="nil"/>
            </w:tcBorders>
          </w:tcPr>
          <w:p>
            <w:pPr>
              <w:pStyle w:val="TableParagraph"/>
              <w:spacing w:before="195"/>
              <w:ind w:left="108"/>
              <w:rPr>
                <w:sz w:val="22"/>
              </w:rPr>
            </w:pPr>
            <w:r>
              <w:rPr>
                <w:w w:val="100"/>
                <w:sz w:val="22"/>
              </w:rPr>
              <w:t>2</w:t>
            </w:r>
          </w:p>
        </w:tc>
        <w:tc>
          <w:tcPr>
            <w:tcW w:w="1595" w:type="dxa"/>
            <w:tcBorders>
              <w:top w:val="nil"/>
              <w:left w:val="nil"/>
              <w:bottom w:val="nil"/>
              <w:right w:val="nil"/>
            </w:tcBorders>
          </w:tcPr>
          <w:p>
            <w:pPr>
              <w:pStyle w:val="TableParagraph"/>
              <w:spacing w:before="195"/>
              <w:ind w:left="107"/>
              <w:rPr>
                <w:sz w:val="22"/>
              </w:rPr>
            </w:pPr>
            <w:r>
              <w:rPr>
                <w:sz w:val="22"/>
              </w:rPr>
              <w:t>Victoria</w:t>
            </w:r>
          </w:p>
        </w:tc>
        <w:tc>
          <w:tcPr>
            <w:tcW w:w="2398" w:type="dxa"/>
            <w:tcBorders>
              <w:top w:val="nil"/>
              <w:left w:val="nil"/>
              <w:bottom w:val="nil"/>
              <w:right w:val="nil"/>
            </w:tcBorders>
          </w:tcPr>
          <w:p>
            <w:pPr>
              <w:pStyle w:val="TableParagraph"/>
              <w:spacing w:before="195"/>
              <w:ind w:left="269"/>
              <w:rPr>
                <w:sz w:val="22"/>
              </w:rPr>
            </w:pPr>
            <w:r>
              <w:rPr>
                <w:sz w:val="22"/>
              </w:rPr>
              <w:t>ICAMEX</w:t>
            </w:r>
          </w:p>
        </w:tc>
        <w:tc>
          <w:tcPr>
            <w:tcW w:w="1514" w:type="dxa"/>
            <w:tcBorders>
              <w:top w:val="nil"/>
              <w:left w:val="nil"/>
              <w:bottom w:val="nil"/>
              <w:right w:val="nil"/>
            </w:tcBorders>
          </w:tcPr>
          <w:p>
            <w:pPr>
              <w:pStyle w:val="TableParagraph"/>
              <w:spacing w:before="195"/>
              <w:ind w:left="182"/>
              <w:rPr>
                <w:sz w:val="22"/>
              </w:rPr>
            </w:pPr>
            <w:r>
              <w:rPr>
                <w:sz w:val="22"/>
              </w:rPr>
              <w:t>Simple</w:t>
            </w:r>
          </w:p>
        </w:tc>
        <w:tc>
          <w:tcPr>
            <w:tcW w:w="2135" w:type="dxa"/>
            <w:tcBorders>
              <w:top w:val="nil"/>
              <w:left w:val="nil"/>
              <w:bottom w:val="nil"/>
              <w:right w:val="nil"/>
            </w:tcBorders>
          </w:tcPr>
          <w:p>
            <w:pPr>
              <w:pStyle w:val="TableParagraph"/>
              <w:spacing w:before="195"/>
              <w:ind w:left="547"/>
              <w:rPr>
                <w:sz w:val="22"/>
              </w:rPr>
            </w:pPr>
            <w:r>
              <w:rPr>
                <w:sz w:val="22"/>
              </w:rPr>
              <w:t>Blanco</w:t>
            </w:r>
          </w:p>
        </w:tc>
      </w:tr>
      <w:tr>
        <w:trPr>
          <w:trHeight w:val="668" w:hRule="exact"/>
        </w:trPr>
        <w:tc>
          <w:tcPr>
            <w:tcW w:w="889" w:type="dxa"/>
            <w:tcBorders>
              <w:top w:val="nil"/>
              <w:left w:val="nil"/>
              <w:bottom w:val="nil"/>
              <w:right w:val="nil"/>
            </w:tcBorders>
          </w:tcPr>
          <w:p>
            <w:pPr>
              <w:pStyle w:val="TableParagraph"/>
              <w:spacing w:before="194"/>
              <w:ind w:left="108"/>
              <w:rPr>
                <w:sz w:val="22"/>
              </w:rPr>
            </w:pPr>
            <w:r>
              <w:rPr>
                <w:sz w:val="22"/>
              </w:rPr>
              <w:t>11</w:t>
            </w:r>
          </w:p>
        </w:tc>
        <w:tc>
          <w:tcPr>
            <w:tcW w:w="1595" w:type="dxa"/>
            <w:tcBorders>
              <w:top w:val="nil"/>
              <w:left w:val="nil"/>
              <w:bottom w:val="nil"/>
              <w:right w:val="nil"/>
            </w:tcBorders>
          </w:tcPr>
          <w:p>
            <w:pPr>
              <w:pStyle w:val="TableParagraph"/>
              <w:spacing w:before="194"/>
              <w:ind w:left="107"/>
              <w:rPr>
                <w:sz w:val="22"/>
              </w:rPr>
            </w:pPr>
            <w:r>
              <w:rPr>
                <w:sz w:val="22"/>
              </w:rPr>
              <w:t>P-804W</w:t>
            </w:r>
          </w:p>
        </w:tc>
        <w:tc>
          <w:tcPr>
            <w:tcW w:w="2398" w:type="dxa"/>
            <w:tcBorders>
              <w:top w:val="nil"/>
              <w:left w:val="nil"/>
              <w:bottom w:val="nil"/>
              <w:right w:val="nil"/>
            </w:tcBorders>
          </w:tcPr>
          <w:p>
            <w:pPr>
              <w:pStyle w:val="TableParagraph"/>
              <w:spacing w:before="194"/>
              <w:ind w:left="269"/>
              <w:rPr>
                <w:sz w:val="22"/>
              </w:rPr>
            </w:pPr>
            <w:r>
              <w:rPr>
                <w:sz w:val="22"/>
              </w:rPr>
              <w:t>Pioneer</w:t>
            </w:r>
          </w:p>
        </w:tc>
        <w:tc>
          <w:tcPr>
            <w:tcW w:w="1514" w:type="dxa"/>
            <w:tcBorders>
              <w:top w:val="nil"/>
              <w:left w:val="nil"/>
              <w:bottom w:val="nil"/>
              <w:right w:val="nil"/>
            </w:tcBorders>
          </w:tcPr>
          <w:p>
            <w:pPr>
              <w:pStyle w:val="TableParagraph"/>
              <w:spacing w:before="194"/>
              <w:ind w:left="182"/>
              <w:rPr>
                <w:sz w:val="22"/>
              </w:rPr>
            </w:pPr>
            <w:r>
              <w:rPr>
                <w:sz w:val="22"/>
              </w:rPr>
              <w:t>Triple</w:t>
            </w:r>
          </w:p>
        </w:tc>
        <w:tc>
          <w:tcPr>
            <w:tcW w:w="2135" w:type="dxa"/>
            <w:tcBorders>
              <w:top w:val="nil"/>
              <w:left w:val="nil"/>
              <w:bottom w:val="nil"/>
              <w:right w:val="nil"/>
            </w:tcBorders>
          </w:tcPr>
          <w:p>
            <w:pPr>
              <w:pStyle w:val="TableParagraph"/>
              <w:spacing w:before="194"/>
              <w:ind w:left="547"/>
              <w:rPr>
                <w:sz w:val="22"/>
              </w:rPr>
            </w:pPr>
            <w:r>
              <w:rPr>
                <w:sz w:val="22"/>
              </w:rPr>
              <w:t>Blanco</w:t>
            </w:r>
          </w:p>
        </w:tc>
      </w:tr>
      <w:tr>
        <w:trPr>
          <w:trHeight w:val="666" w:hRule="exact"/>
        </w:trPr>
        <w:tc>
          <w:tcPr>
            <w:tcW w:w="889" w:type="dxa"/>
            <w:tcBorders>
              <w:top w:val="nil"/>
              <w:left w:val="nil"/>
              <w:bottom w:val="nil"/>
              <w:right w:val="nil"/>
            </w:tcBorders>
          </w:tcPr>
          <w:p>
            <w:pPr/>
          </w:p>
        </w:tc>
        <w:tc>
          <w:tcPr>
            <w:tcW w:w="1595" w:type="dxa"/>
            <w:tcBorders>
              <w:top w:val="nil"/>
              <w:left w:val="nil"/>
              <w:bottom w:val="nil"/>
              <w:right w:val="nil"/>
            </w:tcBorders>
          </w:tcPr>
          <w:p>
            <w:pPr>
              <w:pStyle w:val="TableParagraph"/>
              <w:spacing w:before="198"/>
              <w:ind w:left="107"/>
              <w:rPr>
                <w:b/>
                <w:sz w:val="22"/>
              </w:rPr>
            </w:pPr>
            <w:r>
              <w:rPr>
                <w:b/>
                <w:sz w:val="22"/>
              </w:rPr>
              <w:t>Variedad</w:t>
            </w:r>
          </w:p>
        </w:tc>
        <w:tc>
          <w:tcPr>
            <w:tcW w:w="2398" w:type="dxa"/>
            <w:tcBorders>
              <w:top w:val="nil"/>
              <w:left w:val="nil"/>
              <w:bottom w:val="nil"/>
              <w:right w:val="nil"/>
            </w:tcBorders>
          </w:tcPr>
          <w:p>
            <w:pPr>
              <w:pStyle w:val="TableParagraph"/>
              <w:spacing w:before="198"/>
              <w:ind w:left="269"/>
              <w:rPr>
                <w:b/>
                <w:sz w:val="22"/>
              </w:rPr>
            </w:pPr>
            <w:r>
              <w:rPr>
                <w:b/>
                <w:sz w:val="22"/>
              </w:rPr>
              <w:t>Municipio de colecta</w:t>
            </w:r>
          </w:p>
        </w:tc>
        <w:tc>
          <w:tcPr>
            <w:tcW w:w="1514" w:type="dxa"/>
            <w:tcBorders>
              <w:top w:val="nil"/>
              <w:left w:val="nil"/>
              <w:bottom w:val="nil"/>
              <w:right w:val="nil"/>
            </w:tcBorders>
          </w:tcPr>
          <w:p>
            <w:pPr>
              <w:pStyle w:val="TableParagraph"/>
              <w:spacing w:before="198"/>
              <w:ind w:left="182"/>
              <w:rPr>
                <w:b/>
                <w:sz w:val="22"/>
              </w:rPr>
            </w:pPr>
            <w:r>
              <w:rPr>
                <w:b/>
                <w:sz w:val="22"/>
              </w:rPr>
              <w:t>Raza*</w:t>
            </w:r>
          </w:p>
        </w:tc>
        <w:tc>
          <w:tcPr>
            <w:tcW w:w="2135" w:type="dxa"/>
            <w:tcBorders>
              <w:top w:val="nil"/>
              <w:left w:val="nil"/>
              <w:bottom w:val="nil"/>
              <w:right w:val="nil"/>
            </w:tcBorders>
          </w:tcPr>
          <w:p>
            <w:pPr/>
          </w:p>
        </w:tc>
      </w:tr>
      <w:tr>
        <w:trPr>
          <w:trHeight w:val="664" w:hRule="exact"/>
        </w:trPr>
        <w:tc>
          <w:tcPr>
            <w:tcW w:w="889" w:type="dxa"/>
            <w:tcBorders>
              <w:top w:val="nil"/>
              <w:left w:val="nil"/>
              <w:bottom w:val="nil"/>
              <w:right w:val="nil"/>
            </w:tcBorders>
          </w:tcPr>
          <w:p>
            <w:pPr>
              <w:pStyle w:val="TableParagraph"/>
              <w:spacing w:before="192"/>
              <w:ind w:left="108"/>
              <w:rPr>
                <w:sz w:val="22"/>
              </w:rPr>
            </w:pPr>
            <w:r>
              <w:rPr>
                <w:sz w:val="22"/>
              </w:rPr>
              <w:t>10</w:t>
            </w:r>
          </w:p>
        </w:tc>
        <w:tc>
          <w:tcPr>
            <w:tcW w:w="1595" w:type="dxa"/>
            <w:tcBorders>
              <w:top w:val="nil"/>
              <w:left w:val="nil"/>
              <w:bottom w:val="nil"/>
              <w:right w:val="nil"/>
            </w:tcBorders>
          </w:tcPr>
          <w:p>
            <w:pPr>
              <w:pStyle w:val="TableParagraph"/>
              <w:spacing w:before="192"/>
              <w:ind w:left="107"/>
              <w:rPr>
                <w:sz w:val="22"/>
              </w:rPr>
            </w:pPr>
            <w:r>
              <w:rPr>
                <w:sz w:val="22"/>
              </w:rPr>
              <w:t>Zanahoria</w:t>
            </w:r>
          </w:p>
        </w:tc>
        <w:tc>
          <w:tcPr>
            <w:tcW w:w="2398" w:type="dxa"/>
            <w:tcBorders>
              <w:top w:val="nil"/>
              <w:left w:val="nil"/>
              <w:bottom w:val="nil"/>
              <w:right w:val="nil"/>
            </w:tcBorders>
          </w:tcPr>
          <w:p>
            <w:pPr>
              <w:pStyle w:val="TableParagraph"/>
              <w:spacing w:before="192"/>
              <w:ind w:left="269"/>
              <w:rPr>
                <w:sz w:val="22"/>
              </w:rPr>
            </w:pPr>
            <w:r>
              <w:rPr>
                <w:sz w:val="22"/>
              </w:rPr>
              <w:t>Metepec</w:t>
            </w:r>
          </w:p>
        </w:tc>
        <w:tc>
          <w:tcPr>
            <w:tcW w:w="1514" w:type="dxa"/>
            <w:tcBorders>
              <w:top w:val="nil"/>
              <w:left w:val="nil"/>
              <w:bottom w:val="nil"/>
              <w:right w:val="nil"/>
            </w:tcBorders>
          </w:tcPr>
          <w:p>
            <w:pPr>
              <w:pStyle w:val="TableParagraph"/>
              <w:spacing w:before="192"/>
              <w:ind w:left="182"/>
              <w:rPr>
                <w:sz w:val="22"/>
              </w:rPr>
            </w:pPr>
            <w:r>
              <w:rPr>
                <w:sz w:val="22"/>
              </w:rPr>
              <w:t>Cónico</w:t>
            </w:r>
          </w:p>
        </w:tc>
        <w:tc>
          <w:tcPr>
            <w:tcW w:w="2135" w:type="dxa"/>
            <w:tcBorders>
              <w:top w:val="nil"/>
              <w:left w:val="nil"/>
              <w:bottom w:val="nil"/>
              <w:right w:val="nil"/>
            </w:tcBorders>
          </w:tcPr>
          <w:p>
            <w:pPr>
              <w:pStyle w:val="TableParagraph"/>
              <w:spacing w:before="192"/>
              <w:ind w:left="547"/>
              <w:rPr>
                <w:sz w:val="22"/>
              </w:rPr>
            </w:pPr>
            <w:r>
              <w:rPr>
                <w:sz w:val="22"/>
              </w:rPr>
              <w:t>Amarillo</w:t>
            </w:r>
          </w:p>
        </w:tc>
      </w:tr>
      <w:tr>
        <w:trPr>
          <w:trHeight w:val="666" w:hRule="exact"/>
        </w:trPr>
        <w:tc>
          <w:tcPr>
            <w:tcW w:w="889" w:type="dxa"/>
            <w:tcBorders>
              <w:top w:val="nil"/>
              <w:left w:val="nil"/>
              <w:bottom w:val="nil"/>
              <w:right w:val="nil"/>
            </w:tcBorders>
          </w:tcPr>
          <w:p>
            <w:pPr>
              <w:pStyle w:val="TableParagraph"/>
              <w:spacing w:before="195"/>
              <w:ind w:left="108"/>
              <w:rPr>
                <w:sz w:val="22"/>
              </w:rPr>
            </w:pPr>
            <w:r>
              <w:rPr>
                <w:sz w:val="22"/>
              </w:rPr>
              <w:t>12</w:t>
            </w:r>
          </w:p>
        </w:tc>
        <w:tc>
          <w:tcPr>
            <w:tcW w:w="1595" w:type="dxa"/>
            <w:tcBorders>
              <w:top w:val="nil"/>
              <w:left w:val="nil"/>
              <w:bottom w:val="nil"/>
              <w:right w:val="nil"/>
            </w:tcBorders>
          </w:tcPr>
          <w:p>
            <w:pPr>
              <w:pStyle w:val="TableParagraph"/>
              <w:spacing w:before="195"/>
              <w:ind w:left="107"/>
              <w:rPr>
                <w:sz w:val="22"/>
              </w:rPr>
            </w:pPr>
            <w:r>
              <w:rPr>
                <w:sz w:val="22"/>
              </w:rPr>
              <w:t>San Diego</w:t>
            </w:r>
          </w:p>
        </w:tc>
        <w:tc>
          <w:tcPr>
            <w:tcW w:w="2398" w:type="dxa"/>
            <w:tcBorders>
              <w:top w:val="nil"/>
              <w:left w:val="nil"/>
              <w:bottom w:val="nil"/>
              <w:right w:val="nil"/>
            </w:tcBorders>
          </w:tcPr>
          <w:p>
            <w:pPr>
              <w:pStyle w:val="TableParagraph"/>
              <w:spacing w:before="195"/>
              <w:ind w:left="269"/>
              <w:rPr>
                <w:sz w:val="22"/>
              </w:rPr>
            </w:pPr>
            <w:r>
              <w:rPr>
                <w:sz w:val="22"/>
              </w:rPr>
              <w:t>Almoloya de Juárez</w:t>
            </w:r>
          </w:p>
        </w:tc>
        <w:tc>
          <w:tcPr>
            <w:tcW w:w="1514" w:type="dxa"/>
            <w:tcBorders>
              <w:top w:val="nil"/>
              <w:left w:val="nil"/>
              <w:bottom w:val="nil"/>
              <w:right w:val="nil"/>
            </w:tcBorders>
          </w:tcPr>
          <w:p>
            <w:pPr>
              <w:pStyle w:val="TableParagraph"/>
              <w:spacing w:before="195"/>
              <w:ind w:left="182"/>
              <w:rPr>
                <w:sz w:val="22"/>
              </w:rPr>
            </w:pPr>
            <w:r>
              <w:rPr>
                <w:sz w:val="22"/>
              </w:rPr>
              <w:t>Cónico</w:t>
            </w:r>
          </w:p>
        </w:tc>
        <w:tc>
          <w:tcPr>
            <w:tcW w:w="2135" w:type="dxa"/>
            <w:tcBorders>
              <w:top w:val="nil"/>
              <w:left w:val="nil"/>
              <w:bottom w:val="nil"/>
              <w:right w:val="nil"/>
            </w:tcBorders>
          </w:tcPr>
          <w:p>
            <w:pPr>
              <w:pStyle w:val="TableParagraph"/>
              <w:spacing w:before="195"/>
              <w:ind w:left="547"/>
              <w:rPr>
                <w:sz w:val="22"/>
              </w:rPr>
            </w:pPr>
            <w:r>
              <w:rPr>
                <w:sz w:val="22"/>
              </w:rPr>
              <w:t>Amarillo</w:t>
            </w:r>
          </w:p>
        </w:tc>
      </w:tr>
      <w:tr>
        <w:trPr>
          <w:trHeight w:val="666" w:hRule="exact"/>
        </w:trPr>
        <w:tc>
          <w:tcPr>
            <w:tcW w:w="889" w:type="dxa"/>
            <w:tcBorders>
              <w:top w:val="nil"/>
              <w:left w:val="nil"/>
              <w:bottom w:val="nil"/>
              <w:right w:val="nil"/>
            </w:tcBorders>
          </w:tcPr>
          <w:p>
            <w:pPr>
              <w:pStyle w:val="TableParagraph"/>
              <w:spacing w:before="194"/>
              <w:ind w:left="108"/>
              <w:rPr>
                <w:sz w:val="22"/>
              </w:rPr>
            </w:pPr>
            <w:r>
              <w:rPr>
                <w:sz w:val="22"/>
              </w:rPr>
              <w:t>13</w:t>
            </w:r>
          </w:p>
        </w:tc>
        <w:tc>
          <w:tcPr>
            <w:tcW w:w="1595" w:type="dxa"/>
            <w:tcBorders>
              <w:top w:val="nil"/>
              <w:left w:val="nil"/>
              <w:bottom w:val="nil"/>
              <w:right w:val="nil"/>
            </w:tcBorders>
          </w:tcPr>
          <w:p>
            <w:pPr>
              <w:pStyle w:val="TableParagraph"/>
              <w:spacing w:before="194"/>
              <w:ind w:left="107"/>
              <w:rPr>
                <w:sz w:val="22"/>
              </w:rPr>
            </w:pPr>
            <w:r>
              <w:rPr>
                <w:sz w:val="22"/>
              </w:rPr>
              <w:t>Allende</w:t>
            </w:r>
          </w:p>
        </w:tc>
        <w:tc>
          <w:tcPr>
            <w:tcW w:w="2398" w:type="dxa"/>
            <w:tcBorders>
              <w:top w:val="nil"/>
              <w:left w:val="nil"/>
              <w:bottom w:val="nil"/>
              <w:right w:val="nil"/>
            </w:tcBorders>
          </w:tcPr>
          <w:p>
            <w:pPr>
              <w:pStyle w:val="TableParagraph"/>
              <w:spacing w:before="194"/>
              <w:ind w:left="269"/>
              <w:rPr>
                <w:sz w:val="22"/>
              </w:rPr>
            </w:pPr>
            <w:r>
              <w:rPr>
                <w:sz w:val="22"/>
              </w:rPr>
              <w:t>Temoaya</w:t>
            </w:r>
          </w:p>
        </w:tc>
        <w:tc>
          <w:tcPr>
            <w:tcW w:w="1514" w:type="dxa"/>
            <w:tcBorders>
              <w:top w:val="nil"/>
              <w:left w:val="nil"/>
              <w:bottom w:val="nil"/>
              <w:right w:val="nil"/>
            </w:tcBorders>
          </w:tcPr>
          <w:p>
            <w:pPr>
              <w:pStyle w:val="TableParagraph"/>
              <w:spacing w:before="194"/>
              <w:ind w:left="182"/>
              <w:rPr>
                <w:sz w:val="22"/>
              </w:rPr>
            </w:pPr>
            <w:r>
              <w:rPr>
                <w:sz w:val="22"/>
              </w:rPr>
              <w:t>Cónico</w:t>
            </w:r>
          </w:p>
        </w:tc>
        <w:tc>
          <w:tcPr>
            <w:tcW w:w="2135" w:type="dxa"/>
            <w:tcBorders>
              <w:top w:val="nil"/>
              <w:left w:val="nil"/>
              <w:bottom w:val="nil"/>
              <w:right w:val="nil"/>
            </w:tcBorders>
          </w:tcPr>
          <w:p>
            <w:pPr>
              <w:pStyle w:val="TableParagraph"/>
              <w:spacing w:before="194"/>
              <w:ind w:left="547"/>
              <w:rPr>
                <w:sz w:val="22"/>
              </w:rPr>
            </w:pPr>
            <w:r>
              <w:rPr>
                <w:sz w:val="22"/>
              </w:rPr>
              <w:t>Amarillo</w:t>
            </w:r>
          </w:p>
        </w:tc>
      </w:tr>
      <w:tr>
        <w:trPr>
          <w:trHeight w:val="666" w:hRule="exact"/>
        </w:trPr>
        <w:tc>
          <w:tcPr>
            <w:tcW w:w="889" w:type="dxa"/>
            <w:tcBorders>
              <w:top w:val="nil"/>
              <w:left w:val="nil"/>
              <w:bottom w:val="nil"/>
              <w:right w:val="nil"/>
            </w:tcBorders>
          </w:tcPr>
          <w:p>
            <w:pPr>
              <w:pStyle w:val="TableParagraph"/>
              <w:spacing w:before="195"/>
              <w:ind w:left="108"/>
              <w:rPr>
                <w:sz w:val="22"/>
              </w:rPr>
            </w:pPr>
            <w:r>
              <w:rPr>
                <w:sz w:val="22"/>
              </w:rPr>
              <w:t>14</w:t>
            </w:r>
          </w:p>
        </w:tc>
        <w:tc>
          <w:tcPr>
            <w:tcW w:w="1595" w:type="dxa"/>
            <w:tcBorders>
              <w:top w:val="nil"/>
              <w:left w:val="nil"/>
              <w:bottom w:val="nil"/>
              <w:right w:val="nil"/>
            </w:tcBorders>
          </w:tcPr>
          <w:p>
            <w:pPr>
              <w:pStyle w:val="TableParagraph"/>
              <w:spacing w:before="195"/>
              <w:ind w:left="107"/>
              <w:rPr>
                <w:sz w:val="22"/>
              </w:rPr>
            </w:pPr>
            <w:r>
              <w:rPr>
                <w:sz w:val="22"/>
              </w:rPr>
              <w:t>San José</w:t>
            </w:r>
          </w:p>
        </w:tc>
        <w:tc>
          <w:tcPr>
            <w:tcW w:w="2398" w:type="dxa"/>
            <w:tcBorders>
              <w:top w:val="nil"/>
              <w:left w:val="nil"/>
              <w:bottom w:val="nil"/>
              <w:right w:val="nil"/>
            </w:tcBorders>
          </w:tcPr>
          <w:p>
            <w:pPr>
              <w:pStyle w:val="TableParagraph"/>
              <w:spacing w:before="195"/>
              <w:ind w:left="269"/>
              <w:rPr>
                <w:sz w:val="22"/>
              </w:rPr>
            </w:pPr>
            <w:r>
              <w:rPr>
                <w:sz w:val="22"/>
              </w:rPr>
              <w:t>Temoaya</w:t>
            </w:r>
          </w:p>
        </w:tc>
        <w:tc>
          <w:tcPr>
            <w:tcW w:w="1514" w:type="dxa"/>
            <w:tcBorders>
              <w:top w:val="nil"/>
              <w:left w:val="nil"/>
              <w:bottom w:val="nil"/>
              <w:right w:val="nil"/>
            </w:tcBorders>
          </w:tcPr>
          <w:p>
            <w:pPr>
              <w:pStyle w:val="TableParagraph"/>
              <w:spacing w:before="195"/>
              <w:ind w:left="182"/>
              <w:rPr>
                <w:sz w:val="22"/>
              </w:rPr>
            </w:pPr>
            <w:r>
              <w:rPr>
                <w:sz w:val="22"/>
              </w:rPr>
              <w:t>Cónico</w:t>
            </w:r>
          </w:p>
        </w:tc>
        <w:tc>
          <w:tcPr>
            <w:tcW w:w="2135" w:type="dxa"/>
            <w:tcBorders>
              <w:top w:val="nil"/>
              <w:left w:val="nil"/>
              <w:bottom w:val="nil"/>
              <w:right w:val="nil"/>
            </w:tcBorders>
          </w:tcPr>
          <w:p>
            <w:pPr>
              <w:pStyle w:val="TableParagraph"/>
              <w:spacing w:before="195"/>
              <w:ind w:left="547"/>
              <w:rPr>
                <w:sz w:val="22"/>
              </w:rPr>
            </w:pPr>
            <w:r>
              <w:rPr>
                <w:sz w:val="22"/>
              </w:rPr>
              <w:t>Amarillo</w:t>
            </w:r>
          </w:p>
        </w:tc>
      </w:tr>
      <w:tr>
        <w:trPr>
          <w:trHeight w:val="443" w:hRule="exact"/>
        </w:trPr>
        <w:tc>
          <w:tcPr>
            <w:tcW w:w="889" w:type="dxa"/>
            <w:tcBorders>
              <w:top w:val="nil"/>
              <w:left w:val="nil"/>
              <w:bottom w:val="nil"/>
              <w:right w:val="nil"/>
            </w:tcBorders>
          </w:tcPr>
          <w:p>
            <w:pPr>
              <w:pStyle w:val="TableParagraph"/>
              <w:spacing w:before="194"/>
              <w:ind w:left="108"/>
              <w:rPr>
                <w:sz w:val="22"/>
              </w:rPr>
            </w:pPr>
            <w:r>
              <w:rPr>
                <w:sz w:val="22"/>
              </w:rPr>
              <w:t>15</w:t>
            </w:r>
          </w:p>
        </w:tc>
        <w:tc>
          <w:tcPr>
            <w:tcW w:w="1595" w:type="dxa"/>
            <w:tcBorders>
              <w:top w:val="nil"/>
              <w:left w:val="nil"/>
              <w:bottom w:val="nil"/>
              <w:right w:val="nil"/>
            </w:tcBorders>
          </w:tcPr>
          <w:p>
            <w:pPr>
              <w:pStyle w:val="TableParagraph"/>
              <w:spacing w:before="194"/>
              <w:ind w:left="107"/>
              <w:rPr>
                <w:sz w:val="22"/>
              </w:rPr>
            </w:pPr>
            <w:r>
              <w:rPr>
                <w:sz w:val="22"/>
              </w:rPr>
              <w:t>San Cayetano</w:t>
            </w:r>
          </w:p>
        </w:tc>
        <w:tc>
          <w:tcPr>
            <w:tcW w:w="2398" w:type="dxa"/>
            <w:tcBorders>
              <w:top w:val="nil"/>
              <w:left w:val="nil"/>
              <w:bottom w:val="nil"/>
              <w:right w:val="nil"/>
            </w:tcBorders>
          </w:tcPr>
          <w:p>
            <w:pPr>
              <w:pStyle w:val="TableParagraph"/>
              <w:spacing w:before="194"/>
              <w:ind w:left="269"/>
              <w:rPr>
                <w:sz w:val="22"/>
              </w:rPr>
            </w:pPr>
            <w:r>
              <w:rPr>
                <w:sz w:val="22"/>
              </w:rPr>
              <w:t>Toluca</w:t>
            </w:r>
          </w:p>
        </w:tc>
        <w:tc>
          <w:tcPr>
            <w:tcW w:w="1514" w:type="dxa"/>
            <w:tcBorders>
              <w:top w:val="nil"/>
              <w:left w:val="nil"/>
              <w:bottom w:val="nil"/>
              <w:right w:val="nil"/>
            </w:tcBorders>
          </w:tcPr>
          <w:p>
            <w:pPr>
              <w:pStyle w:val="TableParagraph"/>
              <w:spacing w:before="194"/>
              <w:ind w:left="182"/>
              <w:rPr>
                <w:sz w:val="22"/>
              </w:rPr>
            </w:pPr>
            <w:r>
              <w:rPr>
                <w:sz w:val="22"/>
              </w:rPr>
              <w:t>Cónico</w:t>
            </w:r>
          </w:p>
        </w:tc>
        <w:tc>
          <w:tcPr>
            <w:tcW w:w="2135" w:type="dxa"/>
            <w:tcBorders>
              <w:top w:val="nil"/>
              <w:left w:val="nil"/>
              <w:bottom w:val="nil"/>
              <w:right w:val="nil"/>
            </w:tcBorders>
          </w:tcPr>
          <w:p>
            <w:pPr>
              <w:pStyle w:val="TableParagraph"/>
              <w:spacing w:before="194"/>
              <w:ind w:left="547"/>
              <w:rPr>
                <w:sz w:val="22"/>
              </w:rPr>
            </w:pPr>
            <w:r>
              <w:rPr>
                <w:sz w:val="22"/>
              </w:rPr>
              <w:t>Amarillo</w:t>
            </w:r>
          </w:p>
        </w:tc>
      </w:tr>
    </w:tbl>
    <w:p>
      <w:pPr>
        <w:spacing w:after="0"/>
        <w:rPr>
          <w:sz w:val="22"/>
        </w:rPr>
        <w:sectPr>
          <w:footerReference w:type="default" r:id="rId21"/>
          <w:pgSz w:w="12240" w:h="15840"/>
          <w:pgMar w:footer="1003" w:header="0" w:top="1500" w:bottom="1200" w:left="1480" w:right="1300"/>
          <w:pgNumType w:start="31"/>
        </w:sectPr>
      </w:pPr>
    </w:p>
    <w:p>
      <w:pPr>
        <w:pStyle w:val="BodyText"/>
        <w:spacing w:before="5"/>
        <w:rPr>
          <w:b/>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4"/>
        <w:gridCol w:w="1983"/>
        <w:gridCol w:w="2312"/>
        <w:gridCol w:w="1880"/>
        <w:gridCol w:w="1103"/>
      </w:tblGrid>
      <w:tr>
        <w:trPr>
          <w:trHeight w:val="443" w:hRule="exact"/>
        </w:trPr>
        <w:tc>
          <w:tcPr>
            <w:tcW w:w="754" w:type="dxa"/>
          </w:tcPr>
          <w:p>
            <w:pPr>
              <w:pStyle w:val="TableParagraph"/>
              <w:spacing w:line="225" w:lineRule="exact"/>
              <w:ind w:left="200"/>
              <w:rPr>
                <w:sz w:val="22"/>
              </w:rPr>
            </w:pPr>
            <w:r>
              <w:rPr>
                <w:sz w:val="22"/>
              </w:rPr>
              <w:t>16</w:t>
            </w:r>
          </w:p>
        </w:tc>
        <w:tc>
          <w:tcPr>
            <w:tcW w:w="1983" w:type="dxa"/>
          </w:tcPr>
          <w:p>
            <w:pPr>
              <w:pStyle w:val="TableParagraph"/>
              <w:spacing w:line="225" w:lineRule="exact"/>
              <w:ind w:left="333"/>
              <w:rPr>
                <w:sz w:val="22"/>
              </w:rPr>
            </w:pPr>
            <w:r>
              <w:rPr>
                <w:sz w:val="22"/>
              </w:rPr>
              <w:t>Tlacotepec</w:t>
            </w:r>
          </w:p>
        </w:tc>
        <w:tc>
          <w:tcPr>
            <w:tcW w:w="2312" w:type="dxa"/>
          </w:tcPr>
          <w:p>
            <w:pPr>
              <w:pStyle w:val="TableParagraph"/>
              <w:spacing w:line="225" w:lineRule="exact"/>
              <w:ind w:left="108"/>
              <w:rPr>
                <w:sz w:val="22"/>
              </w:rPr>
            </w:pPr>
            <w:r>
              <w:rPr>
                <w:sz w:val="22"/>
              </w:rPr>
              <w:t>Toluca</w:t>
            </w:r>
          </w:p>
        </w:tc>
        <w:tc>
          <w:tcPr>
            <w:tcW w:w="1880" w:type="dxa"/>
          </w:tcPr>
          <w:p>
            <w:pPr>
              <w:pStyle w:val="TableParagraph"/>
              <w:spacing w:line="225" w:lineRule="exact"/>
              <w:ind w:left="107"/>
              <w:rPr>
                <w:sz w:val="22"/>
              </w:rPr>
            </w:pPr>
            <w:r>
              <w:rPr>
                <w:sz w:val="22"/>
              </w:rPr>
              <w:t>Cónico</w:t>
            </w:r>
          </w:p>
        </w:tc>
        <w:tc>
          <w:tcPr>
            <w:tcW w:w="1103" w:type="dxa"/>
          </w:tcPr>
          <w:p>
            <w:pPr>
              <w:pStyle w:val="TableParagraph"/>
              <w:spacing w:line="225" w:lineRule="exact"/>
              <w:ind w:left="107"/>
              <w:rPr>
                <w:sz w:val="22"/>
              </w:rPr>
            </w:pPr>
            <w:r>
              <w:rPr>
                <w:sz w:val="22"/>
              </w:rPr>
              <w:t>Amarillo</w:t>
            </w:r>
          </w:p>
        </w:tc>
      </w:tr>
      <w:tr>
        <w:trPr>
          <w:trHeight w:val="666" w:hRule="exact"/>
        </w:trPr>
        <w:tc>
          <w:tcPr>
            <w:tcW w:w="754" w:type="dxa"/>
          </w:tcPr>
          <w:p>
            <w:pPr>
              <w:pStyle w:val="TableParagraph"/>
              <w:spacing w:before="194"/>
              <w:ind w:left="200"/>
              <w:rPr>
                <w:sz w:val="22"/>
              </w:rPr>
            </w:pPr>
            <w:r>
              <w:rPr>
                <w:sz w:val="22"/>
              </w:rPr>
              <w:t>17</w:t>
            </w:r>
          </w:p>
        </w:tc>
        <w:tc>
          <w:tcPr>
            <w:tcW w:w="1983" w:type="dxa"/>
          </w:tcPr>
          <w:p>
            <w:pPr>
              <w:pStyle w:val="TableParagraph"/>
              <w:spacing w:before="194"/>
              <w:ind w:left="333"/>
              <w:rPr>
                <w:sz w:val="22"/>
              </w:rPr>
            </w:pPr>
            <w:r>
              <w:rPr>
                <w:sz w:val="22"/>
              </w:rPr>
              <w:t>Lomas</w:t>
            </w:r>
          </w:p>
        </w:tc>
        <w:tc>
          <w:tcPr>
            <w:tcW w:w="2312" w:type="dxa"/>
          </w:tcPr>
          <w:p>
            <w:pPr>
              <w:pStyle w:val="TableParagraph"/>
              <w:spacing w:before="194"/>
              <w:ind w:left="108"/>
              <w:rPr>
                <w:sz w:val="22"/>
              </w:rPr>
            </w:pPr>
            <w:r>
              <w:rPr>
                <w:sz w:val="22"/>
              </w:rPr>
              <w:t>Almoloya de Juárez</w:t>
            </w:r>
          </w:p>
        </w:tc>
        <w:tc>
          <w:tcPr>
            <w:tcW w:w="1880" w:type="dxa"/>
          </w:tcPr>
          <w:p>
            <w:pPr>
              <w:pStyle w:val="TableParagraph"/>
              <w:spacing w:before="194"/>
              <w:ind w:left="107"/>
              <w:rPr>
                <w:sz w:val="22"/>
              </w:rPr>
            </w:pPr>
            <w:r>
              <w:rPr>
                <w:sz w:val="22"/>
              </w:rPr>
              <w:t>Cónico</w:t>
            </w:r>
          </w:p>
        </w:tc>
        <w:tc>
          <w:tcPr>
            <w:tcW w:w="1103" w:type="dxa"/>
          </w:tcPr>
          <w:p>
            <w:pPr>
              <w:pStyle w:val="TableParagraph"/>
              <w:spacing w:before="194"/>
              <w:ind w:left="107"/>
              <w:rPr>
                <w:sz w:val="22"/>
              </w:rPr>
            </w:pPr>
            <w:r>
              <w:rPr>
                <w:sz w:val="22"/>
              </w:rPr>
              <w:t>Amarillo</w:t>
            </w:r>
          </w:p>
        </w:tc>
      </w:tr>
      <w:tr>
        <w:trPr>
          <w:trHeight w:val="666" w:hRule="exact"/>
        </w:trPr>
        <w:tc>
          <w:tcPr>
            <w:tcW w:w="754" w:type="dxa"/>
          </w:tcPr>
          <w:p>
            <w:pPr>
              <w:pStyle w:val="TableParagraph"/>
              <w:spacing w:before="195"/>
              <w:ind w:left="200"/>
              <w:rPr>
                <w:sz w:val="22"/>
              </w:rPr>
            </w:pPr>
            <w:r>
              <w:rPr>
                <w:sz w:val="22"/>
              </w:rPr>
              <w:t>18</w:t>
            </w:r>
          </w:p>
        </w:tc>
        <w:tc>
          <w:tcPr>
            <w:tcW w:w="1983" w:type="dxa"/>
          </w:tcPr>
          <w:p>
            <w:pPr>
              <w:pStyle w:val="TableParagraph"/>
              <w:spacing w:before="195"/>
              <w:ind w:left="333"/>
              <w:rPr>
                <w:sz w:val="22"/>
              </w:rPr>
            </w:pPr>
            <w:r>
              <w:rPr>
                <w:sz w:val="22"/>
              </w:rPr>
              <w:t>San Cristóbal</w:t>
            </w:r>
          </w:p>
        </w:tc>
        <w:tc>
          <w:tcPr>
            <w:tcW w:w="2312" w:type="dxa"/>
          </w:tcPr>
          <w:p>
            <w:pPr>
              <w:pStyle w:val="TableParagraph"/>
              <w:spacing w:before="195"/>
              <w:ind w:left="108"/>
              <w:rPr>
                <w:sz w:val="22"/>
              </w:rPr>
            </w:pPr>
            <w:r>
              <w:rPr>
                <w:sz w:val="22"/>
              </w:rPr>
              <w:t>Zinacantepec</w:t>
            </w:r>
          </w:p>
        </w:tc>
        <w:tc>
          <w:tcPr>
            <w:tcW w:w="1880" w:type="dxa"/>
          </w:tcPr>
          <w:p>
            <w:pPr>
              <w:pStyle w:val="TableParagraph"/>
              <w:spacing w:before="195"/>
              <w:ind w:left="107"/>
              <w:rPr>
                <w:sz w:val="22"/>
              </w:rPr>
            </w:pPr>
            <w:r>
              <w:rPr>
                <w:sz w:val="22"/>
              </w:rPr>
              <w:t>Cónico</w:t>
            </w:r>
          </w:p>
        </w:tc>
        <w:tc>
          <w:tcPr>
            <w:tcW w:w="1103" w:type="dxa"/>
          </w:tcPr>
          <w:p>
            <w:pPr>
              <w:pStyle w:val="TableParagraph"/>
              <w:spacing w:before="195"/>
              <w:ind w:left="107"/>
              <w:rPr>
                <w:sz w:val="22"/>
              </w:rPr>
            </w:pPr>
            <w:r>
              <w:rPr>
                <w:sz w:val="22"/>
              </w:rPr>
              <w:t>Amarillo</w:t>
            </w:r>
          </w:p>
        </w:tc>
      </w:tr>
      <w:tr>
        <w:trPr>
          <w:trHeight w:val="666" w:hRule="exact"/>
        </w:trPr>
        <w:tc>
          <w:tcPr>
            <w:tcW w:w="754" w:type="dxa"/>
          </w:tcPr>
          <w:p>
            <w:pPr>
              <w:pStyle w:val="TableParagraph"/>
              <w:spacing w:before="194"/>
              <w:ind w:left="200"/>
              <w:rPr>
                <w:sz w:val="22"/>
              </w:rPr>
            </w:pPr>
            <w:r>
              <w:rPr>
                <w:sz w:val="22"/>
              </w:rPr>
              <w:t>28</w:t>
            </w:r>
          </w:p>
        </w:tc>
        <w:tc>
          <w:tcPr>
            <w:tcW w:w="1983" w:type="dxa"/>
          </w:tcPr>
          <w:p>
            <w:pPr>
              <w:pStyle w:val="TableParagraph"/>
              <w:spacing w:before="194"/>
              <w:ind w:left="333"/>
              <w:rPr>
                <w:sz w:val="22"/>
              </w:rPr>
            </w:pPr>
            <w:r>
              <w:rPr>
                <w:sz w:val="22"/>
              </w:rPr>
              <w:t>Fresno Nichi</w:t>
            </w:r>
          </w:p>
        </w:tc>
        <w:tc>
          <w:tcPr>
            <w:tcW w:w="2312" w:type="dxa"/>
          </w:tcPr>
          <w:p>
            <w:pPr>
              <w:pStyle w:val="TableParagraph"/>
              <w:spacing w:before="194"/>
              <w:ind w:left="108"/>
              <w:rPr>
                <w:sz w:val="22"/>
              </w:rPr>
            </w:pPr>
            <w:r>
              <w:rPr>
                <w:sz w:val="22"/>
              </w:rPr>
              <w:t>San Felipe del Progreso</w:t>
            </w:r>
          </w:p>
        </w:tc>
        <w:tc>
          <w:tcPr>
            <w:tcW w:w="1880" w:type="dxa"/>
          </w:tcPr>
          <w:p>
            <w:pPr>
              <w:pStyle w:val="TableParagraph"/>
              <w:spacing w:before="194"/>
              <w:ind w:left="107"/>
              <w:rPr>
                <w:sz w:val="22"/>
              </w:rPr>
            </w:pPr>
            <w:r>
              <w:rPr>
                <w:sz w:val="22"/>
              </w:rPr>
              <w:t>Cónico</w:t>
            </w:r>
          </w:p>
        </w:tc>
        <w:tc>
          <w:tcPr>
            <w:tcW w:w="1103" w:type="dxa"/>
          </w:tcPr>
          <w:p>
            <w:pPr>
              <w:pStyle w:val="TableParagraph"/>
              <w:spacing w:before="194"/>
              <w:ind w:left="107"/>
              <w:rPr>
                <w:sz w:val="22"/>
              </w:rPr>
            </w:pPr>
            <w:r>
              <w:rPr>
                <w:sz w:val="22"/>
              </w:rPr>
              <w:t>Amarillo</w:t>
            </w:r>
          </w:p>
        </w:tc>
      </w:tr>
      <w:tr>
        <w:trPr>
          <w:trHeight w:val="666" w:hRule="exact"/>
        </w:trPr>
        <w:tc>
          <w:tcPr>
            <w:tcW w:w="754" w:type="dxa"/>
          </w:tcPr>
          <w:p>
            <w:pPr>
              <w:pStyle w:val="TableParagraph"/>
              <w:spacing w:before="195"/>
              <w:ind w:left="200"/>
              <w:rPr>
                <w:sz w:val="22"/>
              </w:rPr>
            </w:pPr>
            <w:r>
              <w:rPr>
                <w:sz w:val="22"/>
              </w:rPr>
              <w:t>29</w:t>
            </w:r>
          </w:p>
        </w:tc>
        <w:tc>
          <w:tcPr>
            <w:tcW w:w="1983" w:type="dxa"/>
          </w:tcPr>
          <w:p>
            <w:pPr>
              <w:pStyle w:val="TableParagraph"/>
              <w:spacing w:before="195"/>
              <w:ind w:left="333"/>
              <w:rPr>
                <w:sz w:val="22"/>
              </w:rPr>
            </w:pPr>
            <w:r>
              <w:rPr>
                <w:sz w:val="22"/>
              </w:rPr>
              <w:t>Emilio Portes Gil</w:t>
            </w:r>
          </w:p>
        </w:tc>
        <w:tc>
          <w:tcPr>
            <w:tcW w:w="2312" w:type="dxa"/>
          </w:tcPr>
          <w:p>
            <w:pPr>
              <w:pStyle w:val="TableParagraph"/>
              <w:spacing w:before="195"/>
              <w:ind w:left="108"/>
              <w:rPr>
                <w:sz w:val="22"/>
              </w:rPr>
            </w:pPr>
            <w:r>
              <w:rPr>
                <w:sz w:val="22"/>
              </w:rPr>
              <w:t>San Felipe del Progreso</w:t>
            </w:r>
          </w:p>
        </w:tc>
        <w:tc>
          <w:tcPr>
            <w:tcW w:w="1880" w:type="dxa"/>
          </w:tcPr>
          <w:p>
            <w:pPr>
              <w:pStyle w:val="TableParagraph"/>
              <w:spacing w:before="195"/>
              <w:ind w:left="107"/>
              <w:rPr>
                <w:sz w:val="22"/>
              </w:rPr>
            </w:pPr>
            <w:r>
              <w:rPr>
                <w:sz w:val="22"/>
              </w:rPr>
              <w:t>Cónico</w:t>
            </w:r>
          </w:p>
        </w:tc>
        <w:tc>
          <w:tcPr>
            <w:tcW w:w="1103" w:type="dxa"/>
          </w:tcPr>
          <w:p>
            <w:pPr>
              <w:pStyle w:val="TableParagraph"/>
              <w:spacing w:before="195"/>
              <w:ind w:left="107"/>
              <w:rPr>
                <w:sz w:val="22"/>
              </w:rPr>
            </w:pPr>
            <w:r>
              <w:rPr>
                <w:sz w:val="22"/>
              </w:rPr>
              <w:t>Amarillo</w:t>
            </w:r>
          </w:p>
        </w:tc>
      </w:tr>
      <w:tr>
        <w:trPr>
          <w:trHeight w:val="666" w:hRule="exact"/>
        </w:trPr>
        <w:tc>
          <w:tcPr>
            <w:tcW w:w="754" w:type="dxa"/>
          </w:tcPr>
          <w:p>
            <w:pPr>
              <w:pStyle w:val="TableParagraph"/>
              <w:spacing w:before="194"/>
              <w:ind w:left="200"/>
              <w:rPr>
                <w:sz w:val="22"/>
              </w:rPr>
            </w:pPr>
            <w:r>
              <w:rPr>
                <w:sz w:val="22"/>
              </w:rPr>
              <w:t>19</w:t>
            </w:r>
          </w:p>
        </w:tc>
        <w:tc>
          <w:tcPr>
            <w:tcW w:w="1983" w:type="dxa"/>
          </w:tcPr>
          <w:p>
            <w:pPr>
              <w:pStyle w:val="TableParagraph"/>
              <w:spacing w:before="194"/>
              <w:ind w:left="333"/>
              <w:rPr>
                <w:sz w:val="22"/>
              </w:rPr>
            </w:pPr>
            <w:r>
              <w:rPr>
                <w:sz w:val="22"/>
              </w:rPr>
              <w:t>San Cayetano</w:t>
            </w:r>
          </w:p>
        </w:tc>
        <w:tc>
          <w:tcPr>
            <w:tcW w:w="2312" w:type="dxa"/>
          </w:tcPr>
          <w:p>
            <w:pPr>
              <w:pStyle w:val="TableParagraph"/>
              <w:spacing w:before="194"/>
              <w:ind w:left="108"/>
              <w:rPr>
                <w:sz w:val="22"/>
              </w:rPr>
            </w:pPr>
            <w:r>
              <w:rPr>
                <w:sz w:val="22"/>
              </w:rPr>
              <w:t>Toluca</w:t>
            </w:r>
          </w:p>
        </w:tc>
        <w:tc>
          <w:tcPr>
            <w:tcW w:w="1880" w:type="dxa"/>
          </w:tcPr>
          <w:p>
            <w:pPr>
              <w:pStyle w:val="TableParagraph"/>
              <w:spacing w:before="194"/>
              <w:ind w:left="107"/>
              <w:rPr>
                <w:sz w:val="22"/>
              </w:rPr>
            </w:pPr>
            <w:r>
              <w:rPr>
                <w:sz w:val="22"/>
              </w:rPr>
              <w:t>Cónico-Chalqueño</w:t>
            </w:r>
          </w:p>
        </w:tc>
        <w:tc>
          <w:tcPr>
            <w:tcW w:w="1103" w:type="dxa"/>
          </w:tcPr>
          <w:p>
            <w:pPr>
              <w:pStyle w:val="TableParagraph"/>
              <w:spacing w:before="194"/>
              <w:ind w:left="107"/>
              <w:rPr>
                <w:sz w:val="22"/>
              </w:rPr>
            </w:pPr>
            <w:r>
              <w:rPr>
                <w:sz w:val="22"/>
              </w:rPr>
              <w:t>Blanco</w:t>
            </w:r>
          </w:p>
        </w:tc>
      </w:tr>
      <w:tr>
        <w:trPr>
          <w:trHeight w:val="666" w:hRule="exact"/>
        </w:trPr>
        <w:tc>
          <w:tcPr>
            <w:tcW w:w="754" w:type="dxa"/>
          </w:tcPr>
          <w:p>
            <w:pPr>
              <w:pStyle w:val="TableParagraph"/>
              <w:spacing w:before="195"/>
              <w:ind w:left="200"/>
              <w:rPr>
                <w:sz w:val="22"/>
              </w:rPr>
            </w:pPr>
            <w:r>
              <w:rPr>
                <w:sz w:val="22"/>
              </w:rPr>
              <w:t>20</w:t>
            </w:r>
          </w:p>
        </w:tc>
        <w:tc>
          <w:tcPr>
            <w:tcW w:w="1983" w:type="dxa"/>
          </w:tcPr>
          <w:p>
            <w:pPr>
              <w:pStyle w:val="TableParagraph"/>
              <w:spacing w:before="195"/>
              <w:ind w:left="333"/>
              <w:rPr>
                <w:sz w:val="22"/>
              </w:rPr>
            </w:pPr>
            <w:r>
              <w:rPr>
                <w:sz w:val="22"/>
              </w:rPr>
              <w:t>Tlacotepec</w:t>
            </w:r>
          </w:p>
        </w:tc>
        <w:tc>
          <w:tcPr>
            <w:tcW w:w="2312" w:type="dxa"/>
          </w:tcPr>
          <w:p>
            <w:pPr>
              <w:pStyle w:val="TableParagraph"/>
              <w:spacing w:before="195"/>
              <w:ind w:left="108"/>
              <w:rPr>
                <w:sz w:val="22"/>
              </w:rPr>
            </w:pPr>
            <w:r>
              <w:rPr>
                <w:sz w:val="22"/>
              </w:rPr>
              <w:t>Toluca</w:t>
            </w:r>
          </w:p>
        </w:tc>
        <w:tc>
          <w:tcPr>
            <w:tcW w:w="1880" w:type="dxa"/>
          </w:tcPr>
          <w:p>
            <w:pPr>
              <w:pStyle w:val="TableParagraph"/>
              <w:spacing w:before="195"/>
              <w:ind w:left="107"/>
              <w:rPr>
                <w:sz w:val="22"/>
              </w:rPr>
            </w:pPr>
            <w:r>
              <w:rPr>
                <w:sz w:val="22"/>
              </w:rPr>
              <w:t>Cónico-Chalqueño</w:t>
            </w:r>
          </w:p>
        </w:tc>
        <w:tc>
          <w:tcPr>
            <w:tcW w:w="1103" w:type="dxa"/>
          </w:tcPr>
          <w:p>
            <w:pPr>
              <w:pStyle w:val="TableParagraph"/>
              <w:spacing w:before="195"/>
              <w:ind w:left="107"/>
              <w:rPr>
                <w:sz w:val="22"/>
              </w:rPr>
            </w:pPr>
            <w:r>
              <w:rPr>
                <w:sz w:val="22"/>
              </w:rPr>
              <w:t>Blanco</w:t>
            </w:r>
          </w:p>
        </w:tc>
      </w:tr>
      <w:tr>
        <w:trPr>
          <w:trHeight w:val="666" w:hRule="exact"/>
        </w:trPr>
        <w:tc>
          <w:tcPr>
            <w:tcW w:w="754" w:type="dxa"/>
          </w:tcPr>
          <w:p>
            <w:pPr>
              <w:pStyle w:val="TableParagraph"/>
              <w:spacing w:before="194"/>
              <w:ind w:left="200"/>
              <w:rPr>
                <w:sz w:val="22"/>
              </w:rPr>
            </w:pPr>
            <w:r>
              <w:rPr>
                <w:sz w:val="22"/>
              </w:rPr>
              <w:t>21</w:t>
            </w:r>
          </w:p>
        </w:tc>
        <w:tc>
          <w:tcPr>
            <w:tcW w:w="1983" w:type="dxa"/>
          </w:tcPr>
          <w:p>
            <w:pPr>
              <w:pStyle w:val="TableParagraph"/>
              <w:spacing w:before="194"/>
              <w:ind w:left="333"/>
              <w:rPr>
                <w:sz w:val="22"/>
              </w:rPr>
            </w:pPr>
            <w:r>
              <w:rPr>
                <w:sz w:val="22"/>
              </w:rPr>
              <w:t>San Mateo Otza.</w:t>
            </w:r>
          </w:p>
        </w:tc>
        <w:tc>
          <w:tcPr>
            <w:tcW w:w="2312" w:type="dxa"/>
          </w:tcPr>
          <w:p>
            <w:pPr>
              <w:pStyle w:val="TableParagraph"/>
              <w:spacing w:before="194"/>
              <w:ind w:left="108"/>
              <w:rPr>
                <w:sz w:val="22"/>
              </w:rPr>
            </w:pPr>
            <w:r>
              <w:rPr>
                <w:sz w:val="22"/>
              </w:rPr>
              <w:t>Toluca</w:t>
            </w:r>
          </w:p>
        </w:tc>
        <w:tc>
          <w:tcPr>
            <w:tcW w:w="1880" w:type="dxa"/>
          </w:tcPr>
          <w:p>
            <w:pPr>
              <w:pStyle w:val="TableParagraph"/>
              <w:spacing w:before="194"/>
              <w:ind w:left="107"/>
              <w:rPr>
                <w:sz w:val="22"/>
              </w:rPr>
            </w:pPr>
            <w:r>
              <w:rPr>
                <w:sz w:val="22"/>
              </w:rPr>
              <w:t>Cónico</w:t>
            </w:r>
          </w:p>
        </w:tc>
        <w:tc>
          <w:tcPr>
            <w:tcW w:w="1103" w:type="dxa"/>
          </w:tcPr>
          <w:p>
            <w:pPr>
              <w:pStyle w:val="TableParagraph"/>
              <w:spacing w:before="194"/>
              <w:ind w:left="107"/>
              <w:rPr>
                <w:sz w:val="22"/>
              </w:rPr>
            </w:pPr>
            <w:r>
              <w:rPr>
                <w:sz w:val="22"/>
              </w:rPr>
              <w:t>Blanco</w:t>
            </w:r>
          </w:p>
        </w:tc>
      </w:tr>
      <w:tr>
        <w:trPr>
          <w:trHeight w:val="666" w:hRule="exact"/>
        </w:trPr>
        <w:tc>
          <w:tcPr>
            <w:tcW w:w="754" w:type="dxa"/>
          </w:tcPr>
          <w:p>
            <w:pPr>
              <w:pStyle w:val="TableParagraph"/>
              <w:spacing w:before="195"/>
              <w:ind w:left="200"/>
              <w:rPr>
                <w:sz w:val="22"/>
              </w:rPr>
            </w:pPr>
            <w:r>
              <w:rPr>
                <w:sz w:val="22"/>
              </w:rPr>
              <w:t>22</w:t>
            </w:r>
          </w:p>
        </w:tc>
        <w:tc>
          <w:tcPr>
            <w:tcW w:w="1983" w:type="dxa"/>
          </w:tcPr>
          <w:p>
            <w:pPr>
              <w:pStyle w:val="TableParagraph"/>
              <w:spacing w:before="195"/>
              <w:ind w:left="333"/>
              <w:rPr>
                <w:sz w:val="22"/>
              </w:rPr>
            </w:pPr>
            <w:r>
              <w:rPr>
                <w:sz w:val="22"/>
              </w:rPr>
              <w:t>Ixtlahuaca</w:t>
            </w:r>
          </w:p>
        </w:tc>
        <w:tc>
          <w:tcPr>
            <w:tcW w:w="2312" w:type="dxa"/>
          </w:tcPr>
          <w:p>
            <w:pPr>
              <w:pStyle w:val="TableParagraph"/>
              <w:spacing w:before="195"/>
              <w:ind w:left="108"/>
              <w:rPr>
                <w:sz w:val="22"/>
              </w:rPr>
            </w:pPr>
            <w:r>
              <w:rPr>
                <w:sz w:val="22"/>
              </w:rPr>
              <w:t>Ixtlahuaca</w:t>
            </w:r>
          </w:p>
        </w:tc>
        <w:tc>
          <w:tcPr>
            <w:tcW w:w="1880" w:type="dxa"/>
          </w:tcPr>
          <w:p>
            <w:pPr>
              <w:pStyle w:val="TableParagraph"/>
              <w:spacing w:before="195"/>
              <w:ind w:left="107"/>
              <w:rPr>
                <w:sz w:val="22"/>
              </w:rPr>
            </w:pPr>
            <w:r>
              <w:rPr>
                <w:sz w:val="22"/>
              </w:rPr>
              <w:t>Cónico</w:t>
            </w:r>
          </w:p>
        </w:tc>
        <w:tc>
          <w:tcPr>
            <w:tcW w:w="1103" w:type="dxa"/>
          </w:tcPr>
          <w:p>
            <w:pPr>
              <w:pStyle w:val="TableParagraph"/>
              <w:spacing w:before="195"/>
              <w:ind w:left="107"/>
              <w:rPr>
                <w:sz w:val="22"/>
              </w:rPr>
            </w:pPr>
            <w:r>
              <w:rPr>
                <w:sz w:val="22"/>
              </w:rPr>
              <w:t>Blanco</w:t>
            </w:r>
          </w:p>
        </w:tc>
      </w:tr>
      <w:tr>
        <w:trPr>
          <w:trHeight w:val="666" w:hRule="exact"/>
        </w:trPr>
        <w:tc>
          <w:tcPr>
            <w:tcW w:w="754" w:type="dxa"/>
          </w:tcPr>
          <w:p>
            <w:pPr>
              <w:pStyle w:val="TableParagraph"/>
              <w:spacing w:before="194"/>
              <w:ind w:left="200"/>
              <w:rPr>
                <w:sz w:val="22"/>
              </w:rPr>
            </w:pPr>
            <w:r>
              <w:rPr>
                <w:sz w:val="22"/>
              </w:rPr>
              <w:t>23</w:t>
            </w:r>
          </w:p>
        </w:tc>
        <w:tc>
          <w:tcPr>
            <w:tcW w:w="1983" w:type="dxa"/>
          </w:tcPr>
          <w:p>
            <w:pPr>
              <w:pStyle w:val="TableParagraph"/>
              <w:spacing w:before="194"/>
              <w:ind w:left="333"/>
              <w:rPr>
                <w:sz w:val="22"/>
              </w:rPr>
            </w:pPr>
            <w:r>
              <w:rPr>
                <w:sz w:val="22"/>
              </w:rPr>
              <w:t>Jiquipilco</w:t>
            </w:r>
          </w:p>
        </w:tc>
        <w:tc>
          <w:tcPr>
            <w:tcW w:w="2312" w:type="dxa"/>
          </w:tcPr>
          <w:p>
            <w:pPr>
              <w:pStyle w:val="TableParagraph"/>
              <w:spacing w:before="194"/>
              <w:ind w:left="108"/>
              <w:rPr>
                <w:sz w:val="22"/>
              </w:rPr>
            </w:pPr>
            <w:r>
              <w:rPr>
                <w:sz w:val="22"/>
              </w:rPr>
              <w:t>Jiquipilco</w:t>
            </w:r>
          </w:p>
        </w:tc>
        <w:tc>
          <w:tcPr>
            <w:tcW w:w="1880" w:type="dxa"/>
          </w:tcPr>
          <w:p>
            <w:pPr>
              <w:pStyle w:val="TableParagraph"/>
              <w:spacing w:before="194"/>
              <w:ind w:left="107"/>
              <w:rPr>
                <w:sz w:val="22"/>
              </w:rPr>
            </w:pPr>
            <w:r>
              <w:rPr>
                <w:sz w:val="22"/>
              </w:rPr>
              <w:t>Cónico</w:t>
            </w:r>
          </w:p>
        </w:tc>
        <w:tc>
          <w:tcPr>
            <w:tcW w:w="1103" w:type="dxa"/>
          </w:tcPr>
          <w:p>
            <w:pPr>
              <w:pStyle w:val="TableParagraph"/>
              <w:spacing w:before="194"/>
              <w:ind w:left="107"/>
              <w:rPr>
                <w:sz w:val="22"/>
              </w:rPr>
            </w:pPr>
            <w:r>
              <w:rPr>
                <w:sz w:val="22"/>
              </w:rPr>
              <w:t>Blanco</w:t>
            </w:r>
          </w:p>
        </w:tc>
      </w:tr>
      <w:tr>
        <w:trPr>
          <w:trHeight w:val="666" w:hRule="exact"/>
        </w:trPr>
        <w:tc>
          <w:tcPr>
            <w:tcW w:w="754" w:type="dxa"/>
          </w:tcPr>
          <w:p>
            <w:pPr>
              <w:pStyle w:val="TableParagraph"/>
              <w:spacing w:before="195"/>
              <w:ind w:left="200"/>
              <w:rPr>
                <w:sz w:val="22"/>
              </w:rPr>
            </w:pPr>
            <w:r>
              <w:rPr>
                <w:sz w:val="22"/>
              </w:rPr>
              <w:t>24</w:t>
            </w:r>
          </w:p>
        </w:tc>
        <w:tc>
          <w:tcPr>
            <w:tcW w:w="1983" w:type="dxa"/>
          </w:tcPr>
          <w:p>
            <w:pPr>
              <w:pStyle w:val="TableParagraph"/>
              <w:spacing w:before="195"/>
              <w:ind w:left="333"/>
              <w:rPr>
                <w:sz w:val="22"/>
              </w:rPr>
            </w:pPr>
            <w:r>
              <w:rPr>
                <w:sz w:val="22"/>
              </w:rPr>
              <w:t>Xalatlaco</w:t>
            </w:r>
          </w:p>
        </w:tc>
        <w:tc>
          <w:tcPr>
            <w:tcW w:w="2312" w:type="dxa"/>
          </w:tcPr>
          <w:p>
            <w:pPr>
              <w:pStyle w:val="TableParagraph"/>
              <w:spacing w:before="195"/>
              <w:ind w:left="108"/>
              <w:rPr>
                <w:sz w:val="22"/>
              </w:rPr>
            </w:pPr>
            <w:r>
              <w:rPr>
                <w:sz w:val="22"/>
              </w:rPr>
              <w:t>Santiago Tianguistenco</w:t>
            </w:r>
          </w:p>
        </w:tc>
        <w:tc>
          <w:tcPr>
            <w:tcW w:w="1880" w:type="dxa"/>
          </w:tcPr>
          <w:p>
            <w:pPr>
              <w:pStyle w:val="TableParagraph"/>
              <w:spacing w:before="195"/>
              <w:ind w:left="107"/>
              <w:rPr>
                <w:sz w:val="22"/>
              </w:rPr>
            </w:pPr>
            <w:r>
              <w:rPr>
                <w:sz w:val="22"/>
              </w:rPr>
              <w:t>Cónico</w:t>
            </w:r>
          </w:p>
        </w:tc>
        <w:tc>
          <w:tcPr>
            <w:tcW w:w="1103" w:type="dxa"/>
          </w:tcPr>
          <w:p>
            <w:pPr>
              <w:pStyle w:val="TableParagraph"/>
              <w:spacing w:before="195"/>
              <w:ind w:left="107"/>
              <w:rPr>
                <w:sz w:val="22"/>
              </w:rPr>
            </w:pPr>
            <w:r>
              <w:rPr>
                <w:sz w:val="22"/>
              </w:rPr>
              <w:t>Blanco</w:t>
            </w:r>
          </w:p>
        </w:tc>
      </w:tr>
      <w:tr>
        <w:trPr>
          <w:trHeight w:val="666" w:hRule="exact"/>
        </w:trPr>
        <w:tc>
          <w:tcPr>
            <w:tcW w:w="754" w:type="dxa"/>
          </w:tcPr>
          <w:p>
            <w:pPr>
              <w:pStyle w:val="TableParagraph"/>
              <w:spacing w:before="194"/>
              <w:ind w:left="200"/>
              <w:rPr>
                <w:sz w:val="22"/>
              </w:rPr>
            </w:pPr>
            <w:r>
              <w:rPr>
                <w:sz w:val="22"/>
              </w:rPr>
              <w:t>25</w:t>
            </w:r>
          </w:p>
        </w:tc>
        <w:tc>
          <w:tcPr>
            <w:tcW w:w="1983" w:type="dxa"/>
          </w:tcPr>
          <w:p>
            <w:pPr>
              <w:pStyle w:val="TableParagraph"/>
              <w:spacing w:before="194"/>
              <w:ind w:left="333"/>
              <w:rPr>
                <w:sz w:val="22"/>
              </w:rPr>
            </w:pPr>
            <w:r>
              <w:rPr>
                <w:sz w:val="22"/>
              </w:rPr>
              <w:t>San Diego</w:t>
            </w:r>
          </w:p>
        </w:tc>
        <w:tc>
          <w:tcPr>
            <w:tcW w:w="2312" w:type="dxa"/>
          </w:tcPr>
          <w:p>
            <w:pPr>
              <w:pStyle w:val="TableParagraph"/>
              <w:spacing w:before="194"/>
              <w:ind w:left="108"/>
              <w:rPr>
                <w:sz w:val="22"/>
              </w:rPr>
            </w:pPr>
            <w:r>
              <w:rPr>
                <w:sz w:val="22"/>
              </w:rPr>
              <w:t>Almoloya de Juárez</w:t>
            </w:r>
          </w:p>
        </w:tc>
        <w:tc>
          <w:tcPr>
            <w:tcW w:w="1880" w:type="dxa"/>
          </w:tcPr>
          <w:p>
            <w:pPr>
              <w:pStyle w:val="TableParagraph"/>
              <w:spacing w:before="194"/>
              <w:ind w:left="107"/>
              <w:rPr>
                <w:sz w:val="22"/>
              </w:rPr>
            </w:pPr>
            <w:r>
              <w:rPr>
                <w:sz w:val="22"/>
              </w:rPr>
              <w:t>Cónico</w:t>
            </w:r>
          </w:p>
        </w:tc>
        <w:tc>
          <w:tcPr>
            <w:tcW w:w="1103" w:type="dxa"/>
          </w:tcPr>
          <w:p>
            <w:pPr>
              <w:pStyle w:val="TableParagraph"/>
              <w:spacing w:before="194"/>
              <w:ind w:left="107"/>
              <w:rPr>
                <w:sz w:val="22"/>
              </w:rPr>
            </w:pPr>
            <w:r>
              <w:rPr>
                <w:sz w:val="22"/>
              </w:rPr>
              <w:t>Blanco</w:t>
            </w:r>
          </w:p>
        </w:tc>
      </w:tr>
      <w:tr>
        <w:trPr>
          <w:trHeight w:val="666" w:hRule="exact"/>
        </w:trPr>
        <w:tc>
          <w:tcPr>
            <w:tcW w:w="754" w:type="dxa"/>
          </w:tcPr>
          <w:p>
            <w:pPr>
              <w:pStyle w:val="TableParagraph"/>
              <w:spacing w:before="195"/>
              <w:ind w:left="200"/>
              <w:rPr>
                <w:sz w:val="22"/>
              </w:rPr>
            </w:pPr>
            <w:r>
              <w:rPr>
                <w:sz w:val="22"/>
              </w:rPr>
              <w:t>26</w:t>
            </w:r>
          </w:p>
        </w:tc>
        <w:tc>
          <w:tcPr>
            <w:tcW w:w="1983" w:type="dxa"/>
          </w:tcPr>
          <w:p>
            <w:pPr>
              <w:pStyle w:val="TableParagraph"/>
              <w:spacing w:before="195"/>
              <w:ind w:left="333"/>
              <w:rPr>
                <w:sz w:val="22"/>
              </w:rPr>
            </w:pPr>
            <w:r>
              <w:rPr>
                <w:sz w:val="22"/>
              </w:rPr>
              <w:t>Tlacotepec</w:t>
            </w:r>
          </w:p>
        </w:tc>
        <w:tc>
          <w:tcPr>
            <w:tcW w:w="2312" w:type="dxa"/>
          </w:tcPr>
          <w:p>
            <w:pPr>
              <w:pStyle w:val="TableParagraph"/>
              <w:spacing w:before="195"/>
              <w:ind w:left="108"/>
              <w:rPr>
                <w:sz w:val="22"/>
              </w:rPr>
            </w:pPr>
            <w:r>
              <w:rPr>
                <w:sz w:val="22"/>
              </w:rPr>
              <w:t>Toluca</w:t>
            </w:r>
          </w:p>
        </w:tc>
        <w:tc>
          <w:tcPr>
            <w:tcW w:w="1880" w:type="dxa"/>
          </w:tcPr>
          <w:p>
            <w:pPr>
              <w:pStyle w:val="TableParagraph"/>
              <w:spacing w:before="195"/>
              <w:ind w:left="107"/>
              <w:rPr>
                <w:sz w:val="22"/>
              </w:rPr>
            </w:pPr>
            <w:r>
              <w:rPr>
                <w:sz w:val="22"/>
              </w:rPr>
              <w:t>Cacahuacintle</w:t>
            </w:r>
          </w:p>
        </w:tc>
        <w:tc>
          <w:tcPr>
            <w:tcW w:w="1103" w:type="dxa"/>
          </w:tcPr>
          <w:p>
            <w:pPr>
              <w:pStyle w:val="TableParagraph"/>
              <w:spacing w:before="195"/>
              <w:ind w:left="107"/>
              <w:rPr>
                <w:sz w:val="22"/>
              </w:rPr>
            </w:pPr>
            <w:r>
              <w:rPr>
                <w:sz w:val="22"/>
              </w:rPr>
              <w:t>Blanco</w:t>
            </w:r>
          </w:p>
        </w:tc>
      </w:tr>
      <w:tr>
        <w:trPr>
          <w:trHeight w:val="443" w:hRule="exact"/>
        </w:trPr>
        <w:tc>
          <w:tcPr>
            <w:tcW w:w="754" w:type="dxa"/>
          </w:tcPr>
          <w:p>
            <w:pPr>
              <w:pStyle w:val="TableParagraph"/>
              <w:spacing w:before="194"/>
              <w:ind w:left="200"/>
              <w:rPr>
                <w:sz w:val="22"/>
              </w:rPr>
            </w:pPr>
            <w:r>
              <w:rPr>
                <w:sz w:val="22"/>
              </w:rPr>
              <w:t>27</w:t>
            </w:r>
          </w:p>
        </w:tc>
        <w:tc>
          <w:tcPr>
            <w:tcW w:w="1983" w:type="dxa"/>
          </w:tcPr>
          <w:p>
            <w:pPr>
              <w:pStyle w:val="TableParagraph"/>
              <w:spacing w:before="194"/>
              <w:ind w:left="333"/>
              <w:rPr>
                <w:sz w:val="22"/>
              </w:rPr>
            </w:pPr>
            <w:r>
              <w:rPr>
                <w:sz w:val="22"/>
              </w:rPr>
              <w:t>San Cristóbal</w:t>
            </w:r>
          </w:p>
        </w:tc>
        <w:tc>
          <w:tcPr>
            <w:tcW w:w="2312" w:type="dxa"/>
          </w:tcPr>
          <w:p>
            <w:pPr>
              <w:pStyle w:val="TableParagraph"/>
              <w:spacing w:before="194"/>
              <w:ind w:left="108"/>
              <w:rPr>
                <w:sz w:val="22"/>
              </w:rPr>
            </w:pPr>
            <w:r>
              <w:rPr>
                <w:sz w:val="22"/>
              </w:rPr>
              <w:t>Zinacantepec</w:t>
            </w:r>
          </w:p>
        </w:tc>
        <w:tc>
          <w:tcPr>
            <w:tcW w:w="1880" w:type="dxa"/>
          </w:tcPr>
          <w:p>
            <w:pPr>
              <w:pStyle w:val="TableParagraph"/>
              <w:spacing w:before="194"/>
              <w:ind w:left="107"/>
              <w:rPr>
                <w:sz w:val="22"/>
              </w:rPr>
            </w:pPr>
            <w:r>
              <w:rPr>
                <w:sz w:val="22"/>
              </w:rPr>
              <w:t>Cacahuacintle</w:t>
            </w:r>
          </w:p>
        </w:tc>
        <w:tc>
          <w:tcPr>
            <w:tcW w:w="1103" w:type="dxa"/>
          </w:tcPr>
          <w:p>
            <w:pPr>
              <w:pStyle w:val="TableParagraph"/>
              <w:spacing w:before="194"/>
              <w:ind w:left="107"/>
              <w:rPr>
                <w:sz w:val="22"/>
              </w:rPr>
            </w:pPr>
            <w:r>
              <w:rPr>
                <w:sz w:val="22"/>
              </w:rPr>
              <w:t>Blanco</w:t>
            </w:r>
          </w:p>
        </w:tc>
      </w:tr>
    </w:tbl>
    <w:p>
      <w:pPr>
        <w:pStyle w:val="BodyText"/>
        <w:rPr>
          <w:b/>
          <w:sz w:val="20"/>
        </w:rPr>
      </w:pPr>
    </w:p>
    <w:p>
      <w:pPr>
        <w:pStyle w:val="BodyText"/>
        <w:spacing w:before="6"/>
        <w:rPr>
          <w:b/>
          <w:sz w:val="13"/>
        </w:rPr>
      </w:pPr>
      <w:r>
        <w:rPr/>
        <w:pict>
          <v:group style="position:absolute;margin-left:78.734001pt;margin-top:9.734554pt;width:427.8pt;height:.5pt;mso-position-horizontal-relative:page;mso-position-vertical-relative:paragraph;z-index:1144;mso-wrap-distance-left:0;mso-wrap-distance-right:0" coordorigin="1575,195" coordsize="8556,10">
            <v:line style="position:absolute" from="1580,200" to="2482,200" stroked="true" strokeweight=".48004pt" strokecolor="#000000"/>
            <v:line style="position:absolute" from="2468,200" to="2477,200" stroked="true" strokeweight=".48004pt" strokecolor="#000000"/>
            <v:line style="position:absolute" from="2477,200" to="4239,200" stroked="true" strokeweight=".48004pt" strokecolor="#000000"/>
            <v:line style="position:absolute" from="4225,200" to="4235,200" stroked="true" strokeweight=".48004pt" strokecolor="#000000"/>
            <v:line style="position:absolute" from="4235,200" to="6551,200" stroked="true" strokeweight=".48004pt" strokecolor="#000000"/>
            <v:line style="position:absolute" from="6536,200" to="6546,200" stroked="true" strokeweight=".48004pt" strokecolor="#000000"/>
            <v:line style="position:absolute" from="6546,200" to="8430,200" stroked="true" strokeweight=".48004pt" strokecolor="#000000"/>
            <v:line style="position:absolute" from="8416,200" to="8425,200" stroked="true" strokeweight=".48004pt" strokecolor="#000000"/>
            <v:line style="position:absolute" from="8425,200" to="10125,200" stroked="true" strokeweight=".48004pt" strokecolor="#000000"/>
            <w10:wrap type="topAndBottom"/>
          </v:group>
        </w:pict>
      </w:r>
    </w:p>
    <w:p>
      <w:pPr>
        <w:pStyle w:val="BodyText"/>
        <w:spacing w:line="218" w:lineRule="exact"/>
        <w:ind w:left="302"/>
        <w:jc w:val="both"/>
      </w:pPr>
      <w:r>
        <w:rPr/>
        <w:t>*INIFAP Valle de México.</w:t>
      </w:r>
    </w:p>
    <w:p>
      <w:pPr>
        <w:pStyle w:val="BodyText"/>
      </w:pPr>
    </w:p>
    <w:p>
      <w:pPr>
        <w:pStyle w:val="BodyText"/>
        <w:spacing w:line="477" w:lineRule="auto" w:before="159"/>
        <w:ind w:left="302" w:right="115"/>
        <w:jc w:val="both"/>
      </w:pPr>
      <w:r>
        <w:rPr/>
        <w:t>Los 29 cultivares se evaluaron en campo en un diseño experimental de bloques completos al azar con tres repeticiones por localidad. La parcela constó de tres surcos de 7.0 m de  longitud y 0.80 m de ancho (16.8 m</w:t>
      </w:r>
      <w:r>
        <w:rPr>
          <w:position w:val="8"/>
          <w:sz w:val="14"/>
        </w:rPr>
        <w:t>2</w:t>
      </w:r>
      <w:r>
        <w:rPr/>
        <w:t>); la hilera central fue la parcela útil (5.6 m</w:t>
      </w:r>
      <w:r>
        <w:rPr>
          <w:position w:val="8"/>
          <w:sz w:val="14"/>
        </w:rPr>
        <w:t>2</w:t>
      </w:r>
      <w:r>
        <w:rPr/>
        <w:t>). La siembra manual se realizó el 11, 18, 23 y 30 de abril en El Cerrillo Piedras Blancas, Mina México, Metepec y Tiacaque, respectivamente; se aplicó un    </w:t>
      </w:r>
      <w:r>
        <w:rPr>
          <w:spacing w:val="25"/>
        </w:rPr>
        <w:t> </w:t>
      </w:r>
      <w:r>
        <w:rPr/>
        <w:t>riego 4-5 días después de la siembra, excepto en la tercera localidad. En cada hilera fueron</w:t>
      </w:r>
    </w:p>
    <w:p>
      <w:pPr>
        <w:spacing w:after="0" w:line="477" w:lineRule="auto"/>
        <w:jc w:val="both"/>
        <w:sectPr>
          <w:pgSz w:w="12240" w:h="15840"/>
          <w:pgMar w:header="0" w:footer="1003" w:top="1500" w:bottom="1200" w:left="1400" w:right="1300"/>
        </w:sectPr>
      </w:pPr>
    </w:p>
    <w:p>
      <w:pPr>
        <w:pStyle w:val="BodyText"/>
        <w:spacing w:before="8"/>
        <w:rPr>
          <w:sz w:val="10"/>
        </w:rPr>
      </w:pPr>
    </w:p>
    <w:p>
      <w:pPr>
        <w:pStyle w:val="BodyText"/>
        <w:spacing w:line="477" w:lineRule="auto" w:before="73"/>
        <w:ind w:left="102" w:right="110"/>
        <w:jc w:val="both"/>
      </w:pPr>
      <w:r>
        <w:rPr/>
        <w:t>depositadas tres semillas por mata cada 30 cm, dejando dos plantas cuando el cultivo tenía 20 cm (83 333 plantas ha</w:t>
      </w:r>
      <w:r>
        <w:rPr>
          <w:position w:val="8"/>
          <w:sz w:val="14"/>
        </w:rPr>
        <w:t>-1</w:t>
      </w:r>
      <w:r>
        <w:rPr/>
        <w:t>). La preparación del suelo consistió en barbecho, cruza y rastra. Se fertilizó con 150N- 90P-50K: se aplicó la tercera parte del nitrógeno, todo el fósforo y el potasio al surcar y el resto en la segunda escarda. El control de maleza se hizo con cultivadora y 1.5 L ha</w:t>
      </w:r>
      <w:r>
        <w:rPr>
          <w:position w:val="8"/>
          <w:sz w:val="14"/>
        </w:rPr>
        <w:t>-1  </w:t>
      </w:r>
      <w:r>
        <w:rPr/>
        <w:t>de atrazina + s-metolaclor  en post-emergencia temprana al cultivo, mezclado en 200 L de agua. El frailecillo (</w:t>
      </w:r>
      <w:r>
        <w:rPr>
          <w:i/>
        </w:rPr>
        <w:t>Macrodactillus </w:t>
      </w:r>
      <w:r>
        <w:rPr>
          <w:i/>
        </w:rPr>
        <w:t>spp</w:t>
      </w:r>
      <w:r>
        <w:rPr/>
        <w:t>.) fue controlado con 1.5 L ha</w:t>
      </w:r>
      <w:r>
        <w:rPr>
          <w:position w:val="8"/>
          <w:sz w:val="14"/>
        </w:rPr>
        <w:t>-1 </w:t>
      </w:r>
      <w:r>
        <w:rPr/>
        <w:t>de malatión. El material genético se cosechó cuando el grano estaba masoso.</w:t>
      </w:r>
    </w:p>
    <w:p>
      <w:pPr>
        <w:pStyle w:val="BodyText"/>
        <w:spacing w:line="477" w:lineRule="auto" w:before="171"/>
        <w:ind w:left="102" w:right="113"/>
        <w:jc w:val="both"/>
      </w:pPr>
      <w:r>
        <w:rPr/>
        <w:t>Se registró floración masculina (FM, días transcurridos desde la siembra hasta que el 50 % de las plantas derramaron polen), altura de planta (AP, medida desde la superficie del suelo hasta la lígula de inserción de la hoja bandera), número de hojas (NH), diámetro de tallo (DT, se midió en cm dos entrenudos abajo del elote), acame (Ac, porcentaje de plantas con inclinación mayor a 45º). AP, </w:t>
      </w:r>
      <w:r>
        <w:rPr>
          <w:spacing w:val="-2"/>
        </w:rPr>
        <w:t>NH, </w:t>
      </w:r>
      <w:r>
        <w:rPr/>
        <w:t>DT y AC se determinaron con ocho datos. Las plantas con elote en una línea de 3.0 m se emplearon para determinar las materias verde total (MVT, t ha</w:t>
      </w:r>
      <w:r>
        <w:rPr>
          <w:position w:val="8"/>
          <w:sz w:val="14"/>
        </w:rPr>
        <w:t>-1</w:t>
      </w:r>
      <w:r>
        <w:rPr/>
        <w:t>) y de elote con brácteas (MVE, t ha</w:t>
      </w:r>
      <w:r>
        <w:rPr>
          <w:position w:val="8"/>
          <w:sz w:val="14"/>
        </w:rPr>
        <w:t>-1</w:t>
      </w:r>
      <w:r>
        <w:rPr/>
        <w:t>); el peso fresco de tallos y hojas también se calculó (MVTH, t ha</w:t>
      </w:r>
      <w:r>
        <w:rPr>
          <w:position w:val="8"/>
          <w:sz w:val="14"/>
        </w:rPr>
        <w:t>-1</w:t>
      </w:r>
      <w:r>
        <w:rPr/>
        <w:t>); de la MVE y la MVTH se tomó el 10 % para secarla en una estufa a 60 °C y con humedad constante se obtuvo su materia seca (MSE y MSTH,  t ha</w:t>
      </w:r>
      <w:r>
        <w:rPr>
          <w:position w:val="8"/>
          <w:sz w:val="14"/>
        </w:rPr>
        <w:t>-1</w:t>
      </w:r>
      <w:r>
        <w:rPr/>
        <w:t>). Con MSE y MSTH se determinó materia seca total (MST, t</w:t>
      </w:r>
      <w:r>
        <w:rPr>
          <w:spacing w:val="-15"/>
        </w:rPr>
        <w:t> </w:t>
      </w:r>
      <w:r>
        <w:rPr/>
        <w:t>ha</w:t>
      </w:r>
      <w:r>
        <w:rPr>
          <w:position w:val="8"/>
          <w:sz w:val="14"/>
        </w:rPr>
        <w:t>-1</w:t>
      </w:r>
      <w:r>
        <w:rPr/>
        <w:t>).</w:t>
      </w:r>
    </w:p>
    <w:p>
      <w:pPr>
        <w:pStyle w:val="BodyText"/>
        <w:spacing w:line="480" w:lineRule="auto" w:before="162"/>
        <w:ind w:left="102" w:right="114"/>
        <w:jc w:val="both"/>
      </w:pPr>
      <w:r>
        <w:rPr/>
        <w:t>Se generó un análisis de varianza combinado (Anacom). Las medias de localidades y de cultivares se compararon con la prueba de Tukey (P&lt;0.01) y las salidas se obtuvieron con el Sistema para Análisis Estadístico (SAS Institute Inc., versión 9.0). También se aplicaron los análisis de componentes principales y de conglomerados en la forma como lo sugirieron Sánchez (1995) y González </w:t>
      </w:r>
      <w:r>
        <w:rPr>
          <w:i/>
        </w:rPr>
        <w:t>et al</w:t>
      </w:r>
      <w:r>
        <w:rPr/>
        <w:t>. (2010). Los cuadrados medios del Anacom fueron utilizados para estimar la variabilidad genética en los 29 cultivares. El biplot fue elaborado con Microsoft Excel Ver. 1997-2003 con las puntuaciones de los CP1 y CP2 generadas por SAS</w:t>
      </w:r>
      <w:r>
        <w:rPr>
          <w:spacing w:val="-6"/>
        </w:rPr>
        <w:t> </w:t>
      </w:r>
      <w:r>
        <w:rPr/>
        <w:t>(1999).</w:t>
      </w:r>
    </w:p>
    <w:p>
      <w:pPr>
        <w:spacing w:after="0" w:line="480" w:lineRule="auto"/>
        <w:jc w:val="both"/>
        <w:sectPr>
          <w:pgSz w:w="12240" w:h="15840"/>
          <w:pgMar w:header="0" w:footer="1003" w:top="1500" w:bottom="1200" w:left="1600" w:right="1300"/>
        </w:sectPr>
      </w:pPr>
    </w:p>
    <w:p>
      <w:pPr>
        <w:pStyle w:val="BodyText"/>
        <w:spacing w:before="1"/>
        <w:rPr>
          <w:sz w:val="11"/>
        </w:rPr>
      </w:pPr>
    </w:p>
    <w:p>
      <w:pPr>
        <w:pStyle w:val="Heading2"/>
      </w:pPr>
      <w:r>
        <w:rPr/>
        <w:t>RESULTADOS Y DISCUSIÓN</w:t>
      </w:r>
    </w:p>
    <w:p>
      <w:pPr>
        <w:pStyle w:val="BodyText"/>
        <w:rPr>
          <w:b/>
        </w:rPr>
      </w:pPr>
    </w:p>
    <w:p>
      <w:pPr>
        <w:pStyle w:val="BodyText"/>
        <w:spacing w:line="480" w:lineRule="auto" w:before="154"/>
        <w:ind w:left="102" w:right="112"/>
        <w:jc w:val="both"/>
      </w:pPr>
      <w:r>
        <w:rPr/>
        <w:t>En el Valle Toluca-Atlacomulco, México las localidades son muy heterogéneas, existe amplia diversidad entre maíces y es común la inestabilidad fenotípica. La elección de localidades adecuadas en presencia de interacción genotipo x ambiente (IGA), es indispensable para ahorrar tiempo y recursos. La amplia variabilidad genética que hubo en los 29 cultivares (Cuadros 3 y 5) se atribuye a las diferencias que existen entre los criollos de las razas Cónico, Chalqueño y Cacahuacintle con los híbridos de INIFAP, ICAMEX, CIMMYT o empresas privadas (Cuadro 2). La </w:t>
      </w:r>
      <w:r>
        <w:rPr>
          <w:spacing w:val="-2"/>
        </w:rPr>
        <w:t>IGA </w:t>
      </w:r>
      <w:r>
        <w:rPr/>
        <w:t>significativa que  se detectó en todas las variables indica que la mayoría de los cultivares tuvieron adaptación específica siendo necesario conducir más ensayos en tiempo y/o espacio para estimar confiablemente los parámetros genético-estadísticos que permitan identificar una fracción superior. Los resultados anteriores son similares a los publicados por Rodríguez  </w:t>
      </w:r>
      <w:r>
        <w:rPr>
          <w:i/>
        </w:rPr>
        <w:t>et al</w:t>
      </w:r>
      <w:r>
        <w:rPr/>
        <w:t>. (2002),  González </w:t>
      </w:r>
      <w:r>
        <w:rPr>
          <w:i/>
        </w:rPr>
        <w:t>et al</w:t>
      </w:r>
      <w:r>
        <w:rPr/>
        <w:t>. (2006),  González </w:t>
      </w:r>
      <w:r>
        <w:rPr>
          <w:i/>
        </w:rPr>
        <w:t>et al</w:t>
      </w:r>
      <w:r>
        <w:rPr/>
        <w:t>. (2008),  Reynoso </w:t>
      </w:r>
      <w:r>
        <w:rPr>
          <w:i/>
        </w:rPr>
        <w:t>et al</w:t>
      </w:r>
      <w:r>
        <w:rPr/>
        <w:t>. (2014) y  Rodríguez </w:t>
      </w:r>
      <w:r>
        <w:rPr>
          <w:i/>
        </w:rPr>
        <w:t>et al</w:t>
      </w:r>
      <w:r>
        <w:rPr/>
        <w:t>.</w:t>
      </w:r>
      <w:r>
        <w:rPr>
          <w:spacing w:val="-14"/>
        </w:rPr>
        <w:t> </w:t>
      </w:r>
      <w:r>
        <w:rPr/>
        <w:t>(2015).</w:t>
      </w:r>
    </w:p>
    <w:p>
      <w:pPr>
        <w:spacing w:after="0" w:line="480" w:lineRule="auto"/>
        <w:jc w:val="both"/>
        <w:sectPr>
          <w:pgSz w:w="12240" w:h="15840"/>
          <w:pgMar w:header="0" w:footer="1003" w:top="1500" w:bottom="1200" w:left="1600" w:right="1300"/>
        </w:sectPr>
      </w:pPr>
    </w:p>
    <w:p>
      <w:pPr>
        <w:pStyle w:val="BodyText"/>
        <w:spacing w:before="1"/>
        <w:rPr>
          <w:sz w:val="11"/>
        </w:rPr>
      </w:pPr>
    </w:p>
    <w:p>
      <w:pPr>
        <w:pStyle w:val="Heading2"/>
        <w:spacing w:line="482" w:lineRule="auto"/>
        <w:ind w:left="242" w:right="474"/>
        <w:jc w:val="left"/>
      </w:pPr>
      <w:r>
        <w:rPr/>
        <w:t>Cuadro 3. Cuadrados medios y significancia estadística de los valores de F para producción de forraje y variables relacionadas.</w:t>
      </w:r>
    </w:p>
    <w:p>
      <w:pPr>
        <w:pStyle w:val="BodyText"/>
        <w:spacing w:before="10"/>
        <w:rPr>
          <w:b/>
          <w:sz w:val="17"/>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076"/>
        <w:gridCol w:w="1449"/>
        <w:gridCol w:w="1265"/>
        <w:gridCol w:w="1049"/>
        <w:gridCol w:w="1162"/>
        <w:gridCol w:w="1260"/>
      </w:tblGrid>
      <w:tr>
        <w:trPr>
          <w:trHeight w:val="1181" w:hRule="exact"/>
        </w:trPr>
        <w:tc>
          <w:tcPr>
            <w:tcW w:w="2093" w:type="dxa"/>
            <w:tcBorders>
              <w:left w:val="nil"/>
              <w:right w:val="nil"/>
            </w:tcBorders>
          </w:tcPr>
          <w:p>
            <w:pPr>
              <w:pStyle w:val="TableParagraph"/>
              <w:spacing w:line="252" w:lineRule="exact"/>
              <w:ind w:left="122"/>
              <w:rPr>
                <w:b/>
                <w:sz w:val="22"/>
              </w:rPr>
            </w:pPr>
            <w:r>
              <w:rPr>
                <w:b/>
                <w:sz w:val="22"/>
              </w:rPr>
              <w:t>Fuente de variación</w:t>
            </w:r>
          </w:p>
        </w:tc>
        <w:tc>
          <w:tcPr>
            <w:tcW w:w="1076" w:type="dxa"/>
            <w:tcBorders>
              <w:left w:val="nil"/>
              <w:right w:val="nil"/>
            </w:tcBorders>
          </w:tcPr>
          <w:p>
            <w:pPr>
              <w:pStyle w:val="TableParagraph"/>
              <w:spacing w:line="480" w:lineRule="auto"/>
              <w:ind w:left="110" w:right="200"/>
              <w:rPr>
                <w:b/>
                <w:sz w:val="22"/>
              </w:rPr>
            </w:pPr>
            <w:r>
              <w:rPr>
                <w:b/>
                <w:sz w:val="22"/>
              </w:rPr>
              <w:t>Grados libertad</w:t>
            </w:r>
          </w:p>
        </w:tc>
        <w:tc>
          <w:tcPr>
            <w:tcW w:w="1449" w:type="dxa"/>
            <w:tcBorders>
              <w:left w:val="nil"/>
              <w:right w:val="nil"/>
            </w:tcBorders>
          </w:tcPr>
          <w:p>
            <w:pPr>
              <w:pStyle w:val="TableParagraph"/>
              <w:spacing w:line="480" w:lineRule="auto"/>
              <w:ind w:left="216" w:right="259"/>
              <w:rPr>
                <w:b/>
                <w:sz w:val="22"/>
              </w:rPr>
            </w:pPr>
            <w:r>
              <w:rPr>
                <w:b/>
                <w:sz w:val="22"/>
              </w:rPr>
              <w:t>Floración masculina</w:t>
            </w:r>
          </w:p>
        </w:tc>
        <w:tc>
          <w:tcPr>
            <w:tcW w:w="1265" w:type="dxa"/>
            <w:tcBorders>
              <w:left w:val="nil"/>
              <w:right w:val="nil"/>
            </w:tcBorders>
          </w:tcPr>
          <w:p>
            <w:pPr>
              <w:pStyle w:val="TableParagraph"/>
              <w:spacing w:line="480" w:lineRule="auto"/>
              <w:ind w:left="277" w:right="109"/>
              <w:rPr>
                <w:b/>
                <w:sz w:val="22"/>
              </w:rPr>
            </w:pPr>
            <w:r>
              <w:rPr>
                <w:b/>
                <w:sz w:val="22"/>
              </w:rPr>
              <w:t>Altura de</w:t>
            </w:r>
            <w:r>
              <w:rPr>
                <w:b/>
                <w:spacing w:val="-1"/>
                <w:sz w:val="22"/>
              </w:rPr>
              <w:t> </w:t>
            </w:r>
            <w:r>
              <w:rPr>
                <w:b/>
                <w:sz w:val="22"/>
              </w:rPr>
              <w:t>planta</w:t>
            </w:r>
          </w:p>
        </w:tc>
        <w:tc>
          <w:tcPr>
            <w:tcW w:w="1049" w:type="dxa"/>
            <w:tcBorders>
              <w:left w:val="nil"/>
              <w:right w:val="nil"/>
            </w:tcBorders>
          </w:tcPr>
          <w:p>
            <w:pPr>
              <w:pStyle w:val="TableParagraph"/>
              <w:spacing w:line="480" w:lineRule="auto"/>
              <w:ind w:left="111" w:right="141"/>
              <w:rPr>
                <w:b/>
                <w:sz w:val="22"/>
              </w:rPr>
            </w:pPr>
            <w:r>
              <w:rPr>
                <w:b/>
                <w:sz w:val="22"/>
              </w:rPr>
              <w:t>Número de hojas</w:t>
            </w:r>
          </w:p>
        </w:tc>
        <w:tc>
          <w:tcPr>
            <w:tcW w:w="1162" w:type="dxa"/>
            <w:tcBorders>
              <w:left w:val="nil"/>
              <w:right w:val="nil"/>
            </w:tcBorders>
          </w:tcPr>
          <w:p>
            <w:pPr>
              <w:pStyle w:val="TableParagraph"/>
              <w:spacing w:line="480" w:lineRule="auto"/>
              <w:ind w:left="159" w:right="90"/>
              <w:rPr>
                <w:b/>
                <w:sz w:val="22"/>
              </w:rPr>
            </w:pPr>
            <w:r>
              <w:rPr>
                <w:b/>
                <w:sz w:val="22"/>
              </w:rPr>
              <w:t>Diámetro de tallo</w:t>
            </w:r>
          </w:p>
        </w:tc>
        <w:tc>
          <w:tcPr>
            <w:tcW w:w="1260" w:type="dxa"/>
            <w:tcBorders>
              <w:left w:val="nil"/>
              <w:right w:val="nil"/>
            </w:tcBorders>
          </w:tcPr>
          <w:p>
            <w:pPr>
              <w:pStyle w:val="TableParagraph"/>
              <w:spacing w:line="252" w:lineRule="exact"/>
              <w:ind w:left="107"/>
              <w:rPr>
                <w:b/>
                <w:sz w:val="22"/>
              </w:rPr>
            </w:pPr>
            <w:r>
              <w:rPr>
                <w:b/>
                <w:sz w:val="22"/>
              </w:rPr>
              <w:t>Acame</w:t>
            </w:r>
          </w:p>
        </w:tc>
      </w:tr>
      <w:tr>
        <w:trPr>
          <w:trHeight w:val="471" w:hRule="exact"/>
        </w:trPr>
        <w:tc>
          <w:tcPr>
            <w:tcW w:w="2093" w:type="dxa"/>
            <w:tcBorders>
              <w:left w:val="nil"/>
              <w:bottom w:val="nil"/>
              <w:right w:val="nil"/>
            </w:tcBorders>
          </w:tcPr>
          <w:p>
            <w:pPr>
              <w:pStyle w:val="TableParagraph"/>
              <w:spacing w:line="247" w:lineRule="exact"/>
              <w:ind w:left="122"/>
              <w:rPr>
                <w:sz w:val="22"/>
              </w:rPr>
            </w:pPr>
            <w:r>
              <w:rPr>
                <w:sz w:val="22"/>
              </w:rPr>
              <w:t>Localidades (L)</w:t>
            </w:r>
          </w:p>
        </w:tc>
        <w:tc>
          <w:tcPr>
            <w:tcW w:w="1076" w:type="dxa"/>
            <w:tcBorders>
              <w:left w:val="nil"/>
              <w:bottom w:val="nil"/>
              <w:right w:val="nil"/>
            </w:tcBorders>
          </w:tcPr>
          <w:p>
            <w:pPr>
              <w:pStyle w:val="TableParagraph"/>
              <w:spacing w:line="247" w:lineRule="exact"/>
              <w:ind w:left="110"/>
              <w:rPr>
                <w:sz w:val="22"/>
              </w:rPr>
            </w:pPr>
            <w:r>
              <w:rPr>
                <w:w w:val="100"/>
                <w:sz w:val="22"/>
              </w:rPr>
              <w:t>3</w:t>
            </w:r>
          </w:p>
        </w:tc>
        <w:tc>
          <w:tcPr>
            <w:tcW w:w="1449" w:type="dxa"/>
            <w:tcBorders>
              <w:left w:val="nil"/>
              <w:bottom w:val="nil"/>
              <w:right w:val="nil"/>
            </w:tcBorders>
          </w:tcPr>
          <w:p>
            <w:pPr>
              <w:pStyle w:val="TableParagraph"/>
              <w:spacing w:line="247" w:lineRule="exact"/>
              <w:ind w:left="216"/>
              <w:rPr>
                <w:sz w:val="22"/>
              </w:rPr>
            </w:pPr>
            <w:r>
              <w:rPr>
                <w:sz w:val="22"/>
              </w:rPr>
              <w:t>3115.08**</w:t>
            </w:r>
          </w:p>
        </w:tc>
        <w:tc>
          <w:tcPr>
            <w:tcW w:w="1265" w:type="dxa"/>
            <w:tcBorders>
              <w:left w:val="nil"/>
              <w:bottom w:val="nil"/>
              <w:right w:val="nil"/>
            </w:tcBorders>
          </w:tcPr>
          <w:p>
            <w:pPr>
              <w:pStyle w:val="TableParagraph"/>
              <w:spacing w:line="247" w:lineRule="exact"/>
              <w:ind w:left="277" w:right="109"/>
              <w:rPr>
                <w:sz w:val="22"/>
              </w:rPr>
            </w:pPr>
            <w:r>
              <w:rPr>
                <w:sz w:val="22"/>
              </w:rPr>
              <w:t>0.89**</w:t>
            </w:r>
          </w:p>
        </w:tc>
        <w:tc>
          <w:tcPr>
            <w:tcW w:w="1049" w:type="dxa"/>
            <w:tcBorders>
              <w:left w:val="nil"/>
              <w:bottom w:val="nil"/>
              <w:right w:val="nil"/>
            </w:tcBorders>
          </w:tcPr>
          <w:p>
            <w:pPr>
              <w:pStyle w:val="TableParagraph"/>
              <w:spacing w:line="247" w:lineRule="exact"/>
              <w:ind w:left="111" w:right="141"/>
              <w:rPr>
                <w:sz w:val="22"/>
              </w:rPr>
            </w:pPr>
            <w:r>
              <w:rPr>
                <w:sz w:val="22"/>
              </w:rPr>
              <w:t>1.40*</w:t>
            </w:r>
          </w:p>
        </w:tc>
        <w:tc>
          <w:tcPr>
            <w:tcW w:w="1162" w:type="dxa"/>
            <w:tcBorders>
              <w:left w:val="nil"/>
              <w:bottom w:val="nil"/>
              <w:right w:val="nil"/>
            </w:tcBorders>
          </w:tcPr>
          <w:p>
            <w:pPr>
              <w:pStyle w:val="TableParagraph"/>
              <w:spacing w:line="247" w:lineRule="exact"/>
              <w:ind w:left="159" w:right="90"/>
              <w:rPr>
                <w:sz w:val="22"/>
              </w:rPr>
            </w:pPr>
            <w:r>
              <w:rPr>
                <w:sz w:val="22"/>
              </w:rPr>
              <w:t>0.28**</w:t>
            </w:r>
          </w:p>
        </w:tc>
        <w:tc>
          <w:tcPr>
            <w:tcW w:w="1260" w:type="dxa"/>
            <w:tcBorders>
              <w:left w:val="nil"/>
              <w:bottom w:val="nil"/>
              <w:right w:val="nil"/>
            </w:tcBorders>
          </w:tcPr>
          <w:p>
            <w:pPr>
              <w:pStyle w:val="TableParagraph"/>
              <w:spacing w:line="247" w:lineRule="exact"/>
              <w:ind w:left="107"/>
              <w:rPr>
                <w:sz w:val="22"/>
              </w:rPr>
            </w:pPr>
            <w:r>
              <w:rPr>
                <w:sz w:val="22"/>
              </w:rPr>
              <w:t>10158.86**</w:t>
            </w:r>
          </w:p>
        </w:tc>
      </w:tr>
      <w:tr>
        <w:trPr>
          <w:trHeight w:val="666" w:hRule="exact"/>
        </w:trPr>
        <w:tc>
          <w:tcPr>
            <w:tcW w:w="2093" w:type="dxa"/>
            <w:tcBorders>
              <w:top w:val="nil"/>
              <w:left w:val="nil"/>
              <w:bottom w:val="nil"/>
              <w:right w:val="nil"/>
            </w:tcBorders>
          </w:tcPr>
          <w:p>
            <w:pPr>
              <w:pStyle w:val="TableParagraph"/>
              <w:spacing w:before="195"/>
              <w:ind w:left="122"/>
              <w:rPr>
                <w:sz w:val="22"/>
              </w:rPr>
            </w:pPr>
            <w:r>
              <w:rPr>
                <w:sz w:val="22"/>
              </w:rPr>
              <w:t>Repeticiones/L</w:t>
            </w:r>
          </w:p>
        </w:tc>
        <w:tc>
          <w:tcPr>
            <w:tcW w:w="1076" w:type="dxa"/>
            <w:tcBorders>
              <w:top w:val="nil"/>
              <w:left w:val="nil"/>
              <w:bottom w:val="nil"/>
              <w:right w:val="nil"/>
            </w:tcBorders>
          </w:tcPr>
          <w:p>
            <w:pPr>
              <w:pStyle w:val="TableParagraph"/>
              <w:spacing w:before="195"/>
              <w:ind w:left="110"/>
              <w:rPr>
                <w:sz w:val="22"/>
              </w:rPr>
            </w:pPr>
            <w:r>
              <w:rPr>
                <w:w w:val="100"/>
                <w:sz w:val="22"/>
              </w:rPr>
              <w:t>8</w:t>
            </w:r>
          </w:p>
        </w:tc>
        <w:tc>
          <w:tcPr>
            <w:tcW w:w="1449" w:type="dxa"/>
            <w:tcBorders>
              <w:top w:val="nil"/>
              <w:left w:val="nil"/>
              <w:bottom w:val="nil"/>
              <w:right w:val="nil"/>
            </w:tcBorders>
          </w:tcPr>
          <w:p>
            <w:pPr>
              <w:pStyle w:val="TableParagraph"/>
              <w:spacing w:before="195"/>
              <w:ind w:left="216" w:right="259"/>
              <w:rPr>
                <w:sz w:val="22"/>
              </w:rPr>
            </w:pPr>
            <w:r>
              <w:rPr>
                <w:sz w:val="22"/>
              </w:rPr>
              <w:t>1.50</w:t>
            </w:r>
          </w:p>
        </w:tc>
        <w:tc>
          <w:tcPr>
            <w:tcW w:w="1265" w:type="dxa"/>
            <w:tcBorders>
              <w:top w:val="nil"/>
              <w:left w:val="nil"/>
              <w:bottom w:val="nil"/>
              <w:right w:val="nil"/>
            </w:tcBorders>
          </w:tcPr>
          <w:p>
            <w:pPr>
              <w:pStyle w:val="TableParagraph"/>
              <w:spacing w:before="195"/>
              <w:ind w:left="277" w:right="109"/>
              <w:rPr>
                <w:sz w:val="22"/>
              </w:rPr>
            </w:pPr>
            <w:r>
              <w:rPr>
                <w:sz w:val="22"/>
              </w:rPr>
              <w:t>0.02</w:t>
            </w:r>
          </w:p>
        </w:tc>
        <w:tc>
          <w:tcPr>
            <w:tcW w:w="1049" w:type="dxa"/>
            <w:tcBorders>
              <w:top w:val="nil"/>
              <w:left w:val="nil"/>
              <w:bottom w:val="nil"/>
              <w:right w:val="nil"/>
            </w:tcBorders>
          </w:tcPr>
          <w:p>
            <w:pPr>
              <w:pStyle w:val="TableParagraph"/>
              <w:spacing w:before="195"/>
              <w:ind w:left="111" w:right="141"/>
              <w:rPr>
                <w:sz w:val="22"/>
              </w:rPr>
            </w:pPr>
            <w:r>
              <w:rPr>
                <w:sz w:val="22"/>
              </w:rPr>
              <w:t>0.36</w:t>
            </w:r>
          </w:p>
        </w:tc>
        <w:tc>
          <w:tcPr>
            <w:tcW w:w="1162" w:type="dxa"/>
            <w:tcBorders>
              <w:top w:val="nil"/>
              <w:left w:val="nil"/>
              <w:bottom w:val="nil"/>
              <w:right w:val="nil"/>
            </w:tcBorders>
          </w:tcPr>
          <w:p>
            <w:pPr>
              <w:pStyle w:val="TableParagraph"/>
              <w:spacing w:before="195"/>
              <w:ind w:left="159" w:right="90"/>
              <w:rPr>
                <w:sz w:val="22"/>
              </w:rPr>
            </w:pPr>
            <w:r>
              <w:rPr>
                <w:sz w:val="22"/>
              </w:rPr>
              <w:t>0.05</w:t>
            </w:r>
          </w:p>
        </w:tc>
        <w:tc>
          <w:tcPr>
            <w:tcW w:w="1260" w:type="dxa"/>
            <w:tcBorders>
              <w:top w:val="nil"/>
              <w:left w:val="nil"/>
              <w:bottom w:val="nil"/>
              <w:right w:val="nil"/>
            </w:tcBorders>
          </w:tcPr>
          <w:p>
            <w:pPr>
              <w:pStyle w:val="TableParagraph"/>
              <w:spacing w:before="195"/>
              <w:ind w:left="107"/>
              <w:rPr>
                <w:sz w:val="22"/>
              </w:rPr>
            </w:pPr>
            <w:r>
              <w:rPr>
                <w:sz w:val="22"/>
              </w:rPr>
              <w:t>133.11</w:t>
            </w:r>
          </w:p>
        </w:tc>
      </w:tr>
      <w:tr>
        <w:trPr>
          <w:trHeight w:val="666" w:hRule="exact"/>
        </w:trPr>
        <w:tc>
          <w:tcPr>
            <w:tcW w:w="2093" w:type="dxa"/>
            <w:tcBorders>
              <w:top w:val="nil"/>
              <w:left w:val="nil"/>
              <w:bottom w:val="nil"/>
              <w:right w:val="nil"/>
            </w:tcBorders>
          </w:tcPr>
          <w:p>
            <w:pPr>
              <w:pStyle w:val="TableParagraph"/>
              <w:spacing w:before="194"/>
              <w:ind w:left="122"/>
              <w:rPr>
                <w:sz w:val="22"/>
              </w:rPr>
            </w:pPr>
            <w:r>
              <w:rPr>
                <w:sz w:val="22"/>
              </w:rPr>
              <w:t>Cultivares (G)</w:t>
            </w:r>
          </w:p>
        </w:tc>
        <w:tc>
          <w:tcPr>
            <w:tcW w:w="1076" w:type="dxa"/>
            <w:tcBorders>
              <w:top w:val="nil"/>
              <w:left w:val="nil"/>
              <w:bottom w:val="nil"/>
              <w:right w:val="nil"/>
            </w:tcBorders>
          </w:tcPr>
          <w:p>
            <w:pPr>
              <w:pStyle w:val="TableParagraph"/>
              <w:spacing w:before="194"/>
              <w:ind w:left="110" w:right="200"/>
              <w:rPr>
                <w:sz w:val="22"/>
              </w:rPr>
            </w:pPr>
            <w:r>
              <w:rPr>
                <w:sz w:val="22"/>
              </w:rPr>
              <w:t>28</w:t>
            </w:r>
          </w:p>
        </w:tc>
        <w:tc>
          <w:tcPr>
            <w:tcW w:w="1449" w:type="dxa"/>
            <w:tcBorders>
              <w:top w:val="nil"/>
              <w:left w:val="nil"/>
              <w:bottom w:val="nil"/>
              <w:right w:val="nil"/>
            </w:tcBorders>
          </w:tcPr>
          <w:p>
            <w:pPr>
              <w:pStyle w:val="TableParagraph"/>
              <w:spacing w:before="194"/>
              <w:ind w:left="216"/>
              <w:rPr>
                <w:sz w:val="22"/>
              </w:rPr>
            </w:pPr>
            <w:r>
              <w:rPr>
                <w:sz w:val="22"/>
              </w:rPr>
              <w:t>1134.52**</w:t>
            </w:r>
          </w:p>
        </w:tc>
        <w:tc>
          <w:tcPr>
            <w:tcW w:w="1265" w:type="dxa"/>
            <w:tcBorders>
              <w:top w:val="nil"/>
              <w:left w:val="nil"/>
              <w:bottom w:val="nil"/>
              <w:right w:val="nil"/>
            </w:tcBorders>
          </w:tcPr>
          <w:p>
            <w:pPr>
              <w:pStyle w:val="TableParagraph"/>
              <w:spacing w:before="194"/>
              <w:ind w:left="277" w:right="109"/>
              <w:rPr>
                <w:sz w:val="22"/>
              </w:rPr>
            </w:pPr>
            <w:r>
              <w:rPr>
                <w:sz w:val="22"/>
              </w:rPr>
              <w:t>0.75**</w:t>
            </w:r>
          </w:p>
        </w:tc>
        <w:tc>
          <w:tcPr>
            <w:tcW w:w="1049" w:type="dxa"/>
            <w:tcBorders>
              <w:top w:val="nil"/>
              <w:left w:val="nil"/>
              <w:bottom w:val="nil"/>
              <w:right w:val="nil"/>
            </w:tcBorders>
          </w:tcPr>
          <w:p>
            <w:pPr>
              <w:pStyle w:val="TableParagraph"/>
              <w:spacing w:before="194"/>
              <w:ind w:left="111" w:right="141"/>
              <w:rPr>
                <w:sz w:val="22"/>
              </w:rPr>
            </w:pPr>
            <w:r>
              <w:rPr>
                <w:sz w:val="22"/>
              </w:rPr>
              <w:t>14.80**</w:t>
            </w:r>
          </w:p>
        </w:tc>
        <w:tc>
          <w:tcPr>
            <w:tcW w:w="1162" w:type="dxa"/>
            <w:tcBorders>
              <w:top w:val="nil"/>
              <w:left w:val="nil"/>
              <w:bottom w:val="nil"/>
              <w:right w:val="nil"/>
            </w:tcBorders>
          </w:tcPr>
          <w:p>
            <w:pPr>
              <w:pStyle w:val="TableParagraph"/>
              <w:spacing w:before="194"/>
              <w:ind w:left="159" w:right="90"/>
              <w:rPr>
                <w:sz w:val="22"/>
              </w:rPr>
            </w:pPr>
            <w:r>
              <w:rPr>
                <w:sz w:val="22"/>
              </w:rPr>
              <w:t>0.25**</w:t>
            </w:r>
          </w:p>
        </w:tc>
        <w:tc>
          <w:tcPr>
            <w:tcW w:w="1260" w:type="dxa"/>
            <w:tcBorders>
              <w:top w:val="nil"/>
              <w:left w:val="nil"/>
              <w:bottom w:val="nil"/>
              <w:right w:val="nil"/>
            </w:tcBorders>
          </w:tcPr>
          <w:p>
            <w:pPr>
              <w:pStyle w:val="TableParagraph"/>
              <w:spacing w:before="194"/>
              <w:ind w:left="107"/>
              <w:rPr>
                <w:sz w:val="22"/>
              </w:rPr>
            </w:pPr>
            <w:r>
              <w:rPr>
                <w:sz w:val="22"/>
              </w:rPr>
              <w:t>3960.19**</w:t>
            </w:r>
          </w:p>
        </w:tc>
      </w:tr>
      <w:tr>
        <w:trPr>
          <w:trHeight w:val="666" w:hRule="exact"/>
        </w:trPr>
        <w:tc>
          <w:tcPr>
            <w:tcW w:w="2093" w:type="dxa"/>
            <w:tcBorders>
              <w:top w:val="nil"/>
              <w:left w:val="nil"/>
              <w:bottom w:val="nil"/>
              <w:right w:val="nil"/>
            </w:tcBorders>
          </w:tcPr>
          <w:p>
            <w:pPr>
              <w:pStyle w:val="TableParagraph"/>
              <w:spacing w:before="195"/>
              <w:ind w:left="122"/>
              <w:rPr>
                <w:sz w:val="22"/>
              </w:rPr>
            </w:pPr>
            <w:r>
              <w:rPr>
                <w:sz w:val="22"/>
              </w:rPr>
              <w:t>L x G</w:t>
            </w:r>
          </w:p>
        </w:tc>
        <w:tc>
          <w:tcPr>
            <w:tcW w:w="1076" w:type="dxa"/>
            <w:tcBorders>
              <w:top w:val="nil"/>
              <w:left w:val="nil"/>
              <w:bottom w:val="nil"/>
              <w:right w:val="nil"/>
            </w:tcBorders>
          </w:tcPr>
          <w:p>
            <w:pPr>
              <w:pStyle w:val="TableParagraph"/>
              <w:spacing w:before="195"/>
              <w:ind w:left="110" w:right="200"/>
              <w:rPr>
                <w:sz w:val="22"/>
              </w:rPr>
            </w:pPr>
            <w:r>
              <w:rPr>
                <w:sz w:val="22"/>
              </w:rPr>
              <w:t>84</w:t>
            </w:r>
          </w:p>
        </w:tc>
        <w:tc>
          <w:tcPr>
            <w:tcW w:w="1449" w:type="dxa"/>
            <w:tcBorders>
              <w:top w:val="nil"/>
              <w:left w:val="nil"/>
              <w:bottom w:val="nil"/>
              <w:right w:val="nil"/>
            </w:tcBorders>
          </w:tcPr>
          <w:p>
            <w:pPr>
              <w:pStyle w:val="TableParagraph"/>
              <w:spacing w:before="195"/>
              <w:ind w:left="216" w:right="259"/>
              <w:rPr>
                <w:sz w:val="22"/>
              </w:rPr>
            </w:pPr>
            <w:r>
              <w:rPr>
                <w:sz w:val="22"/>
              </w:rPr>
              <w:t>4.85**</w:t>
            </w:r>
          </w:p>
        </w:tc>
        <w:tc>
          <w:tcPr>
            <w:tcW w:w="1265" w:type="dxa"/>
            <w:tcBorders>
              <w:top w:val="nil"/>
              <w:left w:val="nil"/>
              <w:bottom w:val="nil"/>
              <w:right w:val="nil"/>
            </w:tcBorders>
          </w:tcPr>
          <w:p>
            <w:pPr>
              <w:pStyle w:val="TableParagraph"/>
              <w:spacing w:before="195"/>
              <w:ind w:left="277" w:right="109"/>
              <w:rPr>
                <w:sz w:val="22"/>
              </w:rPr>
            </w:pPr>
            <w:r>
              <w:rPr>
                <w:sz w:val="22"/>
              </w:rPr>
              <w:t>0.03**</w:t>
            </w:r>
          </w:p>
        </w:tc>
        <w:tc>
          <w:tcPr>
            <w:tcW w:w="1049" w:type="dxa"/>
            <w:tcBorders>
              <w:top w:val="nil"/>
              <w:left w:val="nil"/>
              <w:bottom w:val="nil"/>
              <w:right w:val="nil"/>
            </w:tcBorders>
          </w:tcPr>
          <w:p>
            <w:pPr>
              <w:pStyle w:val="TableParagraph"/>
              <w:spacing w:before="195"/>
              <w:ind w:left="111" w:right="141"/>
              <w:rPr>
                <w:sz w:val="22"/>
              </w:rPr>
            </w:pPr>
            <w:r>
              <w:rPr>
                <w:sz w:val="22"/>
              </w:rPr>
              <w:t>0.64**</w:t>
            </w:r>
          </w:p>
        </w:tc>
        <w:tc>
          <w:tcPr>
            <w:tcW w:w="1162" w:type="dxa"/>
            <w:tcBorders>
              <w:top w:val="nil"/>
              <w:left w:val="nil"/>
              <w:bottom w:val="nil"/>
              <w:right w:val="nil"/>
            </w:tcBorders>
          </w:tcPr>
          <w:p>
            <w:pPr>
              <w:pStyle w:val="TableParagraph"/>
              <w:spacing w:before="195"/>
              <w:ind w:left="159" w:right="90"/>
              <w:rPr>
                <w:sz w:val="22"/>
              </w:rPr>
            </w:pPr>
            <w:r>
              <w:rPr>
                <w:sz w:val="22"/>
              </w:rPr>
              <w:t>0.04*</w:t>
            </w:r>
          </w:p>
        </w:tc>
        <w:tc>
          <w:tcPr>
            <w:tcW w:w="1260" w:type="dxa"/>
            <w:tcBorders>
              <w:top w:val="nil"/>
              <w:left w:val="nil"/>
              <w:bottom w:val="nil"/>
              <w:right w:val="nil"/>
            </w:tcBorders>
          </w:tcPr>
          <w:p>
            <w:pPr>
              <w:pStyle w:val="TableParagraph"/>
              <w:spacing w:before="195"/>
              <w:ind w:left="107"/>
              <w:rPr>
                <w:sz w:val="22"/>
              </w:rPr>
            </w:pPr>
            <w:r>
              <w:rPr>
                <w:sz w:val="22"/>
              </w:rPr>
              <w:t>756.10**</w:t>
            </w:r>
          </w:p>
        </w:tc>
      </w:tr>
      <w:tr>
        <w:trPr>
          <w:trHeight w:val="666" w:hRule="exact"/>
        </w:trPr>
        <w:tc>
          <w:tcPr>
            <w:tcW w:w="2093" w:type="dxa"/>
            <w:tcBorders>
              <w:top w:val="nil"/>
              <w:left w:val="nil"/>
              <w:bottom w:val="nil"/>
              <w:right w:val="nil"/>
            </w:tcBorders>
          </w:tcPr>
          <w:p>
            <w:pPr>
              <w:pStyle w:val="TableParagraph"/>
              <w:spacing w:before="194"/>
              <w:ind w:left="122"/>
              <w:rPr>
                <w:sz w:val="22"/>
              </w:rPr>
            </w:pPr>
            <w:r>
              <w:rPr>
                <w:sz w:val="22"/>
              </w:rPr>
              <w:t>Error</w:t>
            </w:r>
          </w:p>
        </w:tc>
        <w:tc>
          <w:tcPr>
            <w:tcW w:w="1076" w:type="dxa"/>
            <w:tcBorders>
              <w:top w:val="nil"/>
              <w:left w:val="nil"/>
              <w:bottom w:val="nil"/>
              <w:right w:val="nil"/>
            </w:tcBorders>
          </w:tcPr>
          <w:p>
            <w:pPr>
              <w:pStyle w:val="TableParagraph"/>
              <w:spacing w:before="194"/>
              <w:ind w:left="110" w:right="200"/>
              <w:rPr>
                <w:sz w:val="22"/>
              </w:rPr>
            </w:pPr>
            <w:r>
              <w:rPr>
                <w:sz w:val="22"/>
              </w:rPr>
              <w:t>224</w:t>
            </w:r>
          </w:p>
        </w:tc>
        <w:tc>
          <w:tcPr>
            <w:tcW w:w="1449" w:type="dxa"/>
            <w:tcBorders>
              <w:top w:val="nil"/>
              <w:left w:val="nil"/>
              <w:bottom w:val="nil"/>
              <w:right w:val="nil"/>
            </w:tcBorders>
          </w:tcPr>
          <w:p>
            <w:pPr>
              <w:pStyle w:val="TableParagraph"/>
              <w:spacing w:before="194"/>
              <w:ind w:left="216" w:right="259"/>
              <w:rPr>
                <w:sz w:val="22"/>
              </w:rPr>
            </w:pPr>
            <w:r>
              <w:rPr>
                <w:sz w:val="22"/>
              </w:rPr>
              <w:t>0.57</w:t>
            </w:r>
          </w:p>
        </w:tc>
        <w:tc>
          <w:tcPr>
            <w:tcW w:w="1265" w:type="dxa"/>
            <w:tcBorders>
              <w:top w:val="nil"/>
              <w:left w:val="nil"/>
              <w:bottom w:val="nil"/>
              <w:right w:val="nil"/>
            </w:tcBorders>
          </w:tcPr>
          <w:p>
            <w:pPr>
              <w:pStyle w:val="TableParagraph"/>
              <w:spacing w:before="194"/>
              <w:ind w:left="277" w:right="109"/>
              <w:rPr>
                <w:sz w:val="22"/>
              </w:rPr>
            </w:pPr>
            <w:r>
              <w:rPr>
                <w:sz w:val="22"/>
              </w:rPr>
              <w:t>0.01</w:t>
            </w:r>
          </w:p>
        </w:tc>
        <w:tc>
          <w:tcPr>
            <w:tcW w:w="1049" w:type="dxa"/>
            <w:tcBorders>
              <w:top w:val="nil"/>
              <w:left w:val="nil"/>
              <w:bottom w:val="nil"/>
              <w:right w:val="nil"/>
            </w:tcBorders>
          </w:tcPr>
          <w:p>
            <w:pPr>
              <w:pStyle w:val="TableParagraph"/>
              <w:spacing w:before="194"/>
              <w:ind w:left="111" w:right="141"/>
              <w:rPr>
                <w:sz w:val="22"/>
              </w:rPr>
            </w:pPr>
            <w:r>
              <w:rPr>
                <w:sz w:val="22"/>
              </w:rPr>
              <w:t>0.42</w:t>
            </w:r>
          </w:p>
        </w:tc>
        <w:tc>
          <w:tcPr>
            <w:tcW w:w="1162" w:type="dxa"/>
            <w:tcBorders>
              <w:top w:val="nil"/>
              <w:left w:val="nil"/>
              <w:bottom w:val="nil"/>
              <w:right w:val="nil"/>
            </w:tcBorders>
          </w:tcPr>
          <w:p>
            <w:pPr>
              <w:pStyle w:val="TableParagraph"/>
              <w:spacing w:before="194"/>
              <w:ind w:left="159" w:right="90"/>
              <w:rPr>
                <w:sz w:val="22"/>
              </w:rPr>
            </w:pPr>
            <w:r>
              <w:rPr>
                <w:sz w:val="22"/>
              </w:rPr>
              <w:t>0.02</w:t>
            </w:r>
          </w:p>
        </w:tc>
        <w:tc>
          <w:tcPr>
            <w:tcW w:w="1260" w:type="dxa"/>
            <w:tcBorders>
              <w:top w:val="nil"/>
              <w:left w:val="nil"/>
              <w:bottom w:val="nil"/>
              <w:right w:val="nil"/>
            </w:tcBorders>
          </w:tcPr>
          <w:p>
            <w:pPr>
              <w:pStyle w:val="TableParagraph"/>
              <w:spacing w:before="194"/>
              <w:ind w:left="107"/>
              <w:rPr>
                <w:sz w:val="22"/>
              </w:rPr>
            </w:pPr>
            <w:r>
              <w:rPr>
                <w:sz w:val="22"/>
              </w:rPr>
              <w:t>138.80</w:t>
            </w:r>
          </w:p>
        </w:tc>
      </w:tr>
      <w:tr>
        <w:trPr>
          <w:trHeight w:val="666" w:hRule="exact"/>
        </w:trPr>
        <w:tc>
          <w:tcPr>
            <w:tcW w:w="2093" w:type="dxa"/>
            <w:tcBorders>
              <w:top w:val="nil"/>
              <w:left w:val="nil"/>
              <w:bottom w:val="nil"/>
              <w:right w:val="nil"/>
            </w:tcBorders>
          </w:tcPr>
          <w:p>
            <w:pPr>
              <w:pStyle w:val="TableParagraph"/>
              <w:spacing w:before="195"/>
              <w:ind w:left="122"/>
              <w:rPr>
                <w:sz w:val="22"/>
              </w:rPr>
            </w:pPr>
            <w:r>
              <w:rPr>
                <w:sz w:val="22"/>
              </w:rPr>
              <w:t>Media</w:t>
            </w:r>
          </w:p>
        </w:tc>
        <w:tc>
          <w:tcPr>
            <w:tcW w:w="1076" w:type="dxa"/>
            <w:tcBorders>
              <w:top w:val="nil"/>
              <w:left w:val="nil"/>
              <w:bottom w:val="nil"/>
              <w:right w:val="nil"/>
            </w:tcBorders>
          </w:tcPr>
          <w:p>
            <w:pPr/>
          </w:p>
        </w:tc>
        <w:tc>
          <w:tcPr>
            <w:tcW w:w="1449" w:type="dxa"/>
            <w:tcBorders>
              <w:top w:val="nil"/>
              <w:left w:val="nil"/>
              <w:bottom w:val="nil"/>
              <w:right w:val="nil"/>
            </w:tcBorders>
          </w:tcPr>
          <w:p>
            <w:pPr>
              <w:pStyle w:val="TableParagraph"/>
              <w:spacing w:before="195"/>
              <w:ind w:left="216" w:right="259"/>
              <w:rPr>
                <w:sz w:val="22"/>
              </w:rPr>
            </w:pPr>
            <w:r>
              <w:rPr>
                <w:sz w:val="22"/>
              </w:rPr>
              <w:t>102.78</w:t>
            </w:r>
          </w:p>
        </w:tc>
        <w:tc>
          <w:tcPr>
            <w:tcW w:w="1265" w:type="dxa"/>
            <w:tcBorders>
              <w:top w:val="nil"/>
              <w:left w:val="nil"/>
              <w:bottom w:val="nil"/>
              <w:right w:val="nil"/>
            </w:tcBorders>
          </w:tcPr>
          <w:p>
            <w:pPr>
              <w:pStyle w:val="TableParagraph"/>
              <w:spacing w:before="195"/>
              <w:ind w:left="277" w:right="109"/>
              <w:rPr>
                <w:sz w:val="22"/>
              </w:rPr>
            </w:pPr>
            <w:r>
              <w:rPr>
                <w:sz w:val="22"/>
              </w:rPr>
              <w:t>2.51</w:t>
            </w:r>
          </w:p>
        </w:tc>
        <w:tc>
          <w:tcPr>
            <w:tcW w:w="1049" w:type="dxa"/>
            <w:tcBorders>
              <w:top w:val="nil"/>
              <w:left w:val="nil"/>
              <w:bottom w:val="nil"/>
              <w:right w:val="nil"/>
            </w:tcBorders>
          </w:tcPr>
          <w:p>
            <w:pPr>
              <w:pStyle w:val="TableParagraph"/>
              <w:spacing w:before="195"/>
              <w:ind w:left="111" w:right="141"/>
              <w:rPr>
                <w:sz w:val="22"/>
              </w:rPr>
            </w:pPr>
            <w:r>
              <w:rPr>
                <w:sz w:val="22"/>
              </w:rPr>
              <w:t>12.06</w:t>
            </w:r>
          </w:p>
        </w:tc>
        <w:tc>
          <w:tcPr>
            <w:tcW w:w="1162" w:type="dxa"/>
            <w:tcBorders>
              <w:top w:val="nil"/>
              <w:left w:val="nil"/>
              <w:bottom w:val="nil"/>
              <w:right w:val="nil"/>
            </w:tcBorders>
          </w:tcPr>
          <w:p>
            <w:pPr>
              <w:pStyle w:val="TableParagraph"/>
              <w:spacing w:before="195"/>
              <w:ind w:left="159" w:right="90"/>
              <w:rPr>
                <w:sz w:val="22"/>
              </w:rPr>
            </w:pPr>
            <w:r>
              <w:rPr>
                <w:sz w:val="22"/>
              </w:rPr>
              <w:t>1.90</w:t>
            </w:r>
          </w:p>
        </w:tc>
        <w:tc>
          <w:tcPr>
            <w:tcW w:w="1260" w:type="dxa"/>
            <w:tcBorders>
              <w:top w:val="nil"/>
              <w:left w:val="nil"/>
              <w:bottom w:val="nil"/>
              <w:right w:val="nil"/>
            </w:tcBorders>
          </w:tcPr>
          <w:p>
            <w:pPr>
              <w:pStyle w:val="TableParagraph"/>
              <w:spacing w:before="195"/>
              <w:ind w:left="107"/>
              <w:rPr>
                <w:sz w:val="22"/>
              </w:rPr>
            </w:pPr>
            <w:r>
              <w:rPr>
                <w:sz w:val="22"/>
              </w:rPr>
              <w:t>24.16</w:t>
            </w:r>
          </w:p>
        </w:tc>
      </w:tr>
      <w:tr>
        <w:trPr>
          <w:trHeight w:val="659" w:hRule="exact"/>
        </w:trPr>
        <w:tc>
          <w:tcPr>
            <w:tcW w:w="2093" w:type="dxa"/>
            <w:tcBorders>
              <w:top w:val="nil"/>
              <w:left w:val="nil"/>
              <w:bottom w:val="nil"/>
              <w:right w:val="nil"/>
            </w:tcBorders>
          </w:tcPr>
          <w:p>
            <w:pPr>
              <w:pStyle w:val="TableParagraph"/>
              <w:spacing w:before="194"/>
              <w:ind w:left="122"/>
              <w:rPr>
                <w:sz w:val="22"/>
              </w:rPr>
            </w:pPr>
            <w:r>
              <w:rPr>
                <w:sz w:val="22"/>
              </w:rPr>
              <w:t>CV (%)</w:t>
            </w:r>
          </w:p>
        </w:tc>
        <w:tc>
          <w:tcPr>
            <w:tcW w:w="1076" w:type="dxa"/>
            <w:tcBorders>
              <w:top w:val="nil"/>
              <w:left w:val="nil"/>
              <w:bottom w:val="nil"/>
              <w:right w:val="nil"/>
            </w:tcBorders>
          </w:tcPr>
          <w:p>
            <w:pPr/>
          </w:p>
        </w:tc>
        <w:tc>
          <w:tcPr>
            <w:tcW w:w="1449" w:type="dxa"/>
            <w:tcBorders>
              <w:top w:val="nil"/>
              <w:left w:val="nil"/>
              <w:bottom w:val="nil"/>
              <w:right w:val="nil"/>
            </w:tcBorders>
          </w:tcPr>
          <w:p>
            <w:pPr>
              <w:pStyle w:val="TableParagraph"/>
              <w:spacing w:before="194"/>
              <w:ind w:left="216" w:right="259"/>
              <w:rPr>
                <w:sz w:val="22"/>
              </w:rPr>
            </w:pPr>
            <w:r>
              <w:rPr>
                <w:sz w:val="22"/>
              </w:rPr>
              <w:t>0.73</w:t>
            </w:r>
          </w:p>
        </w:tc>
        <w:tc>
          <w:tcPr>
            <w:tcW w:w="1265" w:type="dxa"/>
            <w:tcBorders>
              <w:top w:val="nil"/>
              <w:left w:val="nil"/>
              <w:bottom w:val="nil"/>
              <w:right w:val="nil"/>
            </w:tcBorders>
          </w:tcPr>
          <w:p>
            <w:pPr>
              <w:pStyle w:val="TableParagraph"/>
              <w:spacing w:before="194"/>
              <w:ind w:left="277" w:right="109"/>
              <w:rPr>
                <w:sz w:val="22"/>
              </w:rPr>
            </w:pPr>
            <w:r>
              <w:rPr>
                <w:sz w:val="22"/>
              </w:rPr>
              <w:t>5.06</w:t>
            </w:r>
          </w:p>
        </w:tc>
        <w:tc>
          <w:tcPr>
            <w:tcW w:w="1049" w:type="dxa"/>
            <w:tcBorders>
              <w:top w:val="nil"/>
              <w:left w:val="nil"/>
              <w:bottom w:val="nil"/>
              <w:right w:val="nil"/>
            </w:tcBorders>
          </w:tcPr>
          <w:p>
            <w:pPr>
              <w:pStyle w:val="TableParagraph"/>
              <w:spacing w:before="194"/>
              <w:ind w:left="111" w:right="141"/>
              <w:rPr>
                <w:sz w:val="22"/>
              </w:rPr>
            </w:pPr>
            <w:r>
              <w:rPr>
                <w:sz w:val="22"/>
              </w:rPr>
              <w:t>5.41</w:t>
            </w:r>
          </w:p>
        </w:tc>
        <w:tc>
          <w:tcPr>
            <w:tcW w:w="1162" w:type="dxa"/>
            <w:tcBorders>
              <w:top w:val="nil"/>
              <w:left w:val="nil"/>
              <w:bottom w:val="nil"/>
              <w:right w:val="nil"/>
            </w:tcBorders>
          </w:tcPr>
          <w:p>
            <w:pPr>
              <w:pStyle w:val="TableParagraph"/>
              <w:spacing w:before="194"/>
              <w:ind w:left="159" w:right="90"/>
              <w:rPr>
                <w:sz w:val="22"/>
              </w:rPr>
            </w:pPr>
            <w:r>
              <w:rPr>
                <w:sz w:val="22"/>
              </w:rPr>
              <w:t>9.04</w:t>
            </w:r>
          </w:p>
        </w:tc>
        <w:tc>
          <w:tcPr>
            <w:tcW w:w="1260" w:type="dxa"/>
            <w:tcBorders>
              <w:top w:val="nil"/>
              <w:left w:val="nil"/>
              <w:bottom w:val="nil"/>
              <w:right w:val="nil"/>
            </w:tcBorders>
          </w:tcPr>
          <w:p>
            <w:pPr>
              <w:pStyle w:val="TableParagraph"/>
              <w:spacing w:before="194"/>
              <w:ind w:left="107"/>
              <w:rPr>
                <w:sz w:val="22"/>
              </w:rPr>
            </w:pPr>
            <w:r>
              <w:rPr>
                <w:sz w:val="22"/>
              </w:rPr>
              <w:t>48.75</w:t>
            </w:r>
          </w:p>
        </w:tc>
      </w:tr>
      <w:tr>
        <w:trPr>
          <w:trHeight w:val="878" w:hRule="exact"/>
        </w:trPr>
        <w:tc>
          <w:tcPr>
            <w:tcW w:w="2093" w:type="dxa"/>
            <w:tcBorders>
              <w:top w:val="nil"/>
              <w:left w:val="nil"/>
              <w:right w:val="nil"/>
            </w:tcBorders>
          </w:tcPr>
          <w:p>
            <w:pPr>
              <w:pStyle w:val="TableParagraph"/>
              <w:spacing w:before="197"/>
              <w:ind w:left="122"/>
              <w:rPr>
                <w:sz w:val="22"/>
              </w:rPr>
            </w:pPr>
            <w:r>
              <w:rPr>
                <w:sz w:val="22"/>
              </w:rPr>
              <w:t>H</w:t>
            </w:r>
            <w:r>
              <w:rPr>
                <w:position w:val="8"/>
                <w:sz w:val="14"/>
              </w:rPr>
              <w:t>2 </w:t>
            </w:r>
            <w:r>
              <w:rPr>
                <w:sz w:val="22"/>
              </w:rPr>
              <w:t>(%)</w:t>
            </w:r>
          </w:p>
        </w:tc>
        <w:tc>
          <w:tcPr>
            <w:tcW w:w="1076" w:type="dxa"/>
            <w:tcBorders>
              <w:top w:val="nil"/>
              <w:left w:val="nil"/>
              <w:right w:val="nil"/>
            </w:tcBorders>
          </w:tcPr>
          <w:p>
            <w:pPr/>
          </w:p>
        </w:tc>
        <w:tc>
          <w:tcPr>
            <w:tcW w:w="1449" w:type="dxa"/>
            <w:tcBorders>
              <w:top w:val="nil"/>
              <w:left w:val="nil"/>
              <w:right w:val="nil"/>
            </w:tcBorders>
          </w:tcPr>
          <w:p>
            <w:pPr>
              <w:pStyle w:val="TableParagraph"/>
              <w:spacing w:before="6"/>
              <w:rPr>
                <w:b/>
                <w:sz w:val="17"/>
              </w:rPr>
            </w:pPr>
          </w:p>
          <w:p>
            <w:pPr>
              <w:pStyle w:val="TableParagraph"/>
              <w:ind w:left="216" w:right="259"/>
              <w:rPr>
                <w:sz w:val="22"/>
              </w:rPr>
            </w:pPr>
            <w:r>
              <w:rPr>
                <w:sz w:val="22"/>
              </w:rPr>
              <w:t>99.57</w:t>
            </w:r>
          </w:p>
        </w:tc>
        <w:tc>
          <w:tcPr>
            <w:tcW w:w="1265" w:type="dxa"/>
            <w:tcBorders>
              <w:top w:val="nil"/>
              <w:left w:val="nil"/>
              <w:right w:val="nil"/>
            </w:tcBorders>
          </w:tcPr>
          <w:p>
            <w:pPr>
              <w:pStyle w:val="TableParagraph"/>
              <w:spacing w:before="6"/>
              <w:rPr>
                <w:b/>
                <w:sz w:val="17"/>
              </w:rPr>
            </w:pPr>
          </w:p>
          <w:p>
            <w:pPr>
              <w:pStyle w:val="TableParagraph"/>
              <w:ind w:left="277" w:right="109"/>
              <w:rPr>
                <w:sz w:val="22"/>
              </w:rPr>
            </w:pPr>
            <w:r>
              <w:rPr>
                <w:sz w:val="22"/>
              </w:rPr>
              <w:t>96.03</w:t>
            </w:r>
          </w:p>
        </w:tc>
        <w:tc>
          <w:tcPr>
            <w:tcW w:w="1049" w:type="dxa"/>
            <w:tcBorders>
              <w:top w:val="nil"/>
              <w:left w:val="nil"/>
              <w:right w:val="nil"/>
            </w:tcBorders>
          </w:tcPr>
          <w:p>
            <w:pPr>
              <w:pStyle w:val="TableParagraph"/>
              <w:spacing w:before="6"/>
              <w:rPr>
                <w:b/>
                <w:sz w:val="17"/>
              </w:rPr>
            </w:pPr>
          </w:p>
          <w:p>
            <w:pPr>
              <w:pStyle w:val="TableParagraph"/>
              <w:ind w:left="111" w:right="141"/>
              <w:rPr>
                <w:sz w:val="22"/>
              </w:rPr>
            </w:pPr>
            <w:r>
              <w:rPr>
                <w:sz w:val="22"/>
              </w:rPr>
              <w:t>95.70</w:t>
            </w:r>
          </w:p>
        </w:tc>
        <w:tc>
          <w:tcPr>
            <w:tcW w:w="1162" w:type="dxa"/>
            <w:tcBorders>
              <w:top w:val="nil"/>
              <w:left w:val="nil"/>
              <w:right w:val="nil"/>
            </w:tcBorders>
          </w:tcPr>
          <w:p>
            <w:pPr>
              <w:pStyle w:val="TableParagraph"/>
              <w:spacing w:before="6"/>
              <w:rPr>
                <w:b/>
                <w:sz w:val="17"/>
              </w:rPr>
            </w:pPr>
          </w:p>
          <w:p>
            <w:pPr>
              <w:pStyle w:val="TableParagraph"/>
              <w:ind w:left="159" w:right="90"/>
              <w:rPr>
                <w:sz w:val="22"/>
              </w:rPr>
            </w:pPr>
            <w:r>
              <w:rPr>
                <w:sz w:val="22"/>
              </w:rPr>
              <w:t>84.13</w:t>
            </w:r>
          </w:p>
        </w:tc>
        <w:tc>
          <w:tcPr>
            <w:tcW w:w="1260" w:type="dxa"/>
            <w:tcBorders>
              <w:top w:val="nil"/>
              <w:left w:val="nil"/>
              <w:right w:val="nil"/>
            </w:tcBorders>
          </w:tcPr>
          <w:p>
            <w:pPr>
              <w:pStyle w:val="TableParagraph"/>
              <w:spacing w:before="6"/>
              <w:rPr>
                <w:b/>
                <w:sz w:val="17"/>
              </w:rPr>
            </w:pPr>
          </w:p>
          <w:p>
            <w:pPr>
              <w:pStyle w:val="TableParagraph"/>
              <w:ind w:left="107"/>
              <w:rPr>
                <w:sz w:val="22"/>
              </w:rPr>
            </w:pPr>
            <w:r>
              <w:rPr>
                <w:sz w:val="22"/>
              </w:rPr>
              <w:t>80.90</w:t>
            </w:r>
          </w:p>
        </w:tc>
      </w:tr>
    </w:tbl>
    <w:p>
      <w:pPr>
        <w:spacing w:after="0"/>
        <w:rPr>
          <w:sz w:val="22"/>
        </w:rPr>
        <w:sectPr>
          <w:pgSz w:w="12240" w:h="15840"/>
          <w:pgMar w:header="0" w:footer="1003" w:top="1500" w:bottom="1200" w:left="1460" w:right="1200"/>
        </w:sectPr>
      </w:pPr>
    </w:p>
    <w:p>
      <w:pPr>
        <w:pStyle w:val="BodyText"/>
        <w:spacing w:before="1"/>
        <w:rPr>
          <w:b/>
          <w:sz w:val="11"/>
        </w:rPr>
      </w:pPr>
    </w:p>
    <w:p>
      <w:pPr>
        <w:spacing w:before="73"/>
        <w:ind w:left="242" w:right="474" w:firstLine="0"/>
        <w:jc w:val="left"/>
        <w:rPr>
          <w:b/>
          <w:sz w:val="22"/>
        </w:rPr>
      </w:pPr>
      <w:r>
        <w:rPr>
          <w:b/>
          <w:sz w:val="22"/>
        </w:rPr>
        <w:t>Continuación del Cuadro 3.</w:t>
      </w:r>
    </w:p>
    <w:p>
      <w:pPr>
        <w:pStyle w:val="BodyText"/>
        <w:spacing w:before="4"/>
        <w:rPr>
          <w:b/>
          <w:sz w:val="17"/>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5"/>
        <w:gridCol w:w="1142"/>
        <w:gridCol w:w="1360"/>
        <w:gridCol w:w="1150"/>
        <w:gridCol w:w="1198"/>
        <w:gridCol w:w="953"/>
        <w:gridCol w:w="1022"/>
        <w:gridCol w:w="999"/>
      </w:tblGrid>
      <w:tr>
        <w:trPr>
          <w:trHeight w:val="1183" w:hRule="exact"/>
        </w:trPr>
        <w:tc>
          <w:tcPr>
            <w:tcW w:w="1515" w:type="dxa"/>
            <w:tcBorders>
              <w:left w:val="nil"/>
              <w:right w:val="nil"/>
            </w:tcBorders>
          </w:tcPr>
          <w:p>
            <w:pPr>
              <w:pStyle w:val="TableParagraph"/>
              <w:spacing w:line="477" w:lineRule="auto" w:before="1"/>
              <w:ind w:left="108" w:right="464"/>
              <w:rPr>
                <w:b/>
                <w:sz w:val="22"/>
              </w:rPr>
            </w:pPr>
            <w:r>
              <w:rPr>
                <w:b/>
                <w:sz w:val="22"/>
              </w:rPr>
              <w:t>Fuente de variación</w:t>
            </w:r>
          </w:p>
        </w:tc>
        <w:tc>
          <w:tcPr>
            <w:tcW w:w="1142" w:type="dxa"/>
            <w:tcBorders>
              <w:left w:val="nil"/>
              <w:right w:val="nil"/>
            </w:tcBorders>
          </w:tcPr>
          <w:p>
            <w:pPr>
              <w:pStyle w:val="TableParagraph"/>
              <w:spacing w:line="477" w:lineRule="auto" w:before="1"/>
              <w:ind w:left="141" w:right="235"/>
              <w:rPr>
                <w:b/>
                <w:sz w:val="22"/>
              </w:rPr>
            </w:pPr>
            <w:r>
              <w:rPr>
                <w:b/>
                <w:sz w:val="22"/>
              </w:rPr>
              <w:t>Grados libertad</w:t>
            </w:r>
          </w:p>
        </w:tc>
        <w:tc>
          <w:tcPr>
            <w:tcW w:w="1360" w:type="dxa"/>
            <w:tcBorders>
              <w:left w:val="nil"/>
              <w:right w:val="nil"/>
            </w:tcBorders>
          </w:tcPr>
          <w:p>
            <w:pPr>
              <w:pStyle w:val="TableParagraph"/>
              <w:spacing w:before="1"/>
              <w:ind w:left="252"/>
              <w:rPr>
                <w:b/>
                <w:sz w:val="22"/>
              </w:rPr>
            </w:pPr>
            <w:r>
              <w:rPr>
                <w:b/>
                <w:sz w:val="22"/>
              </w:rPr>
              <w:t>MVTH</w:t>
            </w:r>
          </w:p>
        </w:tc>
        <w:tc>
          <w:tcPr>
            <w:tcW w:w="1150" w:type="dxa"/>
            <w:tcBorders>
              <w:left w:val="nil"/>
              <w:right w:val="nil"/>
            </w:tcBorders>
          </w:tcPr>
          <w:p>
            <w:pPr>
              <w:pStyle w:val="TableParagraph"/>
              <w:spacing w:before="1"/>
              <w:ind w:left="169"/>
              <w:rPr>
                <w:b/>
                <w:sz w:val="22"/>
              </w:rPr>
            </w:pPr>
            <w:r>
              <w:rPr>
                <w:b/>
                <w:sz w:val="22"/>
              </w:rPr>
              <w:t>MVE</w:t>
            </w:r>
          </w:p>
        </w:tc>
        <w:tc>
          <w:tcPr>
            <w:tcW w:w="1198" w:type="dxa"/>
            <w:tcBorders>
              <w:left w:val="nil"/>
              <w:right w:val="nil"/>
            </w:tcBorders>
          </w:tcPr>
          <w:p>
            <w:pPr>
              <w:pStyle w:val="TableParagraph"/>
              <w:spacing w:before="1"/>
              <w:ind w:left="152"/>
              <w:rPr>
                <w:b/>
                <w:sz w:val="22"/>
              </w:rPr>
            </w:pPr>
            <w:r>
              <w:rPr>
                <w:b/>
                <w:sz w:val="22"/>
              </w:rPr>
              <w:t>MVT</w:t>
            </w:r>
          </w:p>
        </w:tc>
        <w:tc>
          <w:tcPr>
            <w:tcW w:w="953" w:type="dxa"/>
            <w:tcBorders>
              <w:left w:val="nil"/>
              <w:right w:val="nil"/>
            </w:tcBorders>
          </w:tcPr>
          <w:p>
            <w:pPr>
              <w:pStyle w:val="TableParagraph"/>
              <w:spacing w:before="1"/>
              <w:ind w:left="106"/>
              <w:rPr>
                <w:b/>
                <w:sz w:val="22"/>
              </w:rPr>
            </w:pPr>
            <w:r>
              <w:rPr>
                <w:b/>
                <w:sz w:val="22"/>
              </w:rPr>
              <w:t>MSTH</w:t>
            </w:r>
          </w:p>
        </w:tc>
        <w:tc>
          <w:tcPr>
            <w:tcW w:w="1022" w:type="dxa"/>
            <w:tcBorders>
              <w:left w:val="nil"/>
              <w:right w:val="nil"/>
            </w:tcBorders>
          </w:tcPr>
          <w:p>
            <w:pPr>
              <w:pStyle w:val="TableParagraph"/>
              <w:spacing w:before="1"/>
              <w:ind w:left="128"/>
              <w:rPr>
                <w:b/>
                <w:sz w:val="22"/>
              </w:rPr>
            </w:pPr>
            <w:r>
              <w:rPr>
                <w:b/>
                <w:sz w:val="22"/>
              </w:rPr>
              <w:t>MSE</w:t>
            </w:r>
          </w:p>
        </w:tc>
        <w:tc>
          <w:tcPr>
            <w:tcW w:w="999" w:type="dxa"/>
            <w:tcBorders>
              <w:left w:val="nil"/>
              <w:right w:val="nil"/>
            </w:tcBorders>
          </w:tcPr>
          <w:p>
            <w:pPr>
              <w:pStyle w:val="TableParagraph"/>
              <w:spacing w:before="1"/>
              <w:ind w:left="175"/>
              <w:rPr>
                <w:b/>
                <w:sz w:val="22"/>
              </w:rPr>
            </w:pPr>
            <w:r>
              <w:rPr>
                <w:b/>
                <w:sz w:val="22"/>
              </w:rPr>
              <w:t>MST</w:t>
            </w:r>
          </w:p>
        </w:tc>
      </w:tr>
      <w:tr>
        <w:trPr>
          <w:trHeight w:val="470" w:hRule="exact"/>
        </w:trPr>
        <w:tc>
          <w:tcPr>
            <w:tcW w:w="1515" w:type="dxa"/>
            <w:tcBorders>
              <w:left w:val="nil"/>
              <w:bottom w:val="nil"/>
              <w:right w:val="nil"/>
            </w:tcBorders>
          </w:tcPr>
          <w:p>
            <w:pPr>
              <w:pStyle w:val="TableParagraph"/>
              <w:spacing w:line="247" w:lineRule="exact"/>
              <w:ind w:left="108"/>
              <w:rPr>
                <w:sz w:val="22"/>
              </w:rPr>
            </w:pPr>
            <w:r>
              <w:rPr>
                <w:sz w:val="22"/>
              </w:rPr>
              <w:t>Localidad (L)</w:t>
            </w:r>
          </w:p>
        </w:tc>
        <w:tc>
          <w:tcPr>
            <w:tcW w:w="1142" w:type="dxa"/>
            <w:tcBorders>
              <w:left w:val="nil"/>
              <w:bottom w:val="nil"/>
              <w:right w:val="nil"/>
            </w:tcBorders>
          </w:tcPr>
          <w:p>
            <w:pPr>
              <w:pStyle w:val="TableParagraph"/>
              <w:spacing w:line="247" w:lineRule="exact"/>
              <w:ind w:left="141"/>
              <w:rPr>
                <w:sz w:val="22"/>
              </w:rPr>
            </w:pPr>
            <w:r>
              <w:rPr>
                <w:w w:val="100"/>
                <w:sz w:val="22"/>
              </w:rPr>
              <w:t>3</w:t>
            </w:r>
          </w:p>
        </w:tc>
        <w:tc>
          <w:tcPr>
            <w:tcW w:w="1360" w:type="dxa"/>
            <w:tcBorders>
              <w:left w:val="nil"/>
              <w:bottom w:val="nil"/>
              <w:right w:val="nil"/>
            </w:tcBorders>
          </w:tcPr>
          <w:p>
            <w:pPr>
              <w:pStyle w:val="TableParagraph"/>
              <w:spacing w:line="247" w:lineRule="exact"/>
              <w:ind w:left="252"/>
              <w:rPr>
                <w:sz w:val="22"/>
              </w:rPr>
            </w:pPr>
            <w:r>
              <w:rPr>
                <w:sz w:val="22"/>
              </w:rPr>
              <w:t>290.67**</w:t>
            </w:r>
          </w:p>
        </w:tc>
        <w:tc>
          <w:tcPr>
            <w:tcW w:w="1150" w:type="dxa"/>
            <w:tcBorders>
              <w:left w:val="nil"/>
              <w:bottom w:val="nil"/>
              <w:right w:val="nil"/>
            </w:tcBorders>
          </w:tcPr>
          <w:p>
            <w:pPr>
              <w:pStyle w:val="TableParagraph"/>
              <w:spacing w:line="247" w:lineRule="exact"/>
              <w:ind w:left="169"/>
              <w:rPr>
                <w:sz w:val="22"/>
              </w:rPr>
            </w:pPr>
            <w:r>
              <w:rPr>
                <w:sz w:val="22"/>
              </w:rPr>
              <w:t>223.88**</w:t>
            </w:r>
          </w:p>
        </w:tc>
        <w:tc>
          <w:tcPr>
            <w:tcW w:w="1198" w:type="dxa"/>
            <w:tcBorders>
              <w:left w:val="nil"/>
              <w:bottom w:val="nil"/>
              <w:right w:val="nil"/>
            </w:tcBorders>
          </w:tcPr>
          <w:p>
            <w:pPr>
              <w:pStyle w:val="TableParagraph"/>
              <w:spacing w:line="247" w:lineRule="exact"/>
              <w:ind w:left="152"/>
              <w:rPr>
                <w:sz w:val="22"/>
              </w:rPr>
            </w:pPr>
            <w:r>
              <w:rPr>
                <w:sz w:val="22"/>
              </w:rPr>
              <w:t>545.21**</w:t>
            </w:r>
          </w:p>
        </w:tc>
        <w:tc>
          <w:tcPr>
            <w:tcW w:w="953" w:type="dxa"/>
            <w:tcBorders>
              <w:left w:val="nil"/>
              <w:bottom w:val="nil"/>
              <w:right w:val="nil"/>
            </w:tcBorders>
          </w:tcPr>
          <w:p>
            <w:pPr>
              <w:pStyle w:val="TableParagraph"/>
              <w:spacing w:line="247" w:lineRule="exact"/>
              <w:ind w:left="106"/>
              <w:rPr>
                <w:sz w:val="22"/>
              </w:rPr>
            </w:pPr>
            <w:r>
              <w:rPr>
                <w:sz w:val="22"/>
              </w:rPr>
              <w:t>23.96**</w:t>
            </w:r>
          </w:p>
        </w:tc>
        <w:tc>
          <w:tcPr>
            <w:tcW w:w="1022" w:type="dxa"/>
            <w:tcBorders>
              <w:left w:val="nil"/>
              <w:bottom w:val="nil"/>
              <w:right w:val="nil"/>
            </w:tcBorders>
          </w:tcPr>
          <w:p>
            <w:pPr>
              <w:pStyle w:val="TableParagraph"/>
              <w:spacing w:line="247" w:lineRule="exact"/>
              <w:ind w:left="128"/>
              <w:rPr>
                <w:sz w:val="22"/>
              </w:rPr>
            </w:pPr>
            <w:r>
              <w:rPr>
                <w:sz w:val="22"/>
              </w:rPr>
              <w:t>16.65**</w:t>
            </w:r>
          </w:p>
        </w:tc>
        <w:tc>
          <w:tcPr>
            <w:tcW w:w="999" w:type="dxa"/>
            <w:tcBorders>
              <w:left w:val="nil"/>
              <w:bottom w:val="nil"/>
              <w:right w:val="nil"/>
            </w:tcBorders>
          </w:tcPr>
          <w:p>
            <w:pPr>
              <w:pStyle w:val="TableParagraph"/>
              <w:spacing w:line="247" w:lineRule="exact"/>
              <w:ind w:left="175"/>
              <w:rPr>
                <w:sz w:val="22"/>
              </w:rPr>
            </w:pPr>
            <w:r>
              <w:rPr>
                <w:sz w:val="22"/>
              </w:rPr>
              <w:t>31.78**</w:t>
            </w:r>
          </w:p>
        </w:tc>
      </w:tr>
      <w:tr>
        <w:trPr>
          <w:trHeight w:val="666" w:hRule="exact"/>
        </w:trPr>
        <w:tc>
          <w:tcPr>
            <w:tcW w:w="1515" w:type="dxa"/>
            <w:tcBorders>
              <w:top w:val="nil"/>
              <w:left w:val="nil"/>
              <w:bottom w:val="nil"/>
              <w:right w:val="nil"/>
            </w:tcBorders>
          </w:tcPr>
          <w:p>
            <w:pPr>
              <w:pStyle w:val="TableParagraph"/>
              <w:spacing w:before="195"/>
              <w:ind w:left="108"/>
              <w:rPr>
                <w:sz w:val="22"/>
              </w:rPr>
            </w:pPr>
            <w:r>
              <w:rPr>
                <w:sz w:val="22"/>
              </w:rPr>
              <w:t>Repeticiones</w:t>
            </w:r>
          </w:p>
        </w:tc>
        <w:tc>
          <w:tcPr>
            <w:tcW w:w="1142" w:type="dxa"/>
            <w:tcBorders>
              <w:top w:val="nil"/>
              <w:left w:val="nil"/>
              <w:bottom w:val="nil"/>
              <w:right w:val="nil"/>
            </w:tcBorders>
          </w:tcPr>
          <w:p>
            <w:pPr>
              <w:pStyle w:val="TableParagraph"/>
              <w:spacing w:before="195"/>
              <w:ind w:left="141"/>
              <w:rPr>
                <w:sz w:val="22"/>
              </w:rPr>
            </w:pPr>
            <w:r>
              <w:rPr>
                <w:w w:val="100"/>
                <w:sz w:val="22"/>
              </w:rPr>
              <w:t>8</w:t>
            </w:r>
          </w:p>
        </w:tc>
        <w:tc>
          <w:tcPr>
            <w:tcW w:w="1360" w:type="dxa"/>
            <w:tcBorders>
              <w:top w:val="nil"/>
              <w:left w:val="nil"/>
              <w:bottom w:val="nil"/>
              <w:right w:val="nil"/>
            </w:tcBorders>
          </w:tcPr>
          <w:p>
            <w:pPr>
              <w:pStyle w:val="TableParagraph"/>
              <w:spacing w:before="195"/>
              <w:ind w:left="252"/>
              <w:rPr>
                <w:sz w:val="22"/>
              </w:rPr>
            </w:pPr>
            <w:r>
              <w:rPr>
                <w:sz w:val="22"/>
              </w:rPr>
              <w:t>61.58</w:t>
            </w:r>
          </w:p>
        </w:tc>
        <w:tc>
          <w:tcPr>
            <w:tcW w:w="1150" w:type="dxa"/>
            <w:tcBorders>
              <w:top w:val="nil"/>
              <w:left w:val="nil"/>
              <w:bottom w:val="nil"/>
              <w:right w:val="nil"/>
            </w:tcBorders>
          </w:tcPr>
          <w:p>
            <w:pPr>
              <w:pStyle w:val="TableParagraph"/>
              <w:spacing w:before="195"/>
              <w:ind w:left="169"/>
              <w:rPr>
                <w:sz w:val="22"/>
              </w:rPr>
            </w:pPr>
            <w:r>
              <w:rPr>
                <w:sz w:val="22"/>
              </w:rPr>
              <w:t>14.02</w:t>
            </w:r>
          </w:p>
        </w:tc>
        <w:tc>
          <w:tcPr>
            <w:tcW w:w="1198" w:type="dxa"/>
            <w:tcBorders>
              <w:top w:val="nil"/>
              <w:left w:val="nil"/>
              <w:bottom w:val="nil"/>
              <w:right w:val="nil"/>
            </w:tcBorders>
          </w:tcPr>
          <w:p>
            <w:pPr>
              <w:pStyle w:val="TableParagraph"/>
              <w:spacing w:before="195"/>
              <w:ind w:left="152"/>
              <w:rPr>
                <w:sz w:val="22"/>
              </w:rPr>
            </w:pPr>
            <w:r>
              <w:rPr>
                <w:sz w:val="22"/>
              </w:rPr>
              <w:t>134.31</w:t>
            </w:r>
          </w:p>
        </w:tc>
        <w:tc>
          <w:tcPr>
            <w:tcW w:w="953" w:type="dxa"/>
            <w:tcBorders>
              <w:top w:val="nil"/>
              <w:left w:val="nil"/>
              <w:bottom w:val="nil"/>
              <w:right w:val="nil"/>
            </w:tcBorders>
          </w:tcPr>
          <w:p>
            <w:pPr>
              <w:pStyle w:val="TableParagraph"/>
              <w:spacing w:before="195"/>
              <w:ind w:left="106"/>
              <w:rPr>
                <w:sz w:val="22"/>
              </w:rPr>
            </w:pPr>
            <w:r>
              <w:rPr>
                <w:sz w:val="22"/>
              </w:rPr>
              <w:t>2.12</w:t>
            </w:r>
          </w:p>
        </w:tc>
        <w:tc>
          <w:tcPr>
            <w:tcW w:w="1022" w:type="dxa"/>
            <w:tcBorders>
              <w:top w:val="nil"/>
              <w:left w:val="nil"/>
              <w:bottom w:val="nil"/>
              <w:right w:val="nil"/>
            </w:tcBorders>
          </w:tcPr>
          <w:p>
            <w:pPr>
              <w:pStyle w:val="TableParagraph"/>
              <w:spacing w:before="195"/>
              <w:ind w:left="128"/>
              <w:rPr>
                <w:sz w:val="22"/>
              </w:rPr>
            </w:pPr>
            <w:r>
              <w:rPr>
                <w:sz w:val="22"/>
              </w:rPr>
              <w:t>0.87</w:t>
            </w:r>
          </w:p>
        </w:tc>
        <w:tc>
          <w:tcPr>
            <w:tcW w:w="999" w:type="dxa"/>
            <w:tcBorders>
              <w:top w:val="nil"/>
              <w:left w:val="nil"/>
              <w:bottom w:val="nil"/>
              <w:right w:val="nil"/>
            </w:tcBorders>
          </w:tcPr>
          <w:p>
            <w:pPr>
              <w:pStyle w:val="TableParagraph"/>
              <w:spacing w:before="195"/>
              <w:ind w:left="175"/>
              <w:rPr>
                <w:sz w:val="22"/>
              </w:rPr>
            </w:pPr>
            <w:r>
              <w:rPr>
                <w:sz w:val="22"/>
              </w:rPr>
              <w:t>4.67</w:t>
            </w:r>
          </w:p>
        </w:tc>
      </w:tr>
      <w:tr>
        <w:trPr>
          <w:trHeight w:val="666" w:hRule="exact"/>
        </w:trPr>
        <w:tc>
          <w:tcPr>
            <w:tcW w:w="1515" w:type="dxa"/>
            <w:tcBorders>
              <w:top w:val="nil"/>
              <w:left w:val="nil"/>
              <w:bottom w:val="nil"/>
              <w:right w:val="nil"/>
            </w:tcBorders>
          </w:tcPr>
          <w:p>
            <w:pPr>
              <w:pStyle w:val="TableParagraph"/>
              <w:spacing w:before="194"/>
              <w:ind w:left="108"/>
              <w:rPr>
                <w:sz w:val="22"/>
              </w:rPr>
            </w:pPr>
            <w:r>
              <w:rPr>
                <w:sz w:val="22"/>
              </w:rPr>
              <w:t>Cultivares (G)</w:t>
            </w:r>
          </w:p>
        </w:tc>
        <w:tc>
          <w:tcPr>
            <w:tcW w:w="1142" w:type="dxa"/>
            <w:tcBorders>
              <w:top w:val="nil"/>
              <w:left w:val="nil"/>
              <w:bottom w:val="nil"/>
              <w:right w:val="nil"/>
            </w:tcBorders>
          </w:tcPr>
          <w:p>
            <w:pPr>
              <w:pStyle w:val="TableParagraph"/>
              <w:spacing w:before="194"/>
              <w:ind w:left="141" w:right="235"/>
              <w:rPr>
                <w:sz w:val="22"/>
              </w:rPr>
            </w:pPr>
            <w:r>
              <w:rPr>
                <w:sz w:val="22"/>
              </w:rPr>
              <w:t>28</w:t>
            </w:r>
          </w:p>
        </w:tc>
        <w:tc>
          <w:tcPr>
            <w:tcW w:w="1360" w:type="dxa"/>
            <w:tcBorders>
              <w:top w:val="nil"/>
              <w:left w:val="nil"/>
              <w:bottom w:val="nil"/>
              <w:right w:val="nil"/>
            </w:tcBorders>
          </w:tcPr>
          <w:p>
            <w:pPr>
              <w:pStyle w:val="TableParagraph"/>
              <w:spacing w:before="194"/>
              <w:ind w:left="252"/>
              <w:rPr>
                <w:sz w:val="22"/>
              </w:rPr>
            </w:pPr>
            <w:r>
              <w:rPr>
                <w:sz w:val="22"/>
              </w:rPr>
              <w:t>1864.69**</w:t>
            </w:r>
          </w:p>
        </w:tc>
        <w:tc>
          <w:tcPr>
            <w:tcW w:w="1150" w:type="dxa"/>
            <w:tcBorders>
              <w:top w:val="nil"/>
              <w:left w:val="nil"/>
              <w:bottom w:val="nil"/>
              <w:right w:val="nil"/>
            </w:tcBorders>
          </w:tcPr>
          <w:p>
            <w:pPr>
              <w:pStyle w:val="TableParagraph"/>
              <w:spacing w:before="194"/>
              <w:ind w:left="169"/>
              <w:rPr>
                <w:sz w:val="22"/>
              </w:rPr>
            </w:pPr>
            <w:r>
              <w:rPr>
                <w:sz w:val="22"/>
              </w:rPr>
              <w:t>208.00**</w:t>
            </w:r>
          </w:p>
        </w:tc>
        <w:tc>
          <w:tcPr>
            <w:tcW w:w="1198" w:type="dxa"/>
            <w:tcBorders>
              <w:top w:val="nil"/>
              <w:left w:val="nil"/>
              <w:bottom w:val="nil"/>
              <w:right w:val="nil"/>
            </w:tcBorders>
          </w:tcPr>
          <w:p>
            <w:pPr>
              <w:pStyle w:val="TableParagraph"/>
              <w:spacing w:before="194"/>
              <w:ind w:left="152"/>
              <w:rPr>
                <w:sz w:val="22"/>
              </w:rPr>
            </w:pPr>
            <w:r>
              <w:rPr>
                <w:sz w:val="22"/>
              </w:rPr>
              <w:t>2503.80**</w:t>
            </w:r>
          </w:p>
        </w:tc>
        <w:tc>
          <w:tcPr>
            <w:tcW w:w="953" w:type="dxa"/>
            <w:tcBorders>
              <w:top w:val="nil"/>
              <w:left w:val="nil"/>
              <w:bottom w:val="nil"/>
              <w:right w:val="nil"/>
            </w:tcBorders>
          </w:tcPr>
          <w:p>
            <w:pPr>
              <w:pStyle w:val="TableParagraph"/>
              <w:spacing w:before="194"/>
              <w:ind w:left="106"/>
              <w:rPr>
                <w:sz w:val="22"/>
              </w:rPr>
            </w:pPr>
            <w:r>
              <w:rPr>
                <w:sz w:val="22"/>
              </w:rPr>
              <w:t>57.00**</w:t>
            </w:r>
          </w:p>
        </w:tc>
        <w:tc>
          <w:tcPr>
            <w:tcW w:w="1022" w:type="dxa"/>
            <w:tcBorders>
              <w:top w:val="nil"/>
              <w:left w:val="nil"/>
              <w:bottom w:val="nil"/>
              <w:right w:val="nil"/>
            </w:tcBorders>
          </w:tcPr>
          <w:p>
            <w:pPr>
              <w:pStyle w:val="TableParagraph"/>
              <w:spacing w:before="194"/>
              <w:ind w:left="128"/>
              <w:rPr>
                <w:sz w:val="22"/>
              </w:rPr>
            </w:pPr>
            <w:r>
              <w:rPr>
                <w:sz w:val="22"/>
              </w:rPr>
              <w:t>10.02**</w:t>
            </w:r>
          </w:p>
        </w:tc>
        <w:tc>
          <w:tcPr>
            <w:tcW w:w="999" w:type="dxa"/>
            <w:tcBorders>
              <w:top w:val="nil"/>
              <w:left w:val="nil"/>
              <w:bottom w:val="nil"/>
              <w:right w:val="nil"/>
            </w:tcBorders>
          </w:tcPr>
          <w:p>
            <w:pPr>
              <w:pStyle w:val="TableParagraph"/>
              <w:spacing w:before="194"/>
              <w:ind w:left="175"/>
              <w:rPr>
                <w:sz w:val="22"/>
              </w:rPr>
            </w:pPr>
            <w:r>
              <w:rPr>
                <w:sz w:val="22"/>
              </w:rPr>
              <w:t>86.95**</w:t>
            </w:r>
          </w:p>
        </w:tc>
      </w:tr>
      <w:tr>
        <w:trPr>
          <w:trHeight w:val="666" w:hRule="exact"/>
        </w:trPr>
        <w:tc>
          <w:tcPr>
            <w:tcW w:w="1515" w:type="dxa"/>
            <w:tcBorders>
              <w:top w:val="nil"/>
              <w:left w:val="nil"/>
              <w:bottom w:val="nil"/>
              <w:right w:val="nil"/>
            </w:tcBorders>
          </w:tcPr>
          <w:p>
            <w:pPr>
              <w:pStyle w:val="TableParagraph"/>
              <w:spacing w:before="195"/>
              <w:ind w:left="108" w:right="464"/>
              <w:rPr>
                <w:sz w:val="22"/>
              </w:rPr>
            </w:pPr>
            <w:r>
              <w:rPr>
                <w:sz w:val="22"/>
              </w:rPr>
              <w:t>L x G</w:t>
            </w:r>
          </w:p>
        </w:tc>
        <w:tc>
          <w:tcPr>
            <w:tcW w:w="1142" w:type="dxa"/>
            <w:tcBorders>
              <w:top w:val="nil"/>
              <w:left w:val="nil"/>
              <w:bottom w:val="nil"/>
              <w:right w:val="nil"/>
            </w:tcBorders>
          </w:tcPr>
          <w:p>
            <w:pPr>
              <w:pStyle w:val="TableParagraph"/>
              <w:spacing w:before="195"/>
              <w:ind w:left="141" w:right="235"/>
              <w:rPr>
                <w:sz w:val="22"/>
              </w:rPr>
            </w:pPr>
            <w:r>
              <w:rPr>
                <w:sz w:val="22"/>
              </w:rPr>
              <w:t>84</w:t>
            </w:r>
          </w:p>
        </w:tc>
        <w:tc>
          <w:tcPr>
            <w:tcW w:w="1360" w:type="dxa"/>
            <w:tcBorders>
              <w:top w:val="nil"/>
              <w:left w:val="nil"/>
              <w:bottom w:val="nil"/>
              <w:right w:val="nil"/>
            </w:tcBorders>
          </w:tcPr>
          <w:p>
            <w:pPr>
              <w:pStyle w:val="TableParagraph"/>
              <w:spacing w:before="195"/>
              <w:ind w:left="252"/>
              <w:rPr>
                <w:sz w:val="22"/>
              </w:rPr>
            </w:pPr>
            <w:r>
              <w:rPr>
                <w:sz w:val="22"/>
              </w:rPr>
              <w:t>106.91**</w:t>
            </w:r>
          </w:p>
        </w:tc>
        <w:tc>
          <w:tcPr>
            <w:tcW w:w="1150" w:type="dxa"/>
            <w:tcBorders>
              <w:top w:val="nil"/>
              <w:left w:val="nil"/>
              <w:bottom w:val="nil"/>
              <w:right w:val="nil"/>
            </w:tcBorders>
          </w:tcPr>
          <w:p>
            <w:pPr>
              <w:pStyle w:val="TableParagraph"/>
              <w:spacing w:before="195"/>
              <w:ind w:left="169"/>
              <w:rPr>
                <w:sz w:val="22"/>
              </w:rPr>
            </w:pPr>
            <w:r>
              <w:rPr>
                <w:sz w:val="22"/>
              </w:rPr>
              <w:t>41.09**</w:t>
            </w:r>
          </w:p>
        </w:tc>
        <w:tc>
          <w:tcPr>
            <w:tcW w:w="1198" w:type="dxa"/>
            <w:tcBorders>
              <w:top w:val="nil"/>
              <w:left w:val="nil"/>
              <w:bottom w:val="nil"/>
              <w:right w:val="nil"/>
            </w:tcBorders>
          </w:tcPr>
          <w:p>
            <w:pPr>
              <w:pStyle w:val="TableParagraph"/>
              <w:spacing w:before="195"/>
              <w:ind w:left="152"/>
              <w:rPr>
                <w:sz w:val="22"/>
              </w:rPr>
            </w:pPr>
            <w:r>
              <w:rPr>
                <w:sz w:val="22"/>
              </w:rPr>
              <w:t>212.24**</w:t>
            </w:r>
          </w:p>
        </w:tc>
        <w:tc>
          <w:tcPr>
            <w:tcW w:w="953" w:type="dxa"/>
            <w:tcBorders>
              <w:top w:val="nil"/>
              <w:left w:val="nil"/>
              <w:bottom w:val="nil"/>
              <w:right w:val="nil"/>
            </w:tcBorders>
          </w:tcPr>
          <w:p>
            <w:pPr>
              <w:pStyle w:val="TableParagraph"/>
              <w:spacing w:before="195"/>
              <w:ind w:left="106"/>
              <w:rPr>
                <w:sz w:val="22"/>
              </w:rPr>
            </w:pPr>
            <w:r>
              <w:rPr>
                <w:sz w:val="22"/>
              </w:rPr>
              <w:t>3.29**</w:t>
            </w:r>
          </w:p>
        </w:tc>
        <w:tc>
          <w:tcPr>
            <w:tcW w:w="1022" w:type="dxa"/>
            <w:tcBorders>
              <w:top w:val="nil"/>
              <w:left w:val="nil"/>
              <w:bottom w:val="nil"/>
              <w:right w:val="nil"/>
            </w:tcBorders>
          </w:tcPr>
          <w:p>
            <w:pPr>
              <w:pStyle w:val="TableParagraph"/>
              <w:spacing w:before="195"/>
              <w:ind w:left="128"/>
              <w:rPr>
                <w:sz w:val="22"/>
              </w:rPr>
            </w:pPr>
            <w:r>
              <w:rPr>
                <w:sz w:val="22"/>
              </w:rPr>
              <w:t>2.54**</w:t>
            </w:r>
          </w:p>
        </w:tc>
        <w:tc>
          <w:tcPr>
            <w:tcW w:w="999" w:type="dxa"/>
            <w:tcBorders>
              <w:top w:val="nil"/>
              <w:left w:val="nil"/>
              <w:bottom w:val="nil"/>
              <w:right w:val="nil"/>
            </w:tcBorders>
          </w:tcPr>
          <w:p>
            <w:pPr>
              <w:pStyle w:val="TableParagraph"/>
              <w:spacing w:before="195"/>
              <w:ind w:left="175"/>
              <w:rPr>
                <w:sz w:val="22"/>
              </w:rPr>
            </w:pPr>
            <w:r>
              <w:rPr>
                <w:sz w:val="22"/>
              </w:rPr>
              <w:t>7.11**</w:t>
            </w:r>
          </w:p>
        </w:tc>
      </w:tr>
      <w:tr>
        <w:trPr>
          <w:trHeight w:val="666" w:hRule="exact"/>
        </w:trPr>
        <w:tc>
          <w:tcPr>
            <w:tcW w:w="1515" w:type="dxa"/>
            <w:tcBorders>
              <w:top w:val="nil"/>
              <w:left w:val="nil"/>
              <w:bottom w:val="nil"/>
              <w:right w:val="nil"/>
            </w:tcBorders>
          </w:tcPr>
          <w:p>
            <w:pPr>
              <w:pStyle w:val="TableParagraph"/>
              <w:spacing w:before="194"/>
              <w:ind w:left="108" w:right="464"/>
              <w:rPr>
                <w:sz w:val="22"/>
              </w:rPr>
            </w:pPr>
            <w:r>
              <w:rPr>
                <w:sz w:val="22"/>
              </w:rPr>
              <w:t>Error</w:t>
            </w:r>
          </w:p>
        </w:tc>
        <w:tc>
          <w:tcPr>
            <w:tcW w:w="1142" w:type="dxa"/>
            <w:tcBorders>
              <w:top w:val="nil"/>
              <w:left w:val="nil"/>
              <w:bottom w:val="nil"/>
              <w:right w:val="nil"/>
            </w:tcBorders>
          </w:tcPr>
          <w:p>
            <w:pPr>
              <w:pStyle w:val="TableParagraph"/>
              <w:spacing w:before="194"/>
              <w:ind w:left="141" w:right="235"/>
              <w:rPr>
                <w:sz w:val="22"/>
              </w:rPr>
            </w:pPr>
            <w:r>
              <w:rPr>
                <w:sz w:val="22"/>
              </w:rPr>
              <w:t>224</w:t>
            </w:r>
          </w:p>
        </w:tc>
        <w:tc>
          <w:tcPr>
            <w:tcW w:w="1360" w:type="dxa"/>
            <w:tcBorders>
              <w:top w:val="nil"/>
              <w:left w:val="nil"/>
              <w:bottom w:val="nil"/>
              <w:right w:val="nil"/>
            </w:tcBorders>
          </w:tcPr>
          <w:p>
            <w:pPr>
              <w:pStyle w:val="TableParagraph"/>
              <w:spacing w:before="194"/>
              <w:ind w:left="252"/>
              <w:rPr>
                <w:sz w:val="22"/>
              </w:rPr>
            </w:pPr>
            <w:r>
              <w:rPr>
                <w:sz w:val="22"/>
              </w:rPr>
              <w:t>47.67</w:t>
            </w:r>
          </w:p>
        </w:tc>
        <w:tc>
          <w:tcPr>
            <w:tcW w:w="1150" w:type="dxa"/>
            <w:tcBorders>
              <w:top w:val="nil"/>
              <w:left w:val="nil"/>
              <w:bottom w:val="nil"/>
              <w:right w:val="nil"/>
            </w:tcBorders>
          </w:tcPr>
          <w:p>
            <w:pPr>
              <w:pStyle w:val="TableParagraph"/>
              <w:spacing w:before="194"/>
              <w:ind w:left="169"/>
              <w:rPr>
                <w:sz w:val="22"/>
              </w:rPr>
            </w:pPr>
            <w:r>
              <w:rPr>
                <w:sz w:val="22"/>
              </w:rPr>
              <w:t>10.67</w:t>
            </w:r>
          </w:p>
        </w:tc>
        <w:tc>
          <w:tcPr>
            <w:tcW w:w="1198" w:type="dxa"/>
            <w:tcBorders>
              <w:top w:val="nil"/>
              <w:left w:val="nil"/>
              <w:bottom w:val="nil"/>
              <w:right w:val="nil"/>
            </w:tcBorders>
          </w:tcPr>
          <w:p>
            <w:pPr>
              <w:pStyle w:val="TableParagraph"/>
              <w:spacing w:before="194"/>
              <w:ind w:left="152"/>
              <w:rPr>
                <w:sz w:val="22"/>
              </w:rPr>
            </w:pPr>
            <w:r>
              <w:rPr>
                <w:sz w:val="22"/>
              </w:rPr>
              <w:t>83.88</w:t>
            </w:r>
          </w:p>
        </w:tc>
        <w:tc>
          <w:tcPr>
            <w:tcW w:w="953" w:type="dxa"/>
            <w:tcBorders>
              <w:top w:val="nil"/>
              <w:left w:val="nil"/>
              <w:bottom w:val="nil"/>
              <w:right w:val="nil"/>
            </w:tcBorders>
          </w:tcPr>
          <w:p>
            <w:pPr>
              <w:pStyle w:val="TableParagraph"/>
              <w:spacing w:before="194"/>
              <w:ind w:left="106"/>
              <w:rPr>
                <w:sz w:val="22"/>
              </w:rPr>
            </w:pPr>
            <w:r>
              <w:rPr>
                <w:sz w:val="22"/>
              </w:rPr>
              <w:t>1.90</w:t>
            </w:r>
          </w:p>
        </w:tc>
        <w:tc>
          <w:tcPr>
            <w:tcW w:w="1022" w:type="dxa"/>
            <w:tcBorders>
              <w:top w:val="nil"/>
              <w:left w:val="nil"/>
              <w:bottom w:val="nil"/>
              <w:right w:val="nil"/>
            </w:tcBorders>
          </w:tcPr>
          <w:p>
            <w:pPr>
              <w:pStyle w:val="TableParagraph"/>
              <w:spacing w:before="194"/>
              <w:ind w:left="128"/>
              <w:rPr>
                <w:sz w:val="22"/>
              </w:rPr>
            </w:pPr>
            <w:r>
              <w:rPr>
                <w:sz w:val="22"/>
              </w:rPr>
              <w:t>0.71</w:t>
            </w:r>
          </w:p>
        </w:tc>
        <w:tc>
          <w:tcPr>
            <w:tcW w:w="999" w:type="dxa"/>
            <w:tcBorders>
              <w:top w:val="nil"/>
              <w:left w:val="nil"/>
              <w:bottom w:val="nil"/>
              <w:right w:val="nil"/>
            </w:tcBorders>
          </w:tcPr>
          <w:p>
            <w:pPr>
              <w:pStyle w:val="TableParagraph"/>
              <w:spacing w:before="194"/>
              <w:ind w:left="175"/>
              <w:rPr>
                <w:sz w:val="22"/>
              </w:rPr>
            </w:pPr>
            <w:r>
              <w:rPr>
                <w:sz w:val="22"/>
              </w:rPr>
              <w:t>3.77</w:t>
            </w:r>
          </w:p>
        </w:tc>
      </w:tr>
      <w:tr>
        <w:trPr>
          <w:trHeight w:val="666" w:hRule="exact"/>
        </w:trPr>
        <w:tc>
          <w:tcPr>
            <w:tcW w:w="1515" w:type="dxa"/>
            <w:tcBorders>
              <w:top w:val="nil"/>
              <w:left w:val="nil"/>
              <w:bottom w:val="nil"/>
              <w:right w:val="nil"/>
            </w:tcBorders>
          </w:tcPr>
          <w:p>
            <w:pPr>
              <w:pStyle w:val="TableParagraph"/>
              <w:spacing w:before="195"/>
              <w:ind w:left="108" w:right="464"/>
              <w:rPr>
                <w:sz w:val="22"/>
              </w:rPr>
            </w:pPr>
            <w:r>
              <w:rPr>
                <w:sz w:val="22"/>
              </w:rPr>
              <w:t>Media</w:t>
            </w:r>
          </w:p>
        </w:tc>
        <w:tc>
          <w:tcPr>
            <w:tcW w:w="1142" w:type="dxa"/>
            <w:tcBorders>
              <w:top w:val="nil"/>
              <w:left w:val="nil"/>
              <w:bottom w:val="nil"/>
              <w:right w:val="nil"/>
            </w:tcBorders>
          </w:tcPr>
          <w:p>
            <w:pPr/>
          </w:p>
        </w:tc>
        <w:tc>
          <w:tcPr>
            <w:tcW w:w="1360" w:type="dxa"/>
            <w:tcBorders>
              <w:top w:val="nil"/>
              <w:left w:val="nil"/>
              <w:bottom w:val="nil"/>
              <w:right w:val="nil"/>
            </w:tcBorders>
          </w:tcPr>
          <w:p>
            <w:pPr>
              <w:pStyle w:val="TableParagraph"/>
              <w:spacing w:before="195"/>
              <w:ind w:left="252"/>
              <w:rPr>
                <w:sz w:val="22"/>
              </w:rPr>
            </w:pPr>
            <w:r>
              <w:rPr>
                <w:sz w:val="22"/>
              </w:rPr>
              <w:t>62.48</w:t>
            </w:r>
          </w:p>
        </w:tc>
        <w:tc>
          <w:tcPr>
            <w:tcW w:w="1150" w:type="dxa"/>
            <w:tcBorders>
              <w:top w:val="nil"/>
              <w:left w:val="nil"/>
              <w:bottom w:val="nil"/>
              <w:right w:val="nil"/>
            </w:tcBorders>
          </w:tcPr>
          <w:p>
            <w:pPr>
              <w:pStyle w:val="TableParagraph"/>
              <w:spacing w:before="195"/>
              <w:ind w:left="169"/>
              <w:rPr>
                <w:sz w:val="22"/>
              </w:rPr>
            </w:pPr>
            <w:r>
              <w:rPr>
                <w:sz w:val="22"/>
              </w:rPr>
              <w:t>26.49</w:t>
            </w:r>
          </w:p>
        </w:tc>
        <w:tc>
          <w:tcPr>
            <w:tcW w:w="1198" w:type="dxa"/>
            <w:tcBorders>
              <w:top w:val="nil"/>
              <w:left w:val="nil"/>
              <w:bottom w:val="nil"/>
              <w:right w:val="nil"/>
            </w:tcBorders>
          </w:tcPr>
          <w:p>
            <w:pPr>
              <w:pStyle w:val="TableParagraph"/>
              <w:spacing w:before="195"/>
              <w:ind w:left="152"/>
              <w:rPr>
                <w:sz w:val="22"/>
              </w:rPr>
            </w:pPr>
            <w:r>
              <w:rPr>
                <w:sz w:val="22"/>
              </w:rPr>
              <w:t>88.98</w:t>
            </w:r>
          </w:p>
        </w:tc>
        <w:tc>
          <w:tcPr>
            <w:tcW w:w="953" w:type="dxa"/>
            <w:tcBorders>
              <w:top w:val="nil"/>
              <w:left w:val="nil"/>
              <w:bottom w:val="nil"/>
              <w:right w:val="nil"/>
            </w:tcBorders>
          </w:tcPr>
          <w:p>
            <w:pPr>
              <w:pStyle w:val="TableParagraph"/>
              <w:spacing w:before="195"/>
              <w:ind w:left="106"/>
              <w:rPr>
                <w:sz w:val="22"/>
              </w:rPr>
            </w:pPr>
            <w:r>
              <w:rPr>
                <w:sz w:val="22"/>
              </w:rPr>
              <w:t>11.56</w:t>
            </w:r>
          </w:p>
        </w:tc>
        <w:tc>
          <w:tcPr>
            <w:tcW w:w="1022" w:type="dxa"/>
            <w:tcBorders>
              <w:top w:val="nil"/>
              <w:left w:val="nil"/>
              <w:bottom w:val="nil"/>
              <w:right w:val="nil"/>
            </w:tcBorders>
          </w:tcPr>
          <w:p>
            <w:pPr>
              <w:pStyle w:val="TableParagraph"/>
              <w:spacing w:before="195"/>
              <w:ind w:left="128"/>
              <w:rPr>
                <w:sz w:val="22"/>
              </w:rPr>
            </w:pPr>
            <w:r>
              <w:rPr>
                <w:sz w:val="22"/>
              </w:rPr>
              <w:t>6.81</w:t>
            </w:r>
          </w:p>
        </w:tc>
        <w:tc>
          <w:tcPr>
            <w:tcW w:w="999" w:type="dxa"/>
            <w:tcBorders>
              <w:top w:val="nil"/>
              <w:left w:val="nil"/>
              <w:bottom w:val="nil"/>
              <w:right w:val="nil"/>
            </w:tcBorders>
          </w:tcPr>
          <w:p>
            <w:pPr>
              <w:pStyle w:val="TableParagraph"/>
              <w:spacing w:before="195"/>
              <w:ind w:left="175"/>
              <w:rPr>
                <w:sz w:val="22"/>
              </w:rPr>
            </w:pPr>
            <w:r>
              <w:rPr>
                <w:sz w:val="22"/>
              </w:rPr>
              <w:t>18.38</w:t>
            </w:r>
          </w:p>
        </w:tc>
      </w:tr>
      <w:tr>
        <w:trPr>
          <w:trHeight w:val="658" w:hRule="exact"/>
        </w:trPr>
        <w:tc>
          <w:tcPr>
            <w:tcW w:w="1515" w:type="dxa"/>
            <w:tcBorders>
              <w:top w:val="nil"/>
              <w:left w:val="nil"/>
              <w:bottom w:val="nil"/>
              <w:right w:val="nil"/>
            </w:tcBorders>
          </w:tcPr>
          <w:p>
            <w:pPr>
              <w:pStyle w:val="TableParagraph"/>
              <w:spacing w:before="194"/>
              <w:ind w:left="108" w:right="464"/>
              <w:rPr>
                <w:sz w:val="22"/>
              </w:rPr>
            </w:pPr>
            <w:r>
              <w:rPr>
                <w:sz w:val="22"/>
              </w:rPr>
              <w:t>CV (%)</w:t>
            </w:r>
          </w:p>
        </w:tc>
        <w:tc>
          <w:tcPr>
            <w:tcW w:w="1142" w:type="dxa"/>
            <w:tcBorders>
              <w:top w:val="nil"/>
              <w:left w:val="nil"/>
              <w:bottom w:val="nil"/>
              <w:right w:val="nil"/>
            </w:tcBorders>
          </w:tcPr>
          <w:p>
            <w:pPr/>
          </w:p>
        </w:tc>
        <w:tc>
          <w:tcPr>
            <w:tcW w:w="1360" w:type="dxa"/>
            <w:tcBorders>
              <w:top w:val="nil"/>
              <w:left w:val="nil"/>
              <w:bottom w:val="nil"/>
              <w:right w:val="nil"/>
            </w:tcBorders>
          </w:tcPr>
          <w:p>
            <w:pPr>
              <w:pStyle w:val="TableParagraph"/>
              <w:spacing w:before="194"/>
              <w:ind w:left="252"/>
              <w:rPr>
                <w:sz w:val="22"/>
              </w:rPr>
            </w:pPr>
            <w:r>
              <w:rPr>
                <w:sz w:val="22"/>
              </w:rPr>
              <w:t>11.05</w:t>
            </w:r>
          </w:p>
        </w:tc>
        <w:tc>
          <w:tcPr>
            <w:tcW w:w="1150" w:type="dxa"/>
            <w:tcBorders>
              <w:top w:val="nil"/>
              <w:left w:val="nil"/>
              <w:bottom w:val="nil"/>
              <w:right w:val="nil"/>
            </w:tcBorders>
          </w:tcPr>
          <w:p>
            <w:pPr>
              <w:pStyle w:val="TableParagraph"/>
              <w:spacing w:before="194"/>
              <w:ind w:left="169"/>
              <w:rPr>
                <w:sz w:val="22"/>
              </w:rPr>
            </w:pPr>
            <w:r>
              <w:rPr>
                <w:sz w:val="22"/>
              </w:rPr>
              <w:t>12.32</w:t>
            </w:r>
          </w:p>
        </w:tc>
        <w:tc>
          <w:tcPr>
            <w:tcW w:w="1198" w:type="dxa"/>
            <w:tcBorders>
              <w:top w:val="nil"/>
              <w:left w:val="nil"/>
              <w:bottom w:val="nil"/>
              <w:right w:val="nil"/>
            </w:tcBorders>
          </w:tcPr>
          <w:p>
            <w:pPr>
              <w:pStyle w:val="TableParagraph"/>
              <w:spacing w:before="194"/>
              <w:ind w:left="152"/>
              <w:rPr>
                <w:sz w:val="22"/>
              </w:rPr>
            </w:pPr>
            <w:r>
              <w:rPr>
                <w:sz w:val="22"/>
              </w:rPr>
              <w:t>10.29</w:t>
            </w:r>
          </w:p>
        </w:tc>
        <w:tc>
          <w:tcPr>
            <w:tcW w:w="953" w:type="dxa"/>
            <w:tcBorders>
              <w:top w:val="nil"/>
              <w:left w:val="nil"/>
              <w:bottom w:val="nil"/>
              <w:right w:val="nil"/>
            </w:tcBorders>
          </w:tcPr>
          <w:p>
            <w:pPr>
              <w:pStyle w:val="TableParagraph"/>
              <w:spacing w:before="194"/>
              <w:ind w:left="106"/>
              <w:rPr>
                <w:sz w:val="22"/>
              </w:rPr>
            </w:pPr>
            <w:r>
              <w:rPr>
                <w:sz w:val="22"/>
              </w:rPr>
              <w:t>11.92</w:t>
            </w:r>
          </w:p>
        </w:tc>
        <w:tc>
          <w:tcPr>
            <w:tcW w:w="1022" w:type="dxa"/>
            <w:tcBorders>
              <w:top w:val="nil"/>
              <w:left w:val="nil"/>
              <w:bottom w:val="nil"/>
              <w:right w:val="nil"/>
            </w:tcBorders>
          </w:tcPr>
          <w:p>
            <w:pPr>
              <w:pStyle w:val="TableParagraph"/>
              <w:spacing w:before="194"/>
              <w:ind w:left="128"/>
              <w:rPr>
                <w:sz w:val="22"/>
              </w:rPr>
            </w:pPr>
            <w:r>
              <w:rPr>
                <w:sz w:val="22"/>
              </w:rPr>
              <w:t>12.42</w:t>
            </w:r>
          </w:p>
        </w:tc>
        <w:tc>
          <w:tcPr>
            <w:tcW w:w="999" w:type="dxa"/>
            <w:tcBorders>
              <w:top w:val="nil"/>
              <w:left w:val="nil"/>
              <w:bottom w:val="nil"/>
              <w:right w:val="nil"/>
            </w:tcBorders>
          </w:tcPr>
          <w:p>
            <w:pPr>
              <w:pStyle w:val="TableParagraph"/>
              <w:spacing w:before="194"/>
              <w:ind w:left="175"/>
              <w:rPr>
                <w:sz w:val="22"/>
              </w:rPr>
            </w:pPr>
            <w:r>
              <w:rPr>
                <w:sz w:val="22"/>
              </w:rPr>
              <w:t>10.55</w:t>
            </w:r>
          </w:p>
        </w:tc>
      </w:tr>
      <w:tr>
        <w:trPr>
          <w:trHeight w:val="450" w:hRule="exact"/>
        </w:trPr>
        <w:tc>
          <w:tcPr>
            <w:tcW w:w="1515" w:type="dxa"/>
            <w:tcBorders>
              <w:top w:val="nil"/>
              <w:left w:val="nil"/>
              <w:bottom w:val="nil"/>
              <w:right w:val="nil"/>
            </w:tcBorders>
          </w:tcPr>
          <w:p>
            <w:pPr>
              <w:pStyle w:val="TableParagraph"/>
              <w:spacing w:before="195"/>
              <w:ind w:left="108" w:right="464"/>
              <w:rPr>
                <w:sz w:val="22"/>
              </w:rPr>
            </w:pPr>
            <w:r>
              <w:rPr>
                <w:sz w:val="22"/>
              </w:rPr>
              <w:t>H</w:t>
            </w:r>
            <w:r>
              <w:rPr>
                <w:position w:val="8"/>
                <w:sz w:val="14"/>
              </w:rPr>
              <w:t>2 </w:t>
            </w:r>
            <w:r>
              <w:rPr>
                <w:sz w:val="22"/>
              </w:rPr>
              <w:t>(%)</w:t>
            </w:r>
          </w:p>
        </w:tc>
        <w:tc>
          <w:tcPr>
            <w:tcW w:w="1142" w:type="dxa"/>
            <w:tcBorders>
              <w:top w:val="nil"/>
              <w:left w:val="nil"/>
              <w:bottom w:val="nil"/>
              <w:right w:val="nil"/>
            </w:tcBorders>
          </w:tcPr>
          <w:p>
            <w:pPr/>
          </w:p>
        </w:tc>
        <w:tc>
          <w:tcPr>
            <w:tcW w:w="1360" w:type="dxa"/>
            <w:tcBorders>
              <w:top w:val="nil"/>
              <w:left w:val="nil"/>
              <w:bottom w:val="nil"/>
              <w:right w:val="nil"/>
            </w:tcBorders>
          </w:tcPr>
          <w:p>
            <w:pPr>
              <w:pStyle w:val="TableParagraph"/>
              <w:spacing w:before="5"/>
              <w:rPr>
                <w:b/>
                <w:sz w:val="17"/>
              </w:rPr>
            </w:pPr>
          </w:p>
          <w:p>
            <w:pPr>
              <w:pStyle w:val="TableParagraph"/>
              <w:ind w:left="252"/>
              <w:rPr>
                <w:sz w:val="22"/>
              </w:rPr>
            </w:pPr>
            <w:r>
              <w:rPr>
                <w:sz w:val="22"/>
              </w:rPr>
              <w:t>94.27</w:t>
            </w:r>
          </w:p>
        </w:tc>
        <w:tc>
          <w:tcPr>
            <w:tcW w:w="1150" w:type="dxa"/>
            <w:tcBorders>
              <w:top w:val="nil"/>
              <w:left w:val="nil"/>
              <w:bottom w:val="nil"/>
              <w:right w:val="nil"/>
            </w:tcBorders>
          </w:tcPr>
          <w:p>
            <w:pPr>
              <w:pStyle w:val="TableParagraph"/>
              <w:spacing w:before="5"/>
              <w:rPr>
                <w:b/>
                <w:sz w:val="17"/>
              </w:rPr>
            </w:pPr>
          </w:p>
          <w:p>
            <w:pPr>
              <w:pStyle w:val="TableParagraph"/>
              <w:ind w:left="169"/>
              <w:rPr>
                <w:sz w:val="22"/>
              </w:rPr>
            </w:pPr>
            <w:r>
              <w:rPr>
                <w:sz w:val="22"/>
              </w:rPr>
              <w:t>80.24</w:t>
            </w:r>
          </w:p>
        </w:tc>
        <w:tc>
          <w:tcPr>
            <w:tcW w:w="1198" w:type="dxa"/>
            <w:tcBorders>
              <w:top w:val="nil"/>
              <w:left w:val="nil"/>
              <w:bottom w:val="nil"/>
              <w:right w:val="nil"/>
            </w:tcBorders>
          </w:tcPr>
          <w:p>
            <w:pPr>
              <w:pStyle w:val="TableParagraph"/>
              <w:spacing w:before="5"/>
              <w:rPr>
                <w:b/>
                <w:sz w:val="17"/>
              </w:rPr>
            </w:pPr>
          </w:p>
          <w:p>
            <w:pPr>
              <w:pStyle w:val="TableParagraph"/>
              <w:ind w:left="152"/>
              <w:rPr>
                <w:sz w:val="22"/>
              </w:rPr>
            </w:pPr>
            <w:r>
              <w:rPr>
                <w:sz w:val="22"/>
              </w:rPr>
              <w:t>91.52</w:t>
            </w:r>
          </w:p>
        </w:tc>
        <w:tc>
          <w:tcPr>
            <w:tcW w:w="953" w:type="dxa"/>
            <w:tcBorders>
              <w:top w:val="nil"/>
              <w:left w:val="nil"/>
              <w:bottom w:val="nil"/>
              <w:right w:val="nil"/>
            </w:tcBorders>
          </w:tcPr>
          <w:p>
            <w:pPr>
              <w:pStyle w:val="TableParagraph"/>
              <w:spacing w:before="5"/>
              <w:rPr>
                <w:b/>
                <w:sz w:val="17"/>
              </w:rPr>
            </w:pPr>
          </w:p>
          <w:p>
            <w:pPr>
              <w:pStyle w:val="TableParagraph"/>
              <w:ind w:left="106"/>
              <w:rPr>
                <w:sz w:val="22"/>
              </w:rPr>
            </w:pPr>
            <w:r>
              <w:rPr>
                <w:sz w:val="22"/>
              </w:rPr>
              <w:t>94.25</w:t>
            </w:r>
          </w:p>
        </w:tc>
        <w:tc>
          <w:tcPr>
            <w:tcW w:w="1022" w:type="dxa"/>
            <w:tcBorders>
              <w:top w:val="nil"/>
              <w:left w:val="nil"/>
              <w:bottom w:val="nil"/>
              <w:right w:val="nil"/>
            </w:tcBorders>
          </w:tcPr>
          <w:p>
            <w:pPr>
              <w:pStyle w:val="TableParagraph"/>
              <w:spacing w:before="5"/>
              <w:rPr>
                <w:b/>
                <w:sz w:val="17"/>
              </w:rPr>
            </w:pPr>
          </w:p>
          <w:p>
            <w:pPr>
              <w:pStyle w:val="TableParagraph"/>
              <w:ind w:left="128"/>
              <w:rPr>
                <w:sz w:val="22"/>
              </w:rPr>
            </w:pPr>
            <w:r>
              <w:rPr>
                <w:sz w:val="22"/>
              </w:rPr>
              <w:t>74.64</w:t>
            </w:r>
          </w:p>
        </w:tc>
        <w:tc>
          <w:tcPr>
            <w:tcW w:w="999" w:type="dxa"/>
            <w:tcBorders>
              <w:top w:val="nil"/>
              <w:left w:val="nil"/>
              <w:bottom w:val="nil"/>
              <w:right w:val="nil"/>
            </w:tcBorders>
          </w:tcPr>
          <w:p>
            <w:pPr>
              <w:pStyle w:val="TableParagraph"/>
              <w:spacing w:before="5"/>
              <w:rPr>
                <w:b/>
                <w:sz w:val="17"/>
              </w:rPr>
            </w:pPr>
          </w:p>
          <w:p>
            <w:pPr>
              <w:pStyle w:val="TableParagraph"/>
              <w:ind w:left="175"/>
              <w:rPr>
                <w:sz w:val="22"/>
              </w:rPr>
            </w:pPr>
            <w:r>
              <w:rPr>
                <w:sz w:val="22"/>
              </w:rPr>
              <w:t>91.82</w:t>
            </w:r>
          </w:p>
        </w:tc>
      </w:tr>
    </w:tbl>
    <w:p>
      <w:pPr>
        <w:pStyle w:val="BodyText"/>
        <w:rPr>
          <w:b/>
          <w:sz w:val="20"/>
        </w:rPr>
      </w:pPr>
    </w:p>
    <w:p>
      <w:pPr>
        <w:pStyle w:val="BodyText"/>
        <w:spacing w:before="6"/>
        <w:rPr>
          <w:b/>
          <w:sz w:val="13"/>
        </w:rPr>
      </w:pPr>
      <w:r>
        <w:rPr/>
        <w:pict>
          <v:group style="position:absolute;margin-left:78.734001pt;margin-top:9.754584pt;width:468.1pt;height:.5pt;mso-position-horizontal-relative:page;mso-position-vertical-relative:paragraph;z-index:1168;mso-wrap-distance-left:0;mso-wrap-distance-right:0" coordorigin="1575,195" coordsize="9362,10">
            <v:line style="position:absolute" from="1580,200" to="3142,200" stroked="true" strokeweight=".47998pt" strokecolor="#000000"/>
            <v:line style="position:absolute" from="3128,200" to="3137,200" stroked="true" strokeweight=".47998pt" strokecolor="#000000"/>
            <v:line style="position:absolute" from="3137,200" to="4398,200" stroked="true" strokeweight=".47998pt" strokecolor="#000000"/>
            <v:line style="position:absolute" from="4383,200" to="4393,200" stroked="true" strokeweight=".47998pt" strokecolor="#000000"/>
            <v:line style="position:absolute" from="4393,200" to="5672,200" stroked="true" strokeweight=".47998pt" strokecolor="#000000"/>
            <v:line style="position:absolute" from="5658,200" to="5667,200" stroked="true" strokeweight=".47998pt" strokecolor="#000000"/>
            <v:line style="position:absolute" from="5667,200" to="6807,200" stroked="true" strokeweight=".47998pt" strokecolor="#000000"/>
            <v:line style="position:absolute" from="6793,200" to="6803,200" stroked="true" strokeweight=".47998pt" strokecolor="#000000"/>
            <v:line style="position:absolute" from="6803,200" to="7957,200" stroked="true" strokeweight=".47998pt" strokecolor="#000000"/>
            <v:line style="position:absolute" from="7943,200" to="7953,200" stroked="true" strokeweight=".47998pt" strokecolor="#000000"/>
            <v:line style="position:absolute" from="7953,200" to="8934,200" stroked="true" strokeweight=".47998pt" strokecolor="#000000"/>
            <v:line style="position:absolute" from="8920,200" to="8929,200" stroked="true" strokeweight=".47998pt" strokecolor="#000000"/>
            <v:line style="position:absolute" from="8929,200" to="10003,200" stroked="true" strokeweight=".47998pt" strokecolor="#000000"/>
            <v:line style="position:absolute" from="9988,200" to="9998,200" stroked="true" strokeweight=".47998pt" strokecolor="#000000"/>
            <v:line style="position:absolute" from="9998,200" to="10932,200" stroked="true" strokeweight=".47998pt" strokecolor="#000000"/>
            <w10:wrap type="topAndBottom"/>
          </v:group>
        </w:pict>
      </w:r>
    </w:p>
    <w:p>
      <w:pPr>
        <w:pStyle w:val="BodyText"/>
        <w:rPr>
          <w:b/>
          <w:sz w:val="20"/>
        </w:rPr>
      </w:pPr>
    </w:p>
    <w:p>
      <w:pPr>
        <w:pStyle w:val="BodyText"/>
        <w:spacing w:before="7"/>
        <w:rPr>
          <w:b/>
          <w:sz w:val="28"/>
        </w:rPr>
      </w:pPr>
    </w:p>
    <w:p>
      <w:pPr>
        <w:pStyle w:val="BodyText"/>
        <w:spacing w:line="480" w:lineRule="auto" w:before="73"/>
        <w:ind w:left="242" w:right="212"/>
        <w:jc w:val="both"/>
      </w:pPr>
      <w:r>
        <w:rPr/>
        <w:t>En Metepec se favorecieron significativamente floración masculina (FM) y las materias verde y seca  de elote, tallos y hojas, así como total (MVE, MVTH, MVT, MSE, MSTH y MST). En El Cerrillo Piedras Blancas se registraron los mayores promedios en diámetro del tallo (DT) y En MVTH y  MSTH. En Mina México se observaron los mayores porcentajes de acame y en Tiacaque las plantas tuvieron mayores dimensiones, fueron más precoces y rindieron bien en MSE y MST. Las mejores localidades para la producción de MVT y MST fueron Metepec y Tiacaque. González </w:t>
      </w:r>
      <w:r>
        <w:rPr>
          <w:i/>
        </w:rPr>
        <w:t>et al</w:t>
      </w:r>
      <w:r>
        <w:rPr/>
        <w:t>. (2006), González </w:t>
      </w:r>
      <w:r>
        <w:rPr>
          <w:i/>
        </w:rPr>
        <w:t>et al</w:t>
      </w:r>
      <w:r>
        <w:rPr/>
        <w:t>. (2008), Reynoso </w:t>
      </w:r>
      <w:r>
        <w:rPr>
          <w:i/>
        </w:rPr>
        <w:t>et al</w:t>
      </w:r>
      <w:r>
        <w:rPr/>
        <w:t>. (2014) y Rodríguez </w:t>
      </w:r>
      <w:r>
        <w:rPr>
          <w:i/>
        </w:rPr>
        <w:t>et al</w:t>
      </w:r>
      <w:r>
        <w:rPr/>
        <w:t>. (2015) comentaron que la heterogeneidad que existe  entre localidades en el centro del estado de México se debe principalmente  a sus diferencias en  suelo, altitud, clima y precipitación pluvial (Cuadro</w:t>
      </w:r>
      <w:r>
        <w:rPr>
          <w:spacing w:val="-26"/>
        </w:rPr>
        <w:t> </w:t>
      </w:r>
      <w:r>
        <w:rPr/>
        <w:t>1).</w:t>
      </w:r>
    </w:p>
    <w:p>
      <w:pPr>
        <w:spacing w:after="0" w:line="480" w:lineRule="auto"/>
        <w:jc w:val="both"/>
        <w:sectPr>
          <w:pgSz w:w="12240" w:h="15840"/>
          <w:pgMar w:header="0" w:footer="1003" w:top="1500" w:bottom="1200" w:left="1460" w:right="1200"/>
        </w:sectPr>
      </w:pPr>
    </w:p>
    <w:p>
      <w:pPr>
        <w:pStyle w:val="BodyText"/>
        <w:spacing w:before="1"/>
        <w:rPr>
          <w:sz w:val="11"/>
        </w:rPr>
      </w:pPr>
    </w:p>
    <w:p>
      <w:pPr>
        <w:pStyle w:val="Heading2"/>
        <w:spacing w:line="482" w:lineRule="auto"/>
        <w:ind w:left="242" w:right="347"/>
        <w:jc w:val="left"/>
      </w:pPr>
      <w:r>
        <w:rPr/>
        <w:t>Cuadro 4. Comparación de medias para producción de forraje de maíz y variables relacionadas evaluadas en cuatro localidades del Valle  Toluca-Atlacomulco, Estado de México.</w:t>
      </w:r>
    </w:p>
    <w:p>
      <w:pPr>
        <w:pStyle w:val="BodyText"/>
        <w:spacing w:before="10"/>
        <w:rPr>
          <w:b/>
          <w:sz w:val="17"/>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9"/>
        <w:gridCol w:w="1527"/>
        <w:gridCol w:w="1522"/>
        <w:gridCol w:w="1454"/>
        <w:gridCol w:w="1433"/>
        <w:gridCol w:w="872"/>
      </w:tblGrid>
      <w:tr>
        <w:trPr>
          <w:trHeight w:val="1342" w:hRule="exact"/>
        </w:trPr>
        <w:tc>
          <w:tcPr>
            <w:tcW w:w="2529" w:type="dxa"/>
            <w:tcBorders>
              <w:left w:val="nil"/>
              <w:right w:val="nil"/>
            </w:tcBorders>
          </w:tcPr>
          <w:p>
            <w:pPr>
              <w:pStyle w:val="TableParagraph"/>
              <w:spacing w:line="252" w:lineRule="exact"/>
              <w:ind w:left="108"/>
              <w:rPr>
                <w:b/>
                <w:sz w:val="22"/>
              </w:rPr>
            </w:pPr>
            <w:r>
              <w:rPr>
                <w:b/>
                <w:sz w:val="22"/>
              </w:rPr>
              <w:t>Localidades</w:t>
            </w:r>
          </w:p>
        </w:tc>
        <w:tc>
          <w:tcPr>
            <w:tcW w:w="1527" w:type="dxa"/>
            <w:tcBorders>
              <w:left w:val="nil"/>
              <w:right w:val="nil"/>
            </w:tcBorders>
          </w:tcPr>
          <w:p>
            <w:pPr>
              <w:pStyle w:val="TableParagraph"/>
              <w:spacing w:line="631" w:lineRule="auto"/>
              <w:ind w:left="293" w:right="260" w:firstLine="24"/>
              <w:rPr>
                <w:b/>
                <w:sz w:val="22"/>
              </w:rPr>
            </w:pPr>
            <w:r>
              <w:rPr>
                <w:b/>
                <w:sz w:val="22"/>
              </w:rPr>
              <w:t>Floración masculina</w:t>
            </w:r>
          </w:p>
        </w:tc>
        <w:tc>
          <w:tcPr>
            <w:tcW w:w="1522" w:type="dxa"/>
            <w:tcBorders>
              <w:left w:val="nil"/>
              <w:right w:val="nil"/>
            </w:tcBorders>
          </w:tcPr>
          <w:p>
            <w:pPr>
              <w:pStyle w:val="TableParagraph"/>
              <w:spacing w:line="480" w:lineRule="auto"/>
              <w:ind w:left="324" w:right="194" w:firstLine="40"/>
              <w:rPr>
                <w:b/>
                <w:sz w:val="22"/>
              </w:rPr>
            </w:pPr>
            <w:r>
              <w:rPr>
                <w:b/>
                <w:sz w:val="22"/>
              </w:rPr>
              <w:t>Altura de planta (m)</w:t>
            </w:r>
          </w:p>
        </w:tc>
        <w:tc>
          <w:tcPr>
            <w:tcW w:w="1454" w:type="dxa"/>
            <w:tcBorders>
              <w:left w:val="nil"/>
              <w:right w:val="nil"/>
            </w:tcBorders>
          </w:tcPr>
          <w:p>
            <w:pPr>
              <w:pStyle w:val="TableParagraph"/>
              <w:spacing w:line="480" w:lineRule="auto"/>
              <w:ind w:left="542" w:right="118" w:hanging="272"/>
              <w:rPr>
                <w:b/>
                <w:sz w:val="22"/>
              </w:rPr>
            </w:pPr>
            <w:r>
              <w:rPr>
                <w:b/>
                <w:sz w:val="22"/>
              </w:rPr>
              <w:t>Número de hojas</w:t>
            </w:r>
          </w:p>
        </w:tc>
        <w:tc>
          <w:tcPr>
            <w:tcW w:w="1433" w:type="dxa"/>
            <w:tcBorders>
              <w:left w:val="nil"/>
              <w:right w:val="nil"/>
            </w:tcBorders>
          </w:tcPr>
          <w:p>
            <w:pPr>
              <w:pStyle w:val="TableParagraph"/>
              <w:spacing w:line="480" w:lineRule="auto"/>
              <w:ind w:left="285" w:right="98" w:hanging="137"/>
              <w:rPr>
                <w:b/>
                <w:sz w:val="22"/>
              </w:rPr>
            </w:pPr>
            <w:r>
              <w:rPr>
                <w:b/>
                <w:sz w:val="22"/>
              </w:rPr>
              <w:t>Diámetro de tallo (cm)</w:t>
            </w:r>
          </w:p>
        </w:tc>
        <w:tc>
          <w:tcPr>
            <w:tcW w:w="872" w:type="dxa"/>
            <w:tcBorders>
              <w:left w:val="nil"/>
              <w:right w:val="nil"/>
            </w:tcBorders>
          </w:tcPr>
          <w:p>
            <w:pPr>
              <w:pStyle w:val="TableParagraph"/>
              <w:spacing w:line="631" w:lineRule="auto"/>
              <w:ind w:left="255" w:right="89" w:hanging="140"/>
              <w:rPr>
                <w:b/>
                <w:sz w:val="22"/>
              </w:rPr>
            </w:pPr>
            <w:r>
              <w:rPr>
                <w:b/>
                <w:sz w:val="22"/>
              </w:rPr>
              <w:t>Acame (%)</w:t>
            </w:r>
          </w:p>
        </w:tc>
      </w:tr>
      <w:tr>
        <w:trPr>
          <w:trHeight w:val="469" w:hRule="exact"/>
        </w:trPr>
        <w:tc>
          <w:tcPr>
            <w:tcW w:w="2529" w:type="dxa"/>
            <w:tcBorders>
              <w:left w:val="nil"/>
              <w:bottom w:val="nil"/>
              <w:right w:val="nil"/>
            </w:tcBorders>
          </w:tcPr>
          <w:p>
            <w:pPr>
              <w:pStyle w:val="TableParagraph"/>
              <w:spacing w:line="247" w:lineRule="exact"/>
              <w:ind w:left="108"/>
              <w:rPr>
                <w:sz w:val="22"/>
              </w:rPr>
            </w:pPr>
            <w:r>
              <w:rPr>
                <w:sz w:val="22"/>
              </w:rPr>
              <w:t>Metepec</w:t>
            </w:r>
          </w:p>
        </w:tc>
        <w:tc>
          <w:tcPr>
            <w:tcW w:w="1527" w:type="dxa"/>
            <w:tcBorders>
              <w:left w:val="nil"/>
              <w:bottom w:val="nil"/>
              <w:right w:val="nil"/>
            </w:tcBorders>
          </w:tcPr>
          <w:p>
            <w:pPr>
              <w:pStyle w:val="TableParagraph"/>
              <w:spacing w:line="247" w:lineRule="exact"/>
              <w:ind w:left="281" w:right="260"/>
              <w:rPr>
                <w:sz w:val="22"/>
              </w:rPr>
            </w:pPr>
            <w:r>
              <w:rPr>
                <w:sz w:val="22"/>
              </w:rPr>
              <w:t>108.97a</w:t>
            </w:r>
          </w:p>
        </w:tc>
        <w:tc>
          <w:tcPr>
            <w:tcW w:w="1522" w:type="dxa"/>
            <w:tcBorders>
              <w:left w:val="nil"/>
              <w:bottom w:val="nil"/>
              <w:right w:val="nil"/>
            </w:tcBorders>
          </w:tcPr>
          <w:p>
            <w:pPr>
              <w:pStyle w:val="TableParagraph"/>
              <w:spacing w:line="247" w:lineRule="exact"/>
              <w:ind w:left="278" w:right="194"/>
              <w:rPr>
                <w:sz w:val="22"/>
              </w:rPr>
            </w:pPr>
            <w:r>
              <w:rPr>
                <w:sz w:val="22"/>
              </w:rPr>
              <w:t>2.40c</w:t>
            </w:r>
          </w:p>
        </w:tc>
        <w:tc>
          <w:tcPr>
            <w:tcW w:w="1454" w:type="dxa"/>
            <w:tcBorders>
              <w:left w:val="nil"/>
              <w:bottom w:val="nil"/>
              <w:right w:val="nil"/>
            </w:tcBorders>
          </w:tcPr>
          <w:p>
            <w:pPr>
              <w:pStyle w:val="TableParagraph"/>
              <w:spacing w:line="247" w:lineRule="exact"/>
              <w:ind w:left="213" w:right="118"/>
              <w:rPr>
                <w:sz w:val="22"/>
              </w:rPr>
            </w:pPr>
            <w:r>
              <w:rPr>
                <w:sz w:val="22"/>
              </w:rPr>
              <w:t>12.01a</w:t>
            </w:r>
          </w:p>
        </w:tc>
        <w:tc>
          <w:tcPr>
            <w:tcW w:w="1433" w:type="dxa"/>
            <w:tcBorders>
              <w:left w:val="nil"/>
              <w:bottom w:val="nil"/>
              <w:right w:val="nil"/>
            </w:tcBorders>
          </w:tcPr>
          <w:p>
            <w:pPr>
              <w:pStyle w:val="TableParagraph"/>
              <w:spacing w:line="247" w:lineRule="exact"/>
              <w:ind w:left="137" w:right="98"/>
              <w:rPr>
                <w:sz w:val="22"/>
              </w:rPr>
            </w:pPr>
            <w:r>
              <w:rPr>
                <w:sz w:val="22"/>
              </w:rPr>
              <w:t>1.87b</w:t>
            </w:r>
          </w:p>
        </w:tc>
        <w:tc>
          <w:tcPr>
            <w:tcW w:w="872" w:type="dxa"/>
            <w:tcBorders>
              <w:left w:val="nil"/>
              <w:bottom w:val="nil"/>
              <w:right w:val="nil"/>
            </w:tcBorders>
          </w:tcPr>
          <w:p>
            <w:pPr>
              <w:pStyle w:val="TableParagraph"/>
              <w:spacing w:line="247" w:lineRule="exact"/>
              <w:ind w:right="159"/>
              <w:jc w:val="right"/>
              <w:rPr>
                <w:sz w:val="22"/>
              </w:rPr>
            </w:pPr>
            <w:r>
              <w:rPr>
                <w:sz w:val="22"/>
              </w:rPr>
              <w:t>28.62a</w:t>
            </w:r>
          </w:p>
        </w:tc>
      </w:tr>
      <w:tr>
        <w:trPr>
          <w:trHeight w:val="666" w:hRule="exact"/>
        </w:trPr>
        <w:tc>
          <w:tcPr>
            <w:tcW w:w="2529" w:type="dxa"/>
            <w:tcBorders>
              <w:top w:val="nil"/>
              <w:left w:val="nil"/>
              <w:bottom w:val="nil"/>
              <w:right w:val="nil"/>
            </w:tcBorders>
          </w:tcPr>
          <w:p>
            <w:pPr>
              <w:pStyle w:val="TableParagraph"/>
              <w:spacing w:before="194"/>
              <w:ind w:left="108"/>
              <w:rPr>
                <w:sz w:val="22"/>
              </w:rPr>
            </w:pPr>
            <w:r>
              <w:rPr>
                <w:sz w:val="22"/>
              </w:rPr>
              <w:t>Cerrillo Piedras Blancas</w:t>
            </w:r>
          </w:p>
        </w:tc>
        <w:tc>
          <w:tcPr>
            <w:tcW w:w="1527" w:type="dxa"/>
            <w:tcBorders>
              <w:top w:val="nil"/>
              <w:left w:val="nil"/>
              <w:bottom w:val="nil"/>
              <w:right w:val="nil"/>
            </w:tcBorders>
          </w:tcPr>
          <w:p>
            <w:pPr>
              <w:pStyle w:val="TableParagraph"/>
              <w:spacing w:before="194"/>
              <w:ind w:left="281" w:right="260"/>
              <w:rPr>
                <w:sz w:val="22"/>
              </w:rPr>
            </w:pPr>
            <w:r>
              <w:rPr>
                <w:sz w:val="22"/>
              </w:rPr>
              <w:t>104.66b</w:t>
            </w:r>
          </w:p>
        </w:tc>
        <w:tc>
          <w:tcPr>
            <w:tcW w:w="1522" w:type="dxa"/>
            <w:tcBorders>
              <w:top w:val="nil"/>
              <w:left w:val="nil"/>
              <w:bottom w:val="nil"/>
              <w:right w:val="nil"/>
            </w:tcBorders>
          </w:tcPr>
          <w:p>
            <w:pPr>
              <w:pStyle w:val="TableParagraph"/>
              <w:spacing w:before="194"/>
              <w:ind w:left="278" w:right="194"/>
              <w:rPr>
                <w:sz w:val="22"/>
              </w:rPr>
            </w:pPr>
            <w:r>
              <w:rPr>
                <w:sz w:val="22"/>
              </w:rPr>
              <w:t>2.49b</w:t>
            </w:r>
          </w:p>
        </w:tc>
        <w:tc>
          <w:tcPr>
            <w:tcW w:w="1454" w:type="dxa"/>
            <w:tcBorders>
              <w:top w:val="nil"/>
              <w:left w:val="nil"/>
              <w:bottom w:val="nil"/>
              <w:right w:val="nil"/>
            </w:tcBorders>
          </w:tcPr>
          <w:p>
            <w:pPr>
              <w:pStyle w:val="TableParagraph"/>
              <w:spacing w:before="194"/>
              <w:ind w:left="213" w:right="118"/>
              <w:rPr>
                <w:sz w:val="22"/>
              </w:rPr>
            </w:pPr>
            <w:r>
              <w:rPr>
                <w:sz w:val="22"/>
              </w:rPr>
              <w:t>12.08a</w:t>
            </w:r>
          </w:p>
        </w:tc>
        <w:tc>
          <w:tcPr>
            <w:tcW w:w="1433" w:type="dxa"/>
            <w:tcBorders>
              <w:top w:val="nil"/>
              <w:left w:val="nil"/>
              <w:bottom w:val="nil"/>
              <w:right w:val="nil"/>
            </w:tcBorders>
          </w:tcPr>
          <w:p>
            <w:pPr>
              <w:pStyle w:val="TableParagraph"/>
              <w:spacing w:before="194"/>
              <w:ind w:left="137" w:right="98"/>
              <w:rPr>
                <w:sz w:val="22"/>
              </w:rPr>
            </w:pPr>
            <w:r>
              <w:rPr>
                <w:sz w:val="22"/>
              </w:rPr>
              <w:t>1.97a</w:t>
            </w:r>
          </w:p>
        </w:tc>
        <w:tc>
          <w:tcPr>
            <w:tcW w:w="872" w:type="dxa"/>
            <w:tcBorders>
              <w:top w:val="nil"/>
              <w:left w:val="nil"/>
              <w:bottom w:val="nil"/>
              <w:right w:val="nil"/>
            </w:tcBorders>
          </w:tcPr>
          <w:p>
            <w:pPr>
              <w:pStyle w:val="TableParagraph"/>
              <w:spacing w:before="194"/>
              <w:ind w:right="146"/>
              <w:jc w:val="right"/>
              <w:rPr>
                <w:sz w:val="22"/>
              </w:rPr>
            </w:pPr>
            <w:r>
              <w:rPr>
                <w:sz w:val="22"/>
              </w:rPr>
              <w:t>7.98b</w:t>
            </w:r>
          </w:p>
        </w:tc>
      </w:tr>
      <w:tr>
        <w:trPr>
          <w:trHeight w:val="666" w:hRule="exact"/>
        </w:trPr>
        <w:tc>
          <w:tcPr>
            <w:tcW w:w="2529" w:type="dxa"/>
            <w:tcBorders>
              <w:top w:val="nil"/>
              <w:left w:val="nil"/>
              <w:bottom w:val="nil"/>
              <w:right w:val="nil"/>
            </w:tcBorders>
          </w:tcPr>
          <w:p>
            <w:pPr>
              <w:pStyle w:val="TableParagraph"/>
              <w:spacing w:before="195"/>
              <w:ind w:left="108"/>
              <w:rPr>
                <w:sz w:val="22"/>
              </w:rPr>
            </w:pPr>
            <w:r>
              <w:rPr>
                <w:sz w:val="22"/>
              </w:rPr>
              <w:t>Mina México</w:t>
            </w:r>
          </w:p>
        </w:tc>
        <w:tc>
          <w:tcPr>
            <w:tcW w:w="1527" w:type="dxa"/>
            <w:tcBorders>
              <w:top w:val="nil"/>
              <w:left w:val="nil"/>
              <w:bottom w:val="nil"/>
              <w:right w:val="nil"/>
            </w:tcBorders>
          </w:tcPr>
          <w:p>
            <w:pPr>
              <w:pStyle w:val="TableParagraph"/>
              <w:spacing w:before="195"/>
              <w:ind w:left="281" w:right="260"/>
              <w:rPr>
                <w:sz w:val="22"/>
              </w:rPr>
            </w:pPr>
            <w:r>
              <w:rPr>
                <w:sz w:val="22"/>
              </w:rPr>
              <w:t>102.80c</w:t>
            </w:r>
          </w:p>
        </w:tc>
        <w:tc>
          <w:tcPr>
            <w:tcW w:w="1522" w:type="dxa"/>
            <w:tcBorders>
              <w:top w:val="nil"/>
              <w:left w:val="nil"/>
              <w:bottom w:val="nil"/>
              <w:right w:val="nil"/>
            </w:tcBorders>
          </w:tcPr>
          <w:p>
            <w:pPr>
              <w:pStyle w:val="TableParagraph"/>
              <w:spacing w:before="195"/>
              <w:ind w:left="278" w:right="194"/>
              <w:rPr>
                <w:sz w:val="22"/>
              </w:rPr>
            </w:pPr>
            <w:r>
              <w:rPr>
                <w:sz w:val="22"/>
              </w:rPr>
              <w:t>2.49b</w:t>
            </w:r>
          </w:p>
        </w:tc>
        <w:tc>
          <w:tcPr>
            <w:tcW w:w="1454" w:type="dxa"/>
            <w:tcBorders>
              <w:top w:val="nil"/>
              <w:left w:val="nil"/>
              <w:bottom w:val="nil"/>
              <w:right w:val="nil"/>
            </w:tcBorders>
          </w:tcPr>
          <w:p>
            <w:pPr>
              <w:pStyle w:val="TableParagraph"/>
              <w:spacing w:before="195"/>
              <w:ind w:left="213" w:right="118"/>
              <w:rPr>
                <w:sz w:val="22"/>
              </w:rPr>
            </w:pPr>
            <w:r>
              <w:rPr>
                <w:sz w:val="22"/>
              </w:rPr>
              <w:t>11.91a</w:t>
            </w:r>
          </w:p>
        </w:tc>
        <w:tc>
          <w:tcPr>
            <w:tcW w:w="1433" w:type="dxa"/>
            <w:tcBorders>
              <w:top w:val="nil"/>
              <w:left w:val="nil"/>
              <w:bottom w:val="nil"/>
              <w:right w:val="nil"/>
            </w:tcBorders>
          </w:tcPr>
          <w:p>
            <w:pPr>
              <w:pStyle w:val="TableParagraph"/>
              <w:spacing w:before="195"/>
              <w:ind w:left="137" w:right="98"/>
              <w:rPr>
                <w:sz w:val="22"/>
              </w:rPr>
            </w:pPr>
            <w:r>
              <w:rPr>
                <w:sz w:val="22"/>
              </w:rPr>
              <w:t>1.84b</w:t>
            </w:r>
          </w:p>
        </w:tc>
        <w:tc>
          <w:tcPr>
            <w:tcW w:w="872" w:type="dxa"/>
            <w:tcBorders>
              <w:top w:val="nil"/>
              <w:left w:val="nil"/>
              <w:bottom w:val="nil"/>
              <w:right w:val="nil"/>
            </w:tcBorders>
          </w:tcPr>
          <w:p>
            <w:pPr>
              <w:pStyle w:val="TableParagraph"/>
              <w:spacing w:before="195"/>
              <w:ind w:right="159"/>
              <w:jc w:val="right"/>
              <w:rPr>
                <w:sz w:val="22"/>
              </w:rPr>
            </w:pPr>
            <w:r>
              <w:rPr>
                <w:sz w:val="22"/>
              </w:rPr>
              <w:t>30.08a</w:t>
            </w:r>
          </w:p>
        </w:tc>
      </w:tr>
      <w:tr>
        <w:trPr>
          <w:trHeight w:val="443" w:hRule="exact"/>
        </w:trPr>
        <w:tc>
          <w:tcPr>
            <w:tcW w:w="2529" w:type="dxa"/>
            <w:tcBorders>
              <w:top w:val="nil"/>
              <w:left w:val="nil"/>
              <w:bottom w:val="nil"/>
              <w:right w:val="nil"/>
            </w:tcBorders>
          </w:tcPr>
          <w:p>
            <w:pPr>
              <w:pStyle w:val="TableParagraph"/>
              <w:spacing w:before="194"/>
              <w:ind w:left="108"/>
              <w:rPr>
                <w:sz w:val="22"/>
              </w:rPr>
            </w:pPr>
            <w:r>
              <w:rPr>
                <w:sz w:val="22"/>
              </w:rPr>
              <w:t>Tiacaque</w:t>
            </w:r>
          </w:p>
        </w:tc>
        <w:tc>
          <w:tcPr>
            <w:tcW w:w="1527" w:type="dxa"/>
            <w:tcBorders>
              <w:top w:val="nil"/>
              <w:left w:val="nil"/>
              <w:bottom w:val="nil"/>
              <w:right w:val="nil"/>
            </w:tcBorders>
          </w:tcPr>
          <w:p>
            <w:pPr>
              <w:pStyle w:val="TableParagraph"/>
              <w:spacing w:before="194"/>
              <w:ind w:left="337" w:right="260"/>
              <w:rPr>
                <w:sz w:val="22"/>
              </w:rPr>
            </w:pPr>
            <w:r>
              <w:rPr>
                <w:sz w:val="22"/>
              </w:rPr>
              <w:t>94.68d</w:t>
            </w:r>
          </w:p>
        </w:tc>
        <w:tc>
          <w:tcPr>
            <w:tcW w:w="1522" w:type="dxa"/>
            <w:tcBorders>
              <w:top w:val="nil"/>
              <w:left w:val="nil"/>
              <w:bottom w:val="nil"/>
              <w:right w:val="nil"/>
            </w:tcBorders>
          </w:tcPr>
          <w:p>
            <w:pPr>
              <w:pStyle w:val="TableParagraph"/>
              <w:spacing w:before="194"/>
              <w:ind w:left="278" w:right="194"/>
              <w:rPr>
                <w:sz w:val="22"/>
              </w:rPr>
            </w:pPr>
            <w:r>
              <w:rPr>
                <w:sz w:val="22"/>
              </w:rPr>
              <w:t>2.64a</w:t>
            </w:r>
          </w:p>
        </w:tc>
        <w:tc>
          <w:tcPr>
            <w:tcW w:w="1454" w:type="dxa"/>
            <w:tcBorders>
              <w:top w:val="nil"/>
              <w:left w:val="nil"/>
              <w:bottom w:val="nil"/>
              <w:right w:val="nil"/>
            </w:tcBorders>
          </w:tcPr>
          <w:p>
            <w:pPr>
              <w:pStyle w:val="TableParagraph"/>
              <w:spacing w:before="194"/>
              <w:ind w:left="213" w:right="118"/>
              <w:rPr>
                <w:sz w:val="22"/>
              </w:rPr>
            </w:pPr>
            <w:r>
              <w:rPr>
                <w:sz w:val="22"/>
              </w:rPr>
              <w:t>12.22a</w:t>
            </w:r>
          </w:p>
        </w:tc>
        <w:tc>
          <w:tcPr>
            <w:tcW w:w="1433" w:type="dxa"/>
            <w:tcBorders>
              <w:top w:val="nil"/>
              <w:left w:val="nil"/>
              <w:bottom w:val="nil"/>
              <w:right w:val="nil"/>
            </w:tcBorders>
          </w:tcPr>
          <w:p>
            <w:pPr>
              <w:pStyle w:val="TableParagraph"/>
              <w:spacing w:before="194"/>
              <w:ind w:left="137" w:right="98"/>
              <w:rPr>
                <w:sz w:val="22"/>
              </w:rPr>
            </w:pPr>
            <w:r>
              <w:rPr>
                <w:sz w:val="22"/>
              </w:rPr>
              <w:t>1.91ab</w:t>
            </w:r>
          </w:p>
        </w:tc>
        <w:tc>
          <w:tcPr>
            <w:tcW w:w="872" w:type="dxa"/>
            <w:tcBorders>
              <w:top w:val="nil"/>
              <w:left w:val="nil"/>
              <w:bottom w:val="nil"/>
              <w:right w:val="nil"/>
            </w:tcBorders>
          </w:tcPr>
          <w:p>
            <w:pPr>
              <w:pStyle w:val="TableParagraph"/>
              <w:spacing w:before="194"/>
              <w:ind w:right="159"/>
              <w:jc w:val="right"/>
              <w:rPr>
                <w:sz w:val="22"/>
              </w:rPr>
            </w:pPr>
            <w:r>
              <w:rPr>
                <w:sz w:val="22"/>
              </w:rPr>
              <w:t>29.97a</w:t>
            </w:r>
          </w:p>
        </w:tc>
      </w:tr>
    </w:tbl>
    <w:p>
      <w:pPr>
        <w:pStyle w:val="BodyText"/>
        <w:rPr>
          <w:b/>
          <w:sz w:val="20"/>
        </w:rPr>
      </w:pPr>
    </w:p>
    <w:p>
      <w:pPr>
        <w:pStyle w:val="BodyText"/>
        <w:spacing w:before="6"/>
        <w:rPr>
          <w:b/>
          <w:sz w:val="13"/>
        </w:rPr>
      </w:pPr>
      <w:r>
        <w:rPr/>
        <w:pict>
          <v:group style="position:absolute;margin-left:78.734001pt;margin-top:9.73457pt;width:468.1pt;height:.5pt;mso-position-horizontal-relative:page;mso-position-vertical-relative:paragraph;z-index:1192;mso-wrap-distance-left:0;mso-wrap-distance-right:0" coordorigin="1575,195" coordsize="9362,10">
            <v:line style="position:absolute" from="1580,200" to="4133,200" stroked="true" strokeweight=".48001pt" strokecolor="#000000"/>
            <v:line style="position:absolute" from="4119,200" to="4128,200" stroked="true" strokeweight=".48001pt" strokecolor="#000000"/>
            <v:line style="position:absolute" from="4128,200" to="5655,200" stroked="true" strokeweight=".48001pt" strokecolor="#000000"/>
            <v:line style="position:absolute" from="5641,200" to="5651,200" stroked="true" strokeweight=".48001pt" strokecolor="#000000"/>
            <v:line style="position:absolute" from="5651,200" to="7278,200" stroked="true" strokeweight=".48001pt" strokecolor="#000000"/>
            <v:line style="position:absolute" from="7264,200" to="7273,200" stroked="true" strokeweight=".48001pt" strokecolor="#000000"/>
            <v:line style="position:absolute" from="7273,200" to="8656,200" stroked="true" strokeweight=".48001pt" strokecolor="#000000"/>
            <v:line style="position:absolute" from="8641,200" to="8651,200" stroked="true" strokeweight=".48001pt" strokecolor="#000000"/>
            <v:line style="position:absolute" from="8651,200" to="10067,200" stroked="true" strokeweight=".48001pt" strokecolor="#000000"/>
            <v:line style="position:absolute" from="10053,200" to="10063,200" stroked="true" strokeweight=".48001pt" strokecolor="#000000"/>
            <v:line style="position:absolute" from="10063,200" to="10932,200" stroked="true" strokeweight=".48001pt" strokecolor="#000000"/>
            <w10:wrap type="topAndBottom"/>
          </v:group>
        </w:pict>
      </w:r>
    </w:p>
    <w:p>
      <w:pPr>
        <w:pStyle w:val="BodyText"/>
        <w:spacing w:line="220" w:lineRule="exact"/>
        <w:ind w:left="242" w:right="474"/>
      </w:pPr>
      <w:r>
        <w:rPr/>
        <w:t>Medias con la misma letra no son significativamente diferentes (Tukey, p=0.01).</w:t>
      </w:r>
    </w:p>
    <w:p>
      <w:pPr>
        <w:pStyle w:val="BodyText"/>
      </w:pPr>
    </w:p>
    <w:p>
      <w:pPr>
        <w:pStyle w:val="BodyText"/>
        <w:spacing w:before="6"/>
        <w:rPr>
          <w:sz w:val="17"/>
        </w:rPr>
      </w:pPr>
    </w:p>
    <w:p>
      <w:pPr>
        <w:pStyle w:val="Heading2"/>
        <w:spacing w:before="0"/>
        <w:ind w:left="242" w:right="474"/>
        <w:jc w:val="left"/>
      </w:pPr>
      <w:r>
        <w:rPr/>
        <w:t>Continuación del Cuadro 4.</w:t>
      </w:r>
    </w:p>
    <w:p>
      <w:pPr>
        <w:pStyle w:val="BodyText"/>
        <w:rPr>
          <w:b/>
          <w:sz w:val="20"/>
        </w:rPr>
      </w:pPr>
    </w:p>
    <w:p>
      <w:pPr>
        <w:pStyle w:val="BodyText"/>
        <w:spacing w:before="2"/>
        <w:rPr>
          <w:b/>
          <w:sz w:val="16"/>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7"/>
        <w:gridCol w:w="1176"/>
        <w:gridCol w:w="1180"/>
        <w:gridCol w:w="1114"/>
        <w:gridCol w:w="1114"/>
        <w:gridCol w:w="1001"/>
        <w:gridCol w:w="1306"/>
      </w:tblGrid>
      <w:tr>
        <w:trPr>
          <w:trHeight w:val="1342" w:hRule="exact"/>
        </w:trPr>
        <w:tc>
          <w:tcPr>
            <w:tcW w:w="2447" w:type="dxa"/>
            <w:tcBorders>
              <w:left w:val="nil"/>
              <w:right w:val="nil"/>
            </w:tcBorders>
          </w:tcPr>
          <w:p>
            <w:pPr>
              <w:pStyle w:val="TableParagraph"/>
              <w:spacing w:line="252" w:lineRule="exact"/>
              <w:ind w:left="108"/>
              <w:rPr>
                <w:b/>
                <w:sz w:val="22"/>
              </w:rPr>
            </w:pPr>
            <w:r>
              <w:rPr>
                <w:b/>
                <w:sz w:val="22"/>
              </w:rPr>
              <w:t>Localidades</w:t>
            </w:r>
          </w:p>
        </w:tc>
        <w:tc>
          <w:tcPr>
            <w:tcW w:w="1176" w:type="dxa"/>
            <w:tcBorders>
              <w:left w:val="nil"/>
              <w:right w:val="nil"/>
            </w:tcBorders>
          </w:tcPr>
          <w:p>
            <w:pPr>
              <w:pStyle w:val="TableParagraph"/>
              <w:spacing w:line="252" w:lineRule="exact"/>
              <w:ind w:left="200"/>
              <w:rPr>
                <w:b/>
                <w:sz w:val="22"/>
              </w:rPr>
            </w:pPr>
            <w:r>
              <w:rPr>
                <w:b/>
                <w:sz w:val="22"/>
              </w:rPr>
              <w:t>MVTH</w:t>
            </w:r>
          </w:p>
          <w:p>
            <w:pPr>
              <w:pStyle w:val="TableParagraph"/>
              <w:rPr>
                <w:b/>
                <w:sz w:val="22"/>
              </w:rPr>
            </w:pPr>
          </w:p>
          <w:p>
            <w:pPr>
              <w:pStyle w:val="TableParagraph"/>
              <w:spacing w:before="153"/>
              <w:ind w:left="200"/>
              <w:rPr>
                <w:b/>
                <w:sz w:val="22"/>
              </w:rPr>
            </w:pPr>
            <w:r>
              <w:rPr>
                <w:b/>
                <w:sz w:val="22"/>
              </w:rPr>
              <w:t>(t ha</w:t>
            </w:r>
            <w:r>
              <w:rPr>
                <w:b/>
                <w:position w:val="8"/>
                <w:sz w:val="14"/>
              </w:rPr>
              <w:t>-1</w:t>
            </w:r>
            <w:r>
              <w:rPr>
                <w:b/>
                <w:sz w:val="22"/>
              </w:rPr>
              <w:t>)</w:t>
            </w:r>
          </w:p>
        </w:tc>
        <w:tc>
          <w:tcPr>
            <w:tcW w:w="1180" w:type="dxa"/>
            <w:tcBorders>
              <w:left w:val="nil"/>
              <w:right w:val="nil"/>
            </w:tcBorders>
          </w:tcPr>
          <w:p>
            <w:pPr>
              <w:pStyle w:val="TableParagraph"/>
              <w:spacing w:line="252" w:lineRule="exact"/>
              <w:ind w:left="270"/>
              <w:rPr>
                <w:b/>
                <w:sz w:val="22"/>
              </w:rPr>
            </w:pPr>
            <w:r>
              <w:rPr>
                <w:b/>
                <w:sz w:val="22"/>
              </w:rPr>
              <w:t>MVE</w:t>
            </w:r>
          </w:p>
          <w:p>
            <w:pPr>
              <w:pStyle w:val="TableParagraph"/>
              <w:rPr>
                <w:b/>
                <w:sz w:val="22"/>
              </w:rPr>
            </w:pPr>
          </w:p>
          <w:p>
            <w:pPr>
              <w:pStyle w:val="TableParagraph"/>
              <w:spacing w:before="153"/>
              <w:ind w:left="270"/>
              <w:rPr>
                <w:b/>
                <w:sz w:val="22"/>
              </w:rPr>
            </w:pPr>
            <w:r>
              <w:rPr>
                <w:b/>
                <w:sz w:val="22"/>
              </w:rPr>
              <w:t>(t ha</w:t>
            </w:r>
            <w:r>
              <w:rPr>
                <w:b/>
                <w:position w:val="8"/>
                <w:sz w:val="14"/>
              </w:rPr>
              <w:t>-1</w:t>
            </w:r>
            <w:r>
              <w:rPr>
                <w:b/>
                <w:sz w:val="22"/>
              </w:rPr>
              <w:t>)</w:t>
            </w:r>
          </w:p>
        </w:tc>
        <w:tc>
          <w:tcPr>
            <w:tcW w:w="1114" w:type="dxa"/>
            <w:tcBorders>
              <w:left w:val="nil"/>
              <w:right w:val="nil"/>
            </w:tcBorders>
          </w:tcPr>
          <w:p>
            <w:pPr>
              <w:pStyle w:val="TableParagraph"/>
              <w:spacing w:line="252" w:lineRule="exact"/>
              <w:ind w:left="204"/>
              <w:rPr>
                <w:b/>
                <w:sz w:val="22"/>
              </w:rPr>
            </w:pPr>
            <w:r>
              <w:rPr>
                <w:b/>
                <w:sz w:val="22"/>
              </w:rPr>
              <w:t>MVT</w:t>
            </w:r>
          </w:p>
          <w:p>
            <w:pPr>
              <w:pStyle w:val="TableParagraph"/>
              <w:rPr>
                <w:b/>
                <w:sz w:val="22"/>
              </w:rPr>
            </w:pPr>
          </w:p>
          <w:p>
            <w:pPr>
              <w:pStyle w:val="TableParagraph"/>
              <w:spacing w:before="153"/>
              <w:ind w:left="204"/>
              <w:rPr>
                <w:b/>
                <w:sz w:val="22"/>
              </w:rPr>
            </w:pPr>
            <w:r>
              <w:rPr>
                <w:b/>
                <w:sz w:val="22"/>
              </w:rPr>
              <w:t>(t ha</w:t>
            </w:r>
            <w:r>
              <w:rPr>
                <w:b/>
                <w:position w:val="8"/>
                <w:sz w:val="14"/>
              </w:rPr>
              <w:t>-1</w:t>
            </w:r>
            <w:r>
              <w:rPr>
                <w:b/>
                <w:sz w:val="22"/>
              </w:rPr>
              <w:t>)</w:t>
            </w:r>
          </w:p>
        </w:tc>
        <w:tc>
          <w:tcPr>
            <w:tcW w:w="1114" w:type="dxa"/>
            <w:tcBorders>
              <w:left w:val="nil"/>
              <w:right w:val="nil"/>
            </w:tcBorders>
          </w:tcPr>
          <w:p>
            <w:pPr>
              <w:pStyle w:val="TableParagraph"/>
              <w:spacing w:line="252" w:lineRule="exact"/>
              <w:ind w:left="204"/>
              <w:rPr>
                <w:b/>
                <w:sz w:val="22"/>
              </w:rPr>
            </w:pPr>
            <w:r>
              <w:rPr>
                <w:b/>
                <w:sz w:val="22"/>
              </w:rPr>
              <w:t>MSTH</w:t>
            </w:r>
          </w:p>
          <w:p>
            <w:pPr>
              <w:pStyle w:val="TableParagraph"/>
              <w:rPr>
                <w:b/>
                <w:sz w:val="22"/>
              </w:rPr>
            </w:pPr>
          </w:p>
          <w:p>
            <w:pPr>
              <w:pStyle w:val="TableParagraph"/>
              <w:spacing w:before="153"/>
              <w:ind w:left="204"/>
              <w:rPr>
                <w:b/>
                <w:sz w:val="22"/>
              </w:rPr>
            </w:pPr>
            <w:r>
              <w:rPr>
                <w:b/>
                <w:sz w:val="22"/>
              </w:rPr>
              <w:t>(t ha</w:t>
            </w:r>
            <w:r>
              <w:rPr>
                <w:b/>
                <w:position w:val="8"/>
                <w:sz w:val="14"/>
              </w:rPr>
              <w:t>-1</w:t>
            </w:r>
            <w:r>
              <w:rPr>
                <w:b/>
                <w:sz w:val="22"/>
              </w:rPr>
              <w:t>)</w:t>
            </w:r>
          </w:p>
        </w:tc>
        <w:tc>
          <w:tcPr>
            <w:tcW w:w="1001" w:type="dxa"/>
            <w:tcBorders>
              <w:left w:val="nil"/>
              <w:right w:val="nil"/>
            </w:tcBorders>
          </w:tcPr>
          <w:p>
            <w:pPr>
              <w:pStyle w:val="TableParagraph"/>
              <w:spacing w:line="252" w:lineRule="exact"/>
              <w:ind w:left="204"/>
              <w:rPr>
                <w:b/>
                <w:sz w:val="22"/>
              </w:rPr>
            </w:pPr>
            <w:r>
              <w:rPr>
                <w:b/>
                <w:sz w:val="22"/>
              </w:rPr>
              <w:t>MSE</w:t>
            </w:r>
          </w:p>
          <w:p>
            <w:pPr>
              <w:pStyle w:val="TableParagraph"/>
              <w:rPr>
                <w:b/>
                <w:sz w:val="22"/>
              </w:rPr>
            </w:pPr>
          </w:p>
          <w:p>
            <w:pPr>
              <w:pStyle w:val="TableParagraph"/>
              <w:spacing w:before="153"/>
              <w:ind w:left="204"/>
              <w:rPr>
                <w:b/>
                <w:sz w:val="22"/>
              </w:rPr>
            </w:pPr>
            <w:r>
              <w:rPr>
                <w:b/>
                <w:sz w:val="22"/>
              </w:rPr>
              <w:t>(t ha</w:t>
            </w:r>
            <w:r>
              <w:rPr>
                <w:b/>
                <w:position w:val="8"/>
                <w:sz w:val="14"/>
              </w:rPr>
              <w:t>-1</w:t>
            </w:r>
            <w:r>
              <w:rPr>
                <w:b/>
                <w:sz w:val="22"/>
              </w:rPr>
              <w:t>)</w:t>
            </w:r>
          </w:p>
        </w:tc>
        <w:tc>
          <w:tcPr>
            <w:tcW w:w="1306" w:type="dxa"/>
            <w:tcBorders>
              <w:left w:val="nil"/>
              <w:right w:val="nil"/>
            </w:tcBorders>
          </w:tcPr>
          <w:p>
            <w:pPr>
              <w:pStyle w:val="TableParagraph"/>
              <w:spacing w:line="252" w:lineRule="exact"/>
              <w:ind w:left="171"/>
              <w:rPr>
                <w:b/>
                <w:sz w:val="22"/>
              </w:rPr>
            </w:pPr>
            <w:r>
              <w:rPr>
                <w:b/>
                <w:sz w:val="22"/>
              </w:rPr>
              <w:t>MST</w:t>
            </w:r>
          </w:p>
          <w:p>
            <w:pPr>
              <w:pStyle w:val="TableParagraph"/>
              <w:rPr>
                <w:b/>
                <w:sz w:val="22"/>
              </w:rPr>
            </w:pPr>
          </w:p>
          <w:p>
            <w:pPr>
              <w:pStyle w:val="TableParagraph"/>
              <w:spacing w:before="153"/>
              <w:ind w:left="171"/>
              <w:rPr>
                <w:b/>
                <w:sz w:val="22"/>
              </w:rPr>
            </w:pPr>
            <w:r>
              <w:rPr>
                <w:b/>
                <w:sz w:val="22"/>
              </w:rPr>
              <w:t>(t ha</w:t>
            </w:r>
            <w:r>
              <w:rPr>
                <w:b/>
                <w:position w:val="8"/>
                <w:sz w:val="14"/>
              </w:rPr>
              <w:t>-1</w:t>
            </w:r>
            <w:r>
              <w:rPr>
                <w:b/>
                <w:sz w:val="22"/>
              </w:rPr>
              <w:t>)</w:t>
            </w:r>
          </w:p>
        </w:tc>
      </w:tr>
      <w:tr>
        <w:trPr>
          <w:trHeight w:val="470" w:hRule="exact"/>
        </w:trPr>
        <w:tc>
          <w:tcPr>
            <w:tcW w:w="2447" w:type="dxa"/>
            <w:tcBorders>
              <w:left w:val="nil"/>
              <w:bottom w:val="nil"/>
              <w:right w:val="nil"/>
            </w:tcBorders>
          </w:tcPr>
          <w:p>
            <w:pPr>
              <w:pStyle w:val="TableParagraph"/>
              <w:spacing w:line="247" w:lineRule="exact"/>
              <w:ind w:left="108"/>
              <w:rPr>
                <w:sz w:val="22"/>
              </w:rPr>
            </w:pPr>
            <w:r>
              <w:rPr>
                <w:sz w:val="22"/>
              </w:rPr>
              <w:t>Metepec</w:t>
            </w:r>
          </w:p>
        </w:tc>
        <w:tc>
          <w:tcPr>
            <w:tcW w:w="1176" w:type="dxa"/>
            <w:tcBorders>
              <w:left w:val="nil"/>
              <w:bottom w:val="nil"/>
              <w:right w:val="nil"/>
            </w:tcBorders>
          </w:tcPr>
          <w:p>
            <w:pPr>
              <w:pStyle w:val="TableParagraph"/>
              <w:spacing w:line="247" w:lineRule="exact"/>
              <w:ind w:left="200"/>
              <w:rPr>
                <w:sz w:val="22"/>
              </w:rPr>
            </w:pPr>
            <w:r>
              <w:rPr>
                <w:sz w:val="22"/>
              </w:rPr>
              <w:t>63.60a</w:t>
            </w:r>
          </w:p>
        </w:tc>
        <w:tc>
          <w:tcPr>
            <w:tcW w:w="1180" w:type="dxa"/>
            <w:tcBorders>
              <w:left w:val="nil"/>
              <w:bottom w:val="nil"/>
              <w:right w:val="nil"/>
            </w:tcBorders>
          </w:tcPr>
          <w:p>
            <w:pPr>
              <w:pStyle w:val="TableParagraph"/>
              <w:spacing w:line="247" w:lineRule="exact"/>
              <w:ind w:left="270"/>
              <w:rPr>
                <w:sz w:val="22"/>
              </w:rPr>
            </w:pPr>
            <w:r>
              <w:rPr>
                <w:sz w:val="22"/>
              </w:rPr>
              <w:t>28.59a</w:t>
            </w:r>
          </w:p>
        </w:tc>
        <w:tc>
          <w:tcPr>
            <w:tcW w:w="1114" w:type="dxa"/>
            <w:tcBorders>
              <w:left w:val="nil"/>
              <w:bottom w:val="nil"/>
              <w:right w:val="nil"/>
            </w:tcBorders>
          </w:tcPr>
          <w:p>
            <w:pPr>
              <w:pStyle w:val="TableParagraph"/>
              <w:spacing w:line="247" w:lineRule="exact"/>
              <w:ind w:left="77" w:right="185"/>
              <w:jc w:val="center"/>
              <w:rPr>
                <w:sz w:val="22"/>
              </w:rPr>
            </w:pPr>
            <w:r>
              <w:rPr>
                <w:sz w:val="22"/>
              </w:rPr>
              <w:t>92.18a</w:t>
            </w:r>
          </w:p>
        </w:tc>
        <w:tc>
          <w:tcPr>
            <w:tcW w:w="1114" w:type="dxa"/>
            <w:tcBorders>
              <w:left w:val="nil"/>
              <w:bottom w:val="nil"/>
              <w:right w:val="nil"/>
            </w:tcBorders>
          </w:tcPr>
          <w:p>
            <w:pPr>
              <w:pStyle w:val="TableParagraph"/>
              <w:spacing w:line="247" w:lineRule="exact"/>
              <w:ind w:left="204"/>
              <w:rPr>
                <w:sz w:val="22"/>
              </w:rPr>
            </w:pPr>
            <w:r>
              <w:rPr>
                <w:sz w:val="22"/>
              </w:rPr>
              <w:t>11.87a</w:t>
            </w:r>
          </w:p>
        </w:tc>
        <w:tc>
          <w:tcPr>
            <w:tcW w:w="1001" w:type="dxa"/>
            <w:tcBorders>
              <w:left w:val="nil"/>
              <w:bottom w:val="nil"/>
              <w:right w:val="nil"/>
            </w:tcBorders>
          </w:tcPr>
          <w:p>
            <w:pPr>
              <w:pStyle w:val="TableParagraph"/>
              <w:spacing w:line="247" w:lineRule="exact"/>
              <w:ind w:left="204"/>
              <w:rPr>
                <w:sz w:val="22"/>
              </w:rPr>
            </w:pPr>
            <w:r>
              <w:rPr>
                <w:sz w:val="22"/>
              </w:rPr>
              <w:t>7.28a</w:t>
            </w:r>
          </w:p>
        </w:tc>
        <w:tc>
          <w:tcPr>
            <w:tcW w:w="1306" w:type="dxa"/>
            <w:tcBorders>
              <w:left w:val="nil"/>
              <w:bottom w:val="nil"/>
              <w:right w:val="nil"/>
            </w:tcBorders>
          </w:tcPr>
          <w:p>
            <w:pPr>
              <w:pStyle w:val="TableParagraph"/>
              <w:spacing w:line="247" w:lineRule="exact"/>
              <w:ind w:left="171"/>
              <w:rPr>
                <w:sz w:val="22"/>
              </w:rPr>
            </w:pPr>
            <w:r>
              <w:rPr>
                <w:sz w:val="22"/>
              </w:rPr>
              <w:t>19.06a</w:t>
            </w:r>
          </w:p>
        </w:tc>
      </w:tr>
      <w:tr>
        <w:trPr>
          <w:trHeight w:val="666" w:hRule="exact"/>
        </w:trPr>
        <w:tc>
          <w:tcPr>
            <w:tcW w:w="2447" w:type="dxa"/>
            <w:tcBorders>
              <w:top w:val="nil"/>
              <w:left w:val="nil"/>
              <w:bottom w:val="nil"/>
              <w:right w:val="nil"/>
            </w:tcBorders>
          </w:tcPr>
          <w:p>
            <w:pPr>
              <w:pStyle w:val="TableParagraph"/>
              <w:spacing w:before="195"/>
              <w:ind w:left="108"/>
              <w:rPr>
                <w:sz w:val="22"/>
              </w:rPr>
            </w:pPr>
            <w:r>
              <w:rPr>
                <w:sz w:val="22"/>
              </w:rPr>
              <w:t>Cerrillo Piedras Blancas</w:t>
            </w:r>
          </w:p>
        </w:tc>
        <w:tc>
          <w:tcPr>
            <w:tcW w:w="1176" w:type="dxa"/>
            <w:tcBorders>
              <w:top w:val="nil"/>
              <w:left w:val="nil"/>
              <w:bottom w:val="nil"/>
              <w:right w:val="nil"/>
            </w:tcBorders>
          </w:tcPr>
          <w:p>
            <w:pPr>
              <w:pStyle w:val="TableParagraph"/>
              <w:spacing w:before="195"/>
              <w:ind w:left="200"/>
              <w:rPr>
                <w:sz w:val="22"/>
              </w:rPr>
            </w:pPr>
            <w:r>
              <w:rPr>
                <w:sz w:val="22"/>
              </w:rPr>
              <w:t>64.17a</w:t>
            </w:r>
          </w:p>
        </w:tc>
        <w:tc>
          <w:tcPr>
            <w:tcW w:w="1180" w:type="dxa"/>
            <w:tcBorders>
              <w:top w:val="nil"/>
              <w:left w:val="nil"/>
              <w:bottom w:val="nil"/>
              <w:right w:val="nil"/>
            </w:tcBorders>
          </w:tcPr>
          <w:p>
            <w:pPr>
              <w:pStyle w:val="TableParagraph"/>
              <w:spacing w:before="195"/>
              <w:ind w:left="270"/>
              <w:rPr>
                <w:sz w:val="22"/>
              </w:rPr>
            </w:pPr>
            <w:r>
              <w:rPr>
                <w:sz w:val="22"/>
              </w:rPr>
              <w:t>24.72c</w:t>
            </w:r>
          </w:p>
        </w:tc>
        <w:tc>
          <w:tcPr>
            <w:tcW w:w="1114" w:type="dxa"/>
            <w:tcBorders>
              <w:top w:val="nil"/>
              <w:left w:val="nil"/>
              <w:bottom w:val="nil"/>
              <w:right w:val="nil"/>
            </w:tcBorders>
          </w:tcPr>
          <w:p>
            <w:pPr>
              <w:pStyle w:val="TableParagraph"/>
              <w:spacing w:before="195"/>
              <w:ind w:left="185" w:right="185"/>
              <w:jc w:val="center"/>
              <w:rPr>
                <w:sz w:val="22"/>
              </w:rPr>
            </w:pPr>
            <w:r>
              <w:rPr>
                <w:sz w:val="22"/>
              </w:rPr>
              <w:t>88.88ab</w:t>
            </w:r>
          </w:p>
        </w:tc>
        <w:tc>
          <w:tcPr>
            <w:tcW w:w="1114" w:type="dxa"/>
            <w:tcBorders>
              <w:top w:val="nil"/>
              <w:left w:val="nil"/>
              <w:bottom w:val="nil"/>
              <w:right w:val="nil"/>
            </w:tcBorders>
          </w:tcPr>
          <w:p>
            <w:pPr>
              <w:pStyle w:val="TableParagraph"/>
              <w:spacing w:before="195"/>
              <w:ind w:left="204"/>
              <w:rPr>
                <w:sz w:val="22"/>
              </w:rPr>
            </w:pPr>
            <w:r>
              <w:rPr>
                <w:sz w:val="22"/>
              </w:rPr>
              <w:t>12.08a</w:t>
            </w:r>
          </w:p>
        </w:tc>
        <w:tc>
          <w:tcPr>
            <w:tcW w:w="1001" w:type="dxa"/>
            <w:tcBorders>
              <w:top w:val="nil"/>
              <w:left w:val="nil"/>
              <w:bottom w:val="nil"/>
              <w:right w:val="nil"/>
            </w:tcBorders>
          </w:tcPr>
          <w:p>
            <w:pPr>
              <w:pStyle w:val="TableParagraph"/>
              <w:spacing w:before="195"/>
              <w:ind w:left="204"/>
              <w:rPr>
                <w:sz w:val="22"/>
              </w:rPr>
            </w:pPr>
            <w:r>
              <w:rPr>
                <w:sz w:val="22"/>
              </w:rPr>
              <w:t>6.23c</w:t>
            </w:r>
          </w:p>
        </w:tc>
        <w:tc>
          <w:tcPr>
            <w:tcW w:w="1306" w:type="dxa"/>
            <w:tcBorders>
              <w:top w:val="nil"/>
              <w:left w:val="nil"/>
              <w:bottom w:val="nil"/>
              <w:right w:val="nil"/>
            </w:tcBorders>
          </w:tcPr>
          <w:p>
            <w:pPr>
              <w:pStyle w:val="TableParagraph"/>
              <w:spacing w:before="195"/>
              <w:ind w:left="171"/>
              <w:rPr>
                <w:sz w:val="22"/>
              </w:rPr>
            </w:pPr>
            <w:r>
              <w:rPr>
                <w:sz w:val="22"/>
              </w:rPr>
              <w:t>18.31ab</w:t>
            </w:r>
          </w:p>
        </w:tc>
      </w:tr>
      <w:tr>
        <w:trPr>
          <w:trHeight w:val="665" w:hRule="exact"/>
        </w:trPr>
        <w:tc>
          <w:tcPr>
            <w:tcW w:w="2447" w:type="dxa"/>
            <w:tcBorders>
              <w:top w:val="nil"/>
              <w:left w:val="nil"/>
              <w:bottom w:val="nil"/>
              <w:right w:val="nil"/>
            </w:tcBorders>
          </w:tcPr>
          <w:p>
            <w:pPr>
              <w:pStyle w:val="TableParagraph"/>
              <w:spacing w:before="194"/>
              <w:ind w:left="108"/>
              <w:rPr>
                <w:sz w:val="22"/>
              </w:rPr>
            </w:pPr>
            <w:r>
              <w:rPr>
                <w:sz w:val="22"/>
              </w:rPr>
              <w:t>Mina México</w:t>
            </w:r>
          </w:p>
        </w:tc>
        <w:tc>
          <w:tcPr>
            <w:tcW w:w="1176" w:type="dxa"/>
            <w:tcBorders>
              <w:top w:val="nil"/>
              <w:left w:val="nil"/>
              <w:bottom w:val="nil"/>
              <w:right w:val="nil"/>
            </w:tcBorders>
          </w:tcPr>
          <w:p>
            <w:pPr>
              <w:pStyle w:val="TableParagraph"/>
              <w:spacing w:before="194"/>
              <w:ind w:left="200"/>
              <w:rPr>
                <w:sz w:val="22"/>
              </w:rPr>
            </w:pPr>
            <w:r>
              <w:rPr>
                <w:sz w:val="22"/>
              </w:rPr>
              <w:t>60.08b</w:t>
            </w:r>
          </w:p>
        </w:tc>
        <w:tc>
          <w:tcPr>
            <w:tcW w:w="1180" w:type="dxa"/>
            <w:tcBorders>
              <w:top w:val="nil"/>
              <w:left w:val="nil"/>
              <w:bottom w:val="nil"/>
              <w:right w:val="nil"/>
            </w:tcBorders>
          </w:tcPr>
          <w:p>
            <w:pPr>
              <w:pStyle w:val="TableParagraph"/>
              <w:spacing w:before="194"/>
              <w:ind w:left="270"/>
              <w:rPr>
                <w:sz w:val="22"/>
              </w:rPr>
            </w:pPr>
            <w:r>
              <w:rPr>
                <w:sz w:val="22"/>
              </w:rPr>
              <w:t>26.05bc</w:t>
            </w:r>
          </w:p>
        </w:tc>
        <w:tc>
          <w:tcPr>
            <w:tcW w:w="1114" w:type="dxa"/>
            <w:tcBorders>
              <w:top w:val="nil"/>
              <w:left w:val="nil"/>
              <w:bottom w:val="nil"/>
              <w:right w:val="nil"/>
            </w:tcBorders>
          </w:tcPr>
          <w:p>
            <w:pPr>
              <w:pStyle w:val="TableParagraph"/>
              <w:spacing w:before="194"/>
              <w:ind w:left="89" w:right="185"/>
              <w:jc w:val="center"/>
              <w:rPr>
                <w:sz w:val="22"/>
              </w:rPr>
            </w:pPr>
            <w:r>
              <w:rPr>
                <w:sz w:val="22"/>
              </w:rPr>
              <w:t>86.07b</w:t>
            </w:r>
          </w:p>
        </w:tc>
        <w:tc>
          <w:tcPr>
            <w:tcW w:w="1114" w:type="dxa"/>
            <w:tcBorders>
              <w:top w:val="nil"/>
              <w:left w:val="nil"/>
              <w:bottom w:val="nil"/>
              <w:right w:val="nil"/>
            </w:tcBorders>
          </w:tcPr>
          <w:p>
            <w:pPr>
              <w:pStyle w:val="TableParagraph"/>
              <w:spacing w:before="194"/>
              <w:ind w:left="204"/>
              <w:rPr>
                <w:sz w:val="22"/>
              </w:rPr>
            </w:pPr>
            <w:r>
              <w:rPr>
                <w:sz w:val="22"/>
              </w:rPr>
              <w:t>10.89b</w:t>
            </w:r>
          </w:p>
        </w:tc>
        <w:tc>
          <w:tcPr>
            <w:tcW w:w="1001" w:type="dxa"/>
            <w:tcBorders>
              <w:top w:val="nil"/>
              <w:left w:val="nil"/>
              <w:bottom w:val="nil"/>
              <w:right w:val="nil"/>
            </w:tcBorders>
          </w:tcPr>
          <w:p>
            <w:pPr>
              <w:pStyle w:val="TableParagraph"/>
              <w:spacing w:before="194"/>
              <w:ind w:left="204"/>
              <w:rPr>
                <w:sz w:val="22"/>
              </w:rPr>
            </w:pPr>
            <w:r>
              <w:rPr>
                <w:sz w:val="22"/>
              </w:rPr>
              <w:t>6.71b</w:t>
            </w:r>
          </w:p>
        </w:tc>
        <w:tc>
          <w:tcPr>
            <w:tcW w:w="1306" w:type="dxa"/>
            <w:tcBorders>
              <w:top w:val="nil"/>
              <w:left w:val="nil"/>
              <w:bottom w:val="nil"/>
              <w:right w:val="nil"/>
            </w:tcBorders>
          </w:tcPr>
          <w:p>
            <w:pPr>
              <w:pStyle w:val="TableParagraph"/>
              <w:spacing w:before="194"/>
              <w:ind w:left="171"/>
              <w:rPr>
                <w:sz w:val="22"/>
              </w:rPr>
            </w:pPr>
            <w:r>
              <w:rPr>
                <w:sz w:val="22"/>
              </w:rPr>
              <w:t>17.61b</w:t>
            </w:r>
          </w:p>
        </w:tc>
      </w:tr>
      <w:tr>
        <w:trPr>
          <w:trHeight w:val="443" w:hRule="exact"/>
        </w:trPr>
        <w:tc>
          <w:tcPr>
            <w:tcW w:w="2447" w:type="dxa"/>
            <w:tcBorders>
              <w:top w:val="nil"/>
              <w:left w:val="nil"/>
              <w:bottom w:val="nil"/>
              <w:right w:val="nil"/>
            </w:tcBorders>
          </w:tcPr>
          <w:p>
            <w:pPr>
              <w:pStyle w:val="TableParagraph"/>
              <w:spacing w:before="194"/>
              <w:ind w:left="108"/>
              <w:rPr>
                <w:sz w:val="22"/>
              </w:rPr>
            </w:pPr>
            <w:r>
              <w:rPr>
                <w:sz w:val="22"/>
              </w:rPr>
              <w:t>Tiacaque</w:t>
            </w:r>
          </w:p>
        </w:tc>
        <w:tc>
          <w:tcPr>
            <w:tcW w:w="1176" w:type="dxa"/>
            <w:tcBorders>
              <w:top w:val="nil"/>
              <w:left w:val="nil"/>
              <w:bottom w:val="nil"/>
              <w:right w:val="nil"/>
            </w:tcBorders>
          </w:tcPr>
          <w:p>
            <w:pPr>
              <w:pStyle w:val="TableParagraph"/>
              <w:spacing w:before="194"/>
              <w:ind w:left="200"/>
              <w:rPr>
                <w:sz w:val="22"/>
              </w:rPr>
            </w:pPr>
            <w:r>
              <w:rPr>
                <w:sz w:val="22"/>
              </w:rPr>
              <w:t>62.08ab</w:t>
            </w:r>
          </w:p>
        </w:tc>
        <w:tc>
          <w:tcPr>
            <w:tcW w:w="1180" w:type="dxa"/>
            <w:tcBorders>
              <w:top w:val="nil"/>
              <w:left w:val="nil"/>
              <w:bottom w:val="nil"/>
              <w:right w:val="nil"/>
            </w:tcBorders>
          </w:tcPr>
          <w:p>
            <w:pPr>
              <w:pStyle w:val="TableParagraph"/>
              <w:spacing w:before="194"/>
              <w:ind w:left="270"/>
              <w:rPr>
                <w:sz w:val="22"/>
              </w:rPr>
            </w:pPr>
            <w:r>
              <w:rPr>
                <w:sz w:val="22"/>
              </w:rPr>
              <w:t>26.61b</w:t>
            </w:r>
          </w:p>
        </w:tc>
        <w:tc>
          <w:tcPr>
            <w:tcW w:w="1114" w:type="dxa"/>
            <w:tcBorders>
              <w:top w:val="nil"/>
              <w:left w:val="nil"/>
              <w:bottom w:val="nil"/>
              <w:right w:val="nil"/>
            </w:tcBorders>
          </w:tcPr>
          <w:p>
            <w:pPr>
              <w:pStyle w:val="TableParagraph"/>
              <w:spacing w:before="194"/>
              <w:ind w:left="185" w:right="185"/>
              <w:jc w:val="center"/>
              <w:rPr>
                <w:sz w:val="22"/>
              </w:rPr>
            </w:pPr>
            <w:r>
              <w:rPr>
                <w:sz w:val="22"/>
              </w:rPr>
              <w:t>88.79ab</w:t>
            </w:r>
          </w:p>
        </w:tc>
        <w:tc>
          <w:tcPr>
            <w:tcW w:w="1114" w:type="dxa"/>
            <w:tcBorders>
              <w:top w:val="nil"/>
              <w:left w:val="nil"/>
              <w:bottom w:val="nil"/>
              <w:right w:val="nil"/>
            </w:tcBorders>
          </w:tcPr>
          <w:p>
            <w:pPr>
              <w:pStyle w:val="TableParagraph"/>
              <w:spacing w:before="194"/>
              <w:ind w:left="204"/>
              <w:rPr>
                <w:sz w:val="22"/>
              </w:rPr>
            </w:pPr>
            <w:r>
              <w:rPr>
                <w:sz w:val="22"/>
              </w:rPr>
              <w:t>11.43ab</w:t>
            </w:r>
          </w:p>
        </w:tc>
        <w:tc>
          <w:tcPr>
            <w:tcW w:w="1001" w:type="dxa"/>
            <w:tcBorders>
              <w:top w:val="nil"/>
              <w:left w:val="nil"/>
              <w:bottom w:val="nil"/>
              <w:right w:val="nil"/>
            </w:tcBorders>
          </w:tcPr>
          <w:p>
            <w:pPr>
              <w:pStyle w:val="TableParagraph"/>
              <w:spacing w:before="194"/>
              <w:ind w:left="204"/>
              <w:rPr>
                <w:sz w:val="22"/>
              </w:rPr>
            </w:pPr>
            <w:r>
              <w:rPr>
                <w:sz w:val="22"/>
              </w:rPr>
              <w:t>7.12a</w:t>
            </w:r>
          </w:p>
        </w:tc>
        <w:tc>
          <w:tcPr>
            <w:tcW w:w="1306" w:type="dxa"/>
            <w:tcBorders>
              <w:top w:val="nil"/>
              <w:left w:val="nil"/>
              <w:bottom w:val="nil"/>
              <w:right w:val="nil"/>
            </w:tcBorders>
          </w:tcPr>
          <w:p>
            <w:pPr>
              <w:pStyle w:val="TableParagraph"/>
              <w:spacing w:before="194"/>
              <w:ind w:left="171"/>
              <w:rPr>
                <w:sz w:val="22"/>
              </w:rPr>
            </w:pPr>
            <w:r>
              <w:rPr>
                <w:sz w:val="22"/>
              </w:rPr>
              <w:t>18.56a</w:t>
            </w:r>
          </w:p>
        </w:tc>
      </w:tr>
    </w:tbl>
    <w:p>
      <w:pPr>
        <w:pStyle w:val="BodyText"/>
        <w:rPr>
          <w:b/>
          <w:sz w:val="20"/>
        </w:rPr>
      </w:pPr>
    </w:p>
    <w:p>
      <w:pPr>
        <w:pStyle w:val="BodyText"/>
        <w:spacing w:before="6"/>
        <w:rPr>
          <w:b/>
          <w:sz w:val="13"/>
        </w:rPr>
      </w:pPr>
      <w:r>
        <w:rPr/>
        <w:pict>
          <v:group style="position:absolute;margin-left:78.734001pt;margin-top:9.734585pt;width:468.1pt;height:.5pt;mso-position-horizontal-relative:page;mso-position-vertical-relative:paragraph;z-index:1216;mso-wrap-distance-left:0;mso-wrap-distance-right:0" coordorigin="1575,195" coordsize="9362,10">
            <v:line style="position:absolute" from="1580,200" to="4136,200" stroked="true" strokeweight=".47998pt" strokecolor="#000000"/>
            <v:line style="position:absolute" from="4121,200" to="4131,200" stroked="true" strokeweight=".47998pt" strokecolor="#000000"/>
            <v:line style="position:absolute" from="4131,200" to="5379,200" stroked="true" strokeweight=".47998pt" strokecolor="#000000"/>
            <v:line style="position:absolute" from="5365,200" to="5375,200" stroked="true" strokeweight=".47998pt" strokecolor="#000000"/>
            <v:line style="position:absolute" from="5375,200" to="6493,200" stroked="true" strokeweight=".47998pt" strokecolor="#000000"/>
            <v:line style="position:absolute" from="6479,200" to="6488,200" stroked="true" strokeweight=".47998pt" strokecolor="#000000"/>
            <v:line style="position:absolute" from="6488,200" to="7607,200" stroked="true" strokeweight=".47998pt" strokecolor="#000000"/>
            <v:line style="position:absolute" from="7593,200" to="7602,200" stroked="true" strokeweight=".47998pt" strokecolor="#000000"/>
            <v:line style="position:absolute" from="7602,200" to="8723,200" stroked="true" strokeweight=".47998pt" strokecolor="#000000"/>
            <v:line style="position:absolute" from="8709,200" to="8718,200" stroked="true" strokeweight=".47998pt" strokecolor="#000000"/>
            <v:line style="position:absolute" from="8718,200" to="9688,200" stroked="true" strokeweight=".47998pt" strokecolor="#000000"/>
            <v:line style="position:absolute" from="9674,200" to="9684,200" stroked="true" strokeweight=".47998pt" strokecolor="#000000"/>
            <v:line style="position:absolute" from="9684,200" to="10932,200" stroked="true" strokeweight=".47998pt" strokecolor="#000000"/>
            <w10:wrap type="topAndBottom"/>
          </v:group>
        </w:pict>
      </w:r>
    </w:p>
    <w:p>
      <w:pPr>
        <w:pStyle w:val="BodyText"/>
        <w:spacing w:line="220" w:lineRule="exact"/>
        <w:ind w:left="242" w:right="474"/>
      </w:pPr>
      <w:r>
        <w:rPr/>
        <w:t>Medias con la misma letra no son significativamente diferentes (Tukey, P=0.01).</w:t>
      </w:r>
    </w:p>
    <w:p>
      <w:pPr>
        <w:spacing w:after="0" w:line="220" w:lineRule="exact"/>
        <w:sectPr>
          <w:pgSz w:w="12240" w:h="15840"/>
          <w:pgMar w:header="0" w:footer="1003" w:top="1500" w:bottom="1200" w:left="1460" w:right="1200"/>
        </w:sectPr>
      </w:pPr>
    </w:p>
    <w:p>
      <w:pPr>
        <w:pStyle w:val="BodyText"/>
        <w:spacing w:before="8"/>
        <w:rPr>
          <w:sz w:val="10"/>
        </w:rPr>
      </w:pPr>
    </w:p>
    <w:p>
      <w:pPr>
        <w:pStyle w:val="BodyText"/>
        <w:spacing w:line="480" w:lineRule="auto" w:before="73"/>
        <w:ind w:left="102" w:right="394"/>
        <w:jc w:val="both"/>
      </w:pPr>
      <w:r>
        <w:rPr/>
        <w:pict>
          <v:shape style="position:absolute;margin-left:92.805786pt;margin-top:161.901932pt;width:11.8pt;height:134.35pt;mso-position-horizontal-relative:page;mso-position-vertical-relative:paragraph;z-index:2056" type="#_x0000_t202" filled="false" stroked="false">
            <v:textbox inset="0,0,0,0" style="layout-flow:vertical;mso-layout-flow-alt:bottom-to-top">
              <w:txbxContent>
                <w:p>
                  <w:pPr>
                    <w:spacing w:line="218" w:lineRule="exact" w:before="0"/>
                    <w:ind w:left="20" w:right="-852" w:firstLine="0"/>
                    <w:jc w:val="left"/>
                    <w:rPr>
                      <w:rFonts w:ascii="Calibri"/>
                      <w:b/>
                      <w:sz w:val="19"/>
                    </w:rPr>
                  </w:pPr>
                  <w:r>
                    <w:rPr>
                      <w:rFonts w:ascii="Calibri"/>
                      <w:b/>
                      <w:spacing w:val="1"/>
                      <w:w w:val="102"/>
                      <w:sz w:val="19"/>
                    </w:rPr>
                    <w:t>C</w:t>
                  </w:r>
                  <w:r>
                    <w:rPr>
                      <w:rFonts w:ascii="Calibri"/>
                      <w:b/>
                      <w:w w:val="102"/>
                      <w:sz w:val="19"/>
                    </w:rPr>
                    <w:t>o</w:t>
                  </w:r>
                  <w:r>
                    <w:rPr>
                      <w:rFonts w:ascii="Calibri"/>
                      <w:b/>
                      <w:spacing w:val="6"/>
                      <w:w w:val="102"/>
                      <w:sz w:val="19"/>
                    </w:rPr>
                    <w:t>m</w:t>
                  </w:r>
                  <w:r>
                    <w:rPr>
                      <w:rFonts w:ascii="Calibri"/>
                      <w:b/>
                      <w:w w:val="102"/>
                      <w:sz w:val="19"/>
                    </w:rPr>
                    <w:t>pon</w:t>
                  </w:r>
                  <w:r>
                    <w:rPr>
                      <w:rFonts w:ascii="Calibri"/>
                      <w:b/>
                      <w:spacing w:val="7"/>
                      <w:w w:val="102"/>
                      <w:sz w:val="19"/>
                    </w:rPr>
                    <w:t>e</w:t>
                  </w:r>
                  <w:r>
                    <w:rPr>
                      <w:rFonts w:ascii="Calibri"/>
                      <w:b/>
                      <w:w w:val="102"/>
                      <w:sz w:val="19"/>
                    </w:rPr>
                    <w:t>n</w:t>
                  </w:r>
                  <w:r>
                    <w:rPr>
                      <w:rFonts w:ascii="Calibri"/>
                      <w:b/>
                      <w:spacing w:val="7"/>
                      <w:w w:val="102"/>
                      <w:sz w:val="19"/>
                    </w:rPr>
                    <w:t>t</w:t>
                  </w:r>
                  <w:r>
                    <w:rPr>
                      <w:rFonts w:ascii="Calibri"/>
                      <w:b/>
                      <w:w w:val="102"/>
                      <w:sz w:val="19"/>
                    </w:rPr>
                    <w:t>e</w:t>
                  </w:r>
                  <w:r>
                    <w:rPr>
                      <w:rFonts w:ascii="Calibri"/>
                      <w:b/>
                      <w:spacing w:val="8"/>
                      <w:sz w:val="19"/>
                    </w:rPr>
                    <w:t> </w:t>
                  </w:r>
                  <w:r>
                    <w:rPr>
                      <w:rFonts w:ascii="Calibri"/>
                      <w:b/>
                      <w:w w:val="102"/>
                      <w:sz w:val="19"/>
                    </w:rPr>
                    <w:t>P</w:t>
                  </w:r>
                  <w:r>
                    <w:rPr>
                      <w:rFonts w:ascii="Calibri"/>
                      <w:b/>
                      <w:spacing w:val="5"/>
                      <w:w w:val="102"/>
                      <w:sz w:val="19"/>
                    </w:rPr>
                    <w:t>r</w:t>
                  </w:r>
                  <w:r>
                    <w:rPr>
                      <w:rFonts w:ascii="Calibri"/>
                      <w:b/>
                      <w:spacing w:val="-4"/>
                      <w:w w:val="102"/>
                      <w:sz w:val="19"/>
                    </w:rPr>
                    <w:t>i</w:t>
                  </w:r>
                  <w:r>
                    <w:rPr>
                      <w:rFonts w:ascii="Calibri"/>
                      <w:b/>
                      <w:w w:val="102"/>
                      <w:sz w:val="19"/>
                    </w:rPr>
                    <w:t>n</w:t>
                  </w:r>
                  <w:r>
                    <w:rPr>
                      <w:rFonts w:ascii="Calibri"/>
                      <w:b/>
                      <w:spacing w:val="-7"/>
                      <w:w w:val="102"/>
                      <w:sz w:val="19"/>
                    </w:rPr>
                    <w:t>c</w:t>
                  </w:r>
                  <w:r>
                    <w:rPr>
                      <w:rFonts w:ascii="Calibri"/>
                      <w:b/>
                      <w:spacing w:val="-4"/>
                      <w:w w:val="102"/>
                      <w:sz w:val="19"/>
                    </w:rPr>
                    <w:t>i</w:t>
                  </w:r>
                  <w:r>
                    <w:rPr>
                      <w:rFonts w:ascii="Calibri"/>
                      <w:b/>
                      <w:w w:val="102"/>
                      <w:sz w:val="19"/>
                    </w:rPr>
                    <w:t>p</w:t>
                  </w:r>
                  <w:r>
                    <w:rPr>
                      <w:rFonts w:ascii="Calibri"/>
                      <w:b/>
                      <w:spacing w:val="-6"/>
                      <w:w w:val="102"/>
                      <w:sz w:val="19"/>
                    </w:rPr>
                    <w:t>a</w:t>
                  </w:r>
                  <w:r>
                    <w:rPr>
                      <w:rFonts w:ascii="Calibri"/>
                      <w:b/>
                      <w:w w:val="102"/>
                      <w:sz w:val="19"/>
                    </w:rPr>
                    <w:t>l</w:t>
                  </w:r>
                  <w:r>
                    <w:rPr>
                      <w:rFonts w:ascii="Calibri"/>
                      <w:b/>
                      <w:sz w:val="19"/>
                    </w:rPr>
                    <w:t> </w:t>
                  </w:r>
                  <w:r>
                    <w:rPr>
                      <w:rFonts w:ascii="Calibri"/>
                      <w:b/>
                      <w:spacing w:val="-15"/>
                      <w:sz w:val="19"/>
                    </w:rPr>
                    <w:t> </w:t>
                  </w:r>
                  <w:r>
                    <w:rPr>
                      <w:rFonts w:ascii="Calibri"/>
                      <w:b/>
                      <w:w w:val="102"/>
                      <w:sz w:val="19"/>
                    </w:rPr>
                    <w:t>2</w:t>
                  </w:r>
                  <w:r>
                    <w:rPr>
                      <w:rFonts w:ascii="Calibri"/>
                      <w:b/>
                      <w:spacing w:val="7"/>
                      <w:sz w:val="19"/>
                    </w:rPr>
                    <w:t> </w:t>
                  </w:r>
                  <w:r>
                    <w:rPr>
                      <w:rFonts w:ascii="Calibri"/>
                      <w:b/>
                      <w:spacing w:val="-1"/>
                      <w:w w:val="102"/>
                      <w:sz w:val="19"/>
                    </w:rPr>
                    <w:t>(</w:t>
                  </w:r>
                  <w:r>
                    <w:rPr>
                      <w:rFonts w:ascii="Calibri"/>
                      <w:b/>
                      <w:spacing w:val="5"/>
                      <w:w w:val="102"/>
                      <w:sz w:val="19"/>
                    </w:rPr>
                    <w:t>23</w:t>
                  </w:r>
                  <w:r>
                    <w:rPr>
                      <w:rFonts w:ascii="Calibri"/>
                      <w:b/>
                      <w:spacing w:val="-8"/>
                      <w:w w:val="102"/>
                      <w:sz w:val="19"/>
                    </w:rPr>
                    <w:t>.</w:t>
                  </w:r>
                  <w:r>
                    <w:rPr>
                      <w:rFonts w:ascii="Calibri"/>
                      <w:b/>
                      <w:spacing w:val="5"/>
                      <w:w w:val="102"/>
                      <w:sz w:val="19"/>
                    </w:rPr>
                    <w:t>6</w:t>
                  </w:r>
                  <w:r>
                    <w:rPr>
                      <w:rFonts w:ascii="Calibri"/>
                      <w:b/>
                      <w:spacing w:val="-3"/>
                      <w:w w:val="102"/>
                      <w:sz w:val="19"/>
                    </w:rPr>
                    <w:t>&amp;</w:t>
                  </w:r>
                  <w:r>
                    <w:rPr>
                      <w:rFonts w:ascii="Calibri"/>
                      <w:b/>
                      <w:w w:val="102"/>
                      <w:sz w:val="19"/>
                    </w:rPr>
                    <w:t>)</w:t>
                  </w:r>
                </w:p>
              </w:txbxContent>
            </v:textbox>
            <w10:wrap type="none"/>
          </v:shape>
        </w:pict>
      </w:r>
      <w:r>
        <w:rPr/>
        <w:t>Los resultados que se muestran en las figuras 1 y 2 son consistentes con los recomendables por  Sánchez (1995) y por Reynoso </w:t>
      </w:r>
      <w:r>
        <w:rPr>
          <w:i/>
        </w:rPr>
        <w:t>et al</w:t>
      </w:r>
      <w:r>
        <w:rPr/>
        <w:t>. (2014); cuando los valores de los dos primeros componentes principales son mayores al 70 % la formación de grupos de variables o de cultivares podría ser muy similar cuando se aplica esta técnica multivariada junto con la de conglomerados (Rodríguez </w:t>
      </w:r>
      <w:r>
        <w:rPr>
          <w:i/>
        </w:rPr>
        <w:t>et al</w:t>
      </w:r>
      <w:r>
        <w:rPr/>
        <w:t>.,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Heading2"/>
        <w:spacing w:before="72"/>
        <w:ind w:left="157"/>
      </w:pPr>
      <w:r>
        <w:rPr/>
        <w:pict>
          <v:group style="position:absolute;margin-left:88.896111pt;margin-top:-196.002136pt;width:466.45pt;height:195.85pt;mso-position-horizontal-relative:page;mso-position-vertical-relative:paragraph;z-index:2032" coordorigin="1778,-3920" coordsize="9329,3917">
            <v:shape style="position:absolute;left:773;top:3592;width:8311;height:3211" coordorigin="773,3592" coordsize="8311,3211" path="m6614,-577l6614,-3764m6554,-577l6614,-577m6554,-860l6614,-860m6554,-1158l6614,-1158m6554,-1441l6614,-1441m6554,-1739l6614,-1739m6554,-2022l6614,-2022m6554,-2319l6614,-2319m6554,-2602l6614,-2602m6554,-2885l6614,-2885m6554,-3183l6614,-3183m6554,-3466l6614,-3466m6554,-3764l6614,-3764m2473,-2022l10755,-2022m2473,-2022l2473,-1962m3863,-2022l3863,-1962m5239,-2022l5239,-1962m6614,-2022l6614,-1962m8005,-2022l8005,-1962m9380,-2022l9380,-1962m10755,-2022l10755,-1962e" filled="false" stroked="true" strokeweight=".74599pt" strokecolor="#858585">
              <v:path arrowok="t"/>
            </v:shape>
            <v:shape style="position:absolute;left:4693;top:-2461;width:164;height:164" type="#_x0000_t75" stroked="false">
              <v:imagedata r:id="rId22" o:title=""/>
            </v:shape>
            <v:shape style="position:absolute;left:8954;top:-2342;width:164;height:164" type="#_x0000_t75" stroked="false">
              <v:imagedata r:id="rId22" o:title=""/>
            </v:shape>
            <v:shape style="position:absolute;left:7085;top:-3503;width:164;height:164" type="#_x0000_t75" stroked="false">
              <v:imagedata r:id="rId22" o:title=""/>
            </v:shape>
            <v:shape style="position:absolute;left:6651;top:-2788;width:164;height:164" type="#_x0000_t75" stroked="false">
              <v:imagedata r:id="rId22" o:title=""/>
            </v:shape>
            <v:shape style="position:absolute;left:6263;top:-2446;width:135;height:134" coordorigin="6263,-2446" coordsize="135,134" path="m6330,-2446l6263,-2379,6330,-2312,6397,-2379,6330,-2446xe" filled="true" fillcolor="#4f81bc" stroked="false">
              <v:path arrowok="t"/>
              <v:fill type="solid"/>
            </v:shape>
            <v:shape style="position:absolute;left:6255;top:-2453;width:150;height:149" coordorigin="6255,-2453" coordsize="150,149" path="m6330,-2446l6330,-2453,6330,-2446,6397,-2379,6405,-2379,6397,-2379,6330,-2312,6330,-2304,6330,-2312,6263,-2379,6255,-2379,6263,-2379,6330,-2446xe" filled="false" stroked="true" strokeweight=".74673pt" strokecolor="#497dba">
              <v:path arrowok="t"/>
            </v:shape>
            <v:shape style="position:absolute;left:8206;top:-2640;width:164;height:164" type="#_x0000_t75" stroked="false">
              <v:imagedata r:id="rId22" o:title=""/>
            </v:shape>
            <v:shape style="position:absolute;left:6636;top:-2595;width:164;height:164" type="#_x0000_t75" stroked="false">
              <v:imagedata r:id="rId22" o:title=""/>
            </v:shape>
            <v:shape style="position:absolute;left:5067;top:-2535;width:164;height:164" type="#_x0000_t75" stroked="false">
              <v:imagedata r:id="rId23" o:title=""/>
            </v:shape>
            <v:shape style="position:absolute;left:6442;top:-2372;width:164;height:164" type="#_x0000_t75" stroked="false">
              <v:imagedata r:id="rId22" o:title=""/>
            </v:shape>
            <v:shape style="position:absolute;left:3467;top:-1925;width:164;height:164" type="#_x0000_t75" stroked="false">
              <v:imagedata r:id="rId24" o:title=""/>
            </v:shape>
            <v:shape style="position:absolute;left:6098;top:-2461;width:135;height:134" coordorigin="6098,-2461" coordsize="135,134" path="m6166,-2461l6098,-2394,6166,-2327,6233,-2394,6166,-2461xe" filled="true" fillcolor="#4f81bc" stroked="false">
              <v:path arrowok="t"/>
              <v:fill type="solid"/>
            </v:shape>
            <v:shape style="position:absolute;left:6091;top:-2468;width:150;height:149" coordorigin="6091,-2468" coordsize="150,149" path="m6166,-2461l6166,-2468,6166,-2461,6233,-2394,6240,-2394,6233,-2394,6166,-2327,6166,-2319,6166,-2327,6098,-2394,6091,-2394,6098,-2394,6166,-2461xe" filled="false" stroked="true" strokeweight=".74673pt" strokecolor="#497dba">
              <v:path arrowok="t"/>
            </v:shape>
            <v:shape style="position:absolute;left:6308;top:-1850;width:135;height:134" coordorigin="6308,-1850" coordsize="135,134" path="m6375,-1850l6308,-1783,6375,-1716,6442,-1783,6375,-1850xe" filled="true" fillcolor="#4f81bc" stroked="false">
              <v:path arrowok="t"/>
              <v:fill type="solid"/>
            </v:shape>
            <v:shape style="position:absolute;left:6300;top:-1858;width:150;height:149" coordorigin="6300,-1858" coordsize="150,149" path="m6375,-1850l6375,-1858,6375,-1850,6442,-1783,6450,-1783,6442,-1783,6375,-1716,6375,-1709,6375,-1716,6308,-1783,6300,-1783,6308,-1783,6375,-1850xe" filled="false" stroked="true" strokeweight=".74673pt" strokecolor="#497dba">
              <v:path arrowok="t"/>
            </v:shape>
            <v:shape style="position:absolute;left:7623;top:-1791;width:164;height:164" type="#_x0000_t75" stroked="false">
              <v:imagedata r:id="rId25" o:title=""/>
            </v:shape>
            <v:shape style="position:absolute;left:6607;top:-1850;width:135;height:134" coordorigin="6607,-1850" coordsize="135,134" path="m6674,-1850l6607,-1783,6674,-1716,6741,-1783,6674,-1850xe" filled="true" fillcolor="#4f81bc" stroked="false">
              <v:path arrowok="t"/>
              <v:fill type="solid"/>
            </v:shape>
            <v:shape style="position:absolute;left:6599;top:-1858;width:150;height:149" coordorigin="6599,-1858" coordsize="150,149" path="m6674,-1850l6674,-1858,6674,-1850,6741,-1783,6749,-1783,6741,-1783,6674,-1716,6674,-1709,6674,-1716,6607,-1783,6599,-1783,6607,-1783,6674,-1850xe" filled="false" stroked="true" strokeweight=".74673pt" strokecolor="#497dba">
              <v:path arrowok="t"/>
            </v:shape>
            <v:shape style="position:absolute;left:7982;top:-1761;width:164;height:164" type="#_x0000_t75" stroked="false">
              <v:imagedata r:id="rId25" o:title=""/>
            </v:shape>
            <v:shape style="position:absolute;left:6098;top:-1716;width:135;height:134" coordorigin="6098,-1716" coordsize="135,134" path="m6166,-1716l6098,-1649,6166,-1582,6233,-1649,6166,-1716xe" filled="true" fillcolor="#4f81bc" stroked="false">
              <v:path arrowok="t"/>
              <v:fill type="solid"/>
            </v:shape>
            <v:shape style="position:absolute;left:6091;top:-1724;width:150;height:149" coordorigin="6091,-1724" coordsize="150,149" path="m6166,-1716l6166,-1724,6166,-1716,6233,-1649,6240,-1649,6233,-1649,6166,-1582,6166,-1575,6166,-1582,6098,-1649,6091,-1649,6098,-1649,6166,-1716xe" filled="false" stroked="true" strokeweight=".74673pt" strokecolor="#497dba">
              <v:path arrowok="t"/>
            </v:shape>
            <v:shape style="position:absolute;left:6637;top:-1940;width:135;height:134" coordorigin="6637,-1940" coordsize="135,134" path="m6704,-1940l6637,-1873,6704,-1806,6771,-1873,6704,-1940xe" filled="true" fillcolor="#4f81bc" stroked="false">
              <v:path arrowok="t"/>
              <v:fill type="solid"/>
            </v:shape>
            <v:shape style="position:absolute;left:6629;top:-1947;width:150;height:149" coordorigin="6629,-1947" coordsize="150,149" path="m6704,-1940l6704,-1947,6704,-1940,6771,-1873,6778,-1873,6771,-1873,6704,-1806,6704,-1798,6704,-1806,6637,-1873,6629,-1873,6637,-1873,6704,-1940xe" filled="false" stroked="true" strokeweight=".746731pt" strokecolor="#497dba">
              <v:path arrowok="t"/>
            </v:shape>
            <v:shape style="position:absolute;left:4558;top:-2029;width:164;height:164" type="#_x0000_t75" stroked="false">
              <v:imagedata r:id="rId26" o:title=""/>
            </v:shape>
            <v:shape style="position:absolute;left:6726;top:-1672;width:164;height:164" type="#_x0000_t75" stroked="false">
              <v:imagedata r:id="rId25" o:title=""/>
            </v:shape>
            <v:shape style="position:absolute;left:7743;top:-1567;width:164;height:164" type="#_x0000_t75" stroked="false">
              <v:imagedata r:id="rId25" o:title=""/>
            </v:shape>
            <v:shape style="position:absolute;left:6338;top:-1940;width:135;height:134" coordorigin="6338,-1940" coordsize="135,134" path="m6405,-1940l6338,-1873,6405,-1806,6472,-1873,6405,-1940xe" filled="true" fillcolor="#4f81bc" stroked="false">
              <v:path arrowok="t"/>
              <v:fill type="solid"/>
            </v:shape>
            <v:shape style="position:absolute;left:6330;top:-1947;width:150;height:149" coordorigin="6330,-1947" coordsize="150,149" path="m6405,-1940l6405,-1947,6405,-1940,6472,-1873,6479,-1873,6472,-1873,6405,-1806,6405,-1798,6405,-1806,6338,-1873,6330,-1873,6338,-1873,6405,-1940xe" filled="false" stroked="true" strokeweight=".746731pt" strokecolor="#497dba">
              <v:path arrowok="t"/>
            </v:shape>
            <v:shape style="position:absolute;left:5545;top:-1880;width:164;height:164" type="#_x0000_t75" stroked="false">
              <v:imagedata r:id="rId25" o:title=""/>
            </v:shape>
            <v:shape style="position:absolute;left:6696;top:-1999;width:135;height:134" coordorigin="6696,-1999" coordsize="135,134" path="m6764,-1999l6696,-1932,6764,-1865,6831,-1932,6764,-1999xe" filled="true" fillcolor="#4f81bc" stroked="false">
              <v:path arrowok="t"/>
              <v:fill type="solid"/>
            </v:shape>
            <v:shape style="position:absolute;left:6689;top:-2007;width:150;height:149" coordorigin="6689,-2007" coordsize="150,149" path="m6764,-1999l6764,-2007,6764,-1999,6831,-1932,6838,-1932,6831,-1932,6764,-1865,6764,-1858,6764,-1865,6696,-1932,6689,-1932,6696,-1932,6764,-1999xe" filled="false" stroked="true" strokeweight=".746731pt" strokecolor="#497dba">
              <v:path arrowok="t"/>
            </v:shape>
            <v:shape style="position:absolute;left:6113;top:-1865;width:135;height:134" coordorigin="6113,-1865" coordsize="135,134" path="m6180,-1865l6113,-1798,6180,-1731,6248,-1798,6180,-1865xe" filled="true" fillcolor="#4f81bc" stroked="false">
              <v:path arrowok="t"/>
              <v:fill type="solid"/>
            </v:shape>
            <v:shape style="position:absolute;left:6106;top:-1873;width:150;height:149" coordorigin="6106,-1873" coordsize="150,149" path="m6180,-1865l6180,-1873,6180,-1865,6248,-1798,6255,-1798,6248,-1798,6180,-1731,6180,-1724,6180,-1731,6113,-1798,6106,-1798,6113,-1798,6180,-1865xe" filled="false" stroked="true" strokeweight=".74673pt" strokecolor="#497dba">
              <v:path arrowok="t"/>
            </v:shape>
            <v:shape style="position:absolute;left:8430;top:-1761;width:135;height:134" coordorigin="8430,-1761" coordsize="135,134" path="m8498,-1761l8430,-1694,8498,-1627,8565,-1694,8498,-1761xe" filled="true" fillcolor="#4f81bc" stroked="false">
              <v:path arrowok="t"/>
              <v:fill type="solid"/>
            </v:shape>
            <v:shape style="position:absolute;left:8423;top:-1768;width:150;height:149" coordorigin="8423,-1768" coordsize="150,149" path="m8498,-1761l8498,-1768,8498,-1761,8565,-1694,8572,-1694,8565,-1694,8498,-1627,8498,-1619,8498,-1627,8430,-1694,8423,-1694,8430,-1694,8498,-1761xe" filled="false" stroked="true" strokeweight=".74673pt" strokecolor="#497dba">
              <v:path arrowok="t"/>
            </v:shape>
            <v:shape style="position:absolute;left:7369;top:-2074;width:224;height:298" type="#_x0000_t75" stroked="false">
              <v:imagedata r:id="rId27" o:title=""/>
            </v:shape>
            <v:shape style="position:absolute;left:3736;top:-1627;width:164;height:164" type="#_x0000_t75" stroked="false">
              <v:imagedata r:id="rId25" o:title=""/>
            </v:shape>
            <v:shape style="position:absolute;left:8401;top:-1597;width:135;height:134" coordorigin="8401,-1597" coordsize="135,134" path="m8468,-1597l8401,-1530,8468,-1463,8535,-1530,8468,-1597xe" filled="true" fillcolor="#4f81bc" stroked="false">
              <v:path arrowok="t"/>
              <v:fill type="solid"/>
            </v:shape>
            <v:shape style="position:absolute;left:8393;top:-1605;width:150;height:149" coordorigin="8393,-1605" coordsize="150,149" path="m8468,-1597l8468,-1605,8468,-1597,8535,-1530,8542,-1530,8535,-1530,8468,-1463,8468,-1456,8468,-1463,8401,-1530,8393,-1530,8401,-1530,8468,-1597xe" filled="false" stroked="true" strokeweight=".74673pt" strokecolor="#497dba">
              <v:path arrowok="t"/>
            </v:shape>
            <v:shape style="position:absolute;left:7922;top:-3012;width:164;height:164" type="#_x0000_t75" stroked="false">
              <v:imagedata r:id="rId28" o:title=""/>
            </v:shape>
            <v:shape style="position:absolute;left:8550;top:-1240;width:164;height:164" type="#_x0000_t75" stroked="false">
              <v:imagedata r:id="rId25" o:title=""/>
            </v:shape>
            <v:shape style="position:absolute;left:8386;top:-2937;width:135;height:134" coordorigin="8386,-2937" coordsize="135,134" path="m8453,-2937l8386,-2870,8453,-2803,8520,-2870,8453,-2937xe" filled="true" fillcolor="#4f81bc" stroked="false">
              <v:path arrowok="t"/>
              <v:fill type="solid"/>
            </v:shape>
            <v:shape style="position:absolute;left:8378;top:-2945;width:150;height:149" coordorigin="8378,-2945" coordsize="150,149" path="m8453,-2937l8453,-2945,8453,-2937,8520,-2870,8528,-2870,8520,-2870,8453,-2803,8453,-2796,8453,-2803,8386,-2870,8378,-2870,8386,-2870,8453,-2937xe" filled="false" stroked="true" strokeweight=".74673pt" strokecolor="#497dba">
              <v:path arrowok="t"/>
            </v:shape>
            <v:shape style="position:absolute;left:8998;top:-2059;width:164;height:164" type="#_x0000_t75" stroked="false">
              <v:imagedata r:id="rId26" o:title=""/>
            </v:shape>
            <v:shape style="position:absolute;left:7623;top:-972;width:164;height:164" type="#_x0000_t75" stroked="false">
              <v:imagedata r:id="rId29" o:title=""/>
            </v:shape>
            <v:shape style="position:absolute;left:9103;top:-1642;width:135;height:134" coordorigin="9103,-1642" coordsize="135,134" path="m9170,-1642l9103,-1575,9170,-1508,9238,-1575,9170,-1642xe" filled="true" fillcolor="#4f81bc" stroked="false">
              <v:path arrowok="t"/>
              <v:fill type="solid"/>
            </v:shape>
            <v:shape style="position:absolute;left:9096;top:-1649;width:150;height:149" coordorigin="9096,-1649" coordsize="150,149" path="m9170,-1642l9170,-1649,9170,-1642,9238,-1575,9245,-1575,9238,-1575,9170,-1508,9170,-1500,9170,-1508,9103,-1575,9096,-1575,9103,-1575,9170,-1642xe" filled="false" stroked="true" strokeweight=".74673pt" strokecolor="#497dba">
              <v:path arrowok="t"/>
            </v:shape>
            <v:shape style="position:absolute;left:8251;top:-3027;width:135;height:134" coordorigin="8251,-3027" coordsize="135,134" path="m8318,-3027l8251,-2960,8318,-2893,8386,-2960,8318,-3027xe" filled="true" fillcolor="#4f81bc" stroked="false">
              <v:path arrowok="t"/>
              <v:fill type="solid"/>
            </v:shape>
            <v:shape style="position:absolute;left:8244;top:-3034;width:150;height:149" coordorigin="8244,-3034" coordsize="150,149" path="m8318,-3027l8318,-3034,8318,-3027,8386,-2960,8393,-2960,8386,-2960,8318,-2893,8318,-2885,8318,-2893,8251,-2960,8244,-2960,8251,-2960,8318,-3027xe" filled="false" stroked="true" strokeweight=".74673pt" strokecolor="#497dba">
              <v:path arrowok="t"/>
            </v:shape>
            <v:shape style="position:absolute;left:9268;top:-1984;width:135;height:134" coordorigin="9268,-1984" coordsize="135,134" path="m9335,-1984l9268,-1917,9335,-1850,9402,-1917,9335,-1984xe" filled="true" fillcolor="#4f81bc" stroked="false">
              <v:path arrowok="t"/>
              <v:fill type="solid"/>
            </v:shape>
            <v:shape style="position:absolute;left:9260;top:-1992;width:150;height:149" coordorigin="9260,-1992" coordsize="150,149" path="m9335,-1984l9335,-1992,9335,-1984,9402,-1917,9410,-1917,9402,-1917,9335,-1850,9335,-1843,9335,-1850,9268,-1917,9260,-1917,9268,-1917,9335,-1984xe" filled="false" stroked="true" strokeweight=".746731pt" strokecolor="#497dba">
              <v:path arrowok="t"/>
            </v:shape>
            <v:shape style="position:absolute;left:9103;top:-1672;width:135;height:134" coordorigin="9103,-1672" coordsize="135,134" path="m9170,-1672l9103,-1605,9170,-1538,9238,-1605,9170,-1672xe" filled="true" fillcolor="#4f81bc" stroked="false">
              <v:path arrowok="t"/>
              <v:fill type="solid"/>
            </v:shape>
            <v:shape style="position:absolute;left:9096;top:-1679;width:150;height:149" coordorigin="9096,-1679" coordsize="150,149" path="m9170,-1672l9170,-1679,9170,-1672,9238,-1605,9245,-1605,9238,-1605,9170,-1538,9170,-1530,9170,-1538,9103,-1605,9096,-1605,9103,-1605,9170,-1672xe" filled="false" stroked="true" strokeweight=".74673pt" strokecolor="#497dba">
              <v:path arrowok="t"/>
            </v:shape>
            <v:shape style="position:absolute;left:8430;top:-2848;width:135;height:134" coordorigin="8430,-2848" coordsize="135,134" path="m8498,-2848l8430,-2781,8498,-2714,8565,-2781,8498,-2848xe" filled="true" fillcolor="#4f81bc" stroked="false">
              <v:path arrowok="t"/>
              <v:fill type="solid"/>
            </v:shape>
            <v:shape style="position:absolute;left:8423;top:-2855;width:150;height:149" coordorigin="8423,-2855" coordsize="150,149" path="m8498,-2848l8498,-2855,8498,-2848,8565,-2781,8572,-2781,8565,-2781,8498,-2714,8498,-2707,8498,-2714,8430,-2781,8423,-2781,8430,-2781,8498,-2848xe" filled="false" stroked="true" strokeweight=".74673pt" strokecolor="#497dba">
              <v:path arrowok="t"/>
            </v:shape>
            <v:shape style="position:absolute;left:9253;top:-2014;width:135;height:134" coordorigin="9253,-2014" coordsize="135,134" path="m9320,-2014l9253,-1947,9320,-1880,9387,-1947,9320,-2014xe" filled="true" fillcolor="#4f81bc" stroked="false">
              <v:path arrowok="t"/>
              <v:fill type="solid"/>
            </v:shape>
            <v:shape style="position:absolute;left:9245;top:-2022;width:150;height:149" coordorigin="9245,-2022" coordsize="150,149" path="m9320,-2014l9320,-2022,9320,-2014,9387,-1947,9395,-1947,9387,-1947,9320,-1880,9320,-1873,9320,-1880,9253,-1947,9245,-1947,9253,-1947,9320,-2014xe" filled="false" stroked="true" strokeweight=".746731pt" strokecolor="#497dba">
              <v:path arrowok="t"/>
            </v:shape>
            <v:rect style="position:absolute;left:1785;top:-3913;width:9314;height:3901" filled="false" stroked="true" strokeweight=".745693pt" strokecolor="#858585"/>
            <v:shape style="position:absolute;left:1980;top:-3843;width:312;height:3402" type="#_x0000_t202" filled="false" stroked="false">
              <v:textbox inset="0,0,0,0">
                <w:txbxContent>
                  <w:p>
                    <w:pPr>
                      <w:spacing w:line="197" w:lineRule="exact" w:before="0"/>
                      <w:ind w:left="59" w:right="0" w:firstLine="0"/>
                      <w:jc w:val="center"/>
                      <w:rPr>
                        <w:rFonts w:ascii="Calibri"/>
                        <w:sz w:val="19"/>
                      </w:rPr>
                    </w:pPr>
                    <w:r>
                      <w:rPr>
                        <w:rFonts w:ascii="Calibri"/>
                        <w:sz w:val="19"/>
                      </w:rPr>
                      <w:t>1,2</w:t>
                    </w:r>
                  </w:p>
                  <w:p>
                    <w:pPr>
                      <w:spacing w:before="59"/>
                      <w:ind w:left="0" w:right="0" w:firstLine="0"/>
                      <w:jc w:val="right"/>
                      <w:rPr>
                        <w:rFonts w:ascii="Calibri"/>
                        <w:sz w:val="19"/>
                      </w:rPr>
                    </w:pPr>
                    <w:r>
                      <w:rPr>
                        <w:rFonts w:ascii="Calibri"/>
                        <w:w w:val="103"/>
                        <w:sz w:val="19"/>
                      </w:rPr>
                      <w:t>1</w:t>
                    </w:r>
                  </w:p>
                  <w:p>
                    <w:pPr>
                      <w:spacing w:before="59"/>
                      <w:ind w:left="59" w:right="0" w:firstLine="0"/>
                      <w:jc w:val="center"/>
                      <w:rPr>
                        <w:rFonts w:ascii="Calibri"/>
                        <w:sz w:val="19"/>
                      </w:rPr>
                    </w:pPr>
                    <w:r>
                      <w:rPr>
                        <w:rFonts w:ascii="Calibri"/>
                        <w:sz w:val="19"/>
                      </w:rPr>
                      <w:t>0,8</w:t>
                    </w:r>
                  </w:p>
                  <w:p>
                    <w:pPr>
                      <w:spacing w:before="60"/>
                      <w:ind w:left="59" w:right="0" w:firstLine="0"/>
                      <w:jc w:val="center"/>
                      <w:rPr>
                        <w:rFonts w:ascii="Calibri"/>
                        <w:sz w:val="19"/>
                      </w:rPr>
                    </w:pPr>
                    <w:r>
                      <w:rPr>
                        <w:rFonts w:ascii="Calibri"/>
                        <w:sz w:val="19"/>
                      </w:rPr>
                      <w:t>0,6</w:t>
                    </w:r>
                  </w:p>
                  <w:p>
                    <w:pPr>
                      <w:spacing w:before="59"/>
                      <w:ind w:left="59" w:right="0" w:firstLine="0"/>
                      <w:jc w:val="center"/>
                      <w:rPr>
                        <w:rFonts w:ascii="Calibri"/>
                        <w:sz w:val="19"/>
                      </w:rPr>
                    </w:pPr>
                    <w:r>
                      <w:rPr>
                        <w:rFonts w:ascii="Calibri"/>
                        <w:sz w:val="19"/>
                      </w:rPr>
                      <w:t>0,4</w:t>
                    </w:r>
                  </w:p>
                  <w:p>
                    <w:pPr>
                      <w:spacing w:before="59"/>
                      <w:ind w:left="59" w:right="0" w:firstLine="0"/>
                      <w:jc w:val="center"/>
                      <w:rPr>
                        <w:rFonts w:ascii="Calibri"/>
                        <w:sz w:val="19"/>
                      </w:rPr>
                    </w:pPr>
                    <w:r>
                      <w:rPr>
                        <w:rFonts w:ascii="Calibri"/>
                        <w:sz w:val="19"/>
                      </w:rPr>
                      <w:t>0,2</w:t>
                    </w:r>
                  </w:p>
                  <w:p>
                    <w:pPr>
                      <w:spacing w:before="59"/>
                      <w:ind w:left="0" w:right="0" w:firstLine="0"/>
                      <w:jc w:val="right"/>
                      <w:rPr>
                        <w:rFonts w:ascii="Calibri"/>
                        <w:sz w:val="19"/>
                      </w:rPr>
                    </w:pPr>
                    <w:r>
                      <w:rPr>
                        <w:rFonts w:ascii="Calibri"/>
                        <w:w w:val="102"/>
                        <w:sz w:val="19"/>
                      </w:rPr>
                      <w:t>0</w:t>
                    </w:r>
                  </w:p>
                  <w:p>
                    <w:pPr>
                      <w:spacing w:before="60"/>
                      <w:ind w:left="0" w:right="1" w:firstLine="0"/>
                      <w:jc w:val="center"/>
                      <w:rPr>
                        <w:rFonts w:ascii="Calibri"/>
                        <w:sz w:val="19"/>
                      </w:rPr>
                    </w:pPr>
                    <w:r>
                      <w:rPr>
                        <w:rFonts w:ascii="Calibri"/>
                        <w:sz w:val="19"/>
                      </w:rPr>
                      <w:t>-0,2</w:t>
                    </w:r>
                  </w:p>
                  <w:p>
                    <w:pPr>
                      <w:spacing w:before="59"/>
                      <w:ind w:left="0" w:right="1" w:firstLine="0"/>
                      <w:jc w:val="center"/>
                      <w:rPr>
                        <w:rFonts w:ascii="Calibri"/>
                        <w:sz w:val="19"/>
                      </w:rPr>
                    </w:pPr>
                    <w:r>
                      <w:rPr>
                        <w:rFonts w:ascii="Calibri"/>
                        <w:sz w:val="19"/>
                      </w:rPr>
                      <w:t>-0,4</w:t>
                    </w:r>
                  </w:p>
                  <w:p>
                    <w:pPr>
                      <w:spacing w:before="59"/>
                      <w:ind w:left="0" w:right="1" w:firstLine="0"/>
                      <w:jc w:val="center"/>
                      <w:rPr>
                        <w:rFonts w:ascii="Calibri"/>
                        <w:sz w:val="19"/>
                      </w:rPr>
                    </w:pPr>
                    <w:r>
                      <w:rPr>
                        <w:rFonts w:ascii="Calibri"/>
                        <w:sz w:val="19"/>
                      </w:rPr>
                      <w:t>-0,6</w:t>
                    </w:r>
                  </w:p>
                  <w:p>
                    <w:pPr>
                      <w:spacing w:before="59"/>
                      <w:ind w:left="0" w:right="1" w:firstLine="0"/>
                      <w:jc w:val="center"/>
                      <w:rPr>
                        <w:rFonts w:ascii="Calibri"/>
                        <w:sz w:val="19"/>
                      </w:rPr>
                    </w:pPr>
                    <w:r>
                      <w:rPr>
                        <w:rFonts w:ascii="Calibri"/>
                        <w:sz w:val="19"/>
                      </w:rPr>
                      <w:t>-0,8</w:t>
                    </w:r>
                  </w:p>
                  <w:p>
                    <w:pPr>
                      <w:spacing w:line="230" w:lineRule="exact" w:before="60"/>
                      <w:ind w:left="150" w:right="0" w:firstLine="0"/>
                      <w:jc w:val="center"/>
                      <w:rPr>
                        <w:rFonts w:ascii="Calibri"/>
                        <w:sz w:val="19"/>
                      </w:rPr>
                    </w:pPr>
                    <w:r>
                      <w:rPr>
                        <w:rFonts w:ascii="Calibri"/>
                        <w:sz w:val="19"/>
                      </w:rPr>
                      <w:t>-1</w:t>
                    </w:r>
                  </w:p>
                </w:txbxContent>
              </v:textbox>
              <w10:wrap type="none"/>
            </v:shape>
            <v:shape style="position:absolute;left:7071;top:-3654;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3</w:t>
                    </w:r>
                  </w:p>
                </w:txbxContent>
              </v:textbox>
              <w10:wrap type="none"/>
            </v:shape>
            <v:shape style="position:absolute;left:7678;top:-3201;width:258;height:196" type="#_x0000_t202" filled="false" stroked="false">
              <v:textbox inset="0,0,0,0">
                <w:txbxContent>
                  <w:p>
                    <w:pPr>
                      <w:spacing w:line="195" w:lineRule="exact" w:before="0"/>
                      <w:ind w:left="0" w:right="-12" w:firstLine="0"/>
                      <w:jc w:val="left"/>
                      <w:rPr>
                        <w:rFonts w:ascii="Calibri"/>
                        <w:sz w:val="19"/>
                      </w:rPr>
                    </w:pPr>
                    <w:r>
                      <w:rPr>
                        <w:rFonts w:ascii="Calibri"/>
                        <w:sz w:val="19"/>
                      </w:rPr>
                      <w:t>FM</w:t>
                    </w:r>
                  </w:p>
                </w:txbxContent>
              </v:textbox>
              <w10:wrap type="none"/>
            </v:shape>
            <v:shape style="position:absolute;left:6639;top:-2949;width:100;height:196" type="#_x0000_t202" filled="false" stroked="false">
              <v:textbox inset="0,0,0,0">
                <w:txbxContent>
                  <w:p>
                    <w:pPr>
                      <w:spacing w:line="195" w:lineRule="exact" w:before="0"/>
                      <w:ind w:left="0" w:right="0" w:firstLine="0"/>
                      <w:jc w:val="left"/>
                      <w:rPr>
                        <w:rFonts w:ascii="Calibri"/>
                        <w:sz w:val="19"/>
                      </w:rPr>
                    </w:pPr>
                    <w:r>
                      <w:rPr>
                        <w:rFonts w:ascii="Calibri"/>
                        <w:w w:val="103"/>
                        <w:sz w:val="19"/>
                      </w:rPr>
                      <w:t>4</w:t>
                    </w:r>
                  </w:p>
                </w:txbxContent>
              </v:textbox>
              <w10:wrap type="none"/>
            </v:shape>
            <v:shape style="position:absolute;left:8172;top:-3192;width:393;height:585" type="#_x0000_t202" filled="false" stroked="false">
              <v:textbox inset="0,0,0,0">
                <w:txbxContent>
                  <w:p>
                    <w:pPr>
                      <w:spacing w:line="197" w:lineRule="exact" w:before="0"/>
                      <w:ind w:left="27" w:right="-18" w:firstLine="0"/>
                      <w:jc w:val="left"/>
                      <w:rPr>
                        <w:rFonts w:ascii="Calibri"/>
                        <w:sz w:val="19"/>
                      </w:rPr>
                    </w:pPr>
                    <w:r>
                      <w:rPr>
                        <w:rFonts w:ascii="Calibri"/>
                        <w:sz w:val="19"/>
                      </w:rPr>
                      <w:t>MVE</w:t>
                    </w:r>
                  </w:p>
                  <w:p>
                    <w:pPr>
                      <w:spacing w:line="230" w:lineRule="exact" w:before="157"/>
                      <w:ind w:left="0" w:right="0" w:firstLine="0"/>
                      <w:jc w:val="left"/>
                      <w:rPr>
                        <w:rFonts w:ascii="Calibri"/>
                        <w:sz w:val="19"/>
                      </w:rPr>
                    </w:pPr>
                    <w:r>
                      <w:rPr>
                        <w:rFonts w:ascii="Calibri"/>
                        <w:w w:val="103"/>
                        <w:sz w:val="19"/>
                      </w:rPr>
                      <w:t>6</w:t>
                    </w:r>
                  </w:p>
                </w:txbxContent>
              </v:textbox>
              <w10:wrap type="none"/>
            </v:shape>
            <v:shape style="position:absolute;left:4640;top:-2602;width:99;height:195" type="#_x0000_t202" filled="false" stroked="false">
              <v:textbox inset="0,0,0,0">
                <w:txbxContent>
                  <w:p>
                    <w:pPr>
                      <w:spacing w:line="195" w:lineRule="exact" w:before="0"/>
                      <w:ind w:left="0" w:right="0" w:firstLine="0"/>
                      <w:jc w:val="left"/>
                      <w:rPr>
                        <w:rFonts w:ascii="Calibri"/>
                        <w:sz w:val="19"/>
                      </w:rPr>
                    </w:pPr>
                    <w:r>
                      <w:rPr>
                        <w:rFonts w:ascii="Calibri"/>
                        <w:w w:val="102"/>
                        <w:sz w:val="19"/>
                      </w:rPr>
                      <w:t>1</w:t>
                    </w:r>
                  </w:p>
                </w:txbxContent>
              </v:textbox>
              <w10:wrap type="none"/>
            </v:shape>
            <v:shape style="position:absolute;left:5049;top:-2676;width:100;height:196" type="#_x0000_t202" filled="false" stroked="false">
              <v:textbox inset="0,0,0,0">
                <w:txbxContent>
                  <w:p>
                    <w:pPr>
                      <w:spacing w:line="195" w:lineRule="exact" w:before="0"/>
                      <w:ind w:left="0" w:right="0" w:firstLine="0"/>
                      <w:jc w:val="left"/>
                      <w:rPr>
                        <w:rFonts w:ascii="Calibri"/>
                        <w:sz w:val="19"/>
                      </w:rPr>
                    </w:pPr>
                    <w:r>
                      <w:rPr>
                        <w:rFonts w:ascii="Calibri"/>
                        <w:w w:val="103"/>
                        <w:sz w:val="19"/>
                      </w:rPr>
                      <w:t>8</w:t>
                    </w:r>
                  </w:p>
                </w:txbxContent>
              </v:textbox>
              <w10:wrap type="none"/>
            </v:shape>
            <v:shape style="position:absolute;left:6232;top:-2613;width:100;height:196" type="#_x0000_t202" filled="false" stroked="false">
              <v:textbox inset="0,0,0,0">
                <w:txbxContent>
                  <w:p>
                    <w:pPr>
                      <w:spacing w:line="195" w:lineRule="exact" w:before="0"/>
                      <w:ind w:left="0" w:right="0" w:firstLine="0"/>
                      <w:jc w:val="left"/>
                      <w:rPr>
                        <w:rFonts w:ascii="Calibri"/>
                        <w:sz w:val="19"/>
                      </w:rPr>
                    </w:pPr>
                    <w:r>
                      <w:rPr>
                        <w:rFonts w:ascii="Calibri"/>
                        <w:w w:val="103"/>
                        <w:sz w:val="19"/>
                      </w:rPr>
                      <w:t>5</w:t>
                    </w:r>
                  </w:p>
                </w:txbxContent>
              </v:textbox>
              <w10:wrap type="none"/>
            </v:shape>
            <v:shape style="position:absolute;left:6813;top:-2559;width:100;height:196" type="#_x0000_t202" filled="false" stroked="false">
              <v:textbox inset="0,0,0,0">
                <w:txbxContent>
                  <w:p>
                    <w:pPr>
                      <w:spacing w:line="195" w:lineRule="exact" w:before="0"/>
                      <w:ind w:left="0" w:right="0" w:firstLine="0"/>
                      <w:jc w:val="left"/>
                      <w:rPr>
                        <w:rFonts w:ascii="Calibri"/>
                        <w:sz w:val="19"/>
                      </w:rPr>
                    </w:pPr>
                    <w:r>
                      <w:rPr>
                        <w:rFonts w:ascii="Calibri"/>
                        <w:w w:val="103"/>
                        <w:sz w:val="19"/>
                      </w:rPr>
                      <w:t>7</w:t>
                    </w:r>
                  </w:p>
                </w:txbxContent>
              </v:textbox>
              <w10:wrap type="none"/>
            </v:shape>
            <v:shape style="position:absolute;left:5830;top:-2357;width:211;height:196" type="#_x0000_t202" filled="false" stroked="false">
              <v:textbox inset="0,0,0,0">
                <w:txbxContent>
                  <w:p>
                    <w:pPr>
                      <w:spacing w:line="195" w:lineRule="exact" w:before="0"/>
                      <w:ind w:left="0" w:right="-2" w:firstLine="0"/>
                      <w:jc w:val="left"/>
                      <w:rPr>
                        <w:rFonts w:ascii="Calibri"/>
                        <w:sz w:val="19"/>
                      </w:rPr>
                    </w:pPr>
                    <w:r>
                      <w:rPr>
                        <w:rFonts w:ascii="Calibri"/>
                        <w:sz w:val="19"/>
                      </w:rPr>
                      <w:t>11</w:t>
                    </w:r>
                  </w:p>
                </w:txbxContent>
              </v:textbox>
              <w10:wrap type="none"/>
            </v:shape>
            <v:shape style="position:absolute;left:6293;top:-2247;width:100;height:196" type="#_x0000_t202" filled="false" stroked="false">
              <v:textbox inset="0,0,0,0">
                <w:txbxContent>
                  <w:p>
                    <w:pPr>
                      <w:spacing w:line="195" w:lineRule="exact" w:before="0"/>
                      <w:ind w:left="0" w:right="0" w:firstLine="0"/>
                      <w:jc w:val="left"/>
                      <w:rPr>
                        <w:rFonts w:ascii="Calibri"/>
                        <w:sz w:val="19"/>
                      </w:rPr>
                    </w:pPr>
                    <w:r>
                      <w:rPr>
                        <w:rFonts w:ascii="Calibri"/>
                        <w:w w:val="103"/>
                        <w:sz w:val="19"/>
                      </w:rPr>
                      <w:t>9</w:t>
                    </w:r>
                  </w:p>
                </w:txbxContent>
              </v:textbox>
              <w10:wrap type="none"/>
            </v:shape>
            <v:shape style="position:absolute;left:7312;top:-2257;width:211;height:196" type="#_x0000_t202" filled="false" stroked="false">
              <v:textbox inset="0,0,0,0">
                <w:txbxContent>
                  <w:p>
                    <w:pPr>
                      <w:spacing w:line="195" w:lineRule="exact" w:before="0"/>
                      <w:ind w:left="0" w:right="-2" w:firstLine="0"/>
                      <w:jc w:val="left"/>
                      <w:rPr>
                        <w:rFonts w:ascii="Calibri"/>
                        <w:sz w:val="19"/>
                      </w:rPr>
                    </w:pPr>
                    <w:r>
                      <w:rPr>
                        <w:rFonts w:ascii="Calibri"/>
                        <w:sz w:val="19"/>
                      </w:rPr>
                      <w:t>27</w:t>
                    </w:r>
                  </w:p>
                </w:txbxContent>
              </v:textbox>
              <w10:wrap type="none"/>
            </v:shape>
            <v:shape style="position:absolute;left:3372;top:-2075;width:211;height:195" type="#_x0000_t202" filled="false" stroked="false">
              <v:textbox inset="0,0,0,0">
                <w:txbxContent>
                  <w:p>
                    <w:pPr>
                      <w:spacing w:line="195" w:lineRule="exact" w:before="0"/>
                      <w:ind w:left="0" w:right="-2" w:firstLine="0"/>
                      <w:jc w:val="left"/>
                      <w:rPr>
                        <w:rFonts w:ascii="Calibri"/>
                        <w:sz w:val="19"/>
                      </w:rPr>
                    </w:pPr>
                    <w:r>
                      <w:rPr>
                        <w:rFonts w:ascii="Calibri"/>
                        <w:sz w:val="19"/>
                      </w:rPr>
                      <w:t>10</w:t>
                    </w:r>
                  </w:p>
                </w:txbxContent>
              </v:textbox>
              <w10:wrap type="none"/>
            </v:shape>
            <v:shape style="position:absolute;left:5420;top:-2011;width:211;height:196" type="#_x0000_t202" filled="false" stroked="false">
              <v:textbox inset="0,0,0,0">
                <w:txbxContent>
                  <w:p>
                    <w:pPr>
                      <w:spacing w:line="195" w:lineRule="exact" w:before="0"/>
                      <w:ind w:left="0" w:right="-2" w:firstLine="0"/>
                      <w:jc w:val="left"/>
                      <w:rPr>
                        <w:rFonts w:ascii="Calibri"/>
                        <w:sz w:val="19"/>
                      </w:rPr>
                    </w:pPr>
                    <w:r>
                      <w:rPr>
                        <w:rFonts w:ascii="Calibri"/>
                        <w:sz w:val="19"/>
                      </w:rPr>
                      <w:t>22</w:t>
                    </w:r>
                  </w:p>
                </w:txbxContent>
              </v:textbox>
              <w10:wrap type="none"/>
            </v:shape>
            <v:shape style="position:absolute;left:5961;top:-2084;width:515;height:244" type="#_x0000_t202" filled="false" stroked="false">
              <v:textbox inset="0,0,0,0">
                <w:txbxContent>
                  <w:p>
                    <w:pPr>
                      <w:spacing w:line="244" w:lineRule="exact" w:before="0"/>
                      <w:ind w:left="0" w:right="0" w:firstLine="0"/>
                      <w:jc w:val="left"/>
                      <w:rPr>
                        <w:rFonts w:ascii="Calibri"/>
                        <w:sz w:val="19"/>
                      </w:rPr>
                    </w:pPr>
                    <w:r>
                      <w:rPr>
                        <w:rFonts w:ascii="Calibri"/>
                        <w:w w:val="105"/>
                        <w:position w:val="-4"/>
                        <w:sz w:val="19"/>
                      </w:rPr>
                      <w:t>24 </w:t>
                    </w:r>
                    <w:r>
                      <w:rPr>
                        <w:rFonts w:ascii="Calibri"/>
                        <w:w w:val="105"/>
                        <w:sz w:val="19"/>
                      </w:rPr>
                      <w:t>21</w:t>
                    </w:r>
                  </w:p>
                </w:txbxContent>
              </v:textbox>
              <w10:wrap type="none"/>
            </v:shape>
            <v:shape style="position:absolute;left:6638;top:-2123;width:366;height:390" type="#_x0000_t202" filled="false" stroked="false">
              <v:textbox inset="0,0,0,0">
                <w:txbxContent>
                  <w:p>
                    <w:pPr>
                      <w:spacing w:line="179" w:lineRule="exact" w:before="0"/>
                      <w:ind w:left="0" w:right="-3" w:firstLine="0"/>
                      <w:jc w:val="left"/>
                      <w:rPr>
                        <w:rFonts w:ascii="Calibri"/>
                        <w:sz w:val="19"/>
                      </w:rPr>
                    </w:pPr>
                    <w:r>
                      <w:rPr>
                        <w:rFonts w:ascii="Calibri"/>
                        <w:w w:val="105"/>
                        <w:sz w:val="19"/>
                      </w:rPr>
                      <w:t>23</w:t>
                    </w:r>
                  </w:p>
                  <w:p>
                    <w:pPr>
                      <w:spacing w:line="211" w:lineRule="exact" w:before="0"/>
                      <w:ind w:left="156" w:right="-3" w:firstLine="0"/>
                      <w:jc w:val="left"/>
                      <w:rPr>
                        <w:rFonts w:ascii="Calibri"/>
                        <w:sz w:val="19"/>
                      </w:rPr>
                    </w:pPr>
                    <w:r>
                      <w:rPr>
                        <w:rFonts w:ascii="Calibri"/>
                        <w:sz w:val="19"/>
                      </w:rPr>
                      <w:t>17</w:t>
                    </w:r>
                  </w:p>
                </w:txbxContent>
              </v:textbox>
              <w10:wrap type="none"/>
            </v:shape>
            <v:shape style="position:absolute;left:8540;top:-3028;width:623;height:1055" type="#_x0000_t202" filled="false" stroked="false">
              <v:textbox inset="0,0,0,0">
                <w:txbxContent>
                  <w:p>
                    <w:pPr>
                      <w:spacing w:line="183" w:lineRule="exact" w:before="0"/>
                      <w:ind w:left="0" w:right="-14" w:firstLine="0"/>
                      <w:jc w:val="left"/>
                      <w:rPr>
                        <w:rFonts w:ascii="Calibri"/>
                        <w:sz w:val="19"/>
                      </w:rPr>
                    </w:pPr>
                    <w:r>
                      <w:rPr>
                        <w:rFonts w:ascii="Calibri"/>
                        <w:w w:val="105"/>
                        <w:sz w:val="19"/>
                      </w:rPr>
                      <w:t>NH</w:t>
                    </w:r>
                  </w:p>
                  <w:p>
                    <w:pPr>
                      <w:spacing w:line="218" w:lineRule="exact" w:before="0"/>
                      <w:ind w:left="55" w:right="-14" w:firstLine="0"/>
                      <w:jc w:val="left"/>
                      <w:rPr>
                        <w:rFonts w:ascii="Calibri"/>
                        <w:sz w:val="19"/>
                      </w:rPr>
                    </w:pPr>
                    <w:r>
                      <w:rPr>
                        <w:rFonts w:ascii="Calibri"/>
                        <w:w w:val="105"/>
                        <w:sz w:val="19"/>
                      </w:rPr>
                      <w:t>MSE</w:t>
                    </w:r>
                  </w:p>
                  <w:p>
                    <w:pPr>
                      <w:spacing w:before="127"/>
                      <w:ind w:left="385" w:right="0" w:firstLine="0"/>
                      <w:jc w:val="left"/>
                      <w:rPr>
                        <w:rFonts w:ascii="Calibri"/>
                        <w:sz w:val="19"/>
                      </w:rPr>
                    </w:pPr>
                    <w:r>
                      <w:rPr>
                        <w:rFonts w:ascii="Calibri"/>
                        <w:w w:val="102"/>
                        <w:sz w:val="19"/>
                      </w:rPr>
                      <w:t>2</w:t>
                    </w:r>
                  </w:p>
                  <w:p>
                    <w:pPr>
                      <w:spacing w:line="230" w:lineRule="exact" w:before="64"/>
                      <w:ind w:left="407" w:right="-14" w:firstLine="0"/>
                      <w:jc w:val="left"/>
                      <w:rPr>
                        <w:rFonts w:ascii="Calibri"/>
                        <w:sz w:val="19"/>
                      </w:rPr>
                    </w:pPr>
                    <w:r>
                      <w:rPr>
                        <w:rFonts w:ascii="Calibri"/>
                        <w:sz w:val="19"/>
                      </w:rPr>
                      <w:t>DT</w:t>
                    </w:r>
                  </w:p>
                </w:txbxContent>
              </v:textbox>
              <w10:wrap type="none"/>
            </v:shape>
            <v:shape style="position:absolute;left:7535;top:-1995;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26</w:t>
                    </w:r>
                  </w:p>
                </w:txbxContent>
              </v:textbox>
              <w10:wrap type="none"/>
            </v:shape>
            <v:shape style="position:absolute;left:3667;top:-1801;width:211;height:195" type="#_x0000_t202" filled="false" stroked="false">
              <v:textbox inset="0,0,0,0">
                <w:txbxContent>
                  <w:p>
                    <w:pPr>
                      <w:spacing w:line="195" w:lineRule="exact" w:before="0"/>
                      <w:ind w:left="0" w:right="-2" w:firstLine="0"/>
                      <w:jc w:val="left"/>
                      <w:rPr>
                        <w:rFonts w:ascii="Calibri"/>
                        <w:sz w:val="19"/>
                      </w:rPr>
                    </w:pPr>
                    <w:r>
                      <w:rPr>
                        <w:rFonts w:ascii="Calibri"/>
                        <w:sz w:val="19"/>
                      </w:rPr>
                      <w:t>28</w:t>
                    </w:r>
                  </w:p>
                </w:txbxContent>
              </v:textbox>
              <w10:wrap type="none"/>
            </v:shape>
            <v:shape style="position:absolute;left:4431;top:-1830;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18</w:t>
                    </w:r>
                  </w:p>
                </w:txbxContent>
              </v:textbox>
              <w10:wrap type="none"/>
            </v:shape>
            <v:shape style="position:absolute;left:8335;top:-1952;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25</w:t>
                    </w:r>
                  </w:p>
                </w:txbxContent>
              </v:textbox>
              <w10:wrap type="none"/>
            </v:shape>
            <v:shape style="position:absolute;left:5783;top:-1746;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16</w:t>
                    </w:r>
                  </w:p>
                </w:txbxContent>
              </v:textbox>
              <w10:wrap type="none"/>
            </v:shape>
            <v:shape style="position:absolute;left:7865;top:-1889;width:211;height:196" type="#_x0000_t202" filled="false" stroked="false">
              <v:textbox inset="0,0,0,0">
                <w:txbxContent>
                  <w:p>
                    <w:pPr>
                      <w:spacing w:line="195" w:lineRule="exact" w:before="0"/>
                      <w:ind w:left="0" w:right="-2" w:firstLine="0"/>
                      <w:jc w:val="left"/>
                      <w:rPr>
                        <w:rFonts w:ascii="Calibri"/>
                        <w:sz w:val="19"/>
                      </w:rPr>
                    </w:pPr>
                    <w:r>
                      <w:rPr>
                        <w:rFonts w:ascii="Calibri"/>
                        <w:sz w:val="19"/>
                      </w:rPr>
                      <w:t>15</w:t>
                    </w:r>
                  </w:p>
                </w:txbxContent>
              </v:textbox>
              <w10:wrap type="none"/>
            </v:shape>
            <v:shape style="position:absolute;left:6197;top:-1717;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12</w:t>
                    </w:r>
                  </w:p>
                </w:txbxContent>
              </v:textbox>
              <w10:wrap type="none"/>
            </v:shape>
            <v:shape style="position:absolute;left:6584;top:-1734;width:211;height:195" type="#_x0000_t202" filled="false" stroked="false">
              <v:textbox inset="0,0,0,0">
                <w:txbxContent>
                  <w:p>
                    <w:pPr>
                      <w:spacing w:line="195" w:lineRule="exact" w:before="0"/>
                      <w:ind w:left="0" w:right="-2" w:firstLine="0"/>
                      <w:jc w:val="left"/>
                      <w:rPr>
                        <w:rFonts w:ascii="Calibri"/>
                        <w:sz w:val="19"/>
                      </w:rPr>
                    </w:pPr>
                    <w:r>
                      <w:rPr>
                        <w:rFonts w:ascii="Calibri"/>
                        <w:sz w:val="19"/>
                      </w:rPr>
                      <w:t>14</w:t>
                    </w:r>
                  </w:p>
                </w:txbxContent>
              </v:textbox>
              <w10:wrap type="none"/>
            </v:shape>
            <v:shape style="position:absolute;left:7296;top:-1751;width:211;height:196" type="#_x0000_t202" filled="false" stroked="false">
              <v:textbox inset="0,0,0,0">
                <w:txbxContent>
                  <w:p>
                    <w:pPr>
                      <w:spacing w:line="195" w:lineRule="exact" w:before="0"/>
                      <w:ind w:left="0" w:right="-2" w:firstLine="0"/>
                      <w:jc w:val="left"/>
                      <w:rPr>
                        <w:rFonts w:ascii="Calibri"/>
                        <w:sz w:val="19"/>
                      </w:rPr>
                    </w:pPr>
                    <w:r>
                      <w:rPr>
                        <w:rFonts w:ascii="Calibri"/>
                        <w:sz w:val="19"/>
                      </w:rPr>
                      <w:t>13</w:t>
                    </w:r>
                  </w:p>
                </w:txbxContent>
              </v:textbox>
              <w10:wrap type="none"/>
            </v:shape>
            <v:shape style="position:absolute;left:9269;top:-2210;width:537;height:733" type="#_x0000_t202" filled="false" stroked="false">
              <v:textbox inset="0,0,0,0">
                <w:txbxContent>
                  <w:p>
                    <w:pPr>
                      <w:spacing w:line="197" w:lineRule="exact" w:before="0"/>
                      <w:ind w:left="96" w:right="-12" w:firstLine="0"/>
                      <w:jc w:val="left"/>
                      <w:rPr>
                        <w:rFonts w:ascii="Calibri"/>
                        <w:sz w:val="19"/>
                      </w:rPr>
                    </w:pPr>
                    <w:r>
                      <w:rPr>
                        <w:rFonts w:ascii="Calibri"/>
                        <w:w w:val="105"/>
                        <w:sz w:val="19"/>
                      </w:rPr>
                      <w:t>MVT</w:t>
                    </w:r>
                  </w:p>
                  <w:p>
                    <w:pPr>
                      <w:spacing w:line="261" w:lineRule="auto" w:before="52"/>
                      <w:ind w:left="0" w:right="-12" w:firstLine="186"/>
                      <w:jc w:val="left"/>
                      <w:rPr>
                        <w:rFonts w:ascii="Calibri"/>
                        <w:sz w:val="19"/>
                      </w:rPr>
                    </w:pPr>
                    <w:r>
                      <w:rPr>
                        <w:rFonts w:ascii="Calibri"/>
                        <w:sz w:val="19"/>
                      </w:rPr>
                      <w:t>MST </w:t>
                    </w:r>
                    <w:r>
                      <w:rPr>
                        <w:rFonts w:ascii="Calibri"/>
                        <w:w w:val="105"/>
                        <w:sz w:val="19"/>
                      </w:rPr>
                      <w:t>MVTH</w:t>
                    </w:r>
                  </w:p>
                </w:txbxContent>
              </v:textbox>
              <w10:wrap type="none"/>
            </v:shape>
            <v:shape style="position:absolute;left:6690;top:-1481;width:210;height:195" type="#_x0000_t202" filled="false" stroked="false">
              <v:textbox inset="0,0,0,0">
                <w:txbxContent>
                  <w:p>
                    <w:pPr>
                      <w:spacing w:line="195" w:lineRule="exact" w:before="0"/>
                      <w:ind w:left="0" w:right="-3" w:firstLine="0"/>
                      <w:jc w:val="left"/>
                      <w:rPr>
                        <w:rFonts w:ascii="Calibri"/>
                        <w:sz w:val="19"/>
                      </w:rPr>
                    </w:pPr>
                    <w:r>
                      <w:rPr>
                        <w:rFonts w:ascii="Calibri"/>
                        <w:sz w:val="19"/>
                      </w:rPr>
                      <w:t>19</w:t>
                    </w:r>
                  </w:p>
                </w:txbxContent>
              </v:textbox>
              <w10:wrap type="none"/>
            </v:shape>
            <v:shape style="position:absolute;left:7654;top:-1399;width:211;height:196" type="#_x0000_t202" filled="false" stroked="false">
              <v:textbox inset="0,0,0,0">
                <w:txbxContent>
                  <w:p>
                    <w:pPr>
                      <w:spacing w:line="195" w:lineRule="exact" w:before="0"/>
                      <w:ind w:left="0" w:right="-2" w:firstLine="0"/>
                      <w:jc w:val="left"/>
                      <w:rPr>
                        <w:rFonts w:ascii="Calibri"/>
                        <w:sz w:val="19"/>
                      </w:rPr>
                    </w:pPr>
                    <w:r>
                      <w:rPr>
                        <w:rFonts w:ascii="Calibri"/>
                        <w:sz w:val="19"/>
                      </w:rPr>
                      <w:t>20</w:t>
                    </w:r>
                  </w:p>
                </w:txbxContent>
              </v:textbox>
              <w10:wrap type="none"/>
            </v:shape>
            <v:shape style="position:absolute;left:8299;top:-1440;width:210;height:196" type="#_x0000_t202" filled="false" stroked="false">
              <v:textbox inset="0,0,0,0">
                <w:txbxContent>
                  <w:p>
                    <w:pPr>
                      <w:spacing w:line="195" w:lineRule="exact" w:before="0"/>
                      <w:ind w:left="0" w:right="-3" w:firstLine="0"/>
                      <w:jc w:val="left"/>
                      <w:rPr>
                        <w:rFonts w:ascii="Calibri"/>
                        <w:sz w:val="19"/>
                      </w:rPr>
                    </w:pPr>
                    <w:r>
                      <w:rPr>
                        <w:rFonts w:ascii="Calibri"/>
                        <w:sz w:val="19"/>
                      </w:rPr>
                      <w:t>29</w:t>
                    </w:r>
                  </w:p>
                </w:txbxContent>
              </v:textbox>
              <w10:wrap type="none"/>
            </v:shape>
            <v:shape style="position:absolute;left:8662;top:-1448;width:664;height:440" type="#_x0000_t202" filled="false" stroked="false">
              <v:textbox inset="0,0,0,0">
                <w:txbxContent>
                  <w:p>
                    <w:pPr>
                      <w:spacing w:line="197" w:lineRule="exact" w:before="0"/>
                      <w:ind w:left="196" w:right="-13" w:firstLine="0"/>
                      <w:jc w:val="left"/>
                      <w:rPr>
                        <w:rFonts w:ascii="Calibri"/>
                        <w:sz w:val="19"/>
                      </w:rPr>
                    </w:pPr>
                    <w:r>
                      <w:rPr>
                        <w:rFonts w:ascii="Calibri"/>
                        <w:sz w:val="19"/>
                      </w:rPr>
                      <w:t>MSTH</w:t>
                    </w:r>
                  </w:p>
                  <w:p>
                    <w:pPr>
                      <w:spacing w:line="230" w:lineRule="exact" w:before="12"/>
                      <w:ind w:left="0" w:right="-13" w:firstLine="0"/>
                      <w:jc w:val="left"/>
                      <w:rPr>
                        <w:rFonts w:ascii="Calibri"/>
                        <w:sz w:val="19"/>
                      </w:rPr>
                    </w:pPr>
                    <w:r>
                      <w:rPr>
                        <w:rFonts w:ascii="Calibri"/>
                        <w:w w:val="105"/>
                        <w:sz w:val="19"/>
                      </w:rPr>
                      <w:t>AP</w:t>
                    </w:r>
                  </w:p>
                </w:txbxContent>
              </v:textbox>
              <w10:wrap type="none"/>
            </v:shape>
            <v:shape style="position:absolute;left:7753;top:-937;width:202;height:196" type="#_x0000_t202" filled="false" stroked="false">
              <v:textbox inset="0,0,0,0">
                <w:txbxContent>
                  <w:p>
                    <w:pPr>
                      <w:spacing w:line="195" w:lineRule="exact" w:before="0"/>
                      <w:ind w:left="0" w:right="-12" w:firstLine="0"/>
                      <w:jc w:val="left"/>
                      <w:rPr>
                        <w:rFonts w:ascii="Calibri"/>
                        <w:sz w:val="19"/>
                      </w:rPr>
                    </w:pPr>
                    <w:r>
                      <w:rPr>
                        <w:rFonts w:ascii="Calibri"/>
                        <w:spacing w:val="-9"/>
                        <w:sz w:val="19"/>
                      </w:rPr>
                      <w:t>AC</w:t>
                    </w:r>
                  </w:p>
                </w:txbxContent>
              </v:textbox>
              <w10:wrap type="none"/>
            </v:shape>
            <v:shape style="position:absolute;left:2322;top:-376;width:8589;height:353" type="#_x0000_t202" filled="false" stroked="false">
              <v:textbox inset="0,0,0,0">
                <w:txbxContent>
                  <w:p>
                    <w:pPr>
                      <w:tabs>
                        <w:tab w:pos="1460" w:val="left" w:leader="none"/>
                        <w:tab w:pos="2769" w:val="left" w:leader="none"/>
                        <w:tab w:pos="4261" w:val="left" w:leader="none"/>
                        <w:tab w:pos="5570" w:val="left" w:leader="none"/>
                        <w:tab w:pos="7030" w:val="left" w:leader="none"/>
                        <w:tab w:pos="8340" w:val="left" w:leader="none"/>
                      </w:tabs>
                      <w:spacing w:line="160" w:lineRule="exact" w:before="0"/>
                      <w:ind w:left="-1" w:right="0" w:firstLine="0"/>
                      <w:jc w:val="center"/>
                      <w:rPr>
                        <w:rFonts w:ascii="Calibri"/>
                        <w:sz w:val="19"/>
                      </w:rPr>
                    </w:pPr>
                    <w:r>
                      <w:rPr>
                        <w:rFonts w:ascii="Calibri"/>
                        <w:w w:val="105"/>
                        <w:sz w:val="19"/>
                      </w:rPr>
                      <w:t>-1,5</w:t>
                      <w:tab/>
                      <w:t>-1</w:t>
                      <w:tab/>
                      <w:t>-0,5</w:t>
                      <w:tab/>
                      <w:t>0</w:t>
                      <w:tab/>
                      <w:t>0,5</w:t>
                      <w:tab/>
                      <w:t>1</w:t>
                      <w:tab/>
                    </w:r>
                    <w:r>
                      <w:rPr>
                        <w:rFonts w:ascii="Calibri"/>
                        <w:sz w:val="19"/>
                      </w:rPr>
                      <w:t>1,5</w:t>
                    </w:r>
                  </w:p>
                  <w:p>
                    <w:pPr>
                      <w:spacing w:line="192" w:lineRule="exact" w:before="0"/>
                      <w:ind w:left="19" w:right="0" w:firstLine="0"/>
                      <w:jc w:val="center"/>
                      <w:rPr>
                        <w:rFonts w:ascii="Calibri"/>
                        <w:b/>
                        <w:sz w:val="19"/>
                      </w:rPr>
                    </w:pPr>
                    <w:r>
                      <w:rPr>
                        <w:rFonts w:ascii="Calibri"/>
                        <w:b/>
                        <w:w w:val="105"/>
                        <w:sz w:val="19"/>
                      </w:rPr>
                      <w:t>Componente Principal 1 (60.6%)</w:t>
                    </w:r>
                  </w:p>
                </w:txbxContent>
              </v:textbox>
              <w10:wrap type="none"/>
            </v:shape>
            <w10:wrap type="none"/>
          </v:group>
        </w:pict>
      </w:r>
      <w:r>
        <w:rPr/>
        <w:t>Figura 1. Interrelación entre 29 cultivares de maíz y 11 variables agronómicas.</w:t>
      </w:r>
    </w:p>
    <w:p>
      <w:pPr>
        <w:pStyle w:val="BodyText"/>
        <w:rPr>
          <w:b/>
        </w:rPr>
      </w:pPr>
    </w:p>
    <w:p>
      <w:pPr>
        <w:pStyle w:val="BodyText"/>
        <w:spacing w:line="480" w:lineRule="auto" w:before="154"/>
        <w:ind w:left="102" w:right="393"/>
        <w:jc w:val="both"/>
      </w:pPr>
      <w:r>
        <w:rPr/>
        <w:t>En el Grupo 1 (G1) se identificó S-4(30), AS-820, Amarillo San Cristobal, SBA-470, AS-722, P-804W e Insurgente (Códigos 1, 8, 18, 4, 7, 5, 11 y 9). A excepción del tercero, que pertenece a la raza Cónico (Cuadro 2), se infiere que el resto podría tener germoplasma racial complejo del CIMMYT. Los progenitores de H-40 e Insurgente son (CML246 x CML242) x M39 y (CML450xCML461)  x CML462 y en otros estudios se observó que H-40 se agrupó con AS-820 y AS-722 (González </w:t>
      </w:r>
      <w:r>
        <w:rPr>
          <w:i/>
        </w:rPr>
        <w:t>et al</w:t>
      </w:r>
      <w:r>
        <w:rPr/>
        <w:t>., 2008; Rodríguez </w:t>
      </w:r>
      <w:r>
        <w:rPr>
          <w:i/>
        </w:rPr>
        <w:t>et al</w:t>
      </w:r>
      <w:r>
        <w:rPr/>
        <w:t>., 2015), de ahí la hipótesis previamente establecida. Los cultivares más sobresalientes fueron SBA-470 y AS-722 con   19.01 y 18.52 t ha</w:t>
      </w:r>
      <w:r>
        <w:rPr>
          <w:position w:val="8"/>
          <w:sz w:val="14"/>
        </w:rPr>
        <w:t>-1  </w:t>
      </w:r>
      <w:r>
        <w:rPr/>
        <w:t>de materia seca total y 86.96 y</w:t>
      </w:r>
    </w:p>
    <w:p>
      <w:pPr>
        <w:pStyle w:val="ListParagraph"/>
        <w:numPr>
          <w:ilvl w:val="1"/>
          <w:numId w:val="9"/>
        </w:numPr>
        <w:tabs>
          <w:tab w:pos="655" w:val="left" w:leader="none"/>
        </w:tabs>
        <w:spacing w:line="480" w:lineRule="auto" w:before="0" w:after="0"/>
        <w:ind w:left="102" w:right="391" w:firstLine="0"/>
        <w:jc w:val="both"/>
        <w:rPr>
          <w:sz w:val="22"/>
        </w:rPr>
      </w:pPr>
      <w:r>
        <w:rPr>
          <w:sz w:val="22"/>
        </w:rPr>
        <w:t>t ha</w:t>
      </w:r>
      <w:r>
        <w:rPr>
          <w:position w:val="8"/>
          <w:sz w:val="14"/>
        </w:rPr>
        <w:t>-1 </w:t>
      </w:r>
      <w:r>
        <w:rPr>
          <w:sz w:val="22"/>
        </w:rPr>
        <w:t>de materia verde total (Cuadro 5). González </w:t>
      </w:r>
      <w:r>
        <w:rPr>
          <w:i/>
          <w:sz w:val="22"/>
        </w:rPr>
        <w:t>et al</w:t>
      </w:r>
      <w:r>
        <w:rPr>
          <w:sz w:val="22"/>
        </w:rPr>
        <w:t>. (2007), González </w:t>
      </w:r>
      <w:r>
        <w:rPr>
          <w:i/>
          <w:sz w:val="22"/>
        </w:rPr>
        <w:t>et al</w:t>
      </w:r>
      <w:r>
        <w:rPr>
          <w:sz w:val="22"/>
        </w:rPr>
        <w:t>., (2008), González </w:t>
      </w:r>
      <w:r>
        <w:rPr>
          <w:i/>
          <w:sz w:val="22"/>
        </w:rPr>
        <w:t>et al</w:t>
      </w:r>
      <w:r>
        <w:rPr>
          <w:sz w:val="22"/>
        </w:rPr>
        <w:t>. (2010) y Rodríguez </w:t>
      </w:r>
      <w:r>
        <w:rPr>
          <w:i/>
          <w:sz w:val="22"/>
        </w:rPr>
        <w:t>et al</w:t>
      </w:r>
      <w:r>
        <w:rPr>
          <w:sz w:val="22"/>
        </w:rPr>
        <w:t>. (2015) han destacado el alto potencial que tiene AS-722 para producir grano en la región centro del estado de México, México.  El  empleo  de los materiales de este grupo</w:t>
      </w:r>
      <w:r>
        <w:rPr>
          <w:spacing w:val="-12"/>
          <w:sz w:val="22"/>
        </w:rPr>
        <w:t> </w:t>
      </w:r>
      <w:r>
        <w:rPr>
          <w:sz w:val="22"/>
        </w:rPr>
        <w:t>en</w:t>
      </w:r>
    </w:p>
    <w:p>
      <w:pPr>
        <w:spacing w:after="0" w:line="480" w:lineRule="auto"/>
        <w:jc w:val="both"/>
        <w:rPr>
          <w:sz w:val="22"/>
        </w:rPr>
        <w:sectPr>
          <w:pgSz w:w="12240" w:h="15840"/>
          <w:pgMar w:header="0" w:footer="1003" w:top="1500" w:bottom="1200" w:left="1600" w:right="1020"/>
        </w:sectPr>
      </w:pPr>
    </w:p>
    <w:p>
      <w:pPr>
        <w:pStyle w:val="BodyText"/>
        <w:spacing w:before="8"/>
        <w:rPr>
          <w:sz w:val="10"/>
        </w:rPr>
      </w:pPr>
    </w:p>
    <w:p>
      <w:pPr>
        <w:pStyle w:val="BodyText"/>
        <w:spacing w:line="480" w:lineRule="auto" w:before="73"/>
        <w:ind w:left="102" w:right="121"/>
        <w:jc w:val="both"/>
      </w:pPr>
      <w:r>
        <w:rPr/>
        <w:t>un programa de mejora vegetal podría contribuir a la derivación de materiales de doble propósito de ciclo biológico y alturas de planta intermedias, resistentes al acame y con aceptables producciones en biomasa y  materia seca.</w:t>
      </w:r>
    </w:p>
    <w:p>
      <w:pPr>
        <w:pStyle w:val="BodyText"/>
        <w:spacing w:line="480" w:lineRule="auto" w:before="170"/>
        <w:ind w:left="102" w:right="112"/>
        <w:jc w:val="both"/>
      </w:pPr>
      <w:r>
        <w:rPr/>
        <w:t>En el grupo 2 (G2) se detectó Amarillos San Diego, Lomas, San José, Tlacotepec  y  Blancos Jiquipilco, San Cayetano, San Mateo, Xalatlaco y Ixtlahuaca (Códigos 12, 14, 16, 17, 19, 21, 22, 23 y 24); de éstos los más sobresalientes en producción de materia verde o seca total fueron Blancos San Cayetano (87.79 y 18.94 t ha</w:t>
      </w:r>
      <w:r>
        <w:rPr>
          <w:position w:val="8"/>
          <w:sz w:val="14"/>
        </w:rPr>
        <w:t>-1</w:t>
      </w:r>
      <w:r>
        <w:rPr/>
        <w:t>) y Jiquipilco (90.94 y 18.43 t ha</w:t>
      </w:r>
      <w:r>
        <w:rPr>
          <w:position w:val="8"/>
          <w:sz w:val="14"/>
        </w:rPr>
        <w:t>-1</w:t>
      </w:r>
      <w:r>
        <w:rPr/>
        <w:t>) y Amarillo Lomas (93.43 y 18.68 t ha</w:t>
      </w:r>
      <w:r>
        <w:rPr>
          <w:position w:val="8"/>
          <w:sz w:val="14"/>
        </w:rPr>
        <w:t>-1</w:t>
      </w:r>
      <w:r>
        <w:rPr/>
        <w:t>). Según el INIFAP los nueve cultivares pertenecen a las razas Cónico o Cónico-Chalqueño  (Cuadro 2). Estos resultados son consistentes con los observados en otros estudios donde el cultivar Ixtlahuaca fue clasificado como Cónico (González </w:t>
      </w:r>
      <w:r>
        <w:rPr>
          <w:i/>
        </w:rPr>
        <w:t>et al</w:t>
      </w:r>
      <w:r>
        <w:rPr/>
        <w:t>., 2007; González </w:t>
      </w:r>
      <w:r>
        <w:rPr>
          <w:i/>
        </w:rPr>
        <w:t>et al</w:t>
      </w:r>
      <w:r>
        <w:rPr/>
        <w:t>., 2008; González </w:t>
      </w:r>
      <w:r>
        <w:rPr>
          <w:i/>
        </w:rPr>
        <w:t>et al</w:t>
      </w:r>
      <w:r>
        <w:rPr/>
        <w:t>., 2011). Con relación a G1, éstos fueron más altos y más susceptibles al acame pero produjeron más MVTH, MVT, MSTH y MST (Cuadro 5). Su colecta se hizo en Almoloya de Juárez, Ixtlahuaca, Jiquipilco, Temoaya, Toluca y Santiago Tianguistenco (Cuadro 2), municipios mexiquenses donde Wellhausen </w:t>
      </w:r>
      <w:r>
        <w:rPr>
          <w:i/>
        </w:rPr>
        <w:t>et al</w:t>
      </w:r>
      <w:r>
        <w:rPr/>
        <w:t>. (1951) concluyó que la diversidad de los maíces criollos pertenecientes a esta región corresponde a las razas Cónico y Chalqueño.  El cruzamiento de líneas endogámicas de G1 y G2  podría ayudar a la formación de variedades e híbridos de alta producción de grano y forraje. Otra opción importarte para esta región sería formar mestizos (cruza línea x variedad) para intentar incrementar  heterosis y</w:t>
      </w:r>
      <w:r>
        <w:rPr>
          <w:spacing w:val="46"/>
        </w:rPr>
        <w:t> </w:t>
      </w:r>
      <w:r>
        <w:rPr/>
        <w:t>adaptabilidad.</w:t>
      </w:r>
    </w:p>
    <w:p>
      <w:pPr>
        <w:pStyle w:val="BodyText"/>
        <w:spacing w:line="480" w:lineRule="auto" w:before="170"/>
        <w:ind w:left="102" w:right="113"/>
        <w:jc w:val="both"/>
      </w:pPr>
      <w:r>
        <w:rPr/>
        <w:t>En el grupo 3 (G3) fueron identificados los Amarillos Zanahoria y Fresno Nichi (códigos 10 y 28),  muy precoces, susceptibles al acame y con las menores dimensiones en planta, hojas por planta, diámetro de tallo y materia verde y seca (Cuadro 5). Ambos pertenecen a la raza Cónico y provienen  de los municipios de Metepec y San Felipe del Progreso (Cuadro 2), región donde Wellhausen </w:t>
      </w:r>
      <w:r>
        <w:rPr>
          <w:i/>
        </w:rPr>
        <w:t>et al</w:t>
      </w:r>
      <w:r>
        <w:rPr/>
        <w:t>. (1951) también clasificaron criollos de la raza Cónico. González </w:t>
      </w:r>
      <w:r>
        <w:rPr>
          <w:i/>
        </w:rPr>
        <w:t>et al</w:t>
      </w:r>
      <w:r>
        <w:rPr/>
        <w:t>. (2011) observaron que el  cultivar</w:t>
      </w:r>
      <w:r>
        <w:rPr>
          <w:spacing w:val="25"/>
        </w:rPr>
        <w:t> </w:t>
      </w:r>
      <w:r>
        <w:rPr/>
        <w:t>Ixtlahuaca,</w:t>
      </w:r>
      <w:r>
        <w:rPr>
          <w:spacing w:val="24"/>
        </w:rPr>
        <w:t> </w:t>
      </w:r>
      <w:r>
        <w:rPr/>
        <w:t>un</w:t>
      </w:r>
      <w:r>
        <w:rPr>
          <w:spacing w:val="24"/>
        </w:rPr>
        <w:t> </w:t>
      </w:r>
      <w:r>
        <w:rPr/>
        <w:t>Cónico</w:t>
      </w:r>
      <w:r>
        <w:rPr>
          <w:spacing w:val="24"/>
        </w:rPr>
        <w:t> </w:t>
      </w:r>
      <w:r>
        <w:rPr/>
        <w:t>usado</w:t>
      </w:r>
      <w:r>
        <w:rPr>
          <w:spacing w:val="24"/>
        </w:rPr>
        <w:t> </w:t>
      </w:r>
      <w:r>
        <w:rPr/>
        <w:t>como</w:t>
      </w:r>
      <w:r>
        <w:rPr>
          <w:spacing w:val="24"/>
        </w:rPr>
        <w:t> </w:t>
      </w:r>
      <w:r>
        <w:rPr/>
        <w:t>testigo,</w:t>
      </w:r>
      <w:r>
        <w:rPr>
          <w:spacing w:val="24"/>
        </w:rPr>
        <w:t> </w:t>
      </w:r>
      <w:r>
        <w:rPr/>
        <w:t>estuvo</w:t>
      </w:r>
      <w:r>
        <w:rPr>
          <w:spacing w:val="24"/>
        </w:rPr>
        <w:t> </w:t>
      </w:r>
      <w:r>
        <w:rPr/>
        <w:t>muy</w:t>
      </w:r>
      <w:r>
        <w:rPr>
          <w:spacing w:val="22"/>
        </w:rPr>
        <w:t> </w:t>
      </w:r>
      <w:r>
        <w:rPr/>
        <w:t>cercano</w:t>
      </w:r>
      <w:r>
        <w:rPr>
          <w:spacing w:val="24"/>
        </w:rPr>
        <w:t> </w:t>
      </w:r>
      <w:r>
        <w:rPr/>
        <w:t>o</w:t>
      </w:r>
      <w:r>
        <w:rPr>
          <w:spacing w:val="24"/>
        </w:rPr>
        <w:t> </w:t>
      </w:r>
      <w:r>
        <w:rPr/>
        <w:t>se</w:t>
      </w:r>
      <w:r>
        <w:rPr>
          <w:spacing w:val="24"/>
        </w:rPr>
        <w:t> </w:t>
      </w:r>
      <w:r>
        <w:rPr/>
        <w:t>agrupó</w:t>
      </w:r>
      <w:r>
        <w:rPr>
          <w:spacing w:val="24"/>
        </w:rPr>
        <w:t> </w:t>
      </w:r>
      <w:r>
        <w:rPr/>
        <w:t>con</w:t>
      </w:r>
      <w:r>
        <w:rPr>
          <w:spacing w:val="24"/>
        </w:rPr>
        <w:t> </w:t>
      </w:r>
      <w:r>
        <w:rPr/>
        <w:t>20</w:t>
      </w:r>
      <w:r>
        <w:rPr>
          <w:spacing w:val="24"/>
        </w:rPr>
        <w:t> </w:t>
      </w:r>
      <w:r>
        <w:rPr/>
        <w:t>criollos</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6"/>
        <w:jc w:val="both"/>
      </w:pPr>
      <w:r>
        <w:rPr/>
        <w:t>colectados en El Fresno Nichi, por lo que sugirió que éstos últimos también podrían pertenecer a esta raza. Ambos cultivares podrían emplearse en cruzas intervarietales con criollos de esta u otras razas para formar variedades más precoces.</w:t>
      </w:r>
    </w:p>
    <w:p>
      <w:pPr>
        <w:pStyle w:val="BodyText"/>
        <w:spacing w:before="10"/>
        <w:rPr>
          <w:sz w:val="11"/>
        </w:rPr>
      </w:pPr>
      <w:r>
        <w:rPr/>
        <w:drawing>
          <wp:anchor distT="0" distB="0" distL="0" distR="0" allowOverlap="1" layoutInCell="1" locked="0" behindDoc="0" simplePos="0" relativeHeight="2080">
            <wp:simplePos x="0" y="0"/>
            <wp:positionH relativeFrom="page">
              <wp:posOffset>1080516</wp:posOffset>
            </wp:positionH>
            <wp:positionV relativeFrom="paragraph">
              <wp:posOffset>112000</wp:posOffset>
            </wp:positionV>
            <wp:extent cx="5599696" cy="2878931"/>
            <wp:effectExtent l="0" t="0" r="0" b="0"/>
            <wp:wrapTopAndBottom/>
            <wp:docPr id="7" name="image12.png" descr=""/>
            <wp:cNvGraphicFramePr>
              <a:graphicFrameLocks noChangeAspect="1"/>
            </wp:cNvGraphicFramePr>
            <a:graphic>
              <a:graphicData uri="http://schemas.openxmlformats.org/drawingml/2006/picture">
                <pic:pic>
                  <pic:nvPicPr>
                    <pic:cNvPr id="8" name="image12.png"/>
                    <pic:cNvPicPr/>
                  </pic:nvPicPr>
                  <pic:blipFill>
                    <a:blip r:embed="rId31" cstate="print"/>
                    <a:stretch>
                      <a:fillRect/>
                    </a:stretch>
                  </pic:blipFill>
                  <pic:spPr>
                    <a:xfrm>
                      <a:off x="0" y="0"/>
                      <a:ext cx="5599696" cy="2878931"/>
                    </a:xfrm>
                    <a:prstGeom prst="rect">
                      <a:avLst/>
                    </a:prstGeom>
                  </pic:spPr>
                </pic:pic>
              </a:graphicData>
            </a:graphic>
          </wp:anchor>
        </w:drawing>
      </w:r>
    </w:p>
    <w:p>
      <w:pPr>
        <w:pStyle w:val="BodyText"/>
      </w:pPr>
    </w:p>
    <w:p>
      <w:pPr>
        <w:pStyle w:val="Heading2"/>
        <w:spacing w:line="480" w:lineRule="auto" w:before="140"/>
        <w:ind w:right="113"/>
      </w:pPr>
      <w:r>
        <w:rPr/>
        <w:t>Figura 2. Agrupamiento de 29 maíces considerando 11 variables agronómicas. Método de media aritmética no</w:t>
      </w:r>
      <w:r>
        <w:rPr>
          <w:spacing w:val="51"/>
        </w:rPr>
        <w:t> </w:t>
      </w:r>
      <w:r>
        <w:rPr/>
        <w:t>ponderada.</w:t>
      </w:r>
    </w:p>
    <w:p>
      <w:pPr>
        <w:pStyle w:val="BodyText"/>
        <w:spacing w:line="480" w:lineRule="auto" w:before="163"/>
        <w:ind w:left="102" w:right="113"/>
        <w:jc w:val="both"/>
      </w:pPr>
      <w:r>
        <w:rPr/>
        <w:t>El grupo 4 (G4) se formó con Victoria y H-159 (Códigos 2 y 6), dos de los cultivares más sobresalientes. Ambos fueron más tardíos (FM), tuvieron más hojas por planta (NH), mayor diámetro de tallo (DT), y produjeron más biomasa (MVTH, MVE, MVT) y materia seca (MSTH, MSE, MST) que los materiales de G1, G2 y G3. Kennington </w:t>
      </w:r>
      <w:r>
        <w:rPr>
          <w:i/>
        </w:rPr>
        <w:t>et al</w:t>
      </w:r>
      <w:r>
        <w:rPr/>
        <w:t>. (2005) sugirieron que la eficiencia en la producción y calidad de forraje en maíz dependen principalmente del cultivar. Ambos cultivares tuvieron un DT inferior al registrado por Bosch </w:t>
      </w:r>
      <w:r>
        <w:rPr>
          <w:i/>
        </w:rPr>
        <w:t>et al</w:t>
      </w:r>
      <w:r>
        <w:rPr/>
        <w:t>. (1992) en los materiales más sobresalientes, que fue de 2.33 cm. H-159 produjo más materia seca de elote pero fue superado por Victoria en FM, NH, DT, MVTH, MVE, MVT, MSTH, MSE, MST (Cuadro 5). Victoria fue formado por el ICAMEX con </w:t>
      </w:r>
      <w:r>
        <w:rPr>
          <w:position w:val="2"/>
        </w:rPr>
        <w:t>líneas S</w:t>
      </w:r>
      <w:r>
        <w:rPr>
          <w:sz w:val="14"/>
        </w:rPr>
        <w:t>4  </w:t>
      </w:r>
      <w:r>
        <w:rPr>
          <w:position w:val="2"/>
        </w:rPr>
        <w:t>de V-18 (raza Cónico). Los progenitores de H-159,  (M49xM50) x LTVA,  fueron </w:t>
      </w:r>
      <w:r>
        <w:rPr>
          <w:spacing w:val="51"/>
          <w:position w:val="2"/>
        </w:rPr>
        <w:t> </w:t>
      </w:r>
      <w:r>
        <w:rPr>
          <w:position w:val="2"/>
        </w:rPr>
        <w:t>derivados</w:t>
      </w:r>
    </w:p>
    <w:p>
      <w:pPr>
        <w:spacing w:after="0" w:line="480" w:lineRule="auto"/>
        <w:jc w:val="both"/>
        <w:sectPr>
          <w:footerReference w:type="default" r:id="rId30"/>
          <w:pgSz w:w="12240" w:h="15840"/>
          <w:pgMar w:footer="1003" w:header="0" w:top="1500" w:bottom="1200" w:left="1600" w:right="1300"/>
        </w:sectPr>
      </w:pPr>
    </w:p>
    <w:p>
      <w:pPr>
        <w:pStyle w:val="BodyText"/>
        <w:spacing w:before="8"/>
        <w:rPr>
          <w:sz w:val="10"/>
        </w:rPr>
      </w:pPr>
    </w:p>
    <w:p>
      <w:pPr>
        <w:pStyle w:val="BodyText"/>
        <w:spacing w:line="480" w:lineRule="auto" w:before="73"/>
        <w:ind w:left="102" w:right="114"/>
        <w:jc w:val="both"/>
      </w:pPr>
      <w:r>
        <w:rPr/>
        <w:t>por el INIFAP de germoplasma complejo de El Bajío y de la raza Chalqueño. Las razas Cónico y Chalqueño son predominantes en los Valles Altos del Centro de México en más del 85 % de la superficie sembrada con maíz en los estados de Hidalgo, México, Puebla y Tlaxcala (Wellhausen </w:t>
      </w:r>
      <w:r>
        <w:rPr>
          <w:i/>
        </w:rPr>
        <w:t>et al</w:t>
      </w:r>
      <w:r>
        <w:rPr/>
        <w:t>., 1951). Ambos cultivares podrían emplearse con algunas restricciones en la derivación de nuevas líneas endogámicas con propósitos de mejora vegetal o generación de tecnología agropecuaria.</w:t>
      </w:r>
    </w:p>
    <w:p>
      <w:pPr>
        <w:pStyle w:val="BodyText"/>
        <w:spacing w:line="480" w:lineRule="auto" w:before="168"/>
        <w:ind w:left="102" w:right="111"/>
        <w:jc w:val="both"/>
      </w:pPr>
      <w:r>
        <w:rPr/>
        <w:t>En el grupo 5 (G5) se identificó Amarillos Allende, San Cayetano, y Portes Gil, Cacahuacintles Tlacotepec y San Cristóbal, y Blancos San Diego y Tlacotepec (códigos 13, 15, 29, 26, 27, 25, y 20); éstos fueron más precoces, de mayor porte de planta, más susceptibles al acame y </w:t>
      </w:r>
      <w:r>
        <w:rPr>
          <w:spacing w:val="2"/>
        </w:rPr>
        <w:t>con </w:t>
      </w:r>
      <w:r>
        <w:rPr/>
        <w:t>dimensiones en materia verde y seca estadísticamente iguales a la de los cultivares de G4. Muñoz-Tlahuiz </w:t>
      </w:r>
      <w:r>
        <w:rPr>
          <w:i/>
        </w:rPr>
        <w:t>et al</w:t>
      </w:r>
      <w:r>
        <w:rPr/>
        <w:t>. (2003) identificaron criollos con alturas de planta contrastantes en el rango de 177 a 247 cm. Las mayores alturas de planta son un prerrequisito para obtener mayor  producción de materia verde y/o seca.  Subedi y Ma (2005) mencionaron que el número total de hojas y, específicamente las situadas por arriba e inmediatamente debajo de la mazorca, son las más importantes para incrementar rendimiento de grano y/o biomasa. Los cultivares identificados como 15, 20, 25 y 29 rindieron de 21.56 a 22.10 t ha</w:t>
      </w:r>
      <w:r>
        <w:rPr>
          <w:position w:val="8"/>
          <w:sz w:val="14"/>
        </w:rPr>
        <w:t>-1 </w:t>
      </w:r>
      <w:r>
        <w:rPr/>
        <w:t>de MST o de 101.81 a 113.29 t ha</w:t>
      </w:r>
      <w:r>
        <w:rPr>
          <w:position w:val="8"/>
          <w:sz w:val="14"/>
        </w:rPr>
        <w:t>-1 </w:t>
      </w:r>
      <w:r>
        <w:rPr/>
        <w:t>de MVT (Cuadro 5). Wong </w:t>
      </w:r>
      <w:r>
        <w:rPr>
          <w:i/>
        </w:rPr>
        <w:t>et al</w:t>
      </w:r>
      <w:r>
        <w:rPr/>
        <w:t>. (2006) y Lauer </w:t>
      </w:r>
      <w:r>
        <w:rPr>
          <w:i/>
        </w:rPr>
        <w:t>et al</w:t>
      </w:r>
      <w:r>
        <w:rPr/>
        <w:t>. (2001) concluyeron que los pesos frescos y secos de elote con brácteas (MVE ó MSE) y de tallos (MVT ó MST) son los dos componentes principales de la materia verde y seca total. En este contexto el mejoramiento genético para la formación de nuevos cultivares forrajeros debe enfocarse a la obtención de materiales con más MVE, MSE, MVT, y MST, como un prerrequisito para aumentar la producción de materia seca total. Los siete cultivares pertenecen a las razas Cónico, Cónico-Chalqueño o Cacahuacintle y fueron colectados en Temoaya, Toluca, Almoloya de Juárez, Zinacantepec y San Felipe del Progreso (Cuadro 2). La clasificación racial que hizo el INIFAP para los materiales en este grupo son congruentes con los publicados por Wellhausen </w:t>
      </w:r>
      <w:r>
        <w:rPr>
          <w:i/>
        </w:rPr>
        <w:t>et al</w:t>
      </w:r>
      <w:r>
        <w:rPr/>
        <w:t>. (1951) y por González </w:t>
      </w:r>
      <w:r>
        <w:rPr>
          <w:i/>
        </w:rPr>
        <w:t>et al</w:t>
      </w:r>
      <w:r>
        <w:rPr/>
        <w:t>.</w:t>
      </w:r>
      <w:r>
        <w:rPr>
          <w:spacing w:val="-21"/>
        </w:rPr>
        <w:t> </w:t>
      </w:r>
      <w:r>
        <w:rPr/>
        <w:t>(2008).</w:t>
      </w:r>
    </w:p>
    <w:p>
      <w:pPr>
        <w:spacing w:after="0" w:line="480" w:lineRule="auto"/>
        <w:jc w:val="both"/>
        <w:sectPr>
          <w:footerReference w:type="default" r:id="rId32"/>
          <w:pgSz w:w="12240" w:h="15840"/>
          <w:pgMar w:footer="943" w:header="0" w:top="1500" w:bottom="1140" w:left="1600" w:right="1300"/>
          <w:pgNumType w:start="41"/>
        </w:sectPr>
      </w:pPr>
    </w:p>
    <w:p>
      <w:pPr>
        <w:pStyle w:val="BodyText"/>
        <w:spacing w:before="8"/>
        <w:rPr>
          <w:sz w:val="10"/>
        </w:rPr>
      </w:pPr>
    </w:p>
    <w:p>
      <w:pPr>
        <w:pStyle w:val="BodyText"/>
        <w:spacing w:line="480" w:lineRule="auto" w:before="73"/>
        <w:ind w:left="102" w:right="114"/>
        <w:jc w:val="both"/>
      </w:pPr>
      <w:r>
        <w:rPr/>
        <w:t>P-1832 (Grupo 6, código 3) tuvo el mayor ciclo vegetativo, más hojas por planta y cero acame. Estas ventajas contribuyeron a una mayor producción de materia verde de elote, la cual fue superior a las de los cultivares de G1, G2 y G3 pero inferior a la de G4 y G5. Su altura de planta fue tan baja como la  de los materiales agrupados en G3 (Cuadro5). Se infiere que sus progenitores son diferentes de los que dan origen al resto de los cultivares debido a sus tres primeras características contrastantes. En los Valles Altos del Centro de México son comunes las heladas tardías y tempranas, por lo que P-1832 tendrá desventajas si se siembra en fechas posteriores al 15 de abril o en localidades situadas por arriba de los 2600 msnm (González </w:t>
      </w:r>
      <w:r>
        <w:rPr>
          <w:i/>
        </w:rPr>
        <w:t>et al</w:t>
      </w:r>
      <w:r>
        <w:rPr/>
        <w:t>., 2007; González </w:t>
      </w:r>
      <w:r>
        <w:rPr>
          <w:i/>
        </w:rPr>
        <w:t>et al</w:t>
      </w:r>
      <w:r>
        <w:rPr/>
        <w:t>., 2008; González </w:t>
      </w:r>
      <w:r>
        <w:rPr>
          <w:i/>
        </w:rPr>
        <w:t>et al</w:t>
      </w:r>
      <w:r>
        <w:rPr/>
        <w:t>., 2011). La cruza intervarietal entre P-1832 con Amarillos Zanahoria o Fresno Nichi podría ser promisoria al generar materiales más precoces, de alturas intermedias, con mayor número de hojas por planta, mayor diámetro de tallo y resistentes al acame y con producciones de MVT o MST quizás idénticas a las de los grupos 4 y</w:t>
      </w:r>
      <w:r>
        <w:rPr>
          <w:spacing w:val="-3"/>
        </w:rPr>
        <w:t> </w:t>
      </w:r>
      <w:r>
        <w:rPr/>
        <w:t>5.</w:t>
      </w:r>
    </w:p>
    <w:p>
      <w:pPr>
        <w:pStyle w:val="BodyText"/>
        <w:spacing w:line="477" w:lineRule="auto" w:before="168"/>
        <w:ind w:left="102" w:right="113"/>
        <w:jc w:val="both"/>
      </w:pPr>
      <w:r>
        <w:rPr/>
        <w:t>La superioridad que mostraron los cultivares que integraron los grupos 4, 5 y 6 se atribuye a la correlación positiva y significativa que existió entre sus producciones de materia verde </w:t>
      </w:r>
      <w:r>
        <w:rPr>
          <w:spacing w:val="2"/>
        </w:rPr>
        <w:t>y/o </w:t>
      </w:r>
      <w:r>
        <w:rPr/>
        <w:t>seca con el resto de las variables evaluadas, excepto con acame de tallo y raíz (Figura 1). Las producciones de materia verde total en todos los cultivares y, especialmente en los más sobresalientes, fue igual o  mayor a la media del estado de México, que es de 44.4 t ha</w:t>
      </w:r>
      <w:r>
        <w:rPr>
          <w:position w:val="8"/>
          <w:sz w:val="14"/>
        </w:rPr>
        <w:t>-1 </w:t>
      </w:r>
      <w:r>
        <w:rPr/>
        <w:t>(SAGARPA, 2014) y fueron similares o mayores a los registrados por Nuñez </w:t>
      </w:r>
      <w:r>
        <w:rPr>
          <w:i/>
        </w:rPr>
        <w:t>et al</w:t>
      </w:r>
      <w:r>
        <w:rPr/>
        <w:t>. (1999), Peña </w:t>
      </w:r>
      <w:r>
        <w:rPr>
          <w:i/>
        </w:rPr>
        <w:t>et al</w:t>
      </w:r>
      <w:r>
        <w:rPr/>
        <w:t>. (2008), Castillo </w:t>
      </w:r>
      <w:r>
        <w:rPr>
          <w:i/>
        </w:rPr>
        <w:t>et al</w:t>
      </w:r>
      <w:r>
        <w:rPr/>
        <w:t>. (2009), con rendimientos que varían entre 70 y 95 t ha</w:t>
      </w:r>
      <w:r>
        <w:rPr>
          <w:position w:val="8"/>
          <w:sz w:val="14"/>
        </w:rPr>
        <w:t>-1 </w:t>
      </w:r>
      <w:r>
        <w:rPr/>
        <w:t>de materia verde y más de 20. 0 t ha</w:t>
      </w:r>
      <w:r>
        <w:rPr>
          <w:position w:val="8"/>
          <w:sz w:val="14"/>
        </w:rPr>
        <w:t>-1 </w:t>
      </w:r>
      <w:r>
        <w:rPr/>
        <w:t>de materia</w:t>
      </w:r>
      <w:r>
        <w:rPr>
          <w:spacing w:val="23"/>
        </w:rPr>
        <w:t> </w:t>
      </w:r>
      <w:r>
        <w:rPr/>
        <w:t>seca.</w:t>
      </w:r>
    </w:p>
    <w:p>
      <w:pPr>
        <w:pStyle w:val="BodyText"/>
        <w:spacing w:line="480" w:lineRule="auto" w:before="165"/>
        <w:ind w:left="102" w:right="113"/>
        <w:jc w:val="both"/>
      </w:pPr>
      <w:r>
        <w:rPr/>
        <w:t>Los materiales más resistentes al acame de tallo y raíz fueron SBA-470, P-804W, AS-722 y P-1832, con menos del 3.0 %. Esta fracción podría usarse para mejorar el pobre sistema radicular que caracteriza a las razas de Valles Altos del Centro de México, como Cacahuacintle, Cónico, Chalqueño, Palomero Toluqueño y Arrocillo Amarillo (González </w:t>
      </w:r>
      <w:r>
        <w:rPr>
          <w:i/>
        </w:rPr>
        <w:t>et al</w:t>
      </w:r>
      <w:r>
        <w:rPr/>
        <w:t>., 2008; Reynoso </w:t>
      </w:r>
      <w:r>
        <w:rPr>
          <w:i/>
        </w:rPr>
        <w:t>et al</w:t>
      </w:r>
      <w:r>
        <w:rPr/>
        <w:t>., 2014; Rodríguez </w:t>
      </w:r>
      <w:r>
        <w:rPr>
          <w:i/>
        </w:rPr>
        <w:t>et </w:t>
      </w:r>
      <w:r>
        <w:rPr>
          <w:i/>
        </w:rPr>
        <w:t>al</w:t>
      </w:r>
      <w:r>
        <w:rPr/>
        <w:t>., 2015).</w:t>
      </w:r>
    </w:p>
    <w:p>
      <w:pPr>
        <w:spacing w:after="0" w:line="480" w:lineRule="auto"/>
        <w:jc w:val="both"/>
        <w:sectPr>
          <w:pgSz w:w="12240" w:h="15840"/>
          <w:pgMar w:header="0" w:footer="943" w:top="1500" w:bottom="1200" w:left="1600" w:right="1300"/>
        </w:sectPr>
      </w:pPr>
    </w:p>
    <w:p>
      <w:pPr>
        <w:pStyle w:val="BodyText"/>
        <w:spacing w:before="4"/>
        <w:rPr>
          <w:sz w:val="11"/>
        </w:rPr>
      </w:pPr>
    </w:p>
    <w:p>
      <w:pPr>
        <w:pStyle w:val="Heading2"/>
        <w:spacing w:before="72"/>
        <w:ind w:left="222"/>
        <w:jc w:val="left"/>
      </w:pPr>
      <w:r>
        <w:rPr/>
        <w:t>Cuadro 5. Comparación de </w:t>
      </w:r>
      <w:r>
        <w:rPr>
          <w:sz w:val="20"/>
        </w:rPr>
        <w:t>medias </w:t>
      </w:r>
      <w:r>
        <w:rPr/>
        <w:t>entre 29 genotipos de maíz.</w:t>
      </w:r>
    </w:p>
    <w:p>
      <w:pPr>
        <w:pStyle w:val="BodyText"/>
        <w:rPr>
          <w:b/>
          <w:sz w:val="20"/>
        </w:rPr>
      </w:pPr>
    </w:p>
    <w:p>
      <w:pPr>
        <w:pStyle w:val="BodyText"/>
        <w:spacing w:before="3"/>
        <w:rPr>
          <w:b/>
          <w:sz w:val="19"/>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2"/>
        <w:gridCol w:w="894"/>
        <w:gridCol w:w="650"/>
        <w:gridCol w:w="718"/>
        <w:gridCol w:w="648"/>
        <w:gridCol w:w="718"/>
        <w:gridCol w:w="718"/>
        <w:gridCol w:w="710"/>
        <w:gridCol w:w="749"/>
        <w:gridCol w:w="742"/>
        <w:gridCol w:w="649"/>
        <w:gridCol w:w="720"/>
      </w:tblGrid>
      <w:tr>
        <w:trPr>
          <w:trHeight w:val="974" w:hRule="exact"/>
        </w:trPr>
        <w:tc>
          <w:tcPr>
            <w:tcW w:w="1322" w:type="dxa"/>
            <w:tcBorders>
              <w:left w:val="nil"/>
              <w:right w:val="nil"/>
            </w:tcBorders>
          </w:tcPr>
          <w:p>
            <w:pPr>
              <w:pStyle w:val="TableParagraph"/>
              <w:spacing w:line="157" w:lineRule="exact"/>
              <w:ind w:left="108"/>
              <w:rPr>
                <w:b/>
                <w:sz w:val="14"/>
              </w:rPr>
            </w:pPr>
            <w:r>
              <w:rPr>
                <w:b/>
                <w:sz w:val="14"/>
              </w:rPr>
              <w:t>Genotipo</w:t>
            </w:r>
          </w:p>
        </w:tc>
        <w:tc>
          <w:tcPr>
            <w:tcW w:w="894" w:type="dxa"/>
            <w:tcBorders>
              <w:left w:val="nil"/>
              <w:right w:val="nil"/>
            </w:tcBorders>
          </w:tcPr>
          <w:p>
            <w:pPr>
              <w:pStyle w:val="TableParagraph"/>
              <w:spacing w:line="157" w:lineRule="exact"/>
              <w:ind w:left="244"/>
              <w:rPr>
                <w:b/>
                <w:sz w:val="14"/>
              </w:rPr>
            </w:pPr>
            <w:r>
              <w:rPr>
                <w:b/>
                <w:sz w:val="14"/>
              </w:rPr>
              <w:t>FM</w:t>
            </w:r>
          </w:p>
          <w:p>
            <w:pPr>
              <w:pStyle w:val="TableParagraph"/>
              <w:rPr>
                <w:b/>
                <w:sz w:val="14"/>
              </w:rPr>
            </w:pPr>
          </w:p>
          <w:p>
            <w:pPr>
              <w:pStyle w:val="TableParagraph"/>
              <w:spacing w:before="10"/>
              <w:rPr>
                <w:b/>
                <w:sz w:val="13"/>
              </w:rPr>
            </w:pPr>
          </w:p>
          <w:p>
            <w:pPr>
              <w:pStyle w:val="TableParagraph"/>
              <w:spacing w:before="1"/>
              <w:ind w:left="244"/>
              <w:rPr>
                <w:b/>
                <w:sz w:val="14"/>
              </w:rPr>
            </w:pPr>
            <w:r>
              <w:rPr>
                <w:b/>
                <w:sz w:val="14"/>
              </w:rPr>
              <w:t>(días)</w:t>
            </w:r>
          </w:p>
        </w:tc>
        <w:tc>
          <w:tcPr>
            <w:tcW w:w="650" w:type="dxa"/>
            <w:tcBorders>
              <w:left w:val="nil"/>
              <w:right w:val="nil"/>
            </w:tcBorders>
          </w:tcPr>
          <w:p>
            <w:pPr>
              <w:pStyle w:val="TableParagraph"/>
              <w:spacing w:line="157" w:lineRule="exact"/>
              <w:ind w:left="109"/>
              <w:rPr>
                <w:b/>
                <w:sz w:val="14"/>
              </w:rPr>
            </w:pPr>
            <w:r>
              <w:rPr>
                <w:b/>
                <w:sz w:val="14"/>
              </w:rPr>
              <w:t>AP</w:t>
            </w:r>
          </w:p>
          <w:p>
            <w:pPr>
              <w:pStyle w:val="TableParagraph"/>
              <w:rPr>
                <w:b/>
                <w:sz w:val="14"/>
              </w:rPr>
            </w:pPr>
          </w:p>
          <w:p>
            <w:pPr>
              <w:pStyle w:val="TableParagraph"/>
              <w:spacing w:before="10"/>
              <w:rPr>
                <w:b/>
                <w:sz w:val="13"/>
              </w:rPr>
            </w:pPr>
          </w:p>
          <w:p>
            <w:pPr>
              <w:pStyle w:val="TableParagraph"/>
              <w:spacing w:before="1"/>
              <w:ind w:left="109"/>
              <w:rPr>
                <w:b/>
                <w:sz w:val="14"/>
              </w:rPr>
            </w:pPr>
            <w:r>
              <w:rPr>
                <w:b/>
                <w:sz w:val="14"/>
              </w:rPr>
              <w:t>(m)</w:t>
            </w:r>
          </w:p>
        </w:tc>
        <w:tc>
          <w:tcPr>
            <w:tcW w:w="718" w:type="dxa"/>
            <w:tcBorders>
              <w:left w:val="nil"/>
              <w:right w:val="nil"/>
            </w:tcBorders>
          </w:tcPr>
          <w:p>
            <w:pPr>
              <w:pStyle w:val="TableParagraph"/>
              <w:spacing w:line="157" w:lineRule="exact"/>
              <w:ind w:left="107" w:right="357"/>
              <w:rPr>
                <w:b/>
                <w:sz w:val="14"/>
              </w:rPr>
            </w:pPr>
            <w:r>
              <w:rPr>
                <w:b/>
                <w:sz w:val="14"/>
              </w:rPr>
              <w:t>NH</w:t>
            </w:r>
          </w:p>
        </w:tc>
        <w:tc>
          <w:tcPr>
            <w:tcW w:w="648" w:type="dxa"/>
            <w:tcBorders>
              <w:left w:val="nil"/>
              <w:right w:val="nil"/>
            </w:tcBorders>
          </w:tcPr>
          <w:p>
            <w:pPr>
              <w:pStyle w:val="TableParagraph"/>
              <w:spacing w:line="157" w:lineRule="exact"/>
              <w:ind w:left="107"/>
              <w:rPr>
                <w:b/>
                <w:sz w:val="14"/>
              </w:rPr>
            </w:pPr>
            <w:r>
              <w:rPr>
                <w:b/>
                <w:sz w:val="14"/>
              </w:rPr>
              <w:t>DT</w:t>
            </w:r>
          </w:p>
          <w:p>
            <w:pPr>
              <w:pStyle w:val="TableParagraph"/>
              <w:rPr>
                <w:b/>
                <w:sz w:val="14"/>
              </w:rPr>
            </w:pPr>
          </w:p>
          <w:p>
            <w:pPr>
              <w:pStyle w:val="TableParagraph"/>
              <w:spacing w:before="10"/>
              <w:rPr>
                <w:b/>
                <w:sz w:val="13"/>
              </w:rPr>
            </w:pPr>
          </w:p>
          <w:p>
            <w:pPr>
              <w:pStyle w:val="TableParagraph"/>
              <w:spacing w:before="1"/>
              <w:ind w:left="107"/>
              <w:rPr>
                <w:b/>
                <w:sz w:val="14"/>
              </w:rPr>
            </w:pPr>
            <w:r>
              <w:rPr>
                <w:b/>
                <w:sz w:val="14"/>
              </w:rPr>
              <w:t>(cm)</w:t>
            </w:r>
          </w:p>
        </w:tc>
        <w:tc>
          <w:tcPr>
            <w:tcW w:w="718" w:type="dxa"/>
            <w:tcBorders>
              <w:left w:val="nil"/>
              <w:right w:val="nil"/>
            </w:tcBorders>
          </w:tcPr>
          <w:p>
            <w:pPr>
              <w:pStyle w:val="TableParagraph"/>
              <w:spacing w:line="720" w:lineRule="auto"/>
              <w:ind w:left="107" w:right="357"/>
              <w:rPr>
                <w:b/>
                <w:sz w:val="14"/>
              </w:rPr>
            </w:pPr>
            <w:r>
              <w:rPr>
                <w:b/>
                <w:sz w:val="14"/>
              </w:rPr>
              <w:t>AC (%)</w:t>
            </w:r>
          </w:p>
        </w:tc>
        <w:tc>
          <w:tcPr>
            <w:tcW w:w="718" w:type="dxa"/>
            <w:tcBorders>
              <w:left w:val="nil"/>
              <w:right w:val="nil"/>
            </w:tcBorders>
          </w:tcPr>
          <w:p>
            <w:pPr>
              <w:pStyle w:val="TableParagraph"/>
              <w:spacing w:line="157" w:lineRule="exact"/>
              <w:ind w:left="107"/>
              <w:rPr>
                <w:b/>
                <w:sz w:val="14"/>
              </w:rPr>
            </w:pPr>
            <w:r>
              <w:rPr>
                <w:b/>
                <w:sz w:val="14"/>
              </w:rPr>
              <w:t>MVTH</w:t>
            </w:r>
          </w:p>
          <w:p>
            <w:pPr>
              <w:pStyle w:val="TableParagraph"/>
              <w:rPr>
                <w:b/>
                <w:sz w:val="14"/>
              </w:rPr>
            </w:pPr>
          </w:p>
          <w:p>
            <w:pPr>
              <w:pStyle w:val="TableParagraph"/>
              <w:spacing w:before="7"/>
              <w:rPr>
                <w:b/>
                <w:sz w:val="13"/>
              </w:rPr>
            </w:pPr>
          </w:p>
          <w:p>
            <w:pPr>
              <w:pStyle w:val="TableParagraph"/>
              <w:ind w:left="107"/>
              <w:rPr>
                <w:b/>
                <w:sz w:val="14"/>
              </w:rPr>
            </w:pPr>
            <w:r>
              <w:rPr>
                <w:b/>
                <w:sz w:val="14"/>
              </w:rPr>
              <w:t>(t ha</w:t>
            </w:r>
            <w:r>
              <w:rPr>
                <w:b/>
                <w:position w:val="5"/>
                <w:sz w:val="9"/>
              </w:rPr>
              <w:t>-1</w:t>
            </w:r>
            <w:r>
              <w:rPr>
                <w:b/>
                <w:sz w:val="14"/>
              </w:rPr>
              <w:t>)</w:t>
            </w:r>
          </w:p>
        </w:tc>
        <w:tc>
          <w:tcPr>
            <w:tcW w:w="710" w:type="dxa"/>
            <w:tcBorders>
              <w:left w:val="nil"/>
              <w:right w:val="nil"/>
            </w:tcBorders>
          </w:tcPr>
          <w:p>
            <w:pPr>
              <w:pStyle w:val="TableParagraph"/>
              <w:spacing w:line="157" w:lineRule="exact"/>
              <w:ind w:left="107"/>
              <w:rPr>
                <w:b/>
                <w:sz w:val="14"/>
              </w:rPr>
            </w:pPr>
            <w:r>
              <w:rPr>
                <w:b/>
                <w:sz w:val="14"/>
              </w:rPr>
              <w:t>MVE</w:t>
            </w:r>
          </w:p>
          <w:p>
            <w:pPr>
              <w:pStyle w:val="TableParagraph"/>
              <w:rPr>
                <w:b/>
                <w:sz w:val="14"/>
              </w:rPr>
            </w:pPr>
          </w:p>
          <w:p>
            <w:pPr>
              <w:pStyle w:val="TableParagraph"/>
              <w:spacing w:before="7"/>
              <w:rPr>
                <w:b/>
                <w:sz w:val="13"/>
              </w:rPr>
            </w:pPr>
          </w:p>
          <w:p>
            <w:pPr>
              <w:pStyle w:val="TableParagraph"/>
              <w:ind w:left="107"/>
              <w:rPr>
                <w:b/>
                <w:sz w:val="14"/>
              </w:rPr>
            </w:pPr>
            <w:r>
              <w:rPr>
                <w:b/>
                <w:sz w:val="14"/>
              </w:rPr>
              <w:t>(t ha</w:t>
            </w:r>
            <w:r>
              <w:rPr>
                <w:b/>
                <w:position w:val="5"/>
                <w:sz w:val="9"/>
              </w:rPr>
              <w:t>-1</w:t>
            </w:r>
            <w:r>
              <w:rPr>
                <w:b/>
                <w:sz w:val="14"/>
              </w:rPr>
              <w:t>)</w:t>
            </w:r>
          </w:p>
        </w:tc>
        <w:tc>
          <w:tcPr>
            <w:tcW w:w="749" w:type="dxa"/>
            <w:tcBorders>
              <w:left w:val="nil"/>
              <w:right w:val="nil"/>
            </w:tcBorders>
          </w:tcPr>
          <w:p>
            <w:pPr>
              <w:pStyle w:val="TableParagraph"/>
              <w:spacing w:line="157" w:lineRule="exact"/>
              <w:ind w:left="107"/>
              <w:rPr>
                <w:b/>
                <w:sz w:val="14"/>
              </w:rPr>
            </w:pPr>
            <w:r>
              <w:rPr>
                <w:b/>
                <w:sz w:val="14"/>
              </w:rPr>
              <w:t>MVT</w:t>
            </w:r>
          </w:p>
          <w:p>
            <w:pPr>
              <w:pStyle w:val="TableParagraph"/>
              <w:rPr>
                <w:b/>
                <w:sz w:val="14"/>
              </w:rPr>
            </w:pPr>
          </w:p>
          <w:p>
            <w:pPr>
              <w:pStyle w:val="TableParagraph"/>
              <w:spacing w:before="7"/>
              <w:rPr>
                <w:b/>
                <w:sz w:val="13"/>
              </w:rPr>
            </w:pPr>
          </w:p>
          <w:p>
            <w:pPr>
              <w:pStyle w:val="TableParagraph"/>
              <w:ind w:left="107"/>
              <w:rPr>
                <w:b/>
                <w:sz w:val="14"/>
              </w:rPr>
            </w:pPr>
            <w:r>
              <w:rPr>
                <w:b/>
                <w:sz w:val="14"/>
              </w:rPr>
              <w:t>(t ha</w:t>
            </w:r>
            <w:r>
              <w:rPr>
                <w:b/>
                <w:position w:val="5"/>
                <w:sz w:val="9"/>
              </w:rPr>
              <w:t>-1</w:t>
            </w:r>
            <w:r>
              <w:rPr>
                <w:b/>
                <w:sz w:val="14"/>
              </w:rPr>
              <w:t>)</w:t>
            </w:r>
          </w:p>
        </w:tc>
        <w:tc>
          <w:tcPr>
            <w:tcW w:w="742" w:type="dxa"/>
            <w:tcBorders>
              <w:left w:val="nil"/>
              <w:right w:val="nil"/>
            </w:tcBorders>
          </w:tcPr>
          <w:p>
            <w:pPr>
              <w:pStyle w:val="TableParagraph"/>
              <w:spacing w:line="157" w:lineRule="exact"/>
              <w:ind w:left="139"/>
              <w:rPr>
                <w:b/>
                <w:sz w:val="14"/>
              </w:rPr>
            </w:pPr>
            <w:r>
              <w:rPr>
                <w:b/>
                <w:sz w:val="14"/>
              </w:rPr>
              <w:t>MSTH</w:t>
            </w:r>
          </w:p>
          <w:p>
            <w:pPr>
              <w:pStyle w:val="TableParagraph"/>
              <w:rPr>
                <w:b/>
                <w:sz w:val="14"/>
              </w:rPr>
            </w:pPr>
          </w:p>
          <w:p>
            <w:pPr>
              <w:pStyle w:val="TableParagraph"/>
              <w:spacing w:before="7"/>
              <w:rPr>
                <w:b/>
                <w:sz w:val="13"/>
              </w:rPr>
            </w:pPr>
          </w:p>
          <w:p>
            <w:pPr>
              <w:pStyle w:val="TableParagraph"/>
              <w:ind w:left="139"/>
              <w:rPr>
                <w:b/>
                <w:sz w:val="14"/>
              </w:rPr>
            </w:pPr>
            <w:r>
              <w:rPr>
                <w:b/>
                <w:sz w:val="14"/>
              </w:rPr>
              <w:t>(t ha</w:t>
            </w:r>
            <w:r>
              <w:rPr>
                <w:b/>
                <w:position w:val="5"/>
                <w:sz w:val="9"/>
              </w:rPr>
              <w:t>-1</w:t>
            </w:r>
            <w:r>
              <w:rPr>
                <w:b/>
                <w:sz w:val="14"/>
              </w:rPr>
              <w:t>)</w:t>
            </w:r>
          </w:p>
        </w:tc>
        <w:tc>
          <w:tcPr>
            <w:tcW w:w="649" w:type="dxa"/>
            <w:tcBorders>
              <w:left w:val="nil"/>
              <w:right w:val="nil"/>
            </w:tcBorders>
          </w:tcPr>
          <w:p>
            <w:pPr>
              <w:pStyle w:val="TableParagraph"/>
              <w:spacing w:line="157" w:lineRule="exact"/>
              <w:ind w:left="107"/>
              <w:rPr>
                <w:b/>
                <w:sz w:val="14"/>
              </w:rPr>
            </w:pPr>
            <w:r>
              <w:rPr>
                <w:b/>
                <w:sz w:val="14"/>
              </w:rPr>
              <w:t>MSE</w:t>
            </w:r>
          </w:p>
          <w:p>
            <w:pPr>
              <w:pStyle w:val="TableParagraph"/>
              <w:rPr>
                <w:b/>
                <w:sz w:val="14"/>
              </w:rPr>
            </w:pPr>
          </w:p>
          <w:p>
            <w:pPr>
              <w:pStyle w:val="TableParagraph"/>
              <w:spacing w:before="7"/>
              <w:rPr>
                <w:b/>
                <w:sz w:val="13"/>
              </w:rPr>
            </w:pPr>
          </w:p>
          <w:p>
            <w:pPr>
              <w:pStyle w:val="TableParagraph"/>
              <w:ind w:left="107"/>
              <w:rPr>
                <w:b/>
                <w:sz w:val="14"/>
              </w:rPr>
            </w:pPr>
            <w:r>
              <w:rPr>
                <w:b/>
                <w:sz w:val="14"/>
              </w:rPr>
              <w:t>(t ha</w:t>
            </w:r>
            <w:r>
              <w:rPr>
                <w:b/>
                <w:position w:val="5"/>
                <w:sz w:val="9"/>
              </w:rPr>
              <w:t>-1</w:t>
            </w:r>
            <w:r>
              <w:rPr>
                <w:b/>
                <w:sz w:val="14"/>
              </w:rPr>
              <w:t>)</w:t>
            </w:r>
          </w:p>
        </w:tc>
        <w:tc>
          <w:tcPr>
            <w:tcW w:w="720" w:type="dxa"/>
            <w:tcBorders>
              <w:left w:val="nil"/>
              <w:right w:val="nil"/>
            </w:tcBorders>
          </w:tcPr>
          <w:p>
            <w:pPr>
              <w:pStyle w:val="TableParagraph"/>
              <w:spacing w:line="157" w:lineRule="exact"/>
              <w:ind w:left="107"/>
              <w:rPr>
                <w:b/>
                <w:sz w:val="14"/>
              </w:rPr>
            </w:pPr>
            <w:r>
              <w:rPr>
                <w:b/>
                <w:sz w:val="14"/>
              </w:rPr>
              <w:t>MST</w:t>
            </w:r>
          </w:p>
          <w:p>
            <w:pPr>
              <w:pStyle w:val="TableParagraph"/>
              <w:rPr>
                <w:b/>
                <w:sz w:val="14"/>
              </w:rPr>
            </w:pPr>
          </w:p>
          <w:p>
            <w:pPr>
              <w:pStyle w:val="TableParagraph"/>
              <w:spacing w:before="7"/>
              <w:rPr>
                <w:b/>
                <w:sz w:val="13"/>
              </w:rPr>
            </w:pPr>
          </w:p>
          <w:p>
            <w:pPr>
              <w:pStyle w:val="TableParagraph"/>
              <w:ind w:left="107"/>
              <w:rPr>
                <w:b/>
                <w:sz w:val="14"/>
              </w:rPr>
            </w:pPr>
            <w:r>
              <w:rPr>
                <w:b/>
                <w:sz w:val="14"/>
              </w:rPr>
              <w:t>(t ha</w:t>
            </w:r>
            <w:r>
              <w:rPr>
                <w:b/>
                <w:position w:val="5"/>
                <w:sz w:val="9"/>
              </w:rPr>
              <w:t>-1</w:t>
            </w:r>
            <w:r>
              <w:rPr>
                <w:b/>
                <w:sz w:val="14"/>
              </w:rPr>
              <w:t>)</w:t>
            </w:r>
          </w:p>
        </w:tc>
      </w:tr>
      <w:tr>
        <w:trPr>
          <w:trHeight w:val="328" w:hRule="exact"/>
        </w:trPr>
        <w:tc>
          <w:tcPr>
            <w:tcW w:w="1322" w:type="dxa"/>
            <w:tcBorders>
              <w:left w:val="nil"/>
              <w:bottom w:val="nil"/>
              <w:right w:val="nil"/>
            </w:tcBorders>
          </w:tcPr>
          <w:p>
            <w:pPr>
              <w:pStyle w:val="TableParagraph"/>
              <w:spacing w:line="155" w:lineRule="exact"/>
              <w:ind w:left="108"/>
              <w:rPr>
                <w:sz w:val="14"/>
              </w:rPr>
            </w:pPr>
            <w:r>
              <w:rPr>
                <w:sz w:val="14"/>
              </w:rPr>
              <w:t>S-4 (30) (a)</w:t>
            </w:r>
          </w:p>
        </w:tc>
        <w:tc>
          <w:tcPr>
            <w:tcW w:w="894" w:type="dxa"/>
            <w:tcBorders>
              <w:left w:val="nil"/>
              <w:bottom w:val="nil"/>
              <w:right w:val="nil"/>
            </w:tcBorders>
          </w:tcPr>
          <w:p>
            <w:pPr>
              <w:pStyle w:val="TableParagraph"/>
              <w:spacing w:line="155" w:lineRule="exact"/>
              <w:ind w:left="244"/>
              <w:rPr>
                <w:sz w:val="14"/>
              </w:rPr>
            </w:pPr>
            <w:r>
              <w:rPr>
                <w:sz w:val="14"/>
              </w:rPr>
              <w:t>101.91hi</w:t>
            </w:r>
          </w:p>
        </w:tc>
        <w:tc>
          <w:tcPr>
            <w:tcW w:w="650" w:type="dxa"/>
            <w:tcBorders>
              <w:left w:val="nil"/>
              <w:bottom w:val="nil"/>
              <w:right w:val="nil"/>
            </w:tcBorders>
          </w:tcPr>
          <w:p>
            <w:pPr>
              <w:pStyle w:val="TableParagraph"/>
              <w:spacing w:line="155" w:lineRule="exact"/>
              <w:ind w:left="109"/>
              <w:rPr>
                <w:sz w:val="14"/>
              </w:rPr>
            </w:pPr>
            <w:r>
              <w:rPr>
                <w:sz w:val="14"/>
              </w:rPr>
              <w:t>2.15jk</w:t>
            </w:r>
          </w:p>
        </w:tc>
        <w:tc>
          <w:tcPr>
            <w:tcW w:w="718" w:type="dxa"/>
            <w:tcBorders>
              <w:left w:val="nil"/>
              <w:bottom w:val="nil"/>
              <w:right w:val="nil"/>
            </w:tcBorders>
          </w:tcPr>
          <w:p>
            <w:pPr>
              <w:pStyle w:val="TableParagraph"/>
              <w:spacing w:line="155" w:lineRule="exact"/>
              <w:ind w:left="107"/>
              <w:rPr>
                <w:sz w:val="14"/>
              </w:rPr>
            </w:pPr>
            <w:r>
              <w:rPr>
                <w:sz w:val="14"/>
              </w:rPr>
              <w:t>11.91cg</w:t>
            </w:r>
          </w:p>
        </w:tc>
        <w:tc>
          <w:tcPr>
            <w:tcW w:w="648" w:type="dxa"/>
            <w:tcBorders>
              <w:left w:val="nil"/>
              <w:bottom w:val="nil"/>
              <w:right w:val="nil"/>
            </w:tcBorders>
          </w:tcPr>
          <w:p>
            <w:pPr>
              <w:pStyle w:val="TableParagraph"/>
              <w:spacing w:line="155" w:lineRule="exact"/>
              <w:ind w:left="107"/>
              <w:rPr>
                <w:sz w:val="14"/>
              </w:rPr>
            </w:pPr>
            <w:r>
              <w:rPr>
                <w:sz w:val="14"/>
              </w:rPr>
              <w:t>1.71f-h</w:t>
            </w:r>
          </w:p>
        </w:tc>
        <w:tc>
          <w:tcPr>
            <w:tcW w:w="718" w:type="dxa"/>
            <w:tcBorders>
              <w:left w:val="nil"/>
              <w:bottom w:val="nil"/>
              <w:right w:val="nil"/>
            </w:tcBorders>
          </w:tcPr>
          <w:p>
            <w:pPr>
              <w:pStyle w:val="TableParagraph"/>
              <w:spacing w:line="155" w:lineRule="exact"/>
              <w:ind w:left="107"/>
              <w:rPr>
                <w:sz w:val="14"/>
              </w:rPr>
            </w:pPr>
            <w:r>
              <w:rPr>
                <w:sz w:val="14"/>
              </w:rPr>
              <w:t>5.20i-k</w:t>
            </w:r>
          </w:p>
        </w:tc>
        <w:tc>
          <w:tcPr>
            <w:tcW w:w="718" w:type="dxa"/>
            <w:tcBorders>
              <w:left w:val="nil"/>
              <w:bottom w:val="nil"/>
              <w:right w:val="nil"/>
            </w:tcBorders>
          </w:tcPr>
          <w:p>
            <w:pPr>
              <w:pStyle w:val="TableParagraph"/>
              <w:spacing w:line="155" w:lineRule="exact"/>
              <w:ind w:left="107"/>
              <w:rPr>
                <w:sz w:val="14"/>
              </w:rPr>
            </w:pPr>
            <w:r>
              <w:rPr>
                <w:sz w:val="14"/>
              </w:rPr>
              <w:t>41.15k</w:t>
            </w:r>
          </w:p>
        </w:tc>
        <w:tc>
          <w:tcPr>
            <w:tcW w:w="710" w:type="dxa"/>
            <w:tcBorders>
              <w:left w:val="nil"/>
              <w:bottom w:val="nil"/>
              <w:right w:val="nil"/>
            </w:tcBorders>
          </w:tcPr>
          <w:p>
            <w:pPr>
              <w:pStyle w:val="TableParagraph"/>
              <w:spacing w:line="155" w:lineRule="exact"/>
              <w:ind w:left="107"/>
              <w:rPr>
                <w:sz w:val="14"/>
              </w:rPr>
            </w:pPr>
            <w:r>
              <w:rPr>
                <w:sz w:val="14"/>
              </w:rPr>
              <w:t>24.39f-j</w:t>
            </w:r>
          </w:p>
        </w:tc>
        <w:tc>
          <w:tcPr>
            <w:tcW w:w="749" w:type="dxa"/>
            <w:tcBorders>
              <w:left w:val="nil"/>
              <w:bottom w:val="nil"/>
              <w:right w:val="nil"/>
            </w:tcBorders>
          </w:tcPr>
          <w:p>
            <w:pPr>
              <w:pStyle w:val="TableParagraph"/>
              <w:spacing w:line="155" w:lineRule="exact"/>
              <w:ind w:left="107"/>
              <w:rPr>
                <w:sz w:val="14"/>
              </w:rPr>
            </w:pPr>
            <w:r>
              <w:rPr>
                <w:sz w:val="14"/>
              </w:rPr>
              <w:t>65.54j-l</w:t>
            </w:r>
          </w:p>
        </w:tc>
        <w:tc>
          <w:tcPr>
            <w:tcW w:w="742" w:type="dxa"/>
            <w:tcBorders>
              <w:left w:val="nil"/>
              <w:bottom w:val="nil"/>
              <w:right w:val="nil"/>
            </w:tcBorders>
          </w:tcPr>
          <w:p>
            <w:pPr>
              <w:pStyle w:val="TableParagraph"/>
              <w:spacing w:line="155" w:lineRule="exact"/>
              <w:ind w:left="139"/>
              <w:rPr>
                <w:sz w:val="14"/>
              </w:rPr>
            </w:pPr>
            <w:r>
              <w:rPr>
                <w:sz w:val="14"/>
              </w:rPr>
              <w:t>8.47g-j</w:t>
            </w:r>
          </w:p>
        </w:tc>
        <w:tc>
          <w:tcPr>
            <w:tcW w:w="649" w:type="dxa"/>
            <w:tcBorders>
              <w:left w:val="nil"/>
              <w:bottom w:val="nil"/>
              <w:right w:val="nil"/>
            </w:tcBorders>
          </w:tcPr>
          <w:p>
            <w:pPr>
              <w:pStyle w:val="TableParagraph"/>
              <w:spacing w:line="155" w:lineRule="exact"/>
              <w:ind w:left="107"/>
              <w:rPr>
                <w:sz w:val="14"/>
              </w:rPr>
            </w:pPr>
            <w:r>
              <w:rPr>
                <w:sz w:val="14"/>
              </w:rPr>
              <w:t>6.36d-h</w:t>
            </w:r>
          </w:p>
        </w:tc>
        <w:tc>
          <w:tcPr>
            <w:tcW w:w="720" w:type="dxa"/>
            <w:tcBorders>
              <w:left w:val="nil"/>
              <w:bottom w:val="nil"/>
              <w:right w:val="nil"/>
            </w:tcBorders>
          </w:tcPr>
          <w:p>
            <w:pPr>
              <w:pStyle w:val="TableParagraph"/>
              <w:spacing w:line="155" w:lineRule="exact"/>
              <w:ind w:left="107"/>
              <w:rPr>
                <w:sz w:val="14"/>
              </w:rPr>
            </w:pPr>
            <w:r>
              <w:rPr>
                <w:sz w:val="14"/>
              </w:rPr>
              <w:t>14.83ij</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AS-820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99.16l-n</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2.18jk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11.41f-i</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1.77d-h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3.33i-k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45.15jk</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28.96b-f</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74.11h-k</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8.24h-j</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6.85b-g</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15.10h-j</w:t>
            </w:r>
          </w:p>
        </w:tc>
      </w:tr>
      <w:tr>
        <w:trPr>
          <w:trHeight w:val="481"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San Cristóbal (a)</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93.25p</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2.20j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10.60h-j</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1.66gh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11.45h-k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49.67i-k</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22.38h-j</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72.06i-l</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8.97f-j</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5.84f-i</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14.81ij</w:t>
            </w:r>
          </w:p>
        </w:tc>
      </w:tr>
      <w:tr>
        <w:trPr>
          <w:trHeight w:val="482" w:hRule="exact"/>
        </w:trPr>
        <w:tc>
          <w:tcPr>
            <w:tcW w:w="1322" w:type="dxa"/>
            <w:tcBorders>
              <w:top w:val="nil"/>
              <w:left w:val="nil"/>
              <w:bottom w:val="nil"/>
              <w:right w:val="nil"/>
            </w:tcBorders>
          </w:tcPr>
          <w:p>
            <w:pPr>
              <w:pStyle w:val="TableParagraph"/>
              <w:spacing w:before="2"/>
              <w:rPr>
                <w:b/>
                <w:sz w:val="13"/>
              </w:rPr>
            </w:pPr>
          </w:p>
          <w:p>
            <w:pPr>
              <w:pStyle w:val="TableParagraph"/>
              <w:ind w:left="108"/>
              <w:rPr>
                <w:sz w:val="14"/>
              </w:rPr>
            </w:pPr>
            <w:r>
              <w:rPr>
                <w:sz w:val="14"/>
              </w:rPr>
              <w:t>SBA-470 (a)</w:t>
            </w:r>
          </w:p>
        </w:tc>
        <w:tc>
          <w:tcPr>
            <w:tcW w:w="894" w:type="dxa"/>
            <w:tcBorders>
              <w:top w:val="nil"/>
              <w:left w:val="nil"/>
              <w:bottom w:val="nil"/>
              <w:right w:val="nil"/>
            </w:tcBorders>
          </w:tcPr>
          <w:p>
            <w:pPr>
              <w:pStyle w:val="TableParagraph"/>
              <w:spacing w:before="2"/>
              <w:rPr>
                <w:b/>
                <w:sz w:val="13"/>
              </w:rPr>
            </w:pPr>
          </w:p>
          <w:p>
            <w:pPr>
              <w:pStyle w:val="TableParagraph"/>
              <w:ind w:left="244"/>
              <w:rPr>
                <w:sz w:val="14"/>
              </w:rPr>
            </w:pPr>
            <w:r>
              <w:rPr>
                <w:sz w:val="14"/>
              </w:rPr>
              <w:t>104.58f</w:t>
            </w:r>
          </w:p>
        </w:tc>
        <w:tc>
          <w:tcPr>
            <w:tcW w:w="650" w:type="dxa"/>
            <w:tcBorders>
              <w:top w:val="nil"/>
              <w:left w:val="nil"/>
              <w:bottom w:val="nil"/>
              <w:right w:val="nil"/>
            </w:tcBorders>
          </w:tcPr>
          <w:p>
            <w:pPr>
              <w:pStyle w:val="TableParagraph"/>
              <w:spacing w:before="2"/>
              <w:rPr>
                <w:b/>
                <w:sz w:val="13"/>
              </w:rPr>
            </w:pPr>
          </w:p>
          <w:p>
            <w:pPr>
              <w:pStyle w:val="TableParagraph"/>
              <w:ind w:left="109"/>
              <w:rPr>
                <w:sz w:val="14"/>
              </w:rPr>
            </w:pPr>
            <w:r>
              <w:rPr>
                <w:sz w:val="14"/>
              </w:rPr>
              <w:t>2.26ij</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13.07b</w:t>
            </w:r>
          </w:p>
        </w:tc>
        <w:tc>
          <w:tcPr>
            <w:tcW w:w="64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1.97b-f</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1.66k</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55.91f-j</w:t>
            </w:r>
          </w:p>
        </w:tc>
        <w:tc>
          <w:tcPr>
            <w:tcW w:w="710"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31.14a-d</w:t>
            </w:r>
          </w:p>
        </w:tc>
        <w:tc>
          <w:tcPr>
            <w:tcW w:w="749"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86.96d-i</w:t>
            </w:r>
          </w:p>
        </w:tc>
        <w:tc>
          <w:tcPr>
            <w:tcW w:w="742" w:type="dxa"/>
            <w:tcBorders>
              <w:top w:val="nil"/>
              <w:left w:val="nil"/>
              <w:bottom w:val="nil"/>
              <w:right w:val="nil"/>
            </w:tcBorders>
          </w:tcPr>
          <w:p>
            <w:pPr>
              <w:pStyle w:val="TableParagraph"/>
              <w:spacing w:before="2"/>
              <w:rPr>
                <w:b/>
                <w:sz w:val="13"/>
              </w:rPr>
            </w:pPr>
          </w:p>
          <w:p>
            <w:pPr>
              <w:pStyle w:val="TableParagraph"/>
              <w:ind w:left="139"/>
              <w:rPr>
                <w:sz w:val="14"/>
              </w:rPr>
            </w:pPr>
            <w:r>
              <w:rPr>
                <w:sz w:val="14"/>
              </w:rPr>
              <w:t>11.04d-f</w:t>
            </w:r>
          </w:p>
        </w:tc>
        <w:tc>
          <w:tcPr>
            <w:tcW w:w="649"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7.97a-c</w:t>
            </w:r>
          </w:p>
        </w:tc>
        <w:tc>
          <w:tcPr>
            <w:tcW w:w="720"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19.01b-g</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AS-722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101.08i-k</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2.31h-j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12.49b-f</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1.85b-h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2.50jk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57.90e-i</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30.38a-e</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88.28d-h</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10.72e-g</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7.79a-d</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18.52d-g</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H-40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102.83gh</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2.25j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12.66bc</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1.92b-h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3.75i-k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60.11c-i</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26.33d-i</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85.61e-i</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10.87d-f</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7.01b-g</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17.89f-i</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P-804W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100.33j-l</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2.32h-j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12.02b-g</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1.93b-h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0.00k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54.82g-i</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28.14c-g</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82.97f-i</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10.31e-i</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7.24a-f</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17.56f-i</w:t>
            </w:r>
          </w:p>
        </w:tc>
      </w:tr>
      <w:tr>
        <w:trPr>
          <w:trHeight w:val="481"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Insurgente (a)</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103.83fg</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2.53e-h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12.69bc</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2.05a-d</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11.45h-k</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54.22h-j</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27.25c-i</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81.47f-i</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10.37e-i</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7.11b-g</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17.48f-i</w:t>
            </w:r>
          </w:p>
        </w:tc>
      </w:tr>
      <w:tr>
        <w:trPr>
          <w:trHeight w:val="482" w:hRule="exact"/>
        </w:trPr>
        <w:tc>
          <w:tcPr>
            <w:tcW w:w="1322" w:type="dxa"/>
            <w:tcBorders>
              <w:top w:val="nil"/>
              <w:left w:val="nil"/>
              <w:bottom w:val="nil"/>
              <w:right w:val="nil"/>
            </w:tcBorders>
          </w:tcPr>
          <w:p>
            <w:pPr>
              <w:pStyle w:val="TableParagraph"/>
              <w:spacing w:before="2"/>
              <w:rPr>
                <w:b/>
                <w:sz w:val="13"/>
              </w:rPr>
            </w:pPr>
          </w:p>
          <w:p>
            <w:pPr>
              <w:pStyle w:val="TableParagraph"/>
              <w:ind w:left="108"/>
              <w:rPr>
                <w:sz w:val="14"/>
              </w:rPr>
            </w:pPr>
            <w:r>
              <w:rPr>
                <w:sz w:val="14"/>
              </w:rPr>
              <w:t>Promedio</w:t>
            </w:r>
          </w:p>
        </w:tc>
        <w:tc>
          <w:tcPr>
            <w:tcW w:w="894" w:type="dxa"/>
            <w:tcBorders>
              <w:top w:val="nil"/>
              <w:left w:val="nil"/>
              <w:bottom w:val="nil"/>
              <w:right w:val="nil"/>
            </w:tcBorders>
          </w:tcPr>
          <w:p>
            <w:pPr>
              <w:pStyle w:val="TableParagraph"/>
              <w:spacing w:before="4"/>
              <w:rPr>
                <w:b/>
                <w:sz w:val="13"/>
              </w:rPr>
            </w:pPr>
          </w:p>
          <w:p>
            <w:pPr>
              <w:pStyle w:val="TableParagraph"/>
              <w:ind w:left="244"/>
              <w:rPr>
                <w:b/>
                <w:sz w:val="14"/>
              </w:rPr>
            </w:pPr>
            <w:r>
              <w:rPr>
                <w:b/>
                <w:sz w:val="14"/>
              </w:rPr>
              <w:t>100.87</w:t>
            </w:r>
          </w:p>
        </w:tc>
        <w:tc>
          <w:tcPr>
            <w:tcW w:w="650" w:type="dxa"/>
            <w:tcBorders>
              <w:top w:val="nil"/>
              <w:left w:val="nil"/>
              <w:bottom w:val="nil"/>
              <w:right w:val="nil"/>
            </w:tcBorders>
          </w:tcPr>
          <w:p>
            <w:pPr>
              <w:pStyle w:val="TableParagraph"/>
              <w:spacing w:before="4"/>
              <w:rPr>
                <w:b/>
                <w:sz w:val="13"/>
              </w:rPr>
            </w:pPr>
          </w:p>
          <w:p>
            <w:pPr>
              <w:pStyle w:val="TableParagraph"/>
              <w:ind w:left="109"/>
              <w:rPr>
                <w:b/>
                <w:sz w:val="14"/>
              </w:rPr>
            </w:pPr>
            <w:r>
              <w:rPr>
                <w:b/>
                <w:sz w:val="14"/>
              </w:rPr>
              <w:t>2.27</w:t>
            </w:r>
          </w:p>
        </w:tc>
        <w:tc>
          <w:tcPr>
            <w:tcW w:w="718"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12.10</w:t>
            </w:r>
          </w:p>
        </w:tc>
        <w:tc>
          <w:tcPr>
            <w:tcW w:w="648"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1.85</w:t>
            </w:r>
          </w:p>
        </w:tc>
        <w:tc>
          <w:tcPr>
            <w:tcW w:w="718"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4.91</w:t>
            </w:r>
          </w:p>
        </w:tc>
        <w:tc>
          <w:tcPr>
            <w:tcW w:w="718"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52.36</w:t>
            </w:r>
          </w:p>
        </w:tc>
        <w:tc>
          <w:tcPr>
            <w:tcW w:w="710"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27.37</w:t>
            </w:r>
          </w:p>
        </w:tc>
        <w:tc>
          <w:tcPr>
            <w:tcW w:w="749"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79.62</w:t>
            </w:r>
          </w:p>
        </w:tc>
        <w:tc>
          <w:tcPr>
            <w:tcW w:w="742" w:type="dxa"/>
            <w:tcBorders>
              <w:top w:val="nil"/>
              <w:left w:val="nil"/>
              <w:bottom w:val="nil"/>
              <w:right w:val="nil"/>
            </w:tcBorders>
          </w:tcPr>
          <w:p>
            <w:pPr>
              <w:pStyle w:val="TableParagraph"/>
              <w:spacing w:before="4"/>
              <w:rPr>
                <w:b/>
                <w:sz w:val="13"/>
              </w:rPr>
            </w:pPr>
          </w:p>
          <w:p>
            <w:pPr>
              <w:pStyle w:val="TableParagraph"/>
              <w:ind w:left="139"/>
              <w:rPr>
                <w:b/>
                <w:sz w:val="14"/>
              </w:rPr>
            </w:pPr>
            <w:r>
              <w:rPr>
                <w:b/>
                <w:sz w:val="14"/>
              </w:rPr>
              <w:t>9.87</w:t>
            </w:r>
          </w:p>
        </w:tc>
        <w:tc>
          <w:tcPr>
            <w:tcW w:w="649"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7.02</w:t>
            </w:r>
          </w:p>
        </w:tc>
        <w:tc>
          <w:tcPr>
            <w:tcW w:w="720" w:type="dxa"/>
            <w:tcBorders>
              <w:top w:val="nil"/>
              <w:left w:val="nil"/>
              <w:bottom w:val="nil"/>
              <w:right w:val="nil"/>
            </w:tcBorders>
          </w:tcPr>
          <w:p>
            <w:pPr>
              <w:pStyle w:val="TableParagraph"/>
              <w:spacing w:before="4"/>
              <w:rPr>
                <w:b/>
                <w:sz w:val="13"/>
              </w:rPr>
            </w:pPr>
          </w:p>
          <w:p>
            <w:pPr>
              <w:pStyle w:val="TableParagraph"/>
              <w:ind w:left="107"/>
              <w:rPr>
                <w:b/>
                <w:sz w:val="14"/>
              </w:rPr>
            </w:pPr>
            <w:r>
              <w:rPr>
                <w:b/>
                <w:sz w:val="14"/>
              </w:rPr>
              <w:t>16.90</w:t>
            </w:r>
          </w:p>
        </w:tc>
      </w:tr>
      <w:tr>
        <w:trPr>
          <w:trHeight w:val="481" w:hRule="exact"/>
        </w:trPr>
        <w:tc>
          <w:tcPr>
            <w:tcW w:w="1322" w:type="dxa"/>
            <w:tcBorders>
              <w:top w:val="nil"/>
              <w:left w:val="nil"/>
              <w:bottom w:val="nil"/>
              <w:right w:val="nil"/>
            </w:tcBorders>
          </w:tcPr>
          <w:p>
            <w:pPr>
              <w:pStyle w:val="TableParagraph"/>
              <w:spacing w:before="2"/>
              <w:rPr>
                <w:b/>
                <w:sz w:val="13"/>
              </w:rPr>
            </w:pPr>
          </w:p>
          <w:p>
            <w:pPr>
              <w:pStyle w:val="TableParagraph"/>
              <w:ind w:left="108"/>
              <w:rPr>
                <w:sz w:val="14"/>
              </w:rPr>
            </w:pPr>
            <w:r>
              <w:rPr>
                <w:sz w:val="14"/>
              </w:rPr>
              <w:t>San Diego (a)</w:t>
            </w:r>
          </w:p>
        </w:tc>
        <w:tc>
          <w:tcPr>
            <w:tcW w:w="894" w:type="dxa"/>
            <w:tcBorders>
              <w:top w:val="nil"/>
              <w:left w:val="nil"/>
              <w:bottom w:val="nil"/>
              <w:right w:val="nil"/>
            </w:tcBorders>
          </w:tcPr>
          <w:p>
            <w:pPr>
              <w:pStyle w:val="TableParagraph"/>
              <w:spacing w:before="2"/>
              <w:rPr>
                <w:b/>
                <w:sz w:val="13"/>
              </w:rPr>
            </w:pPr>
          </w:p>
          <w:p>
            <w:pPr>
              <w:pStyle w:val="TableParagraph"/>
              <w:ind w:left="244"/>
              <w:rPr>
                <w:sz w:val="14"/>
              </w:rPr>
            </w:pPr>
            <w:r>
              <w:rPr>
                <w:sz w:val="14"/>
              </w:rPr>
              <w:t>98.91mn</w:t>
            </w:r>
          </w:p>
        </w:tc>
        <w:tc>
          <w:tcPr>
            <w:tcW w:w="650" w:type="dxa"/>
            <w:tcBorders>
              <w:top w:val="nil"/>
              <w:left w:val="nil"/>
              <w:bottom w:val="nil"/>
              <w:right w:val="nil"/>
            </w:tcBorders>
          </w:tcPr>
          <w:p>
            <w:pPr>
              <w:pStyle w:val="TableParagraph"/>
              <w:spacing w:before="2"/>
              <w:rPr>
                <w:b/>
                <w:sz w:val="13"/>
              </w:rPr>
            </w:pPr>
          </w:p>
          <w:p>
            <w:pPr>
              <w:pStyle w:val="TableParagraph"/>
              <w:ind w:left="109"/>
              <w:rPr>
                <w:sz w:val="14"/>
              </w:rPr>
            </w:pPr>
            <w:r>
              <w:rPr>
                <w:sz w:val="14"/>
              </w:rPr>
              <w:t>2.72a-f</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11.96b-g</w:t>
            </w:r>
          </w:p>
        </w:tc>
        <w:tc>
          <w:tcPr>
            <w:tcW w:w="64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1.87b-h</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20.00f-k</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63.87c-h</w:t>
            </w:r>
          </w:p>
        </w:tc>
        <w:tc>
          <w:tcPr>
            <w:tcW w:w="710"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23.68f-j</w:t>
            </w:r>
          </w:p>
        </w:tc>
        <w:tc>
          <w:tcPr>
            <w:tcW w:w="749"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87.55d-i</w:t>
            </w:r>
          </w:p>
        </w:tc>
        <w:tc>
          <w:tcPr>
            <w:tcW w:w="742" w:type="dxa"/>
            <w:tcBorders>
              <w:top w:val="nil"/>
              <w:left w:val="nil"/>
              <w:bottom w:val="nil"/>
              <w:right w:val="nil"/>
            </w:tcBorders>
          </w:tcPr>
          <w:p>
            <w:pPr>
              <w:pStyle w:val="TableParagraph"/>
              <w:spacing w:before="2"/>
              <w:rPr>
                <w:b/>
                <w:sz w:val="13"/>
              </w:rPr>
            </w:pPr>
          </w:p>
          <w:p>
            <w:pPr>
              <w:pStyle w:val="TableParagraph"/>
              <w:ind w:left="139"/>
              <w:rPr>
                <w:sz w:val="14"/>
              </w:rPr>
            </w:pPr>
            <w:r>
              <w:rPr>
                <w:sz w:val="14"/>
              </w:rPr>
              <w:t>11.36de</w:t>
            </w:r>
          </w:p>
        </w:tc>
        <w:tc>
          <w:tcPr>
            <w:tcW w:w="649"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6.13e-h</w:t>
            </w:r>
          </w:p>
        </w:tc>
        <w:tc>
          <w:tcPr>
            <w:tcW w:w="720"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17.49f-i</w:t>
            </w:r>
          </w:p>
        </w:tc>
      </w:tr>
      <w:tr>
        <w:trPr>
          <w:trHeight w:val="483"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Lomas (a)</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100.33j-l</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2.61c-g</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11.74c-g</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1.86b-h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22.29e-j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67.04b-f</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25.68d-i</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93.55b-g</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12.02c-e</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6.65b-g</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18.68d-g</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Jiquipilco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101.25ij</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2.64b-g</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11.82c-g</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1.91b-h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27.08d-h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64.45c-h</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26.49d-i</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90.94c-g</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11.39de</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7.04b-g</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18.43d-h</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San José (a)</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99.91k-m</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2.61c-g</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11.66c-h</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1.93b-h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32.91b-g</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66.33b-g</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25.15e-i</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91.48b-g</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11.53de</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6.60c-g</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18.14f-i</w:t>
            </w:r>
          </w:p>
        </w:tc>
      </w:tr>
      <w:tr>
        <w:trPr>
          <w:trHeight w:val="481"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San Cayetano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103.41fg</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2.80a-d</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12.35b-g</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1.90b-h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35.20b-f</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66.22b-g</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22.06i-k</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87.79d-i</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13.18a-d</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5.76g-i</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18.94c-g</w:t>
            </w:r>
          </w:p>
        </w:tc>
      </w:tr>
      <w:tr>
        <w:trPr>
          <w:trHeight w:val="481" w:hRule="exact"/>
        </w:trPr>
        <w:tc>
          <w:tcPr>
            <w:tcW w:w="1322" w:type="dxa"/>
            <w:tcBorders>
              <w:top w:val="nil"/>
              <w:left w:val="nil"/>
              <w:bottom w:val="nil"/>
              <w:right w:val="nil"/>
            </w:tcBorders>
          </w:tcPr>
          <w:p>
            <w:pPr>
              <w:pStyle w:val="TableParagraph"/>
              <w:spacing w:before="2"/>
              <w:rPr>
                <w:b/>
                <w:sz w:val="13"/>
              </w:rPr>
            </w:pPr>
          </w:p>
          <w:p>
            <w:pPr>
              <w:pStyle w:val="TableParagraph"/>
              <w:ind w:left="108"/>
              <w:rPr>
                <w:sz w:val="14"/>
              </w:rPr>
            </w:pPr>
            <w:r>
              <w:rPr>
                <w:sz w:val="14"/>
              </w:rPr>
              <w:t>San Mateo (b)</w:t>
            </w:r>
          </w:p>
        </w:tc>
        <w:tc>
          <w:tcPr>
            <w:tcW w:w="894" w:type="dxa"/>
            <w:tcBorders>
              <w:top w:val="nil"/>
              <w:left w:val="nil"/>
              <w:bottom w:val="nil"/>
              <w:right w:val="nil"/>
            </w:tcBorders>
          </w:tcPr>
          <w:p>
            <w:pPr>
              <w:pStyle w:val="TableParagraph"/>
              <w:spacing w:before="2"/>
              <w:rPr>
                <w:b/>
                <w:sz w:val="13"/>
              </w:rPr>
            </w:pPr>
          </w:p>
          <w:p>
            <w:pPr>
              <w:pStyle w:val="TableParagraph"/>
              <w:ind w:left="244"/>
              <w:rPr>
                <w:sz w:val="14"/>
              </w:rPr>
            </w:pPr>
            <w:r>
              <w:rPr>
                <w:sz w:val="14"/>
              </w:rPr>
              <w:t>99.25l-n</w:t>
            </w:r>
          </w:p>
        </w:tc>
        <w:tc>
          <w:tcPr>
            <w:tcW w:w="650" w:type="dxa"/>
            <w:tcBorders>
              <w:top w:val="nil"/>
              <w:left w:val="nil"/>
              <w:bottom w:val="nil"/>
              <w:right w:val="nil"/>
            </w:tcBorders>
          </w:tcPr>
          <w:p>
            <w:pPr>
              <w:pStyle w:val="TableParagraph"/>
              <w:spacing w:before="2"/>
              <w:rPr>
                <w:b/>
                <w:sz w:val="13"/>
              </w:rPr>
            </w:pPr>
          </w:p>
          <w:p>
            <w:pPr>
              <w:pStyle w:val="TableParagraph"/>
              <w:ind w:left="109"/>
              <w:rPr>
                <w:sz w:val="14"/>
              </w:rPr>
            </w:pPr>
            <w:r>
              <w:rPr>
                <w:sz w:val="14"/>
              </w:rPr>
              <w:t>2.65b-g</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11.49e-i</w:t>
            </w:r>
          </w:p>
        </w:tc>
        <w:tc>
          <w:tcPr>
            <w:tcW w:w="64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1.84b-h</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27.29d-h</w:t>
            </w:r>
          </w:p>
        </w:tc>
        <w:tc>
          <w:tcPr>
            <w:tcW w:w="718"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59.05d-i</w:t>
            </w:r>
          </w:p>
        </w:tc>
        <w:tc>
          <w:tcPr>
            <w:tcW w:w="710"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26.27d-i</w:t>
            </w:r>
          </w:p>
        </w:tc>
        <w:tc>
          <w:tcPr>
            <w:tcW w:w="749"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85.32e-i</w:t>
            </w:r>
          </w:p>
        </w:tc>
        <w:tc>
          <w:tcPr>
            <w:tcW w:w="742" w:type="dxa"/>
            <w:tcBorders>
              <w:top w:val="nil"/>
              <w:left w:val="nil"/>
              <w:bottom w:val="nil"/>
              <w:right w:val="nil"/>
            </w:tcBorders>
          </w:tcPr>
          <w:p>
            <w:pPr>
              <w:pStyle w:val="TableParagraph"/>
              <w:spacing w:before="2"/>
              <w:rPr>
                <w:b/>
                <w:sz w:val="13"/>
              </w:rPr>
            </w:pPr>
          </w:p>
          <w:p>
            <w:pPr>
              <w:pStyle w:val="TableParagraph"/>
              <w:ind w:left="139"/>
              <w:rPr>
                <w:sz w:val="14"/>
              </w:rPr>
            </w:pPr>
            <w:r>
              <w:rPr>
                <w:sz w:val="14"/>
              </w:rPr>
              <w:t>11.45de</w:t>
            </w:r>
          </w:p>
        </w:tc>
        <w:tc>
          <w:tcPr>
            <w:tcW w:w="649"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6.78b-g</w:t>
            </w:r>
          </w:p>
        </w:tc>
        <w:tc>
          <w:tcPr>
            <w:tcW w:w="720" w:type="dxa"/>
            <w:tcBorders>
              <w:top w:val="nil"/>
              <w:left w:val="nil"/>
              <w:bottom w:val="nil"/>
              <w:right w:val="nil"/>
            </w:tcBorders>
          </w:tcPr>
          <w:p>
            <w:pPr>
              <w:pStyle w:val="TableParagraph"/>
              <w:spacing w:before="2"/>
              <w:rPr>
                <w:b/>
                <w:sz w:val="13"/>
              </w:rPr>
            </w:pPr>
          </w:p>
          <w:p>
            <w:pPr>
              <w:pStyle w:val="TableParagraph"/>
              <w:ind w:left="107"/>
              <w:rPr>
                <w:sz w:val="14"/>
              </w:rPr>
            </w:pPr>
            <w:r>
              <w:rPr>
                <w:sz w:val="14"/>
              </w:rPr>
              <w:t>18.32e-h</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Xalatlaco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101.25ij</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2.58d-g</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11.44f-i</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1.75e-h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32.50bg</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61.34c-i</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24.54f-j</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85.88e-i</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11.28d-f</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6.48d-h</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17.76f-i</w:t>
            </w:r>
          </w:p>
        </w:tc>
      </w:tr>
      <w:tr>
        <w:trPr>
          <w:trHeight w:val="483"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Tlacotepec (a)</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96.91o</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2.51f-h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11.51f-h</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1.81c-h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41.25a-e</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62.44c-h</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23.66f-j</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86.10d-i</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11.50de</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6.11e-h</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17.61f-i</w:t>
            </w:r>
          </w:p>
        </w:tc>
      </w:tr>
      <w:tr>
        <w:trPr>
          <w:trHeight w:val="483"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Ixtlahuaca (b)</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96.75o</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2.48g-i</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11.24g-i</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1.78d-h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22.91e-j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57.01f-j</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22.59g-j</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79.60g-j</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10.46e-i</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6.07e-h</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16.54g-i</w:t>
            </w:r>
          </w:p>
        </w:tc>
      </w:tr>
      <w:tr>
        <w:trPr>
          <w:trHeight w:val="477"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Promedio</w:t>
            </w:r>
          </w:p>
        </w:tc>
        <w:tc>
          <w:tcPr>
            <w:tcW w:w="894" w:type="dxa"/>
            <w:tcBorders>
              <w:top w:val="nil"/>
              <w:left w:val="nil"/>
              <w:bottom w:val="nil"/>
              <w:right w:val="nil"/>
            </w:tcBorders>
          </w:tcPr>
          <w:p>
            <w:pPr>
              <w:pStyle w:val="TableParagraph"/>
              <w:spacing w:before="5"/>
              <w:rPr>
                <w:b/>
                <w:sz w:val="13"/>
              </w:rPr>
            </w:pPr>
          </w:p>
          <w:p>
            <w:pPr>
              <w:pStyle w:val="TableParagraph"/>
              <w:spacing w:before="1"/>
              <w:ind w:left="244"/>
              <w:rPr>
                <w:b/>
                <w:sz w:val="14"/>
              </w:rPr>
            </w:pPr>
            <w:r>
              <w:rPr>
                <w:b/>
                <w:sz w:val="14"/>
              </w:rPr>
              <w:t>99.77</w:t>
            </w:r>
          </w:p>
        </w:tc>
        <w:tc>
          <w:tcPr>
            <w:tcW w:w="650" w:type="dxa"/>
            <w:tcBorders>
              <w:top w:val="nil"/>
              <w:left w:val="nil"/>
              <w:bottom w:val="nil"/>
              <w:right w:val="nil"/>
            </w:tcBorders>
          </w:tcPr>
          <w:p>
            <w:pPr>
              <w:pStyle w:val="TableParagraph"/>
              <w:spacing w:before="5"/>
              <w:rPr>
                <w:b/>
                <w:sz w:val="13"/>
              </w:rPr>
            </w:pPr>
          </w:p>
          <w:p>
            <w:pPr>
              <w:pStyle w:val="TableParagraph"/>
              <w:spacing w:before="1"/>
              <w:ind w:left="109"/>
              <w:rPr>
                <w:b/>
                <w:sz w:val="14"/>
              </w:rPr>
            </w:pPr>
            <w:r>
              <w:rPr>
                <w:b/>
                <w:sz w:val="14"/>
              </w:rPr>
              <w:t>2.62</w:t>
            </w:r>
          </w:p>
        </w:tc>
        <w:tc>
          <w:tcPr>
            <w:tcW w:w="71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11.69</w:t>
            </w:r>
          </w:p>
        </w:tc>
        <w:tc>
          <w:tcPr>
            <w:tcW w:w="64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1.85</w:t>
            </w:r>
          </w:p>
        </w:tc>
        <w:tc>
          <w:tcPr>
            <w:tcW w:w="71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29.04</w:t>
            </w:r>
          </w:p>
        </w:tc>
        <w:tc>
          <w:tcPr>
            <w:tcW w:w="71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63.08</w:t>
            </w:r>
          </w:p>
        </w:tc>
        <w:tc>
          <w:tcPr>
            <w:tcW w:w="710"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24.45</w:t>
            </w:r>
          </w:p>
        </w:tc>
        <w:tc>
          <w:tcPr>
            <w:tcW w:w="749"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87.57</w:t>
            </w:r>
          </w:p>
        </w:tc>
        <w:tc>
          <w:tcPr>
            <w:tcW w:w="742" w:type="dxa"/>
            <w:tcBorders>
              <w:top w:val="nil"/>
              <w:left w:val="nil"/>
              <w:bottom w:val="nil"/>
              <w:right w:val="nil"/>
            </w:tcBorders>
          </w:tcPr>
          <w:p>
            <w:pPr>
              <w:pStyle w:val="TableParagraph"/>
              <w:spacing w:before="5"/>
              <w:rPr>
                <w:b/>
                <w:sz w:val="13"/>
              </w:rPr>
            </w:pPr>
          </w:p>
          <w:p>
            <w:pPr>
              <w:pStyle w:val="TableParagraph"/>
              <w:spacing w:before="1"/>
              <w:ind w:left="139"/>
              <w:rPr>
                <w:b/>
                <w:sz w:val="14"/>
              </w:rPr>
            </w:pPr>
            <w:r>
              <w:rPr>
                <w:b/>
                <w:sz w:val="14"/>
              </w:rPr>
              <w:t>11.57</w:t>
            </w:r>
          </w:p>
        </w:tc>
        <w:tc>
          <w:tcPr>
            <w:tcW w:w="649"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6.40</w:t>
            </w:r>
          </w:p>
        </w:tc>
        <w:tc>
          <w:tcPr>
            <w:tcW w:w="720"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17.99</w:t>
            </w:r>
          </w:p>
        </w:tc>
      </w:tr>
      <w:tr>
        <w:trPr>
          <w:trHeight w:val="486" w:hRule="exact"/>
        </w:trPr>
        <w:tc>
          <w:tcPr>
            <w:tcW w:w="1322" w:type="dxa"/>
            <w:tcBorders>
              <w:top w:val="nil"/>
              <w:left w:val="nil"/>
              <w:bottom w:val="nil"/>
              <w:right w:val="nil"/>
            </w:tcBorders>
          </w:tcPr>
          <w:p>
            <w:pPr>
              <w:pStyle w:val="TableParagraph"/>
              <w:spacing w:before="6"/>
              <w:rPr>
                <w:b/>
                <w:sz w:val="13"/>
              </w:rPr>
            </w:pPr>
          </w:p>
          <w:p>
            <w:pPr>
              <w:pStyle w:val="TableParagraph"/>
              <w:spacing w:before="1"/>
              <w:ind w:left="108"/>
              <w:rPr>
                <w:sz w:val="14"/>
              </w:rPr>
            </w:pPr>
            <w:r>
              <w:rPr>
                <w:sz w:val="14"/>
              </w:rPr>
              <w:t>Zanahoria (a)</w:t>
            </w:r>
          </w:p>
        </w:tc>
        <w:tc>
          <w:tcPr>
            <w:tcW w:w="894" w:type="dxa"/>
            <w:tcBorders>
              <w:top w:val="nil"/>
              <w:left w:val="nil"/>
              <w:bottom w:val="nil"/>
              <w:right w:val="nil"/>
            </w:tcBorders>
          </w:tcPr>
          <w:p>
            <w:pPr>
              <w:pStyle w:val="TableParagraph"/>
              <w:spacing w:before="6"/>
              <w:rPr>
                <w:b/>
                <w:sz w:val="13"/>
              </w:rPr>
            </w:pPr>
          </w:p>
          <w:p>
            <w:pPr>
              <w:pStyle w:val="TableParagraph"/>
              <w:spacing w:before="1"/>
              <w:ind w:left="244"/>
              <w:rPr>
                <w:sz w:val="14"/>
              </w:rPr>
            </w:pPr>
            <w:r>
              <w:rPr>
                <w:sz w:val="14"/>
              </w:rPr>
              <w:t>90.66q</w:t>
            </w:r>
          </w:p>
        </w:tc>
        <w:tc>
          <w:tcPr>
            <w:tcW w:w="650" w:type="dxa"/>
            <w:tcBorders>
              <w:top w:val="nil"/>
              <w:left w:val="nil"/>
              <w:bottom w:val="nil"/>
              <w:right w:val="nil"/>
            </w:tcBorders>
          </w:tcPr>
          <w:p>
            <w:pPr>
              <w:pStyle w:val="TableParagraph"/>
              <w:spacing w:before="6"/>
              <w:rPr>
                <w:b/>
                <w:sz w:val="13"/>
              </w:rPr>
            </w:pPr>
          </w:p>
          <w:p>
            <w:pPr>
              <w:pStyle w:val="TableParagraph"/>
              <w:spacing w:before="1"/>
              <w:ind w:left="109"/>
              <w:rPr>
                <w:sz w:val="14"/>
              </w:rPr>
            </w:pPr>
            <w:r>
              <w:rPr>
                <w:sz w:val="14"/>
              </w:rPr>
              <w:t>1.97k</w:t>
            </w:r>
          </w:p>
        </w:tc>
        <w:tc>
          <w:tcPr>
            <w:tcW w:w="718"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9.66j</w:t>
            </w:r>
          </w:p>
        </w:tc>
        <w:tc>
          <w:tcPr>
            <w:tcW w:w="648"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1.64h</w:t>
            </w:r>
          </w:p>
        </w:tc>
        <w:tc>
          <w:tcPr>
            <w:tcW w:w="718"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14.16g-k</w:t>
            </w:r>
          </w:p>
        </w:tc>
        <w:tc>
          <w:tcPr>
            <w:tcW w:w="718"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40.60k</w:t>
            </w:r>
          </w:p>
        </w:tc>
        <w:tc>
          <w:tcPr>
            <w:tcW w:w="710"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18.88jk</w:t>
            </w:r>
          </w:p>
        </w:tc>
        <w:tc>
          <w:tcPr>
            <w:tcW w:w="749"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59.40kl</w:t>
            </w:r>
          </w:p>
        </w:tc>
        <w:tc>
          <w:tcPr>
            <w:tcW w:w="742" w:type="dxa"/>
            <w:tcBorders>
              <w:top w:val="nil"/>
              <w:left w:val="nil"/>
              <w:bottom w:val="nil"/>
              <w:right w:val="nil"/>
            </w:tcBorders>
          </w:tcPr>
          <w:p>
            <w:pPr>
              <w:pStyle w:val="TableParagraph"/>
              <w:spacing w:before="3"/>
              <w:rPr>
                <w:b/>
                <w:sz w:val="13"/>
              </w:rPr>
            </w:pPr>
          </w:p>
          <w:p>
            <w:pPr>
              <w:pStyle w:val="TableParagraph"/>
              <w:ind w:left="139"/>
              <w:rPr>
                <w:sz w:val="9"/>
              </w:rPr>
            </w:pPr>
            <w:r>
              <w:rPr>
                <w:sz w:val="14"/>
              </w:rPr>
              <w:t>7.59</w:t>
            </w:r>
            <w:r>
              <w:rPr>
                <w:position w:val="5"/>
                <w:sz w:val="9"/>
              </w:rPr>
              <w:t>j</w:t>
            </w:r>
          </w:p>
        </w:tc>
        <w:tc>
          <w:tcPr>
            <w:tcW w:w="649"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5.13hi</w:t>
            </w:r>
          </w:p>
        </w:tc>
        <w:tc>
          <w:tcPr>
            <w:tcW w:w="720" w:type="dxa"/>
            <w:tcBorders>
              <w:top w:val="nil"/>
              <w:left w:val="nil"/>
              <w:bottom w:val="nil"/>
              <w:right w:val="nil"/>
            </w:tcBorders>
          </w:tcPr>
          <w:p>
            <w:pPr>
              <w:pStyle w:val="TableParagraph"/>
              <w:spacing w:before="6"/>
              <w:rPr>
                <w:b/>
                <w:sz w:val="13"/>
              </w:rPr>
            </w:pPr>
          </w:p>
          <w:p>
            <w:pPr>
              <w:pStyle w:val="TableParagraph"/>
              <w:spacing w:before="1"/>
              <w:ind w:left="107"/>
              <w:rPr>
                <w:sz w:val="14"/>
              </w:rPr>
            </w:pPr>
            <w:r>
              <w:rPr>
                <w:sz w:val="14"/>
              </w:rPr>
              <w:t>12.72j</w:t>
            </w:r>
          </w:p>
        </w:tc>
      </w:tr>
      <w:tr>
        <w:trPr>
          <w:trHeight w:val="482"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Fresno Nichi (a)</w:t>
            </w:r>
          </w:p>
        </w:tc>
        <w:tc>
          <w:tcPr>
            <w:tcW w:w="894" w:type="dxa"/>
            <w:tcBorders>
              <w:top w:val="nil"/>
              <w:left w:val="nil"/>
              <w:bottom w:val="nil"/>
              <w:right w:val="nil"/>
            </w:tcBorders>
          </w:tcPr>
          <w:p>
            <w:pPr>
              <w:pStyle w:val="TableParagraph"/>
              <w:spacing w:before="3"/>
              <w:rPr>
                <w:b/>
                <w:sz w:val="13"/>
              </w:rPr>
            </w:pPr>
          </w:p>
          <w:p>
            <w:pPr>
              <w:pStyle w:val="TableParagraph"/>
              <w:ind w:left="244"/>
              <w:rPr>
                <w:sz w:val="14"/>
              </w:rPr>
            </w:pPr>
            <w:r>
              <w:rPr>
                <w:sz w:val="14"/>
              </w:rPr>
              <w:t>92.66p</w:t>
            </w:r>
          </w:p>
        </w:tc>
        <w:tc>
          <w:tcPr>
            <w:tcW w:w="650" w:type="dxa"/>
            <w:tcBorders>
              <w:top w:val="nil"/>
              <w:left w:val="nil"/>
              <w:bottom w:val="nil"/>
              <w:right w:val="nil"/>
            </w:tcBorders>
          </w:tcPr>
          <w:p>
            <w:pPr>
              <w:pStyle w:val="TableParagraph"/>
              <w:spacing w:before="3"/>
              <w:rPr>
                <w:b/>
                <w:sz w:val="13"/>
              </w:rPr>
            </w:pPr>
          </w:p>
          <w:p>
            <w:pPr>
              <w:pStyle w:val="TableParagraph"/>
              <w:ind w:left="109"/>
              <w:rPr>
                <w:sz w:val="14"/>
              </w:rPr>
            </w:pPr>
            <w:r>
              <w:rPr>
                <w:sz w:val="14"/>
              </w:rPr>
              <w:t>2.26j</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10.41ij</w:t>
            </w:r>
          </w:p>
        </w:tc>
        <w:tc>
          <w:tcPr>
            <w:tcW w:w="64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1.71f-h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30.20c-h</w:t>
            </w:r>
          </w:p>
        </w:tc>
        <w:tc>
          <w:tcPr>
            <w:tcW w:w="718"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40.99k</w:t>
            </w:r>
          </w:p>
        </w:tc>
        <w:tc>
          <w:tcPr>
            <w:tcW w:w="71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16.52k</w:t>
            </w:r>
          </w:p>
        </w:tc>
        <w:tc>
          <w:tcPr>
            <w:tcW w:w="7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57.52l</w:t>
            </w:r>
          </w:p>
        </w:tc>
        <w:tc>
          <w:tcPr>
            <w:tcW w:w="742" w:type="dxa"/>
            <w:tcBorders>
              <w:top w:val="nil"/>
              <w:left w:val="nil"/>
              <w:bottom w:val="nil"/>
              <w:right w:val="nil"/>
            </w:tcBorders>
          </w:tcPr>
          <w:p>
            <w:pPr>
              <w:pStyle w:val="TableParagraph"/>
              <w:spacing w:before="3"/>
              <w:rPr>
                <w:b/>
                <w:sz w:val="13"/>
              </w:rPr>
            </w:pPr>
          </w:p>
          <w:p>
            <w:pPr>
              <w:pStyle w:val="TableParagraph"/>
              <w:ind w:left="139"/>
              <w:rPr>
                <w:sz w:val="14"/>
              </w:rPr>
            </w:pPr>
            <w:r>
              <w:rPr>
                <w:sz w:val="14"/>
              </w:rPr>
              <w:t>8.10ij</w:t>
            </w:r>
          </w:p>
        </w:tc>
        <w:tc>
          <w:tcPr>
            <w:tcW w:w="649"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4.41i</w:t>
            </w:r>
          </w:p>
        </w:tc>
        <w:tc>
          <w:tcPr>
            <w:tcW w:w="720" w:type="dxa"/>
            <w:tcBorders>
              <w:top w:val="nil"/>
              <w:left w:val="nil"/>
              <w:bottom w:val="nil"/>
              <w:right w:val="nil"/>
            </w:tcBorders>
          </w:tcPr>
          <w:p>
            <w:pPr>
              <w:pStyle w:val="TableParagraph"/>
              <w:spacing w:before="3"/>
              <w:rPr>
                <w:b/>
                <w:sz w:val="13"/>
              </w:rPr>
            </w:pPr>
          </w:p>
          <w:p>
            <w:pPr>
              <w:pStyle w:val="TableParagraph"/>
              <w:ind w:left="107"/>
              <w:rPr>
                <w:sz w:val="14"/>
              </w:rPr>
            </w:pPr>
            <w:r>
              <w:rPr>
                <w:sz w:val="14"/>
              </w:rPr>
              <w:t>12.51j</w:t>
            </w:r>
          </w:p>
        </w:tc>
      </w:tr>
      <w:tr>
        <w:trPr>
          <w:trHeight w:val="313" w:hRule="exact"/>
        </w:trPr>
        <w:tc>
          <w:tcPr>
            <w:tcW w:w="1322" w:type="dxa"/>
            <w:tcBorders>
              <w:top w:val="nil"/>
              <w:left w:val="nil"/>
              <w:bottom w:val="nil"/>
              <w:right w:val="nil"/>
            </w:tcBorders>
          </w:tcPr>
          <w:p>
            <w:pPr>
              <w:pStyle w:val="TableParagraph"/>
              <w:spacing w:before="3"/>
              <w:rPr>
                <w:b/>
                <w:sz w:val="13"/>
              </w:rPr>
            </w:pPr>
          </w:p>
          <w:p>
            <w:pPr>
              <w:pStyle w:val="TableParagraph"/>
              <w:ind w:left="108"/>
              <w:rPr>
                <w:sz w:val="14"/>
              </w:rPr>
            </w:pPr>
            <w:r>
              <w:rPr>
                <w:sz w:val="14"/>
              </w:rPr>
              <w:t>Promedio</w:t>
            </w:r>
          </w:p>
        </w:tc>
        <w:tc>
          <w:tcPr>
            <w:tcW w:w="894" w:type="dxa"/>
            <w:tcBorders>
              <w:top w:val="nil"/>
              <w:left w:val="nil"/>
              <w:bottom w:val="nil"/>
              <w:right w:val="nil"/>
            </w:tcBorders>
          </w:tcPr>
          <w:p>
            <w:pPr>
              <w:pStyle w:val="TableParagraph"/>
              <w:spacing w:before="5"/>
              <w:rPr>
                <w:b/>
                <w:sz w:val="13"/>
              </w:rPr>
            </w:pPr>
          </w:p>
          <w:p>
            <w:pPr>
              <w:pStyle w:val="TableParagraph"/>
              <w:spacing w:before="1"/>
              <w:ind w:left="244"/>
              <w:rPr>
                <w:b/>
                <w:sz w:val="14"/>
              </w:rPr>
            </w:pPr>
            <w:r>
              <w:rPr>
                <w:b/>
                <w:sz w:val="14"/>
              </w:rPr>
              <w:t>91.66</w:t>
            </w:r>
          </w:p>
        </w:tc>
        <w:tc>
          <w:tcPr>
            <w:tcW w:w="650" w:type="dxa"/>
            <w:tcBorders>
              <w:top w:val="nil"/>
              <w:left w:val="nil"/>
              <w:bottom w:val="nil"/>
              <w:right w:val="nil"/>
            </w:tcBorders>
          </w:tcPr>
          <w:p>
            <w:pPr>
              <w:pStyle w:val="TableParagraph"/>
              <w:spacing w:before="5"/>
              <w:rPr>
                <w:b/>
                <w:sz w:val="13"/>
              </w:rPr>
            </w:pPr>
          </w:p>
          <w:p>
            <w:pPr>
              <w:pStyle w:val="TableParagraph"/>
              <w:spacing w:before="1"/>
              <w:ind w:left="109"/>
              <w:rPr>
                <w:b/>
                <w:sz w:val="14"/>
              </w:rPr>
            </w:pPr>
            <w:r>
              <w:rPr>
                <w:b/>
                <w:sz w:val="14"/>
              </w:rPr>
              <w:t>2.11</w:t>
            </w:r>
          </w:p>
        </w:tc>
        <w:tc>
          <w:tcPr>
            <w:tcW w:w="71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10.03</w:t>
            </w:r>
          </w:p>
        </w:tc>
        <w:tc>
          <w:tcPr>
            <w:tcW w:w="64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1.67</w:t>
            </w:r>
          </w:p>
        </w:tc>
        <w:tc>
          <w:tcPr>
            <w:tcW w:w="71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22.18</w:t>
            </w:r>
          </w:p>
        </w:tc>
        <w:tc>
          <w:tcPr>
            <w:tcW w:w="718"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40.79</w:t>
            </w:r>
          </w:p>
        </w:tc>
        <w:tc>
          <w:tcPr>
            <w:tcW w:w="710"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17.70</w:t>
            </w:r>
          </w:p>
        </w:tc>
        <w:tc>
          <w:tcPr>
            <w:tcW w:w="749"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58.46</w:t>
            </w:r>
          </w:p>
        </w:tc>
        <w:tc>
          <w:tcPr>
            <w:tcW w:w="742" w:type="dxa"/>
            <w:tcBorders>
              <w:top w:val="nil"/>
              <w:left w:val="nil"/>
              <w:bottom w:val="nil"/>
              <w:right w:val="nil"/>
            </w:tcBorders>
          </w:tcPr>
          <w:p>
            <w:pPr>
              <w:pStyle w:val="TableParagraph"/>
              <w:spacing w:before="5"/>
              <w:rPr>
                <w:b/>
                <w:sz w:val="13"/>
              </w:rPr>
            </w:pPr>
          </w:p>
          <w:p>
            <w:pPr>
              <w:pStyle w:val="TableParagraph"/>
              <w:spacing w:before="1"/>
              <w:ind w:left="139"/>
              <w:rPr>
                <w:b/>
                <w:sz w:val="14"/>
              </w:rPr>
            </w:pPr>
            <w:r>
              <w:rPr>
                <w:b/>
                <w:sz w:val="14"/>
              </w:rPr>
              <w:t>7.84</w:t>
            </w:r>
          </w:p>
        </w:tc>
        <w:tc>
          <w:tcPr>
            <w:tcW w:w="649"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4.77</w:t>
            </w:r>
          </w:p>
        </w:tc>
        <w:tc>
          <w:tcPr>
            <w:tcW w:w="720" w:type="dxa"/>
            <w:tcBorders>
              <w:top w:val="nil"/>
              <w:left w:val="nil"/>
              <w:bottom w:val="nil"/>
              <w:right w:val="nil"/>
            </w:tcBorders>
          </w:tcPr>
          <w:p>
            <w:pPr>
              <w:pStyle w:val="TableParagraph"/>
              <w:spacing w:before="5"/>
              <w:rPr>
                <w:b/>
                <w:sz w:val="13"/>
              </w:rPr>
            </w:pPr>
          </w:p>
          <w:p>
            <w:pPr>
              <w:pStyle w:val="TableParagraph"/>
              <w:spacing w:before="1"/>
              <w:ind w:left="107"/>
              <w:rPr>
                <w:b/>
                <w:sz w:val="14"/>
              </w:rPr>
            </w:pPr>
            <w:r>
              <w:rPr>
                <w:b/>
                <w:sz w:val="14"/>
              </w:rPr>
              <w:t>12.61</w:t>
            </w:r>
          </w:p>
        </w:tc>
      </w:tr>
    </w:tbl>
    <w:p>
      <w:pPr>
        <w:spacing w:after="0"/>
        <w:rPr>
          <w:sz w:val="14"/>
        </w:rPr>
        <w:sectPr>
          <w:pgSz w:w="12240" w:h="15840"/>
          <w:pgMar w:header="0" w:footer="943" w:top="1500" w:bottom="1200" w:left="1480" w:right="1300"/>
        </w:sectPr>
      </w:pPr>
    </w:p>
    <w:p>
      <w:pPr>
        <w:pStyle w:val="BodyText"/>
        <w:spacing w:before="7" w:after="1"/>
        <w:rPr>
          <w:b/>
          <w:sz w:val="1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2"/>
        <w:gridCol w:w="759"/>
        <w:gridCol w:w="650"/>
        <w:gridCol w:w="718"/>
        <w:gridCol w:w="648"/>
        <w:gridCol w:w="713"/>
        <w:gridCol w:w="722"/>
        <w:gridCol w:w="712"/>
        <w:gridCol w:w="779"/>
        <w:gridCol w:w="712"/>
        <w:gridCol w:w="649"/>
        <w:gridCol w:w="720"/>
      </w:tblGrid>
      <w:tr>
        <w:trPr>
          <w:trHeight w:val="311" w:hRule="exact"/>
        </w:trPr>
        <w:tc>
          <w:tcPr>
            <w:tcW w:w="1472" w:type="dxa"/>
          </w:tcPr>
          <w:p>
            <w:pPr>
              <w:pStyle w:val="TableParagraph"/>
              <w:spacing w:line="142" w:lineRule="exact"/>
              <w:ind w:left="122"/>
              <w:rPr>
                <w:sz w:val="14"/>
              </w:rPr>
            </w:pPr>
            <w:r>
              <w:rPr>
                <w:sz w:val="14"/>
              </w:rPr>
              <w:t>Victoria (b)</w:t>
            </w:r>
          </w:p>
        </w:tc>
        <w:tc>
          <w:tcPr>
            <w:tcW w:w="759" w:type="dxa"/>
          </w:tcPr>
          <w:p>
            <w:pPr>
              <w:pStyle w:val="TableParagraph"/>
              <w:spacing w:line="142" w:lineRule="exact"/>
              <w:ind w:left="109"/>
              <w:rPr>
                <w:sz w:val="14"/>
              </w:rPr>
            </w:pPr>
            <w:r>
              <w:rPr>
                <w:sz w:val="14"/>
              </w:rPr>
              <w:t>116.91b</w:t>
            </w:r>
          </w:p>
        </w:tc>
        <w:tc>
          <w:tcPr>
            <w:tcW w:w="650" w:type="dxa"/>
          </w:tcPr>
          <w:p>
            <w:pPr>
              <w:pStyle w:val="TableParagraph"/>
              <w:spacing w:line="142" w:lineRule="exact"/>
              <w:ind w:left="109"/>
              <w:rPr>
                <w:sz w:val="14"/>
              </w:rPr>
            </w:pPr>
            <w:r>
              <w:rPr>
                <w:sz w:val="14"/>
              </w:rPr>
              <w:t>2.69b-g</w:t>
            </w:r>
          </w:p>
        </w:tc>
        <w:tc>
          <w:tcPr>
            <w:tcW w:w="718" w:type="dxa"/>
          </w:tcPr>
          <w:p>
            <w:pPr>
              <w:pStyle w:val="TableParagraph"/>
              <w:spacing w:line="142" w:lineRule="exact"/>
              <w:ind w:left="107"/>
              <w:rPr>
                <w:sz w:val="14"/>
              </w:rPr>
            </w:pPr>
            <w:r>
              <w:rPr>
                <w:sz w:val="14"/>
              </w:rPr>
              <w:t>14.74a</w:t>
            </w:r>
          </w:p>
        </w:tc>
        <w:tc>
          <w:tcPr>
            <w:tcW w:w="648" w:type="dxa"/>
          </w:tcPr>
          <w:p>
            <w:pPr>
              <w:pStyle w:val="TableParagraph"/>
              <w:spacing w:line="142" w:lineRule="exact"/>
              <w:ind w:left="107"/>
              <w:rPr>
                <w:sz w:val="14"/>
              </w:rPr>
            </w:pPr>
            <w:r>
              <w:rPr>
                <w:sz w:val="14"/>
              </w:rPr>
              <w:t>2.28a</w:t>
            </w:r>
          </w:p>
        </w:tc>
        <w:tc>
          <w:tcPr>
            <w:tcW w:w="713" w:type="dxa"/>
          </w:tcPr>
          <w:p>
            <w:pPr>
              <w:pStyle w:val="TableParagraph"/>
              <w:spacing w:line="142" w:lineRule="exact"/>
              <w:ind w:left="107"/>
              <w:rPr>
                <w:sz w:val="14"/>
              </w:rPr>
            </w:pPr>
            <w:r>
              <w:rPr>
                <w:sz w:val="14"/>
              </w:rPr>
              <w:t>16.25f-k</w:t>
            </w:r>
          </w:p>
        </w:tc>
        <w:tc>
          <w:tcPr>
            <w:tcW w:w="722" w:type="dxa"/>
          </w:tcPr>
          <w:p>
            <w:pPr>
              <w:pStyle w:val="TableParagraph"/>
              <w:spacing w:line="142" w:lineRule="exact"/>
              <w:ind w:left="112"/>
              <w:rPr>
                <w:sz w:val="14"/>
              </w:rPr>
            </w:pPr>
            <w:r>
              <w:rPr>
                <w:sz w:val="14"/>
              </w:rPr>
              <w:t>86.25a</w:t>
            </w:r>
          </w:p>
        </w:tc>
        <w:tc>
          <w:tcPr>
            <w:tcW w:w="712" w:type="dxa"/>
          </w:tcPr>
          <w:p>
            <w:pPr>
              <w:pStyle w:val="TableParagraph"/>
              <w:spacing w:line="142" w:lineRule="exact"/>
              <w:ind w:left="109"/>
              <w:rPr>
                <w:sz w:val="14"/>
              </w:rPr>
            </w:pPr>
            <w:r>
              <w:rPr>
                <w:sz w:val="14"/>
              </w:rPr>
              <w:t>27.84c-h</w:t>
            </w:r>
          </w:p>
        </w:tc>
        <w:tc>
          <w:tcPr>
            <w:tcW w:w="779" w:type="dxa"/>
          </w:tcPr>
          <w:p>
            <w:pPr>
              <w:pStyle w:val="TableParagraph"/>
              <w:spacing w:line="142" w:lineRule="exact"/>
              <w:ind w:left="107"/>
              <w:rPr>
                <w:sz w:val="14"/>
              </w:rPr>
            </w:pPr>
            <w:r>
              <w:rPr>
                <w:sz w:val="14"/>
              </w:rPr>
              <w:t>114.10a</w:t>
            </w:r>
          </w:p>
        </w:tc>
        <w:tc>
          <w:tcPr>
            <w:tcW w:w="712" w:type="dxa"/>
          </w:tcPr>
          <w:p>
            <w:pPr>
              <w:pStyle w:val="TableParagraph"/>
              <w:spacing w:line="142" w:lineRule="exact"/>
              <w:ind w:left="109"/>
              <w:rPr>
                <w:sz w:val="14"/>
              </w:rPr>
            </w:pPr>
            <w:r>
              <w:rPr>
                <w:sz w:val="14"/>
              </w:rPr>
              <w:t>14.92a</w:t>
            </w:r>
          </w:p>
        </w:tc>
        <w:tc>
          <w:tcPr>
            <w:tcW w:w="649" w:type="dxa"/>
          </w:tcPr>
          <w:p>
            <w:pPr>
              <w:pStyle w:val="TableParagraph"/>
              <w:spacing w:line="142" w:lineRule="exact"/>
              <w:ind w:left="107"/>
              <w:rPr>
                <w:sz w:val="14"/>
              </w:rPr>
            </w:pPr>
            <w:r>
              <w:rPr>
                <w:sz w:val="14"/>
              </w:rPr>
              <w:t>7.39a-e</w:t>
            </w:r>
          </w:p>
        </w:tc>
        <w:tc>
          <w:tcPr>
            <w:tcW w:w="720" w:type="dxa"/>
          </w:tcPr>
          <w:p>
            <w:pPr>
              <w:pStyle w:val="TableParagraph"/>
              <w:spacing w:line="142" w:lineRule="exact"/>
              <w:ind w:left="107"/>
              <w:rPr>
                <w:sz w:val="14"/>
              </w:rPr>
            </w:pPr>
            <w:r>
              <w:rPr>
                <w:sz w:val="14"/>
              </w:rPr>
              <w:t>22.31ab</w:t>
            </w:r>
          </w:p>
        </w:tc>
      </w:tr>
      <w:tr>
        <w:trPr>
          <w:trHeight w:val="481" w:hRule="exact"/>
        </w:trPr>
        <w:tc>
          <w:tcPr>
            <w:tcW w:w="1472" w:type="dxa"/>
          </w:tcPr>
          <w:p>
            <w:pPr>
              <w:pStyle w:val="TableParagraph"/>
              <w:spacing w:before="3"/>
              <w:rPr>
                <w:b/>
                <w:sz w:val="13"/>
              </w:rPr>
            </w:pPr>
          </w:p>
          <w:p>
            <w:pPr>
              <w:pStyle w:val="TableParagraph"/>
              <w:ind w:left="122"/>
              <w:rPr>
                <w:sz w:val="14"/>
              </w:rPr>
            </w:pPr>
            <w:r>
              <w:rPr>
                <w:sz w:val="14"/>
              </w:rPr>
              <w:t>H-159 (b)</w:t>
            </w:r>
          </w:p>
        </w:tc>
        <w:tc>
          <w:tcPr>
            <w:tcW w:w="759" w:type="dxa"/>
          </w:tcPr>
          <w:p>
            <w:pPr>
              <w:pStyle w:val="TableParagraph"/>
              <w:spacing w:before="3"/>
              <w:rPr>
                <w:b/>
                <w:sz w:val="13"/>
              </w:rPr>
            </w:pPr>
          </w:p>
          <w:p>
            <w:pPr>
              <w:pStyle w:val="TableParagraph"/>
              <w:ind w:left="109"/>
              <w:rPr>
                <w:sz w:val="14"/>
              </w:rPr>
            </w:pPr>
            <w:r>
              <w:rPr>
                <w:sz w:val="14"/>
              </w:rPr>
              <w:t>110.00d</w:t>
            </w:r>
          </w:p>
        </w:tc>
        <w:tc>
          <w:tcPr>
            <w:tcW w:w="650" w:type="dxa"/>
          </w:tcPr>
          <w:p>
            <w:pPr>
              <w:pStyle w:val="TableParagraph"/>
              <w:spacing w:before="3"/>
              <w:rPr>
                <w:b/>
                <w:sz w:val="13"/>
              </w:rPr>
            </w:pPr>
          </w:p>
          <w:p>
            <w:pPr>
              <w:pStyle w:val="TableParagraph"/>
              <w:ind w:left="109"/>
              <w:rPr>
                <w:sz w:val="14"/>
              </w:rPr>
            </w:pPr>
            <w:r>
              <w:rPr>
                <w:sz w:val="14"/>
              </w:rPr>
              <w:t>2.48g-i</w:t>
            </w:r>
          </w:p>
        </w:tc>
        <w:tc>
          <w:tcPr>
            <w:tcW w:w="718" w:type="dxa"/>
          </w:tcPr>
          <w:p>
            <w:pPr>
              <w:pStyle w:val="TableParagraph"/>
              <w:spacing w:before="3"/>
              <w:rPr>
                <w:b/>
                <w:sz w:val="13"/>
              </w:rPr>
            </w:pPr>
          </w:p>
          <w:p>
            <w:pPr>
              <w:pStyle w:val="TableParagraph"/>
              <w:ind w:left="107"/>
              <w:rPr>
                <w:sz w:val="14"/>
              </w:rPr>
            </w:pPr>
            <w:r>
              <w:rPr>
                <w:sz w:val="14"/>
              </w:rPr>
              <w:t>12.58b-e</w:t>
            </w:r>
          </w:p>
        </w:tc>
        <w:tc>
          <w:tcPr>
            <w:tcW w:w="648" w:type="dxa"/>
          </w:tcPr>
          <w:p>
            <w:pPr>
              <w:pStyle w:val="TableParagraph"/>
              <w:spacing w:before="3"/>
              <w:rPr>
                <w:b/>
                <w:sz w:val="13"/>
              </w:rPr>
            </w:pPr>
          </w:p>
          <w:p>
            <w:pPr>
              <w:pStyle w:val="TableParagraph"/>
              <w:ind w:left="107"/>
              <w:rPr>
                <w:sz w:val="14"/>
              </w:rPr>
            </w:pPr>
            <w:r>
              <w:rPr>
                <w:sz w:val="14"/>
              </w:rPr>
              <w:t>2.04a-e</w:t>
            </w:r>
          </w:p>
        </w:tc>
        <w:tc>
          <w:tcPr>
            <w:tcW w:w="713" w:type="dxa"/>
          </w:tcPr>
          <w:p>
            <w:pPr>
              <w:pStyle w:val="TableParagraph"/>
              <w:spacing w:before="3"/>
              <w:rPr>
                <w:b/>
                <w:sz w:val="13"/>
              </w:rPr>
            </w:pPr>
          </w:p>
          <w:p>
            <w:pPr>
              <w:pStyle w:val="TableParagraph"/>
              <w:ind w:left="107"/>
              <w:rPr>
                <w:sz w:val="14"/>
              </w:rPr>
            </w:pPr>
            <w:r>
              <w:rPr>
                <w:sz w:val="14"/>
              </w:rPr>
              <w:t>3.33i-k</w:t>
            </w:r>
          </w:p>
        </w:tc>
        <w:tc>
          <w:tcPr>
            <w:tcW w:w="722" w:type="dxa"/>
          </w:tcPr>
          <w:p>
            <w:pPr>
              <w:pStyle w:val="TableParagraph"/>
              <w:spacing w:before="3"/>
              <w:rPr>
                <w:b/>
                <w:sz w:val="13"/>
              </w:rPr>
            </w:pPr>
          </w:p>
          <w:p>
            <w:pPr>
              <w:pStyle w:val="TableParagraph"/>
              <w:ind w:left="112"/>
              <w:rPr>
                <w:sz w:val="14"/>
              </w:rPr>
            </w:pPr>
            <w:r>
              <w:rPr>
                <w:sz w:val="14"/>
              </w:rPr>
              <w:t>71.66bc</w:t>
            </w:r>
          </w:p>
        </w:tc>
        <w:tc>
          <w:tcPr>
            <w:tcW w:w="712" w:type="dxa"/>
          </w:tcPr>
          <w:p>
            <w:pPr>
              <w:pStyle w:val="TableParagraph"/>
              <w:spacing w:before="3"/>
              <w:rPr>
                <w:b/>
                <w:sz w:val="13"/>
              </w:rPr>
            </w:pPr>
          </w:p>
          <w:p>
            <w:pPr>
              <w:pStyle w:val="TableParagraph"/>
              <w:ind w:left="109"/>
              <w:rPr>
                <w:sz w:val="14"/>
              </w:rPr>
            </w:pPr>
            <w:r>
              <w:rPr>
                <w:sz w:val="14"/>
              </w:rPr>
              <w:t>34.49ab</w:t>
            </w:r>
          </w:p>
        </w:tc>
        <w:tc>
          <w:tcPr>
            <w:tcW w:w="779" w:type="dxa"/>
          </w:tcPr>
          <w:p>
            <w:pPr>
              <w:pStyle w:val="TableParagraph"/>
              <w:spacing w:before="3"/>
              <w:rPr>
                <w:b/>
                <w:sz w:val="13"/>
              </w:rPr>
            </w:pPr>
          </w:p>
          <w:p>
            <w:pPr>
              <w:pStyle w:val="TableParagraph"/>
              <w:ind w:left="107"/>
              <w:rPr>
                <w:sz w:val="14"/>
              </w:rPr>
            </w:pPr>
            <w:r>
              <w:rPr>
                <w:sz w:val="14"/>
              </w:rPr>
              <w:t>106.99ab</w:t>
            </w:r>
          </w:p>
        </w:tc>
        <w:tc>
          <w:tcPr>
            <w:tcW w:w="712" w:type="dxa"/>
          </w:tcPr>
          <w:p>
            <w:pPr>
              <w:pStyle w:val="TableParagraph"/>
              <w:spacing w:before="3"/>
              <w:rPr>
                <w:b/>
                <w:sz w:val="13"/>
              </w:rPr>
            </w:pPr>
          </w:p>
          <w:p>
            <w:pPr>
              <w:pStyle w:val="TableParagraph"/>
              <w:ind w:left="109"/>
              <w:rPr>
                <w:sz w:val="14"/>
              </w:rPr>
            </w:pPr>
            <w:r>
              <w:rPr>
                <w:sz w:val="14"/>
              </w:rPr>
              <w:t>14.30a-c</w:t>
            </w:r>
          </w:p>
        </w:tc>
        <w:tc>
          <w:tcPr>
            <w:tcW w:w="649" w:type="dxa"/>
          </w:tcPr>
          <w:p>
            <w:pPr>
              <w:pStyle w:val="TableParagraph"/>
              <w:spacing w:before="3"/>
              <w:rPr>
                <w:b/>
                <w:sz w:val="13"/>
              </w:rPr>
            </w:pPr>
          </w:p>
          <w:p>
            <w:pPr>
              <w:pStyle w:val="TableParagraph"/>
              <w:ind w:left="107"/>
              <w:rPr>
                <w:sz w:val="14"/>
              </w:rPr>
            </w:pPr>
            <w:r>
              <w:rPr>
                <w:sz w:val="14"/>
              </w:rPr>
              <w:t>8.62a</w:t>
            </w:r>
          </w:p>
        </w:tc>
        <w:tc>
          <w:tcPr>
            <w:tcW w:w="720" w:type="dxa"/>
          </w:tcPr>
          <w:p>
            <w:pPr>
              <w:pStyle w:val="TableParagraph"/>
              <w:spacing w:before="3"/>
              <w:rPr>
                <w:b/>
                <w:sz w:val="13"/>
              </w:rPr>
            </w:pPr>
          </w:p>
          <w:p>
            <w:pPr>
              <w:pStyle w:val="TableParagraph"/>
              <w:ind w:left="107"/>
              <w:rPr>
                <w:sz w:val="14"/>
              </w:rPr>
            </w:pPr>
            <w:r>
              <w:rPr>
                <w:sz w:val="14"/>
              </w:rPr>
              <w:t>22.92a</w:t>
            </w:r>
          </w:p>
        </w:tc>
      </w:tr>
      <w:tr>
        <w:trPr>
          <w:trHeight w:val="482" w:hRule="exact"/>
        </w:trPr>
        <w:tc>
          <w:tcPr>
            <w:tcW w:w="1472" w:type="dxa"/>
          </w:tcPr>
          <w:p>
            <w:pPr>
              <w:pStyle w:val="TableParagraph"/>
              <w:spacing w:before="2"/>
              <w:rPr>
                <w:b/>
                <w:sz w:val="13"/>
              </w:rPr>
            </w:pPr>
          </w:p>
          <w:p>
            <w:pPr>
              <w:pStyle w:val="TableParagraph"/>
              <w:ind w:left="122"/>
              <w:rPr>
                <w:sz w:val="14"/>
              </w:rPr>
            </w:pPr>
            <w:r>
              <w:rPr>
                <w:sz w:val="14"/>
              </w:rPr>
              <w:t>Promedio</w:t>
            </w:r>
          </w:p>
        </w:tc>
        <w:tc>
          <w:tcPr>
            <w:tcW w:w="759" w:type="dxa"/>
          </w:tcPr>
          <w:p>
            <w:pPr>
              <w:pStyle w:val="TableParagraph"/>
              <w:spacing w:before="4"/>
              <w:rPr>
                <w:b/>
                <w:sz w:val="13"/>
              </w:rPr>
            </w:pPr>
          </w:p>
          <w:p>
            <w:pPr>
              <w:pStyle w:val="TableParagraph"/>
              <w:ind w:left="109"/>
              <w:rPr>
                <w:b/>
                <w:sz w:val="14"/>
              </w:rPr>
            </w:pPr>
            <w:r>
              <w:rPr>
                <w:b/>
                <w:sz w:val="14"/>
              </w:rPr>
              <w:t>113.45</w:t>
            </w:r>
          </w:p>
        </w:tc>
        <w:tc>
          <w:tcPr>
            <w:tcW w:w="650" w:type="dxa"/>
          </w:tcPr>
          <w:p>
            <w:pPr>
              <w:pStyle w:val="TableParagraph"/>
              <w:spacing w:before="4"/>
              <w:rPr>
                <w:b/>
                <w:sz w:val="13"/>
              </w:rPr>
            </w:pPr>
          </w:p>
          <w:p>
            <w:pPr>
              <w:pStyle w:val="TableParagraph"/>
              <w:ind w:left="109"/>
              <w:rPr>
                <w:b/>
                <w:sz w:val="14"/>
              </w:rPr>
            </w:pPr>
            <w:r>
              <w:rPr>
                <w:b/>
                <w:sz w:val="14"/>
              </w:rPr>
              <w:t>2.58</w:t>
            </w:r>
          </w:p>
        </w:tc>
        <w:tc>
          <w:tcPr>
            <w:tcW w:w="718" w:type="dxa"/>
          </w:tcPr>
          <w:p>
            <w:pPr>
              <w:pStyle w:val="TableParagraph"/>
              <w:spacing w:before="4"/>
              <w:rPr>
                <w:b/>
                <w:sz w:val="13"/>
              </w:rPr>
            </w:pPr>
          </w:p>
          <w:p>
            <w:pPr>
              <w:pStyle w:val="TableParagraph"/>
              <w:ind w:left="107"/>
              <w:rPr>
                <w:b/>
                <w:sz w:val="14"/>
              </w:rPr>
            </w:pPr>
            <w:r>
              <w:rPr>
                <w:b/>
                <w:sz w:val="14"/>
              </w:rPr>
              <w:t>13.66</w:t>
            </w:r>
          </w:p>
        </w:tc>
        <w:tc>
          <w:tcPr>
            <w:tcW w:w="648" w:type="dxa"/>
          </w:tcPr>
          <w:p>
            <w:pPr>
              <w:pStyle w:val="TableParagraph"/>
              <w:spacing w:before="4"/>
              <w:rPr>
                <w:b/>
                <w:sz w:val="13"/>
              </w:rPr>
            </w:pPr>
          </w:p>
          <w:p>
            <w:pPr>
              <w:pStyle w:val="TableParagraph"/>
              <w:ind w:left="107"/>
              <w:rPr>
                <w:b/>
                <w:sz w:val="14"/>
              </w:rPr>
            </w:pPr>
            <w:r>
              <w:rPr>
                <w:b/>
                <w:sz w:val="14"/>
              </w:rPr>
              <w:t>2.16</w:t>
            </w:r>
          </w:p>
        </w:tc>
        <w:tc>
          <w:tcPr>
            <w:tcW w:w="713" w:type="dxa"/>
          </w:tcPr>
          <w:p>
            <w:pPr>
              <w:pStyle w:val="TableParagraph"/>
              <w:spacing w:before="4"/>
              <w:rPr>
                <w:b/>
                <w:sz w:val="13"/>
              </w:rPr>
            </w:pPr>
          </w:p>
          <w:p>
            <w:pPr>
              <w:pStyle w:val="TableParagraph"/>
              <w:ind w:left="107"/>
              <w:rPr>
                <w:b/>
                <w:sz w:val="14"/>
              </w:rPr>
            </w:pPr>
            <w:r>
              <w:rPr>
                <w:b/>
                <w:sz w:val="14"/>
              </w:rPr>
              <w:t>9.79</w:t>
            </w:r>
          </w:p>
        </w:tc>
        <w:tc>
          <w:tcPr>
            <w:tcW w:w="722" w:type="dxa"/>
          </w:tcPr>
          <w:p>
            <w:pPr>
              <w:pStyle w:val="TableParagraph"/>
              <w:spacing w:before="4"/>
              <w:rPr>
                <w:b/>
                <w:sz w:val="13"/>
              </w:rPr>
            </w:pPr>
          </w:p>
          <w:p>
            <w:pPr>
              <w:pStyle w:val="TableParagraph"/>
              <w:ind w:left="112"/>
              <w:rPr>
                <w:b/>
                <w:sz w:val="14"/>
              </w:rPr>
            </w:pPr>
            <w:r>
              <w:rPr>
                <w:b/>
                <w:sz w:val="14"/>
              </w:rPr>
              <w:t>78.95</w:t>
            </w:r>
          </w:p>
        </w:tc>
        <w:tc>
          <w:tcPr>
            <w:tcW w:w="712" w:type="dxa"/>
          </w:tcPr>
          <w:p>
            <w:pPr>
              <w:pStyle w:val="TableParagraph"/>
              <w:spacing w:before="4"/>
              <w:rPr>
                <w:b/>
                <w:sz w:val="13"/>
              </w:rPr>
            </w:pPr>
          </w:p>
          <w:p>
            <w:pPr>
              <w:pStyle w:val="TableParagraph"/>
              <w:ind w:left="109"/>
              <w:rPr>
                <w:b/>
                <w:sz w:val="14"/>
              </w:rPr>
            </w:pPr>
            <w:r>
              <w:rPr>
                <w:b/>
                <w:sz w:val="14"/>
              </w:rPr>
              <w:t>31.16</w:t>
            </w:r>
          </w:p>
        </w:tc>
        <w:tc>
          <w:tcPr>
            <w:tcW w:w="779" w:type="dxa"/>
          </w:tcPr>
          <w:p>
            <w:pPr>
              <w:pStyle w:val="TableParagraph"/>
              <w:spacing w:before="4"/>
              <w:rPr>
                <w:b/>
                <w:sz w:val="13"/>
              </w:rPr>
            </w:pPr>
          </w:p>
          <w:p>
            <w:pPr>
              <w:pStyle w:val="TableParagraph"/>
              <w:ind w:left="107"/>
              <w:rPr>
                <w:b/>
                <w:sz w:val="14"/>
              </w:rPr>
            </w:pPr>
            <w:r>
              <w:rPr>
                <w:b/>
                <w:sz w:val="14"/>
              </w:rPr>
              <w:t>110.54</w:t>
            </w:r>
          </w:p>
        </w:tc>
        <w:tc>
          <w:tcPr>
            <w:tcW w:w="712" w:type="dxa"/>
          </w:tcPr>
          <w:p>
            <w:pPr>
              <w:pStyle w:val="TableParagraph"/>
              <w:spacing w:before="4"/>
              <w:rPr>
                <w:b/>
                <w:sz w:val="13"/>
              </w:rPr>
            </w:pPr>
          </w:p>
          <w:p>
            <w:pPr>
              <w:pStyle w:val="TableParagraph"/>
              <w:ind w:left="109"/>
              <w:rPr>
                <w:b/>
                <w:sz w:val="14"/>
              </w:rPr>
            </w:pPr>
            <w:r>
              <w:rPr>
                <w:b/>
                <w:sz w:val="14"/>
              </w:rPr>
              <w:t>14.61</w:t>
            </w:r>
          </w:p>
        </w:tc>
        <w:tc>
          <w:tcPr>
            <w:tcW w:w="649" w:type="dxa"/>
          </w:tcPr>
          <w:p>
            <w:pPr>
              <w:pStyle w:val="TableParagraph"/>
              <w:spacing w:before="4"/>
              <w:rPr>
                <w:b/>
                <w:sz w:val="13"/>
              </w:rPr>
            </w:pPr>
          </w:p>
          <w:p>
            <w:pPr>
              <w:pStyle w:val="TableParagraph"/>
              <w:ind w:left="107"/>
              <w:rPr>
                <w:b/>
                <w:sz w:val="14"/>
              </w:rPr>
            </w:pPr>
            <w:r>
              <w:rPr>
                <w:b/>
                <w:sz w:val="14"/>
              </w:rPr>
              <w:t>8.00</w:t>
            </w:r>
          </w:p>
        </w:tc>
        <w:tc>
          <w:tcPr>
            <w:tcW w:w="720" w:type="dxa"/>
          </w:tcPr>
          <w:p>
            <w:pPr>
              <w:pStyle w:val="TableParagraph"/>
              <w:spacing w:before="4"/>
              <w:rPr>
                <w:b/>
                <w:sz w:val="13"/>
              </w:rPr>
            </w:pPr>
          </w:p>
          <w:p>
            <w:pPr>
              <w:pStyle w:val="TableParagraph"/>
              <w:ind w:left="107"/>
              <w:rPr>
                <w:b/>
                <w:sz w:val="14"/>
              </w:rPr>
            </w:pPr>
            <w:r>
              <w:rPr>
                <w:b/>
                <w:sz w:val="14"/>
              </w:rPr>
              <w:t>22.61</w:t>
            </w:r>
          </w:p>
        </w:tc>
      </w:tr>
      <w:tr>
        <w:trPr>
          <w:trHeight w:val="481" w:hRule="exact"/>
        </w:trPr>
        <w:tc>
          <w:tcPr>
            <w:tcW w:w="1472" w:type="dxa"/>
          </w:tcPr>
          <w:p>
            <w:pPr>
              <w:pStyle w:val="TableParagraph"/>
              <w:spacing w:before="2"/>
              <w:rPr>
                <w:b/>
                <w:sz w:val="13"/>
              </w:rPr>
            </w:pPr>
          </w:p>
          <w:p>
            <w:pPr>
              <w:pStyle w:val="TableParagraph"/>
              <w:ind w:left="122"/>
              <w:rPr>
                <w:sz w:val="14"/>
              </w:rPr>
            </w:pPr>
            <w:r>
              <w:rPr>
                <w:sz w:val="14"/>
              </w:rPr>
              <w:t>Allende (a)</w:t>
            </w:r>
          </w:p>
        </w:tc>
        <w:tc>
          <w:tcPr>
            <w:tcW w:w="759" w:type="dxa"/>
          </w:tcPr>
          <w:p>
            <w:pPr>
              <w:pStyle w:val="TableParagraph"/>
              <w:spacing w:before="2"/>
              <w:rPr>
                <w:b/>
                <w:sz w:val="13"/>
              </w:rPr>
            </w:pPr>
          </w:p>
          <w:p>
            <w:pPr>
              <w:pStyle w:val="TableParagraph"/>
              <w:ind w:left="109"/>
              <w:rPr>
                <w:sz w:val="14"/>
              </w:rPr>
            </w:pPr>
            <w:r>
              <w:rPr>
                <w:sz w:val="14"/>
              </w:rPr>
              <w:t>103.66fg</w:t>
            </w:r>
          </w:p>
        </w:tc>
        <w:tc>
          <w:tcPr>
            <w:tcW w:w="650" w:type="dxa"/>
          </w:tcPr>
          <w:p>
            <w:pPr>
              <w:pStyle w:val="TableParagraph"/>
              <w:spacing w:before="2"/>
              <w:rPr>
                <w:b/>
                <w:sz w:val="13"/>
              </w:rPr>
            </w:pPr>
          </w:p>
          <w:p>
            <w:pPr>
              <w:pStyle w:val="TableParagraph"/>
              <w:ind w:left="109"/>
              <w:rPr>
                <w:sz w:val="14"/>
              </w:rPr>
            </w:pPr>
            <w:r>
              <w:rPr>
                <w:sz w:val="14"/>
              </w:rPr>
              <w:t>2.77a-d</w:t>
            </w:r>
          </w:p>
        </w:tc>
        <w:tc>
          <w:tcPr>
            <w:tcW w:w="718" w:type="dxa"/>
          </w:tcPr>
          <w:p>
            <w:pPr>
              <w:pStyle w:val="TableParagraph"/>
              <w:spacing w:before="2"/>
              <w:rPr>
                <w:b/>
                <w:sz w:val="13"/>
              </w:rPr>
            </w:pPr>
          </w:p>
          <w:p>
            <w:pPr>
              <w:pStyle w:val="TableParagraph"/>
              <w:ind w:left="107"/>
              <w:rPr>
                <w:sz w:val="14"/>
              </w:rPr>
            </w:pPr>
            <w:r>
              <w:rPr>
                <w:sz w:val="14"/>
              </w:rPr>
              <w:t>12.41b-f</w:t>
            </w:r>
          </w:p>
        </w:tc>
        <w:tc>
          <w:tcPr>
            <w:tcW w:w="648" w:type="dxa"/>
          </w:tcPr>
          <w:p>
            <w:pPr>
              <w:pStyle w:val="TableParagraph"/>
              <w:spacing w:before="2"/>
              <w:rPr>
                <w:b/>
                <w:sz w:val="13"/>
              </w:rPr>
            </w:pPr>
          </w:p>
          <w:p>
            <w:pPr>
              <w:pStyle w:val="TableParagraph"/>
              <w:ind w:left="107"/>
              <w:rPr>
                <w:sz w:val="14"/>
              </w:rPr>
            </w:pPr>
            <w:r>
              <w:rPr>
                <w:sz w:val="14"/>
              </w:rPr>
              <w:t>1.99a-f</w:t>
            </w:r>
          </w:p>
        </w:tc>
        <w:tc>
          <w:tcPr>
            <w:tcW w:w="713" w:type="dxa"/>
          </w:tcPr>
          <w:p>
            <w:pPr>
              <w:pStyle w:val="TableParagraph"/>
              <w:spacing w:before="2"/>
              <w:rPr>
                <w:b/>
                <w:sz w:val="13"/>
              </w:rPr>
            </w:pPr>
          </w:p>
          <w:p>
            <w:pPr>
              <w:pStyle w:val="TableParagraph"/>
              <w:ind w:left="107"/>
              <w:rPr>
                <w:sz w:val="14"/>
              </w:rPr>
            </w:pPr>
            <w:r>
              <w:rPr>
                <w:sz w:val="14"/>
              </w:rPr>
              <w:t>56.04a</w:t>
            </w:r>
          </w:p>
        </w:tc>
        <w:tc>
          <w:tcPr>
            <w:tcW w:w="722" w:type="dxa"/>
          </w:tcPr>
          <w:p>
            <w:pPr>
              <w:pStyle w:val="TableParagraph"/>
              <w:spacing w:before="2"/>
              <w:rPr>
                <w:b/>
                <w:sz w:val="13"/>
              </w:rPr>
            </w:pPr>
          </w:p>
          <w:p>
            <w:pPr>
              <w:pStyle w:val="TableParagraph"/>
              <w:ind w:left="112"/>
              <w:rPr>
                <w:sz w:val="14"/>
              </w:rPr>
            </w:pPr>
            <w:r>
              <w:rPr>
                <w:sz w:val="14"/>
              </w:rPr>
              <w:t>70.05b-d</w:t>
            </w:r>
          </w:p>
        </w:tc>
        <w:tc>
          <w:tcPr>
            <w:tcW w:w="712" w:type="dxa"/>
          </w:tcPr>
          <w:p>
            <w:pPr>
              <w:pStyle w:val="TableParagraph"/>
              <w:spacing w:before="2"/>
              <w:rPr>
                <w:b/>
                <w:sz w:val="13"/>
              </w:rPr>
            </w:pPr>
          </w:p>
          <w:p>
            <w:pPr>
              <w:pStyle w:val="TableParagraph"/>
              <w:ind w:left="109"/>
              <w:rPr>
                <w:sz w:val="14"/>
              </w:rPr>
            </w:pPr>
            <w:r>
              <w:rPr>
                <w:sz w:val="14"/>
              </w:rPr>
              <w:t>27.20c-i</w:t>
            </w:r>
          </w:p>
        </w:tc>
        <w:tc>
          <w:tcPr>
            <w:tcW w:w="779" w:type="dxa"/>
          </w:tcPr>
          <w:p>
            <w:pPr>
              <w:pStyle w:val="TableParagraph"/>
              <w:spacing w:before="2"/>
              <w:rPr>
                <w:b/>
                <w:sz w:val="13"/>
              </w:rPr>
            </w:pPr>
          </w:p>
          <w:p>
            <w:pPr>
              <w:pStyle w:val="TableParagraph"/>
              <w:ind w:left="107"/>
              <w:rPr>
                <w:sz w:val="14"/>
              </w:rPr>
            </w:pPr>
            <w:r>
              <w:rPr>
                <w:sz w:val="14"/>
              </w:rPr>
              <w:t>97.26b-f</w:t>
            </w:r>
          </w:p>
        </w:tc>
        <w:tc>
          <w:tcPr>
            <w:tcW w:w="712" w:type="dxa"/>
          </w:tcPr>
          <w:p>
            <w:pPr>
              <w:pStyle w:val="TableParagraph"/>
              <w:spacing w:before="2"/>
              <w:rPr>
                <w:b/>
                <w:sz w:val="13"/>
              </w:rPr>
            </w:pPr>
          </w:p>
          <w:p>
            <w:pPr>
              <w:pStyle w:val="TableParagraph"/>
              <w:ind w:left="109"/>
              <w:rPr>
                <w:sz w:val="14"/>
              </w:rPr>
            </w:pPr>
            <w:r>
              <w:rPr>
                <w:sz w:val="14"/>
              </w:rPr>
              <w:t>13.13a-d</w:t>
            </w:r>
          </w:p>
        </w:tc>
        <w:tc>
          <w:tcPr>
            <w:tcW w:w="649" w:type="dxa"/>
          </w:tcPr>
          <w:p>
            <w:pPr>
              <w:pStyle w:val="TableParagraph"/>
              <w:spacing w:before="2"/>
              <w:rPr>
                <w:b/>
                <w:sz w:val="13"/>
              </w:rPr>
            </w:pPr>
          </w:p>
          <w:p>
            <w:pPr>
              <w:pStyle w:val="TableParagraph"/>
              <w:ind w:left="107"/>
              <w:rPr>
                <w:sz w:val="14"/>
              </w:rPr>
            </w:pPr>
            <w:r>
              <w:rPr>
                <w:sz w:val="14"/>
              </w:rPr>
              <w:t>7.39a-e</w:t>
            </w:r>
          </w:p>
        </w:tc>
        <w:tc>
          <w:tcPr>
            <w:tcW w:w="720" w:type="dxa"/>
          </w:tcPr>
          <w:p>
            <w:pPr>
              <w:pStyle w:val="TableParagraph"/>
              <w:spacing w:before="2"/>
              <w:rPr>
                <w:b/>
                <w:sz w:val="13"/>
              </w:rPr>
            </w:pPr>
          </w:p>
          <w:p>
            <w:pPr>
              <w:pStyle w:val="TableParagraph"/>
              <w:ind w:left="107"/>
              <w:rPr>
                <w:sz w:val="14"/>
              </w:rPr>
            </w:pPr>
            <w:r>
              <w:rPr>
                <w:sz w:val="14"/>
              </w:rPr>
              <w:t>20.52a-f</w:t>
            </w:r>
          </w:p>
        </w:tc>
      </w:tr>
      <w:tr>
        <w:trPr>
          <w:trHeight w:val="482" w:hRule="exact"/>
        </w:trPr>
        <w:tc>
          <w:tcPr>
            <w:tcW w:w="1472" w:type="dxa"/>
          </w:tcPr>
          <w:p>
            <w:pPr>
              <w:pStyle w:val="TableParagraph"/>
              <w:spacing w:before="3"/>
              <w:rPr>
                <w:b/>
                <w:sz w:val="13"/>
              </w:rPr>
            </w:pPr>
          </w:p>
          <w:p>
            <w:pPr>
              <w:pStyle w:val="TableParagraph"/>
              <w:ind w:left="122"/>
              <w:rPr>
                <w:sz w:val="14"/>
              </w:rPr>
            </w:pPr>
            <w:r>
              <w:rPr>
                <w:sz w:val="14"/>
              </w:rPr>
              <w:t>Cac. Tlacotepec (b)</w:t>
            </w:r>
          </w:p>
        </w:tc>
        <w:tc>
          <w:tcPr>
            <w:tcW w:w="759" w:type="dxa"/>
          </w:tcPr>
          <w:p>
            <w:pPr>
              <w:pStyle w:val="TableParagraph"/>
              <w:spacing w:before="3"/>
              <w:rPr>
                <w:b/>
                <w:sz w:val="13"/>
              </w:rPr>
            </w:pPr>
          </w:p>
          <w:p>
            <w:pPr>
              <w:pStyle w:val="TableParagraph"/>
              <w:ind w:left="109"/>
              <w:rPr>
                <w:sz w:val="14"/>
              </w:rPr>
            </w:pPr>
            <w:r>
              <w:rPr>
                <w:sz w:val="14"/>
              </w:rPr>
              <w:t>99.00mn</w:t>
            </w:r>
          </w:p>
        </w:tc>
        <w:tc>
          <w:tcPr>
            <w:tcW w:w="650" w:type="dxa"/>
          </w:tcPr>
          <w:p>
            <w:pPr>
              <w:pStyle w:val="TableParagraph"/>
              <w:spacing w:before="3"/>
              <w:rPr>
                <w:b/>
                <w:sz w:val="13"/>
              </w:rPr>
            </w:pPr>
          </w:p>
          <w:p>
            <w:pPr>
              <w:pStyle w:val="TableParagraph"/>
              <w:ind w:left="109"/>
              <w:rPr>
                <w:sz w:val="14"/>
              </w:rPr>
            </w:pPr>
            <w:r>
              <w:rPr>
                <w:sz w:val="14"/>
              </w:rPr>
              <w:t>2.65b-g</w:t>
            </w:r>
          </w:p>
        </w:tc>
        <w:tc>
          <w:tcPr>
            <w:tcW w:w="718" w:type="dxa"/>
          </w:tcPr>
          <w:p>
            <w:pPr>
              <w:pStyle w:val="TableParagraph"/>
              <w:spacing w:before="3"/>
              <w:rPr>
                <w:b/>
                <w:sz w:val="13"/>
              </w:rPr>
            </w:pPr>
          </w:p>
          <w:p>
            <w:pPr>
              <w:pStyle w:val="TableParagraph"/>
              <w:ind w:left="107"/>
              <w:rPr>
                <w:sz w:val="14"/>
              </w:rPr>
            </w:pPr>
            <w:r>
              <w:rPr>
                <w:sz w:val="14"/>
              </w:rPr>
              <w:t>11.41f-i</w:t>
            </w:r>
          </w:p>
        </w:tc>
        <w:tc>
          <w:tcPr>
            <w:tcW w:w="648" w:type="dxa"/>
          </w:tcPr>
          <w:p>
            <w:pPr>
              <w:pStyle w:val="TableParagraph"/>
              <w:spacing w:before="3"/>
              <w:rPr>
                <w:b/>
                <w:sz w:val="13"/>
              </w:rPr>
            </w:pPr>
          </w:p>
          <w:p>
            <w:pPr>
              <w:pStyle w:val="TableParagraph"/>
              <w:ind w:left="107"/>
              <w:rPr>
                <w:sz w:val="14"/>
              </w:rPr>
            </w:pPr>
            <w:r>
              <w:rPr>
                <w:sz w:val="14"/>
              </w:rPr>
              <w:t>1.96b-g</w:t>
            </w:r>
          </w:p>
        </w:tc>
        <w:tc>
          <w:tcPr>
            <w:tcW w:w="713" w:type="dxa"/>
          </w:tcPr>
          <w:p>
            <w:pPr>
              <w:pStyle w:val="TableParagraph"/>
              <w:spacing w:before="3"/>
              <w:rPr>
                <w:b/>
                <w:sz w:val="13"/>
              </w:rPr>
            </w:pPr>
          </w:p>
          <w:p>
            <w:pPr>
              <w:pStyle w:val="TableParagraph"/>
              <w:ind w:left="107"/>
              <w:rPr>
                <w:sz w:val="14"/>
              </w:rPr>
            </w:pPr>
            <w:r>
              <w:rPr>
                <w:sz w:val="14"/>
              </w:rPr>
              <w:t>56.87a</w:t>
            </w:r>
          </w:p>
        </w:tc>
        <w:tc>
          <w:tcPr>
            <w:tcW w:w="722" w:type="dxa"/>
          </w:tcPr>
          <w:p>
            <w:pPr>
              <w:pStyle w:val="TableParagraph"/>
              <w:spacing w:before="3"/>
              <w:rPr>
                <w:b/>
                <w:sz w:val="13"/>
              </w:rPr>
            </w:pPr>
          </w:p>
          <w:p>
            <w:pPr>
              <w:pStyle w:val="TableParagraph"/>
              <w:ind w:left="112"/>
              <w:rPr>
                <w:sz w:val="14"/>
              </w:rPr>
            </w:pPr>
            <w:r>
              <w:rPr>
                <w:sz w:val="14"/>
              </w:rPr>
              <w:t>69.61b-e</w:t>
            </w:r>
          </w:p>
        </w:tc>
        <w:tc>
          <w:tcPr>
            <w:tcW w:w="712" w:type="dxa"/>
          </w:tcPr>
          <w:p>
            <w:pPr>
              <w:pStyle w:val="TableParagraph"/>
              <w:spacing w:before="3"/>
              <w:rPr>
                <w:b/>
                <w:sz w:val="13"/>
              </w:rPr>
            </w:pPr>
          </w:p>
          <w:p>
            <w:pPr>
              <w:pStyle w:val="TableParagraph"/>
              <w:ind w:left="109"/>
              <w:rPr>
                <w:sz w:val="14"/>
              </w:rPr>
            </w:pPr>
            <w:r>
              <w:rPr>
                <w:sz w:val="14"/>
              </w:rPr>
              <w:t>32.26a-c</w:t>
            </w:r>
          </w:p>
        </w:tc>
        <w:tc>
          <w:tcPr>
            <w:tcW w:w="779" w:type="dxa"/>
          </w:tcPr>
          <w:p>
            <w:pPr>
              <w:pStyle w:val="TableParagraph"/>
              <w:spacing w:before="3"/>
              <w:rPr>
                <w:b/>
                <w:sz w:val="13"/>
              </w:rPr>
            </w:pPr>
          </w:p>
          <w:p>
            <w:pPr>
              <w:pStyle w:val="TableParagraph"/>
              <w:ind w:left="107"/>
              <w:rPr>
                <w:sz w:val="14"/>
              </w:rPr>
            </w:pPr>
            <w:r>
              <w:rPr>
                <w:sz w:val="14"/>
              </w:rPr>
              <w:t>101.87a-d</w:t>
            </w:r>
          </w:p>
        </w:tc>
        <w:tc>
          <w:tcPr>
            <w:tcW w:w="712" w:type="dxa"/>
          </w:tcPr>
          <w:p>
            <w:pPr>
              <w:pStyle w:val="TableParagraph"/>
              <w:spacing w:before="3"/>
              <w:rPr>
                <w:b/>
                <w:sz w:val="13"/>
              </w:rPr>
            </w:pPr>
          </w:p>
          <w:p>
            <w:pPr>
              <w:pStyle w:val="TableParagraph"/>
              <w:ind w:left="109"/>
              <w:rPr>
                <w:sz w:val="14"/>
              </w:rPr>
            </w:pPr>
            <w:r>
              <w:rPr>
                <w:sz w:val="14"/>
              </w:rPr>
              <w:t>11.40de</w:t>
            </w:r>
          </w:p>
        </w:tc>
        <w:tc>
          <w:tcPr>
            <w:tcW w:w="649" w:type="dxa"/>
          </w:tcPr>
          <w:p>
            <w:pPr>
              <w:pStyle w:val="TableParagraph"/>
              <w:spacing w:before="3"/>
              <w:rPr>
                <w:b/>
                <w:sz w:val="13"/>
              </w:rPr>
            </w:pPr>
          </w:p>
          <w:p>
            <w:pPr>
              <w:pStyle w:val="TableParagraph"/>
              <w:ind w:left="107"/>
              <w:rPr>
                <w:sz w:val="14"/>
              </w:rPr>
            </w:pPr>
            <w:r>
              <w:rPr>
                <w:sz w:val="14"/>
              </w:rPr>
              <w:t>8.08ab</w:t>
            </w:r>
          </w:p>
        </w:tc>
        <w:tc>
          <w:tcPr>
            <w:tcW w:w="720" w:type="dxa"/>
          </w:tcPr>
          <w:p>
            <w:pPr>
              <w:pStyle w:val="TableParagraph"/>
              <w:spacing w:before="3"/>
              <w:rPr>
                <w:b/>
                <w:sz w:val="13"/>
              </w:rPr>
            </w:pPr>
          </w:p>
          <w:p>
            <w:pPr>
              <w:pStyle w:val="TableParagraph"/>
              <w:ind w:left="107"/>
              <w:rPr>
                <w:sz w:val="14"/>
              </w:rPr>
            </w:pPr>
            <w:r>
              <w:rPr>
                <w:sz w:val="14"/>
              </w:rPr>
              <w:t>19.48b-g</w:t>
            </w:r>
          </w:p>
        </w:tc>
      </w:tr>
      <w:tr>
        <w:trPr>
          <w:trHeight w:val="482" w:hRule="exact"/>
        </w:trPr>
        <w:tc>
          <w:tcPr>
            <w:tcW w:w="1472" w:type="dxa"/>
          </w:tcPr>
          <w:p>
            <w:pPr>
              <w:pStyle w:val="TableParagraph"/>
              <w:spacing w:before="3"/>
              <w:rPr>
                <w:b/>
                <w:sz w:val="13"/>
              </w:rPr>
            </w:pPr>
          </w:p>
          <w:p>
            <w:pPr>
              <w:pStyle w:val="TableParagraph"/>
              <w:ind w:left="122"/>
              <w:rPr>
                <w:sz w:val="14"/>
              </w:rPr>
            </w:pPr>
            <w:r>
              <w:rPr>
                <w:sz w:val="14"/>
              </w:rPr>
              <w:t>San Cayetano (a)</w:t>
            </w:r>
          </w:p>
        </w:tc>
        <w:tc>
          <w:tcPr>
            <w:tcW w:w="759" w:type="dxa"/>
          </w:tcPr>
          <w:p>
            <w:pPr>
              <w:pStyle w:val="TableParagraph"/>
              <w:spacing w:before="3"/>
              <w:rPr>
                <w:b/>
                <w:sz w:val="13"/>
              </w:rPr>
            </w:pPr>
          </w:p>
          <w:p>
            <w:pPr>
              <w:pStyle w:val="TableParagraph"/>
              <w:ind w:left="109"/>
              <w:rPr>
                <w:sz w:val="14"/>
              </w:rPr>
            </w:pPr>
            <w:r>
              <w:rPr>
                <w:sz w:val="14"/>
              </w:rPr>
              <w:t>101.66hi</w:t>
            </w:r>
          </w:p>
        </w:tc>
        <w:tc>
          <w:tcPr>
            <w:tcW w:w="650" w:type="dxa"/>
          </w:tcPr>
          <w:p>
            <w:pPr>
              <w:pStyle w:val="TableParagraph"/>
              <w:spacing w:before="3"/>
              <w:rPr>
                <w:b/>
                <w:sz w:val="13"/>
              </w:rPr>
            </w:pPr>
          </w:p>
          <w:p>
            <w:pPr>
              <w:pStyle w:val="TableParagraph"/>
              <w:ind w:left="109"/>
              <w:rPr>
                <w:sz w:val="14"/>
              </w:rPr>
            </w:pPr>
            <w:r>
              <w:rPr>
                <w:sz w:val="14"/>
              </w:rPr>
              <w:t>2.74a-e</w:t>
            </w:r>
          </w:p>
        </w:tc>
        <w:tc>
          <w:tcPr>
            <w:tcW w:w="718" w:type="dxa"/>
          </w:tcPr>
          <w:p>
            <w:pPr>
              <w:pStyle w:val="TableParagraph"/>
              <w:spacing w:before="3"/>
              <w:rPr>
                <w:b/>
                <w:sz w:val="13"/>
              </w:rPr>
            </w:pPr>
          </w:p>
          <w:p>
            <w:pPr>
              <w:pStyle w:val="TableParagraph"/>
              <w:ind w:left="107"/>
              <w:rPr>
                <w:sz w:val="14"/>
              </w:rPr>
            </w:pPr>
            <w:r>
              <w:rPr>
                <w:sz w:val="14"/>
              </w:rPr>
              <w:t>12.09b-g</w:t>
            </w:r>
          </w:p>
        </w:tc>
        <w:tc>
          <w:tcPr>
            <w:tcW w:w="648" w:type="dxa"/>
          </w:tcPr>
          <w:p>
            <w:pPr>
              <w:pStyle w:val="TableParagraph"/>
              <w:spacing w:before="3"/>
              <w:rPr>
                <w:b/>
                <w:sz w:val="13"/>
              </w:rPr>
            </w:pPr>
          </w:p>
          <w:p>
            <w:pPr>
              <w:pStyle w:val="TableParagraph"/>
              <w:ind w:left="107"/>
              <w:rPr>
                <w:sz w:val="14"/>
              </w:rPr>
            </w:pPr>
            <w:r>
              <w:rPr>
                <w:sz w:val="14"/>
              </w:rPr>
              <w:t>2.03a-e</w:t>
            </w:r>
          </w:p>
        </w:tc>
        <w:tc>
          <w:tcPr>
            <w:tcW w:w="713" w:type="dxa"/>
          </w:tcPr>
          <w:p>
            <w:pPr>
              <w:pStyle w:val="TableParagraph"/>
              <w:spacing w:before="3"/>
              <w:rPr>
                <w:b/>
                <w:sz w:val="13"/>
              </w:rPr>
            </w:pPr>
          </w:p>
          <w:p>
            <w:pPr>
              <w:pStyle w:val="TableParagraph"/>
              <w:ind w:left="107"/>
              <w:rPr>
                <w:sz w:val="14"/>
              </w:rPr>
            </w:pPr>
            <w:r>
              <w:rPr>
                <w:sz w:val="14"/>
              </w:rPr>
              <w:t>47.70a-c</w:t>
            </w:r>
          </w:p>
        </w:tc>
        <w:tc>
          <w:tcPr>
            <w:tcW w:w="722" w:type="dxa"/>
          </w:tcPr>
          <w:p>
            <w:pPr>
              <w:pStyle w:val="TableParagraph"/>
              <w:spacing w:before="3"/>
              <w:rPr>
                <w:b/>
                <w:sz w:val="13"/>
              </w:rPr>
            </w:pPr>
          </w:p>
          <w:p>
            <w:pPr>
              <w:pStyle w:val="TableParagraph"/>
              <w:ind w:left="112"/>
              <w:rPr>
                <w:sz w:val="14"/>
              </w:rPr>
            </w:pPr>
            <w:r>
              <w:rPr>
                <w:sz w:val="14"/>
              </w:rPr>
              <w:t>77.29ab</w:t>
            </w:r>
          </w:p>
        </w:tc>
        <w:tc>
          <w:tcPr>
            <w:tcW w:w="712" w:type="dxa"/>
          </w:tcPr>
          <w:p>
            <w:pPr>
              <w:pStyle w:val="TableParagraph"/>
              <w:spacing w:before="3"/>
              <w:rPr>
                <w:b/>
                <w:sz w:val="13"/>
              </w:rPr>
            </w:pPr>
          </w:p>
          <w:p>
            <w:pPr>
              <w:pStyle w:val="TableParagraph"/>
              <w:ind w:left="109"/>
              <w:rPr>
                <w:sz w:val="14"/>
              </w:rPr>
            </w:pPr>
            <w:r>
              <w:rPr>
                <w:sz w:val="14"/>
              </w:rPr>
              <w:t>27.69c-i</w:t>
            </w:r>
          </w:p>
        </w:tc>
        <w:tc>
          <w:tcPr>
            <w:tcW w:w="779" w:type="dxa"/>
          </w:tcPr>
          <w:p>
            <w:pPr>
              <w:pStyle w:val="TableParagraph"/>
              <w:spacing w:before="3"/>
              <w:rPr>
                <w:b/>
                <w:sz w:val="13"/>
              </w:rPr>
            </w:pPr>
          </w:p>
          <w:p>
            <w:pPr>
              <w:pStyle w:val="TableParagraph"/>
              <w:ind w:left="107"/>
              <w:rPr>
                <w:sz w:val="14"/>
              </w:rPr>
            </w:pPr>
            <w:r>
              <w:rPr>
                <w:sz w:val="14"/>
              </w:rPr>
              <w:t>104.98a-c</w:t>
            </w:r>
          </w:p>
        </w:tc>
        <w:tc>
          <w:tcPr>
            <w:tcW w:w="712" w:type="dxa"/>
          </w:tcPr>
          <w:p>
            <w:pPr>
              <w:pStyle w:val="TableParagraph"/>
              <w:spacing w:before="3"/>
              <w:rPr>
                <w:b/>
                <w:sz w:val="13"/>
              </w:rPr>
            </w:pPr>
          </w:p>
          <w:p>
            <w:pPr>
              <w:pStyle w:val="TableParagraph"/>
              <w:ind w:left="109"/>
              <w:rPr>
                <w:sz w:val="14"/>
              </w:rPr>
            </w:pPr>
            <w:r>
              <w:rPr>
                <w:sz w:val="14"/>
              </w:rPr>
              <w:t>14.39a-c</w:t>
            </w:r>
          </w:p>
        </w:tc>
        <w:tc>
          <w:tcPr>
            <w:tcW w:w="649" w:type="dxa"/>
          </w:tcPr>
          <w:p>
            <w:pPr>
              <w:pStyle w:val="TableParagraph"/>
              <w:spacing w:before="3"/>
              <w:rPr>
                <w:b/>
                <w:sz w:val="13"/>
              </w:rPr>
            </w:pPr>
          </w:p>
          <w:p>
            <w:pPr>
              <w:pStyle w:val="TableParagraph"/>
              <w:ind w:left="107"/>
              <w:rPr>
                <w:sz w:val="14"/>
              </w:rPr>
            </w:pPr>
            <w:r>
              <w:rPr>
                <w:sz w:val="14"/>
              </w:rPr>
              <w:t>7.34a-e</w:t>
            </w:r>
          </w:p>
        </w:tc>
        <w:tc>
          <w:tcPr>
            <w:tcW w:w="720" w:type="dxa"/>
          </w:tcPr>
          <w:p>
            <w:pPr>
              <w:pStyle w:val="TableParagraph"/>
              <w:spacing w:before="3"/>
              <w:rPr>
                <w:b/>
                <w:sz w:val="13"/>
              </w:rPr>
            </w:pPr>
          </w:p>
          <w:p>
            <w:pPr>
              <w:pStyle w:val="TableParagraph"/>
              <w:ind w:left="107"/>
              <w:rPr>
                <w:sz w:val="14"/>
              </w:rPr>
            </w:pPr>
            <w:r>
              <w:rPr>
                <w:sz w:val="14"/>
              </w:rPr>
              <w:t>21.74a-d</w:t>
            </w:r>
          </w:p>
        </w:tc>
      </w:tr>
      <w:tr>
        <w:trPr>
          <w:trHeight w:val="483" w:hRule="exact"/>
        </w:trPr>
        <w:tc>
          <w:tcPr>
            <w:tcW w:w="1472" w:type="dxa"/>
          </w:tcPr>
          <w:p>
            <w:pPr>
              <w:pStyle w:val="TableParagraph"/>
              <w:spacing w:before="3"/>
              <w:rPr>
                <w:b/>
                <w:sz w:val="13"/>
              </w:rPr>
            </w:pPr>
          </w:p>
          <w:p>
            <w:pPr>
              <w:pStyle w:val="TableParagraph"/>
              <w:ind w:left="122"/>
              <w:rPr>
                <w:sz w:val="14"/>
              </w:rPr>
            </w:pPr>
            <w:r>
              <w:rPr>
                <w:sz w:val="14"/>
              </w:rPr>
              <w:t>San Diego (b)</w:t>
            </w:r>
          </w:p>
        </w:tc>
        <w:tc>
          <w:tcPr>
            <w:tcW w:w="759" w:type="dxa"/>
          </w:tcPr>
          <w:p>
            <w:pPr>
              <w:pStyle w:val="TableParagraph"/>
              <w:spacing w:before="3"/>
              <w:rPr>
                <w:b/>
                <w:sz w:val="13"/>
              </w:rPr>
            </w:pPr>
          </w:p>
          <w:p>
            <w:pPr>
              <w:pStyle w:val="TableParagraph"/>
              <w:ind w:left="109"/>
              <w:rPr>
                <w:sz w:val="14"/>
              </w:rPr>
            </w:pPr>
            <w:r>
              <w:rPr>
                <w:sz w:val="14"/>
              </w:rPr>
              <w:t>106.08e</w:t>
            </w:r>
          </w:p>
        </w:tc>
        <w:tc>
          <w:tcPr>
            <w:tcW w:w="650" w:type="dxa"/>
          </w:tcPr>
          <w:p>
            <w:pPr>
              <w:pStyle w:val="TableParagraph"/>
              <w:spacing w:before="3"/>
              <w:rPr>
                <w:b/>
                <w:sz w:val="13"/>
              </w:rPr>
            </w:pPr>
          </w:p>
          <w:p>
            <w:pPr>
              <w:pStyle w:val="TableParagraph"/>
              <w:ind w:left="109"/>
              <w:rPr>
                <w:sz w:val="14"/>
              </w:rPr>
            </w:pPr>
            <w:r>
              <w:rPr>
                <w:sz w:val="14"/>
              </w:rPr>
              <w:t>2.92ª</w:t>
            </w:r>
          </w:p>
        </w:tc>
        <w:tc>
          <w:tcPr>
            <w:tcW w:w="718" w:type="dxa"/>
          </w:tcPr>
          <w:p>
            <w:pPr>
              <w:pStyle w:val="TableParagraph"/>
              <w:spacing w:before="3"/>
              <w:rPr>
                <w:b/>
                <w:sz w:val="13"/>
              </w:rPr>
            </w:pPr>
          </w:p>
          <w:p>
            <w:pPr>
              <w:pStyle w:val="TableParagraph"/>
              <w:ind w:left="107"/>
              <w:rPr>
                <w:sz w:val="14"/>
              </w:rPr>
            </w:pPr>
            <w:r>
              <w:rPr>
                <w:sz w:val="14"/>
              </w:rPr>
              <w:t>12.63b-d</w:t>
            </w:r>
          </w:p>
        </w:tc>
        <w:tc>
          <w:tcPr>
            <w:tcW w:w="648" w:type="dxa"/>
          </w:tcPr>
          <w:p>
            <w:pPr>
              <w:pStyle w:val="TableParagraph"/>
              <w:spacing w:before="3"/>
              <w:rPr>
                <w:b/>
                <w:sz w:val="13"/>
              </w:rPr>
            </w:pPr>
          </w:p>
          <w:p>
            <w:pPr>
              <w:pStyle w:val="TableParagraph"/>
              <w:ind w:left="107"/>
              <w:rPr>
                <w:sz w:val="14"/>
              </w:rPr>
            </w:pPr>
            <w:r>
              <w:rPr>
                <w:sz w:val="14"/>
              </w:rPr>
              <w:t>2.08a-c</w:t>
            </w:r>
          </w:p>
        </w:tc>
        <w:tc>
          <w:tcPr>
            <w:tcW w:w="713" w:type="dxa"/>
          </w:tcPr>
          <w:p>
            <w:pPr>
              <w:pStyle w:val="TableParagraph"/>
              <w:spacing w:before="3"/>
              <w:rPr>
                <w:b/>
                <w:sz w:val="13"/>
              </w:rPr>
            </w:pPr>
          </w:p>
          <w:p>
            <w:pPr>
              <w:pStyle w:val="TableParagraph"/>
              <w:ind w:left="107"/>
              <w:rPr>
                <w:sz w:val="14"/>
              </w:rPr>
            </w:pPr>
            <w:r>
              <w:rPr>
                <w:sz w:val="14"/>
              </w:rPr>
              <w:t>52.29ab</w:t>
            </w:r>
          </w:p>
        </w:tc>
        <w:tc>
          <w:tcPr>
            <w:tcW w:w="722" w:type="dxa"/>
          </w:tcPr>
          <w:p>
            <w:pPr>
              <w:pStyle w:val="TableParagraph"/>
              <w:spacing w:before="3"/>
              <w:rPr>
                <w:b/>
                <w:sz w:val="13"/>
              </w:rPr>
            </w:pPr>
          </w:p>
          <w:p>
            <w:pPr>
              <w:pStyle w:val="TableParagraph"/>
              <w:ind w:left="112"/>
              <w:rPr>
                <w:sz w:val="14"/>
              </w:rPr>
            </w:pPr>
            <w:r>
              <w:rPr>
                <w:sz w:val="14"/>
              </w:rPr>
              <w:t>78.11ab</w:t>
            </w:r>
          </w:p>
        </w:tc>
        <w:tc>
          <w:tcPr>
            <w:tcW w:w="712" w:type="dxa"/>
          </w:tcPr>
          <w:p>
            <w:pPr>
              <w:pStyle w:val="TableParagraph"/>
              <w:spacing w:before="3"/>
              <w:rPr>
                <w:b/>
                <w:sz w:val="13"/>
              </w:rPr>
            </w:pPr>
          </w:p>
          <w:p>
            <w:pPr>
              <w:pStyle w:val="TableParagraph"/>
              <w:ind w:left="109"/>
              <w:rPr>
                <w:sz w:val="14"/>
              </w:rPr>
            </w:pPr>
            <w:r>
              <w:rPr>
                <w:sz w:val="14"/>
              </w:rPr>
              <w:t>29.00b-f</w:t>
            </w:r>
          </w:p>
        </w:tc>
        <w:tc>
          <w:tcPr>
            <w:tcW w:w="779" w:type="dxa"/>
          </w:tcPr>
          <w:p>
            <w:pPr>
              <w:pStyle w:val="TableParagraph"/>
              <w:spacing w:before="3"/>
              <w:rPr>
                <w:b/>
                <w:sz w:val="13"/>
              </w:rPr>
            </w:pPr>
          </w:p>
          <w:p>
            <w:pPr>
              <w:pStyle w:val="TableParagraph"/>
              <w:ind w:left="107"/>
              <w:rPr>
                <w:sz w:val="14"/>
              </w:rPr>
            </w:pPr>
            <w:r>
              <w:rPr>
                <w:sz w:val="14"/>
              </w:rPr>
              <w:t>107.05ab</w:t>
            </w:r>
          </w:p>
        </w:tc>
        <w:tc>
          <w:tcPr>
            <w:tcW w:w="712" w:type="dxa"/>
          </w:tcPr>
          <w:p>
            <w:pPr>
              <w:pStyle w:val="TableParagraph"/>
              <w:spacing w:before="3"/>
              <w:rPr>
                <w:b/>
                <w:sz w:val="13"/>
              </w:rPr>
            </w:pPr>
          </w:p>
          <w:p>
            <w:pPr>
              <w:pStyle w:val="TableParagraph"/>
              <w:ind w:left="109"/>
              <w:rPr>
                <w:sz w:val="14"/>
              </w:rPr>
            </w:pPr>
            <w:r>
              <w:rPr>
                <w:sz w:val="14"/>
              </w:rPr>
              <w:t>14.63ab</w:t>
            </w:r>
          </w:p>
        </w:tc>
        <w:tc>
          <w:tcPr>
            <w:tcW w:w="649" w:type="dxa"/>
          </w:tcPr>
          <w:p>
            <w:pPr>
              <w:pStyle w:val="TableParagraph"/>
              <w:spacing w:before="3"/>
              <w:rPr>
                <w:b/>
                <w:sz w:val="13"/>
              </w:rPr>
            </w:pPr>
          </w:p>
          <w:p>
            <w:pPr>
              <w:pStyle w:val="TableParagraph"/>
              <w:ind w:left="107"/>
              <w:rPr>
                <w:sz w:val="14"/>
              </w:rPr>
            </w:pPr>
            <w:r>
              <w:rPr>
                <w:sz w:val="14"/>
              </w:rPr>
              <w:t>7.46a-e</w:t>
            </w:r>
          </w:p>
        </w:tc>
        <w:tc>
          <w:tcPr>
            <w:tcW w:w="720" w:type="dxa"/>
          </w:tcPr>
          <w:p>
            <w:pPr>
              <w:pStyle w:val="TableParagraph"/>
              <w:spacing w:before="3"/>
              <w:rPr>
                <w:b/>
                <w:sz w:val="13"/>
              </w:rPr>
            </w:pPr>
          </w:p>
          <w:p>
            <w:pPr>
              <w:pStyle w:val="TableParagraph"/>
              <w:ind w:left="107"/>
              <w:rPr>
                <w:sz w:val="14"/>
              </w:rPr>
            </w:pPr>
            <w:r>
              <w:rPr>
                <w:sz w:val="14"/>
              </w:rPr>
              <w:t>22.10a-c</w:t>
            </w:r>
          </w:p>
        </w:tc>
      </w:tr>
      <w:tr>
        <w:trPr>
          <w:trHeight w:val="482" w:hRule="exact"/>
        </w:trPr>
        <w:tc>
          <w:tcPr>
            <w:tcW w:w="1472" w:type="dxa"/>
          </w:tcPr>
          <w:p>
            <w:pPr>
              <w:pStyle w:val="TableParagraph"/>
              <w:spacing w:before="3"/>
              <w:rPr>
                <w:b/>
                <w:sz w:val="13"/>
              </w:rPr>
            </w:pPr>
          </w:p>
          <w:p>
            <w:pPr>
              <w:pStyle w:val="TableParagraph"/>
              <w:ind w:left="122"/>
              <w:rPr>
                <w:sz w:val="14"/>
              </w:rPr>
            </w:pPr>
            <w:r>
              <w:rPr>
                <w:sz w:val="14"/>
              </w:rPr>
              <w:t>Tlacotepec (b)</w:t>
            </w:r>
          </w:p>
        </w:tc>
        <w:tc>
          <w:tcPr>
            <w:tcW w:w="759" w:type="dxa"/>
          </w:tcPr>
          <w:p>
            <w:pPr>
              <w:pStyle w:val="TableParagraph"/>
              <w:spacing w:before="3"/>
              <w:rPr>
                <w:b/>
                <w:sz w:val="13"/>
              </w:rPr>
            </w:pPr>
          </w:p>
          <w:p>
            <w:pPr>
              <w:pStyle w:val="TableParagraph"/>
              <w:ind w:left="109"/>
              <w:rPr>
                <w:sz w:val="14"/>
              </w:rPr>
            </w:pPr>
            <w:r>
              <w:rPr>
                <w:sz w:val="14"/>
              </w:rPr>
              <w:t>98.25n</w:t>
            </w:r>
          </w:p>
        </w:tc>
        <w:tc>
          <w:tcPr>
            <w:tcW w:w="650" w:type="dxa"/>
          </w:tcPr>
          <w:p>
            <w:pPr>
              <w:pStyle w:val="TableParagraph"/>
              <w:spacing w:before="3"/>
              <w:rPr>
                <w:b/>
                <w:sz w:val="13"/>
              </w:rPr>
            </w:pPr>
          </w:p>
          <w:p>
            <w:pPr>
              <w:pStyle w:val="TableParagraph"/>
              <w:ind w:left="109"/>
              <w:rPr>
                <w:sz w:val="14"/>
              </w:rPr>
            </w:pPr>
            <w:r>
              <w:rPr>
                <w:sz w:val="14"/>
              </w:rPr>
              <w:t>2.81a-c</w:t>
            </w:r>
          </w:p>
        </w:tc>
        <w:tc>
          <w:tcPr>
            <w:tcW w:w="718" w:type="dxa"/>
          </w:tcPr>
          <w:p>
            <w:pPr>
              <w:pStyle w:val="TableParagraph"/>
              <w:spacing w:before="3"/>
              <w:rPr>
                <w:b/>
                <w:sz w:val="13"/>
              </w:rPr>
            </w:pPr>
          </w:p>
          <w:p>
            <w:pPr>
              <w:pStyle w:val="TableParagraph"/>
              <w:ind w:left="107"/>
              <w:rPr>
                <w:sz w:val="14"/>
              </w:rPr>
            </w:pPr>
            <w:r>
              <w:rPr>
                <w:sz w:val="14"/>
              </w:rPr>
              <w:t>12.60b-e</w:t>
            </w:r>
          </w:p>
        </w:tc>
        <w:tc>
          <w:tcPr>
            <w:tcW w:w="648" w:type="dxa"/>
          </w:tcPr>
          <w:p>
            <w:pPr>
              <w:pStyle w:val="TableParagraph"/>
              <w:spacing w:before="3"/>
              <w:rPr>
                <w:b/>
                <w:sz w:val="13"/>
              </w:rPr>
            </w:pPr>
          </w:p>
          <w:p>
            <w:pPr>
              <w:pStyle w:val="TableParagraph"/>
              <w:ind w:left="107"/>
              <w:rPr>
                <w:sz w:val="14"/>
              </w:rPr>
            </w:pPr>
            <w:r>
              <w:rPr>
                <w:sz w:val="14"/>
              </w:rPr>
              <w:t>1.99a-f</w:t>
            </w:r>
          </w:p>
        </w:tc>
        <w:tc>
          <w:tcPr>
            <w:tcW w:w="713" w:type="dxa"/>
          </w:tcPr>
          <w:p>
            <w:pPr>
              <w:pStyle w:val="TableParagraph"/>
              <w:spacing w:before="3"/>
              <w:rPr>
                <w:b/>
                <w:sz w:val="13"/>
              </w:rPr>
            </w:pPr>
          </w:p>
          <w:p>
            <w:pPr>
              <w:pStyle w:val="TableParagraph"/>
              <w:ind w:left="107"/>
              <w:rPr>
                <w:sz w:val="14"/>
              </w:rPr>
            </w:pPr>
            <w:r>
              <w:rPr>
                <w:sz w:val="14"/>
              </w:rPr>
              <w:t>43.33a-d</w:t>
            </w:r>
          </w:p>
        </w:tc>
        <w:tc>
          <w:tcPr>
            <w:tcW w:w="722" w:type="dxa"/>
          </w:tcPr>
          <w:p>
            <w:pPr>
              <w:pStyle w:val="TableParagraph"/>
              <w:spacing w:before="3"/>
              <w:rPr>
                <w:b/>
                <w:sz w:val="13"/>
              </w:rPr>
            </w:pPr>
          </w:p>
          <w:p>
            <w:pPr>
              <w:pStyle w:val="TableParagraph"/>
              <w:ind w:left="112"/>
              <w:rPr>
                <w:sz w:val="14"/>
              </w:rPr>
            </w:pPr>
            <w:r>
              <w:rPr>
                <w:sz w:val="14"/>
              </w:rPr>
              <w:t>77.28ab</w:t>
            </w:r>
          </w:p>
        </w:tc>
        <w:tc>
          <w:tcPr>
            <w:tcW w:w="712" w:type="dxa"/>
          </w:tcPr>
          <w:p>
            <w:pPr>
              <w:pStyle w:val="TableParagraph"/>
              <w:spacing w:before="3"/>
              <w:rPr>
                <w:b/>
                <w:sz w:val="13"/>
              </w:rPr>
            </w:pPr>
          </w:p>
          <w:p>
            <w:pPr>
              <w:pStyle w:val="TableParagraph"/>
              <w:ind w:left="109"/>
              <w:rPr>
                <w:sz w:val="14"/>
              </w:rPr>
            </w:pPr>
            <w:r>
              <w:rPr>
                <w:sz w:val="14"/>
              </w:rPr>
              <w:t>24.52f-j</w:t>
            </w:r>
          </w:p>
        </w:tc>
        <w:tc>
          <w:tcPr>
            <w:tcW w:w="779" w:type="dxa"/>
          </w:tcPr>
          <w:p>
            <w:pPr>
              <w:pStyle w:val="TableParagraph"/>
              <w:spacing w:before="3"/>
              <w:rPr>
                <w:b/>
                <w:sz w:val="13"/>
              </w:rPr>
            </w:pPr>
          </w:p>
          <w:p>
            <w:pPr>
              <w:pStyle w:val="TableParagraph"/>
              <w:ind w:left="107"/>
              <w:rPr>
                <w:sz w:val="14"/>
              </w:rPr>
            </w:pPr>
            <w:r>
              <w:rPr>
                <w:sz w:val="14"/>
              </w:rPr>
              <w:t>101.81a-d</w:t>
            </w:r>
          </w:p>
        </w:tc>
        <w:tc>
          <w:tcPr>
            <w:tcW w:w="712" w:type="dxa"/>
          </w:tcPr>
          <w:p>
            <w:pPr>
              <w:pStyle w:val="TableParagraph"/>
              <w:spacing w:before="3"/>
              <w:rPr>
                <w:b/>
                <w:sz w:val="13"/>
              </w:rPr>
            </w:pPr>
          </w:p>
          <w:p>
            <w:pPr>
              <w:pStyle w:val="TableParagraph"/>
              <w:ind w:left="109"/>
              <w:rPr>
                <w:sz w:val="14"/>
              </w:rPr>
            </w:pPr>
            <w:r>
              <w:rPr>
                <w:sz w:val="14"/>
              </w:rPr>
              <w:t>15.28a</w:t>
            </w:r>
          </w:p>
        </w:tc>
        <w:tc>
          <w:tcPr>
            <w:tcW w:w="649" w:type="dxa"/>
          </w:tcPr>
          <w:p>
            <w:pPr>
              <w:pStyle w:val="TableParagraph"/>
              <w:spacing w:before="3"/>
              <w:rPr>
                <w:b/>
                <w:sz w:val="13"/>
              </w:rPr>
            </w:pPr>
          </w:p>
          <w:p>
            <w:pPr>
              <w:pStyle w:val="TableParagraph"/>
              <w:ind w:left="107"/>
              <w:rPr>
                <w:sz w:val="14"/>
              </w:rPr>
            </w:pPr>
            <w:r>
              <w:rPr>
                <w:sz w:val="14"/>
              </w:rPr>
              <w:t>6.28e-h</w:t>
            </w:r>
          </w:p>
        </w:tc>
        <w:tc>
          <w:tcPr>
            <w:tcW w:w="720" w:type="dxa"/>
          </w:tcPr>
          <w:p>
            <w:pPr>
              <w:pStyle w:val="TableParagraph"/>
              <w:spacing w:before="3"/>
              <w:rPr>
                <w:b/>
                <w:sz w:val="13"/>
              </w:rPr>
            </w:pPr>
          </w:p>
          <w:p>
            <w:pPr>
              <w:pStyle w:val="TableParagraph"/>
              <w:ind w:left="107"/>
              <w:rPr>
                <w:sz w:val="14"/>
              </w:rPr>
            </w:pPr>
            <w:r>
              <w:rPr>
                <w:sz w:val="14"/>
              </w:rPr>
              <w:t>21.56a-e</w:t>
            </w:r>
          </w:p>
        </w:tc>
      </w:tr>
      <w:tr>
        <w:trPr>
          <w:trHeight w:val="481" w:hRule="exact"/>
        </w:trPr>
        <w:tc>
          <w:tcPr>
            <w:tcW w:w="1472" w:type="dxa"/>
          </w:tcPr>
          <w:p>
            <w:pPr>
              <w:pStyle w:val="TableParagraph"/>
              <w:spacing w:before="2"/>
              <w:rPr>
                <w:b/>
                <w:sz w:val="13"/>
              </w:rPr>
            </w:pPr>
          </w:p>
          <w:p>
            <w:pPr>
              <w:pStyle w:val="TableParagraph"/>
              <w:ind w:left="122"/>
              <w:rPr>
                <w:sz w:val="14"/>
              </w:rPr>
            </w:pPr>
            <w:r>
              <w:rPr>
                <w:sz w:val="14"/>
              </w:rPr>
              <w:t>Cac. San Cristóbal (b)</w:t>
            </w:r>
          </w:p>
        </w:tc>
        <w:tc>
          <w:tcPr>
            <w:tcW w:w="759" w:type="dxa"/>
          </w:tcPr>
          <w:p>
            <w:pPr>
              <w:pStyle w:val="TableParagraph"/>
              <w:spacing w:before="2"/>
              <w:rPr>
                <w:b/>
                <w:sz w:val="13"/>
              </w:rPr>
            </w:pPr>
          </w:p>
          <w:p>
            <w:pPr>
              <w:pStyle w:val="TableParagraph"/>
              <w:ind w:left="109"/>
              <w:rPr>
                <w:sz w:val="14"/>
              </w:rPr>
            </w:pPr>
            <w:r>
              <w:rPr>
                <w:sz w:val="14"/>
              </w:rPr>
              <w:t>99.91k-m</w:t>
            </w:r>
          </w:p>
        </w:tc>
        <w:tc>
          <w:tcPr>
            <w:tcW w:w="650" w:type="dxa"/>
          </w:tcPr>
          <w:p>
            <w:pPr>
              <w:pStyle w:val="TableParagraph"/>
              <w:spacing w:before="2"/>
              <w:rPr>
                <w:b/>
                <w:sz w:val="13"/>
              </w:rPr>
            </w:pPr>
          </w:p>
          <w:p>
            <w:pPr>
              <w:pStyle w:val="TableParagraph"/>
              <w:ind w:left="109"/>
              <w:rPr>
                <w:sz w:val="14"/>
              </w:rPr>
            </w:pPr>
            <w:r>
              <w:rPr>
                <w:sz w:val="14"/>
              </w:rPr>
              <w:t>2.59c-g</w:t>
            </w:r>
          </w:p>
        </w:tc>
        <w:tc>
          <w:tcPr>
            <w:tcW w:w="718" w:type="dxa"/>
          </w:tcPr>
          <w:p>
            <w:pPr>
              <w:pStyle w:val="TableParagraph"/>
              <w:spacing w:before="2"/>
              <w:rPr>
                <w:b/>
                <w:sz w:val="13"/>
              </w:rPr>
            </w:pPr>
          </w:p>
          <w:p>
            <w:pPr>
              <w:pStyle w:val="TableParagraph"/>
              <w:ind w:left="107"/>
              <w:rPr>
                <w:sz w:val="14"/>
              </w:rPr>
            </w:pPr>
            <w:r>
              <w:rPr>
                <w:sz w:val="14"/>
              </w:rPr>
              <w:t>11.69c-h</w:t>
            </w:r>
          </w:p>
        </w:tc>
        <w:tc>
          <w:tcPr>
            <w:tcW w:w="648" w:type="dxa"/>
          </w:tcPr>
          <w:p>
            <w:pPr>
              <w:pStyle w:val="TableParagraph"/>
              <w:spacing w:before="2"/>
              <w:rPr>
                <w:b/>
                <w:sz w:val="13"/>
              </w:rPr>
            </w:pPr>
          </w:p>
          <w:p>
            <w:pPr>
              <w:pStyle w:val="TableParagraph"/>
              <w:ind w:left="107"/>
              <w:rPr>
                <w:sz w:val="14"/>
              </w:rPr>
            </w:pPr>
            <w:r>
              <w:rPr>
                <w:sz w:val="14"/>
              </w:rPr>
              <w:t>1.93b-h</w:t>
            </w:r>
          </w:p>
        </w:tc>
        <w:tc>
          <w:tcPr>
            <w:tcW w:w="713" w:type="dxa"/>
          </w:tcPr>
          <w:p>
            <w:pPr>
              <w:pStyle w:val="TableParagraph"/>
              <w:spacing w:before="2"/>
              <w:rPr>
                <w:b/>
                <w:sz w:val="13"/>
              </w:rPr>
            </w:pPr>
          </w:p>
          <w:p>
            <w:pPr>
              <w:pStyle w:val="TableParagraph"/>
              <w:ind w:left="107"/>
              <w:rPr>
                <w:sz w:val="14"/>
              </w:rPr>
            </w:pPr>
            <w:r>
              <w:rPr>
                <w:sz w:val="14"/>
              </w:rPr>
              <w:t>35.62b-f</w:t>
            </w:r>
          </w:p>
        </w:tc>
        <w:tc>
          <w:tcPr>
            <w:tcW w:w="722" w:type="dxa"/>
          </w:tcPr>
          <w:p>
            <w:pPr>
              <w:pStyle w:val="TableParagraph"/>
              <w:spacing w:before="2"/>
              <w:rPr>
                <w:b/>
                <w:sz w:val="13"/>
              </w:rPr>
            </w:pPr>
          </w:p>
          <w:p>
            <w:pPr>
              <w:pStyle w:val="TableParagraph"/>
              <w:ind w:left="112"/>
              <w:rPr>
                <w:sz w:val="14"/>
              </w:rPr>
            </w:pPr>
            <w:r>
              <w:rPr>
                <w:sz w:val="14"/>
              </w:rPr>
              <w:t>68.99b-e</w:t>
            </w:r>
          </w:p>
        </w:tc>
        <w:tc>
          <w:tcPr>
            <w:tcW w:w="712" w:type="dxa"/>
          </w:tcPr>
          <w:p>
            <w:pPr>
              <w:pStyle w:val="TableParagraph"/>
              <w:spacing w:before="2"/>
              <w:rPr>
                <w:b/>
                <w:sz w:val="13"/>
              </w:rPr>
            </w:pPr>
          </w:p>
          <w:p>
            <w:pPr>
              <w:pStyle w:val="TableParagraph"/>
              <w:ind w:left="109"/>
              <w:rPr>
                <w:sz w:val="14"/>
              </w:rPr>
            </w:pPr>
            <w:r>
              <w:rPr>
                <w:sz w:val="14"/>
              </w:rPr>
              <w:t>31.29a-d</w:t>
            </w:r>
          </w:p>
        </w:tc>
        <w:tc>
          <w:tcPr>
            <w:tcW w:w="779" w:type="dxa"/>
          </w:tcPr>
          <w:p>
            <w:pPr>
              <w:pStyle w:val="TableParagraph"/>
              <w:spacing w:before="2"/>
              <w:rPr>
                <w:b/>
                <w:sz w:val="13"/>
              </w:rPr>
            </w:pPr>
          </w:p>
          <w:p>
            <w:pPr>
              <w:pStyle w:val="TableParagraph"/>
              <w:ind w:left="107"/>
              <w:rPr>
                <w:sz w:val="14"/>
              </w:rPr>
            </w:pPr>
            <w:r>
              <w:rPr>
                <w:sz w:val="14"/>
              </w:rPr>
              <w:t>100.28a-e</w:t>
            </w:r>
          </w:p>
        </w:tc>
        <w:tc>
          <w:tcPr>
            <w:tcW w:w="712" w:type="dxa"/>
          </w:tcPr>
          <w:p>
            <w:pPr>
              <w:pStyle w:val="TableParagraph"/>
              <w:spacing w:before="2"/>
              <w:rPr>
                <w:b/>
                <w:sz w:val="13"/>
              </w:rPr>
            </w:pPr>
          </w:p>
          <w:p>
            <w:pPr>
              <w:pStyle w:val="TableParagraph"/>
              <w:ind w:left="109"/>
              <w:rPr>
                <w:sz w:val="14"/>
              </w:rPr>
            </w:pPr>
            <w:r>
              <w:rPr>
                <w:sz w:val="14"/>
              </w:rPr>
              <w:t>12.52b-e</w:t>
            </w:r>
          </w:p>
        </w:tc>
        <w:tc>
          <w:tcPr>
            <w:tcW w:w="649" w:type="dxa"/>
          </w:tcPr>
          <w:p>
            <w:pPr>
              <w:pStyle w:val="TableParagraph"/>
              <w:spacing w:before="2"/>
              <w:rPr>
                <w:b/>
                <w:sz w:val="13"/>
              </w:rPr>
            </w:pPr>
          </w:p>
          <w:p>
            <w:pPr>
              <w:pStyle w:val="TableParagraph"/>
              <w:ind w:left="107"/>
              <w:rPr>
                <w:sz w:val="14"/>
              </w:rPr>
            </w:pPr>
            <w:r>
              <w:rPr>
                <w:sz w:val="14"/>
              </w:rPr>
              <w:t>7.82a-d</w:t>
            </w:r>
          </w:p>
        </w:tc>
        <w:tc>
          <w:tcPr>
            <w:tcW w:w="720" w:type="dxa"/>
          </w:tcPr>
          <w:p>
            <w:pPr>
              <w:pStyle w:val="TableParagraph"/>
              <w:spacing w:before="2"/>
              <w:rPr>
                <w:b/>
                <w:sz w:val="13"/>
              </w:rPr>
            </w:pPr>
          </w:p>
          <w:p>
            <w:pPr>
              <w:pStyle w:val="TableParagraph"/>
              <w:ind w:left="107"/>
              <w:rPr>
                <w:sz w:val="14"/>
              </w:rPr>
            </w:pPr>
            <w:r>
              <w:rPr>
                <w:sz w:val="14"/>
              </w:rPr>
              <w:t>20.34a-f</w:t>
            </w:r>
          </w:p>
        </w:tc>
      </w:tr>
      <w:tr>
        <w:trPr>
          <w:trHeight w:val="482" w:hRule="exact"/>
        </w:trPr>
        <w:tc>
          <w:tcPr>
            <w:tcW w:w="1472" w:type="dxa"/>
          </w:tcPr>
          <w:p>
            <w:pPr>
              <w:pStyle w:val="TableParagraph"/>
              <w:spacing w:before="3"/>
              <w:rPr>
                <w:b/>
                <w:sz w:val="13"/>
              </w:rPr>
            </w:pPr>
          </w:p>
          <w:p>
            <w:pPr>
              <w:pStyle w:val="TableParagraph"/>
              <w:ind w:left="122"/>
              <w:rPr>
                <w:sz w:val="14"/>
              </w:rPr>
            </w:pPr>
            <w:r>
              <w:rPr>
                <w:sz w:val="14"/>
              </w:rPr>
              <w:t>Emilio Portes Hill (a)</w:t>
            </w:r>
          </w:p>
        </w:tc>
        <w:tc>
          <w:tcPr>
            <w:tcW w:w="759" w:type="dxa"/>
          </w:tcPr>
          <w:p>
            <w:pPr>
              <w:pStyle w:val="TableParagraph"/>
              <w:spacing w:before="3"/>
              <w:rPr>
                <w:b/>
                <w:sz w:val="13"/>
              </w:rPr>
            </w:pPr>
          </w:p>
          <w:p>
            <w:pPr>
              <w:pStyle w:val="TableParagraph"/>
              <w:ind w:left="109"/>
              <w:rPr>
                <w:sz w:val="14"/>
              </w:rPr>
            </w:pPr>
            <w:r>
              <w:rPr>
                <w:sz w:val="14"/>
              </w:rPr>
              <w:t>112.08c</w:t>
            </w:r>
          </w:p>
        </w:tc>
        <w:tc>
          <w:tcPr>
            <w:tcW w:w="650" w:type="dxa"/>
          </w:tcPr>
          <w:p>
            <w:pPr>
              <w:pStyle w:val="TableParagraph"/>
              <w:spacing w:before="3"/>
              <w:rPr>
                <w:b/>
                <w:sz w:val="13"/>
              </w:rPr>
            </w:pPr>
          </w:p>
          <w:p>
            <w:pPr>
              <w:pStyle w:val="TableParagraph"/>
              <w:ind w:left="109"/>
              <w:rPr>
                <w:sz w:val="14"/>
              </w:rPr>
            </w:pPr>
            <w:r>
              <w:rPr>
                <w:sz w:val="14"/>
              </w:rPr>
              <w:t>2.84a-b</w:t>
            </w:r>
          </w:p>
        </w:tc>
        <w:tc>
          <w:tcPr>
            <w:tcW w:w="718" w:type="dxa"/>
          </w:tcPr>
          <w:p>
            <w:pPr>
              <w:pStyle w:val="TableParagraph"/>
              <w:spacing w:before="3"/>
              <w:rPr>
                <w:b/>
                <w:sz w:val="13"/>
              </w:rPr>
            </w:pPr>
          </w:p>
          <w:p>
            <w:pPr>
              <w:pStyle w:val="TableParagraph"/>
              <w:ind w:left="107"/>
              <w:rPr>
                <w:sz w:val="14"/>
              </w:rPr>
            </w:pPr>
            <w:r>
              <w:rPr>
                <w:sz w:val="14"/>
              </w:rPr>
              <w:t>12.10b-g</w:t>
            </w:r>
          </w:p>
        </w:tc>
        <w:tc>
          <w:tcPr>
            <w:tcW w:w="648" w:type="dxa"/>
          </w:tcPr>
          <w:p>
            <w:pPr>
              <w:pStyle w:val="TableParagraph"/>
              <w:spacing w:before="3"/>
              <w:rPr>
                <w:b/>
                <w:sz w:val="13"/>
              </w:rPr>
            </w:pPr>
          </w:p>
          <w:p>
            <w:pPr>
              <w:pStyle w:val="TableParagraph"/>
              <w:ind w:left="107"/>
              <w:rPr>
                <w:sz w:val="14"/>
              </w:rPr>
            </w:pPr>
            <w:r>
              <w:rPr>
                <w:sz w:val="14"/>
              </w:rPr>
              <w:t>2.12ab</w:t>
            </w:r>
          </w:p>
        </w:tc>
        <w:tc>
          <w:tcPr>
            <w:tcW w:w="713" w:type="dxa"/>
          </w:tcPr>
          <w:p>
            <w:pPr>
              <w:pStyle w:val="TableParagraph"/>
              <w:spacing w:before="3"/>
              <w:rPr>
                <w:b/>
                <w:sz w:val="13"/>
              </w:rPr>
            </w:pPr>
          </w:p>
          <w:p>
            <w:pPr>
              <w:pStyle w:val="TableParagraph"/>
              <w:ind w:left="107"/>
              <w:rPr>
                <w:sz w:val="14"/>
              </w:rPr>
            </w:pPr>
            <w:r>
              <w:rPr>
                <w:sz w:val="14"/>
              </w:rPr>
              <w:t>44.16a-d</w:t>
            </w:r>
          </w:p>
        </w:tc>
        <w:tc>
          <w:tcPr>
            <w:tcW w:w="722" w:type="dxa"/>
          </w:tcPr>
          <w:p>
            <w:pPr>
              <w:pStyle w:val="TableParagraph"/>
              <w:spacing w:before="3"/>
              <w:rPr>
                <w:b/>
                <w:sz w:val="13"/>
              </w:rPr>
            </w:pPr>
          </w:p>
          <w:p>
            <w:pPr>
              <w:pStyle w:val="TableParagraph"/>
              <w:ind w:left="112"/>
              <w:rPr>
                <w:sz w:val="14"/>
              </w:rPr>
            </w:pPr>
            <w:r>
              <w:rPr>
                <w:sz w:val="14"/>
              </w:rPr>
              <w:t>88.40a</w:t>
            </w:r>
          </w:p>
        </w:tc>
        <w:tc>
          <w:tcPr>
            <w:tcW w:w="712" w:type="dxa"/>
          </w:tcPr>
          <w:p>
            <w:pPr>
              <w:pStyle w:val="TableParagraph"/>
              <w:spacing w:before="3"/>
              <w:rPr>
                <w:b/>
                <w:sz w:val="13"/>
              </w:rPr>
            </w:pPr>
          </w:p>
          <w:p>
            <w:pPr>
              <w:pStyle w:val="TableParagraph"/>
              <w:ind w:left="109"/>
              <w:rPr>
                <w:sz w:val="14"/>
              </w:rPr>
            </w:pPr>
            <w:r>
              <w:rPr>
                <w:sz w:val="14"/>
              </w:rPr>
              <w:t>24.88e-i</w:t>
            </w:r>
          </w:p>
        </w:tc>
        <w:tc>
          <w:tcPr>
            <w:tcW w:w="779" w:type="dxa"/>
          </w:tcPr>
          <w:p>
            <w:pPr>
              <w:pStyle w:val="TableParagraph"/>
              <w:spacing w:before="3"/>
              <w:rPr>
                <w:b/>
                <w:sz w:val="13"/>
              </w:rPr>
            </w:pPr>
          </w:p>
          <w:p>
            <w:pPr>
              <w:pStyle w:val="TableParagraph"/>
              <w:ind w:left="107"/>
              <w:rPr>
                <w:sz w:val="14"/>
              </w:rPr>
            </w:pPr>
            <w:r>
              <w:rPr>
                <w:sz w:val="14"/>
              </w:rPr>
              <w:t>113.29a</w:t>
            </w:r>
          </w:p>
        </w:tc>
        <w:tc>
          <w:tcPr>
            <w:tcW w:w="712" w:type="dxa"/>
          </w:tcPr>
          <w:p>
            <w:pPr>
              <w:pStyle w:val="TableParagraph"/>
              <w:spacing w:before="3"/>
              <w:rPr>
                <w:b/>
                <w:sz w:val="13"/>
              </w:rPr>
            </w:pPr>
          </w:p>
          <w:p>
            <w:pPr>
              <w:pStyle w:val="TableParagraph"/>
              <w:ind w:left="109"/>
              <w:rPr>
                <w:sz w:val="14"/>
              </w:rPr>
            </w:pPr>
            <w:r>
              <w:rPr>
                <w:sz w:val="14"/>
              </w:rPr>
              <w:t>15.42a</w:t>
            </w:r>
          </w:p>
        </w:tc>
        <w:tc>
          <w:tcPr>
            <w:tcW w:w="649" w:type="dxa"/>
          </w:tcPr>
          <w:p>
            <w:pPr>
              <w:pStyle w:val="TableParagraph"/>
              <w:spacing w:before="3"/>
              <w:rPr>
                <w:b/>
                <w:sz w:val="13"/>
              </w:rPr>
            </w:pPr>
          </w:p>
          <w:p>
            <w:pPr>
              <w:pStyle w:val="TableParagraph"/>
              <w:ind w:left="107"/>
              <w:rPr>
                <w:sz w:val="14"/>
              </w:rPr>
            </w:pPr>
            <w:r>
              <w:rPr>
                <w:sz w:val="14"/>
              </w:rPr>
              <w:t>6.36d-h</w:t>
            </w:r>
          </w:p>
        </w:tc>
        <w:tc>
          <w:tcPr>
            <w:tcW w:w="720" w:type="dxa"/>
          </w:tcPr>
          <w:p>
            <w:pPr>
              <w:pStyle w:val="TableParagraph"/>
              <w:spacing w:before="3"/>
              <w:rPr>
                <w:b/>
                <w:sz w:val="13"/>
              </w:rPr>
            </w:pPr>
          </w:p>
          <w:p>
            <w:pPr>
              <w:pStyle w:val="TableParagraph"/>
              <w:ind w:left="107"/>
              <w:rPr>
                <w:sz w:val="14"/>
              </w:rPr>
            </w:pPr>
            <w:r>
              <w:rPr>
                <w:sz w:val="14"/>
              </w:rPr>
              <w:t>21.78a-d</w:t>
            </w:r>
          </w:p>
        </w:tc>
      </w:tr>
      <w:tr>
        <w:trPr>
          <w:trHeight w:val="484" w:hRule="exact"/>
        </w:trPr>
        <w:tc>
          <w:tcPr>
            <w:tcW w:w="1472" w:type="dxa"/>
          </w:tcPr>
          <w:p>
            <w:pPr>
              <w:pStyle w:val="TableParagraph"/>
              <w:spacing w:before="3"/>
              <w:rPr>
                <w:b/>
                <w:sz w:val="13"/>
              </w:rPr>
            </w:pPr>
          </w:p>
          <w:p>
            <w:pPr>
              <w:pStyle w:val="TableParagraph"/>
              <w:ind w:left="122"/>
              <w:rPr>
                <w:sz w:val="14"/>
              </w:rPr>
            </w:pPr>
            <w:r>
              <w:rPr>
                <w:sz w:val="14"/>
              </w:rPr>
              <w:t>Promedio</w:t>
            </w:r>
          </w:p>
        </w:tc>
        <w:tc>
          <w:tcPr>
            <w:tcW w:w="759" w:type="dxa"/>
          </w:tcPr>
          <w:p>
            <w:pPr>
              <w:pStyle w:val="TableParagraph"/>
              <w:spacing w:before="5"/>
              <w:rPr>
                <w:b/>
                <w:sz w:val="13"/>
              </w:rPr>
            </w:pPr>
          </w:p>
          <w:p>
            <w:pPr>
              <w:pStyle w:val="TableParagraph"/>
              <w:spacing w:before="1"/>
              <w:ind w:left="109"/>
              <w:rPr>
                <w:b/>
                <w:sz w:val="14"/>
              </w:rPr>
            </w:pPr>
            <w:r>
              <w:rPr>
                <w:b/>
                <w:sz w:val="14"/>
              </w:rPr>
              <w:t>102.94</w:t>
            </w:r>
          </w:p>
        </w:tc>
        <w:tc>
          <w:tcPr>
            <w:tcW w:w="650" w:type="dxa"/>
          </w:tcPr>
          <w:p>
            <w:pPr>
              <w:pStyle w:val="TableParagraph"/>
              <w:spacing w:before="5"/>
              <w:rPr>
                <w:b/>
                <w:sz w:val="13"/>
              </w:rPr>
            </w:pPr>
          </w:p>
          <w:p>
            <w:pPr>
              <w:pStyle w:val="TableParagraph"/>
              <w:spacing w:before="1"/>
              <w:ind w:left="109"/>
              <w:rPr>
                <w:b/>
                <w:sz w:val="14"/>
              </w:rPr>
            </w:pPr>
            <w:r>
              <w:rPr>
                <w:b/>
                <w:sz w:val="14"/>
              </w:rPr>
              <w:t>2.76</w:t>
            </w:r>
          </w:p>
        </w:tc>
        <w:tc>
          <w:tcPr>
            <w:tcW w:w="718" w:type="dxa"/>
          </w:tcPr>
          <w:p>
            <w:pPr>
              <w:pStyle w:val="TableParagraph"/>
              <w:spacing w:before="5"/>
              <w:rPr>
                <w:b/>
                <w:sz w:val="13"/>
              </w:rPr>
            </w:pPr>
          </w:p>
          <w:p>
            <w:pPr>
              <w:pStyle w:val="TableParagraph"/>
              <w:spacing w:before="1"/>
              <w:ind w:left="107"/>
              <w:rPr>
                <w:b/>
                <w:sz w:val="14"/>
              </w:rPr>
            </w:pPr>
            <w:r>
              <w:rPr>
                <w:b/>
                <w:sz w:val="14"/>
              </w:rPr>
              <w:t>12.13</w:t>
            </w:r>
          </w:p>
        </w:tc>
        <w:tc>
          <w:tcPr>
            <w:tcW w:w="648" w:type="dxa"/>
          </w:tcPr>
          <w:p>
            <w:pPr>
              <w:pStyle w:val="TableParagraph"/>
              <w:spacing w:before="5"/>
              <w:rPr>
                <w:b/>
                <w:sz w:val="13"/>
              </w:rPr>
            </w:pPr>
          </w:p>
          <w:p>
            <w:pPr>
              <w:pStyle w:val="TableParagraph"/>
              <w:spacing w:before="1"/>
              <w:ind w:left="107"/>
              <w:rPr>
                <w:b/>
                <w:sz w:val="14"/>
              </w:rPr>
            </w:pPr>
            <w:r>
              <w:rPr>
                <w:b/>
                <w:sz w:val="14"/>
              </w:rPr>
              <w:t>2.01</w:t>
            </w:r>
          </w:p>
        </w:tc>
        <w:tc>
          <w:tcPr>
            <w:tcW w:w="713" w:type="dxa"/>
          </w:tcPr>
          <w:p>
            <w:pPr>
              <w:pStyle w:val="TableParagraph"/>
              <w:spacing w:before="5"/>
              <w:rPr>
                <w:b/>
                <w:sz w:val="13"/>
              </w:rPr>
            </w:pPr>
          </w:p>
          <w:p>
            <w:pPr>
              <w:pStyle w:val="TableParagraph"/>
              <w:spacing w:before="1"/>
              <w:ind w:left="107"/>
              <w:rPr>
                <w:b/>
                <w:sz w:val="14"/>
              </w:rPr>
            </w:pPr>
            <w:r>
              <w:rPr>
                <w:b/>
                <w:sz w:val="14"/>
              </w:rPr>
              <w:t>48.00</w:t>
            </w:r>
          </w:p>
        </w:tc>
        <w:tc>
          <w:tcPr>
            <w:tcW w:w="722" w:type="dxa"/>
          </w:tcPr>
          <w:p>
            <w:pPr>
              <w:pStyle w:val="TableParagraph"/>
              <w:spacing w:before="5"/>
              <w:rPr>
                <w:b/>
                <w:sz w:val="13"/>
              </w:rPr>
            </w:pPr>
          </w:p>
          <w:p>
            <w:pPr>
              <w:pStyle w:val="TableParagraph"/>
              <w:spacing w:before="1"/>
              <w:ind w:left="112"/>
              <w:rPr>
                <w:b/>
                <w:sz w:val="14"/>
              </w:rPr>
            </w:pPr>
            <w:r>
              <w:rPr>
                <w:b/>
                <w:sz w:val="14"/>
              </w:rPr>
              <w:t>75.67</w:t>
            </w:r>
          </w:p>
        </w:tc>
        <w:tc>
          <w:tcPr>
            <w:tcW w:w="712" w:type="dxa"/>
          </w:tcPr>
          <w:p>
            <w:pPr>
              <w:pStyle w:val="TableParagraph"/>
              <w:spacing w:before="5"/>
              <w:rPr>
                <w:b/>
                <w:sz w:val="13"/>
              </w:rPr>
            </w:pPr>
          </w:p>
          <w:p>
            <w:pPr>
              <w:pStyle w:val="TableParagraph"/>
              <w:spacing w:before="1"/>
              <w:ind w:left="109"/>
              <w:rPr>
                <w:b/>
                <w:sz w:val="14"/>
              </w:rPr>
            </w:pPr>
            <w:r>
              <w:rPr>
                <w:b/>
                <w:sz w:val="14"/>
              </w:rPr>
              <w:t>28.12</w:t>
            </w:r>
          </w:p>
        </w:tc>
        <w:tc>
          <w:tcPr>
            <w:tcW w:w="779" w:type="dxa"/>
          </w:tcPr>
          <w:p>
            <w:pPr>
              <w:pStyle w:val="TableParagraph"/>
              <w:spacing w:before="5"/>
              <w:rPr>
                <w:b/>
                <w:sz w:val="13"/>
              </w:rPr>
            </w:pPr>
          </w:p>
          <w:p>
            <w:pPr>
              <w:pStyle w:val="TableParagraph"/>
              <w:spacing w:before="1"/>
              <w:ind w:left="107"/>
              <w:rPr>
                <w:b/>
                <w:sz w:val="14"/>
              </w:rPr>
            </w:pPr>
            <w:r>
              <w:rPr>
                <w:b/>
                <w:sz w:val="14"/>
              </w:rPr>
              <w:t>103.79</w:t>
            </w:r>
          </w:p>
        </w:tc>
        <w:tc>
          <w:tcPr>
            <w:tcW w:w="712" w:type="dxa"/>
          </w:tcPr>
          <w:p>
            <w:pPr>
              <w:pStyle w:val="TableParagraph"/>
              <w:spacing w:before="5"/>
              <w:rPr>
                <w:b/>
                <w:sz w:val="13"/>
              </w:rPr>
            </w:pPr>
          </w:p>
          <w:p>
            <w:pPr>
              <w:pStyle w:val="TableParagraph"/>
              <w:spacing w:before="1"/>
              <w:ind w:left="109"/>
              <w:rPr>
                <w:b/>
                <w:sz w:val="14"/>
              </w:rPr>
            </w:pPr>
            <w:r>
              <w:rPr>
                <w:b/>
                <w:sz w:val="14"/>
              </w:rPr>
              <w:t>13.82</w:t>
            </w:r>
          </w:p>
        </w:tc>
        <w:tc>
          <w:tcPr>
            <w:tcW w:w="649" w:type="dxa"/>
          </w:tcPr>
          <w:p>
            <w:pPr>
              <w:pStyle w:val="TableParagraph"/>
              <w:spacing w:before="5"/>
              <w:rPr>
                <w:b/>
                <w:sz w:val="13"/>
              </w:rPr>
            </w:pPr>
          </w:p>
          <w:p>
            <w:pPr>
              <w:pStyle w:val="TableParagraph"/>
              <w:spacing w:before="1"/>
              <w:ind w:left="107"/>
              <w:rPr>
                <w:b/>
                <w:sz w:val="14"/>
              </w:rPr>
            </w:pPr>
            <w:r>
              <w:rPr>
                <w:b/>
                <w:sz w:val="14"/>
              </w:rPr>
              <w:t>7.24</w:t>
            </w:r>
          </w:p>
        </w:tc>
        <w:tc>
          <w:tcPr>
            <w:tcW w:w="720" w:type="dxa"/>
          </w:tcPr>
          <w:p>
            <w:pPr>
              <w:pStyle w:val="TableParagraph"/>
              <w:spacing w:before="5"/>
              <w:rPr>
                <w:b/>
                <w:sz w:val="13"/>
              </w:rPr>
            </w:pPr>
          </w:p>
          <w:p>
            <w:pPr>
              <w:pStyle w:val="TableParagraph"/>
              <w:spacing w:before="1"/>
              <w:ind w:left="107"/>
              <w:rPr>
                <w:b/>
                <w:sz w:val="14"/>
              </w:rPr>
            </w:pPr>
            <w:r>
              <w:rPr>
                <w:b/>
                <w:sz w:val="14"/>
              </w:rPr>
              <w:t>21.07</w:t>
            </w:r>
          </w:p>
        </w:tc>
      </w:tr>
      <w:tr>
        <w:trPr>
          <w:trHeight w:val="481" w:hRule="exact"/>
        </w:trPr>
        <w:tc>
          <w:tcPr>
            <w:tcW w:w="1472" w:type="dxa"/>
          </w:tcPr>
          <w:p>
            <w:pPr>
              <w:pStyle w:val="TableParagraph"/>
              <w:spacing w:before="2"/>
              <w:rPr>
                <w:b/>
                <w:sz w:val="13"/>
              </w:rPr>
            </w:pPr>
          </w:p>
          <w:p>
            <w:pPr>
              <w:pStyle w:val="TableParagraph"/>
              <w:ind w:left="122"/>
              <w:rPr>
                <w:sz w:val="14"/>
              </w:rPr>
            </w:pPr>
            <w:r>
              <w:rPr>
                <w:sz w:val="14"/>
              </w:rPr>
              <w:t>P-1832 (a)</w:t>
            </w:r>
          </w:p>
        </w:tc>
        <w:tc>
          <w:tcPr>
            <w:tcW w:w="759" w:type="dxa"/>
          </w:tcPr>
          <w:p>
            <w:pPr>
              <w:pStyle w:val="TableParagraph"/>
              <w:spacing w:before="2"/>
              <w:rPr>
                <w:b/>
                <w:sz w:val="13"/>
              </w:rPr>
            </w:pPr>
          </w:p>
          <w:p>
            <w:pPr>
              <w:pStyle w:val="TableParagraph"/>
              <w:ind w:left="109"/>
              <w:rPr>
                <w:sz w:val="14"/>
              </w:rPr>
            </w:pPr>
            <w:r>
              <w:rPr>
                <w:sz w:val="14"/>
              </w:rPr>
              <w:t>144.83a</w:t>
            </w:r>
          </w:p>
        </w:tc>
        <w:tc>
          <w:tcPr>
            <w:tcW w:w="650" w:type="dxa"/>
          </w:tcPr>
          <w:p>
            <w:pPr>
              <w:pStyle w:val="TableParagraph"/>
              <w:spacing w:before="2"/>
              <w:rPr>
                <w:b/>
                <w:sz w:val="13"/>
              </w:rPr>
            </w:pPr>
          </w:p>
          <w:p>
            <w:pPr>
              <w:pStyle w:val="TableParagraph"/>
              <w:ind w:left="109"/>
              <w:rPr>
                <w:sz w:val="14"/>
              </w:rPr>
            </w:pPr>
            <w:r>
              <w:rPr>
                <w:sz w:val="14"/>
              </w:rPr>
              <w:t>2.16jk</w:t>
            </w:r>
          </w:p>
        </w:tc>
        <w:tc>
          <w:tcPr>
            <w:tcW w:w="718" w:type="dxa"/>
          </w:tcPr>
          <w:p>
            <w:pPr>
              <w:pStyle w:val="TableParagraph"/>
              <w:spacing w:before="2"/>
              <w:rPr>
                <w:b/>
                <w:sz w:val="13"/>
              </w:rPr>
            </w:pPr>
          </w:p>
          <w:p>
            <w:pPr>
              <w:pStyle w:val="TableParagraph"/>
              <w:ind w:left="107"/>
              <w:rPr>
                <w:sz w:val="14"/>
              </w:rPr>
            </w:pPr>
            <w:r>
              <w:rPr>
                <w:sz w:val="14"/>
              </w:rPr>
              <w:t>15.33a</w:t>
            </w:r>
          </w:p>
        </w:tc>
        <w:tc>
          <w:tcPr>
            <w:tcW w:w="648" w:type="dxa"/>
          </w:tcPr>
          <w:p>
            <w:pPr>
              <w:pStyle w:val="TableParagraph"/>
              <w:spacing w:before="2"/>
              <w:rPr>
                <w:b/>
                <w:sz w:val="13"/>
              </w:rPr>
            </w:pPr>
          </w:p>
          <w:p>
            <w:pPr>
              <w:pStyle w:val="TableParagraph"/>
              <w:ind w:left="107"/>
              <w:rPr>
                <w:sz w:val="14"/>
              </w:rPr>
            </w:pPr>
            <w:r>
              <w:rPr>
                <w:sz w:val="14"/>
              </w:rPr>
              <w:t>1.79c-h</w:t>
            </w:r>
          </w:p>
        </w:tc>
        <w:tc>
          <w:tcPr>
            <w:tcW w:w="713" w:type="dxa"/>
          </w:tcPr>
          <w:p>
            <w:pPr>
              <w:pStyle w:val="TableParagraph"/>
              <w:spacing w:before="2"/>
              <w:rPr>
                <w:b/>
                <w:sz w:val="13"/>
              </w:rPr>
            </w:pPr>
          </w:p>
          <w:p>
            <w:pPr>
              <w:pStyle w:val="TableParagraph"/>
              <w:ind w:left="107"/>
              <w:rPr>
                <w:sz w:val="14"/>
              </w:rPr>
            </w:pPr>
            <w:r>
              <w:rPr>
                <w:sz w:val="14"/>
              </w:rPr>
              <w:t>0.00k</w:t>
            </w:r>
          </w:p>
        </w:tc>
        <w:tc>
          <w:tcPr>
            <w:tcW w:w="722" w:type="dxa"/>
          </w:tcPr>
          <w:p>
            <w:pPr>
              <w:pStyle w:val="TableParagraph"/>
              <w:spacing w:before="2"/>
              <w:rPr>
                <w:b/>
                <w:sz w:val="13"/>
              </w:rPr>
            </w:pPr>
          </w:p>
          <w:p>
            <w:pPr>
              <w:pStyle w:val="TableParagraph"/>
              <w:ind w:left="112"/>
              <w:rPr>
                <w:sz w:val="14"/>
              </w:rPr>
            </w:pPr>
            <w:r>
              <w:rPr>
                <w:sz w:val="14"/>
              </w:rPr>
              <w:t>56.03f-j</w:t>
            </w:r>
          </w:p>
        </w:tc>
        <w:tc>
          <w:tcPr>
            <w:tcW w:w="712" w:type="dxa"/>
          </w:tcPr>
          <w:p>
            <w:pPr>
              <w:pStyle w:val="TableParagraph"/>
              <w:spacing w:before="2"/>
              <w:rPr>
                <w:b/>
                <w:sz w:val="13"/>
              </w:rPr>
            </w:pPr>
          </w:p>
          <w:p>
            <w:pPr>
              <w:pStyle w:val="TableParagraph"/>
              <w:ind w:left="109"/>
              <w:rPr>
                <w:sz w:val="14"/>
              </w:rPr>
            </w:pPr>
            <w:r>
              <w:rPr>
                <w:sz w:val="14"/>
              </w:rPr>
              <w:t>34.66a</w:t>
            </w:r>
          </w:p>
        </w:tc>
        <w:tc>
          <w:tcPr>
            <w:tcW w:w="779" w:type="dxa"/>
          </w:tcPr>
          <w:p>
            <w:pPr>
              <w:pStyle w:val="TableParagraph"/>
              <w:spacing w:before="2"/>
              <w:rPr>
                <w:b/>
                <w:sz w:val="13"/>
              </w:rPr>
            </w:pPr>
          </w:p>
          <w:p>
            <w:pPr>
              <w:pStyle w:val="TableParagraph"/>
              <w:ind w:left="107"/>
              <w:rPr>
                <w:sz w:val="14"/>
              </w:rPr>
            </w:pPr>
            <w:r>
              <w:rPr>
                <w:sz w:val="14"/>
              </w:rPr>
              <w:t>90.69c-g</w:t>
            </w:r>
          </w:p>
        </w:tc>
        <w:tc>
          <w:tcPr>
            <w:tcW w:w="712" w:type="dxa"/>
          </w:tcPr>
          <w:p>
            <w:pPr>
              <w:pStyle w:val="TableParagraph"/>
              <w:spacing w:before="2"/>
              <w:rPr>
                <w:b/>
                <w:sz w:val="13"/>
              </w:rPr>
            </w:pPr>
          </w:p>
          <w:p>
            <w:pPr>
              <w:pStyle w:val="TableParagraph"/>
              <w:ind w:left="109"/>
              <w:rPr>
                <w:sz w:val="14"/>
              </w:rPr>
            </w:pPr>
            <w:r>
              <w:rPr>
                <w:sz w:val="14"/>
              </w:rPr>
              <w:t>10.54e-h</w:t>
            </w:r>
          </w:p>
        </w:tc>
        <w:tc>
          <w:tcPr>
            <w:tcW w:w="649" w:type="dxa"/>
          </w:tcPr>
          <w:p>
            <w:pPr>
              <w:pStyle w:val="TableParagraph"/>
              <w:spacing w:before="2"/>
              <w:rPr>
                <w:b/>
                <w:sz w:val="13"/>
              </w:rPr>
            </w:pPr>
          </w:p>
          <w:p>
            <w:pPr>
              <w:pStyle w:val="TableParagraph"/>
              <w:ind w:left="107"/>
              <w:rPr>
                <w:sz w:val="14"/>
              </w:rPr>
            </w:pPr>
            <w:r>
              <w:rPr>
                <w:sz w:val="14"/>
              </w:rPr>
              <w:t>7.47a-e</w:t>
            </w:r>
          </w:p>
        </w:tc>
        <w:tc>
          <w:tcPr>
            <w:tcW w:w="720" w:type="dxa"/>
          </w:tcPr>
          <w:p>
            <w:pPr>
              <w:pStyle w:val="TableParagraph"/>
              <w:spacing w:before="2"/>
              <w:rPr>
                <w:b/>
                <w:sz w:val="13"/>
              </w:rPr>
            </w:pPr>
          </w:p>
          <w:p>
            <w:pPr>
              <w:pStyle w:val="TableParagraph"/>
              <w:ind w:left="107"/>
              <w:rPr>
                <w:sz w:val="14"/>
              </w:rPr>
            </w:pPr>
            <w:r>
              <w:rPr>
                <w:sz w:val="14"/>
              </w:rPr>
              <w:t>18.02f-i</w:t>
            </w:r>
          </w:p>
        </w:tc>
      </w:tr>
      <w:tr>
        <w:trPr>
          <w:trHeight w:val="646" w:hRule="exact"/>
        </w:trPr>
        <w:tc>
          <w:tcPr>
            <w:tcW w:w="1472" w:type="dxa"/>
            <w:tcBorders>
              <w:bottom w:val="single" w:sz="4" w:space="0" w:color="000000"/>
            </w:tcBorders>
          </w:tcPr>
          <w:p>
            <w:pPr>
              <w:pStyle w:val="TableParagraph"/>
              <w:spacing w:before="3"/>
              <w:rPr>
                <w:b/>
                <w:sz w:val="13"/>
              </w:rPr>
            </w:pPr>
          </w:p>
          <w:p>
            <w:pPr>
              <w:pStyle w:val="TableParagraph"/>
              <w:ind w:left="122"/>
              <w:rPr>
                <w:sz w:val="14"/>
              </w:rPr>
            </w:pPr>
            <w:r>
              <w:rPr>
                <w:sz w:val="14"/>
              </w:rPr>
              <w:t>Tukey (0.01)</w:t>
            </w:r>
          </w:p>
        </w:tc>
        <w:tc>
          <w:tcPr>
            <w:tcW w:w="759" w:type="dxa"/>
            <w:tcBorders>
              <w:bottom w:val="single" w:sz="4" w:space="0" w:color="000000"/>
            </w:tcBorders>
          </w:tcPr>
          <w:p>
            <w:pPr>
              <w:pStyle w:val="TableParagraph"/>
              <w:spacing w:before="3"/>
              <w:rPr>
                <w:b/>
                <w:sz w:val="13"/>
              </w:rPr>
            </w:pPr>
          </w:p>
          <w:p>
            <w:pPr>
              <w:pStyle w:val="TableParagraph"/>
              <w:ind w:left="109"/>
              <w:rPr>
                <w:sz w:val="14"/>
              </w:rPr>
            </w:pPr>
            <w:r>
              <w:rPr>
                <w:sz w:val="14"/>
              </w:rPr>
              <w:t>1.31</w:t>
            </w:r>
          </w:p>
        </w:tc>
        <w:tc>
          <w:tcPr>
            <w:tcW w:w="650" w:type="dxa"/>
            <w:tcBorders>
              <w:bottom w:val="single" w:sz="4" w:space="0" w:color="000000"/>
            </w:tcBorders>
          </w:tcPr>
          <w:p>
            <w:pPr>
              <w:pStyle w:val="TableParagraph"/>
              <w:spacing w:before="3"/>
              <w:rPr>
                <w:b/>
                <w:sz w:val="13"/>
              </w:rPr>
            </w:pPr>
          </w:p>
          <w:p>
            <w:pPr>
              <w:pStyle w:val="TableParagraph"/>
              <w:ind w:left="109"/>
              <w:rPr>
                <w:sz w:val="14"/>
              </w:rPr>
            </w:pPr>
            <w:r>
              <w:rPr>
                <w:sz w:val="14"/>
              </w:rPr>
              <w:t>0.22</w:t>
            </w:r>
          </w:p>
        </w:tc>
        <w:tc>
          <w:tcPr>
            <w:tcW w:w="718" w:type="dxa"/>
            <w:tcBorders>
              <w:bottom w:val="single" w:sz="4" w:space="0" w:color="000000"/>
            </w:tcBorders>
          </w:tcPr>
          <w:p>
            <w:pPr>
              <w:pStyle w:val="TableParagraph"/>
              <w:spacing w:before="3"/>
              <w:rPr>
                <w:b/>
                <w:sz w:val="13"/>
              </w:rPr>
            </w:pPr>
          </w:p>
          <w:p>
            <w:pPr>
              <w:pStyle w:val="TableParagraph"/>
              <w:ind w:left="107"/>
              <w:rPr>
                <w:sz w:val="14"/>
              </w:rPr>
            </w:pPr>
            <w:r>
              <w:rPr>
                <w:sz w:val="14"/>
              </w:rPr>
              <w:t>1.13</w:t>
            </w:r>
          </w:p>
        </w:tc>
        <w:tc>
          <w:tcPr>
            <w:tcW w:w="648" w:type="dxa"/>
            <w:tcBorders>
              <w:bottom w:val="single" w:sz="4" w:space="0" w:color="000000"/>
            </w:tcBorders>
          </w:tcPr>
          <w:p>
            <w:pPr>
              <w:pStyle w:val="TableParagraph"/>
              <w:spacing w:before="3"/>
              <w:rPr>
                <w:b/>
                <w:sz w:val="13"/>
              </w:rPr>
            </w:pPr>
          </w:p>
          <w:p>
            <w:pPr>
              <w:pStyle w:val="TableParagraph"/>
              <w:ind w:left="107"/>
              <w:rPr>
                <w:sz w:val="14"/>
              </w:rPr>
            </w:pPr>
            <w:r>
              <w:rPr>
                <w:sz w:val="14"/>
              </w:rPr>
              <w:t>0.29</w:t>
            </w:r>
          </w:p>
        </w:tc>
        <w:tc>
          <w:tcPr>
            <w:tcW w:w="713" w:type="dxa"/>
            <w:tcBorders>
              <w:bottom w:val="single" w:sz="4" w:space="0" w:color="000000"/>
            </w:tcBorders>
          </w:tcPr>
          <w:p>
            <w:pPr>
              <w:pStyle w:val="TableParagraph"/>
              <w:spacing w:before="3"/>
              <w:rPr>
                <w:b/>
                <w:sz w:val="13"/>
              </w:rPr>
            </w:pPr>
          </w:p>
          <w:p>
            <w:pPr>
              <w:pStyle w:val="TableParagraph"/>
              <w:ind w:left="107"/>
              <w:rPr>
                <w:sz w:val="14"/>
              </w:rPr>
            </w:pPr>
            <w:r>
              <w:rPr>
                <w:sz w:val="14"/>
              </w:rPr>
              <w:t>20.39</w:t>
            </w:r>
          </w:p>
        </w:tc>
        <w:tc>
          <w:tcPr>
            <w:tcW w:w="722" w:type="dxa"/>
            <w:tcBorders>
              <w:bottom w:val="single" w:sz="4" w:space="0" w:color="000000"/>
            </w:tcBorders>
          </w:tcPr>
          <w:p>
            <w:pPr>
              <w:pStyle w:val="TableParagraph"/>
              <w:spacing w:before="3"/>
              <w:rPr>
                <w:b/>
                <w:sz w:val="13"/>
              </w:rPr>
            </w:pPr>
          </w:p>
          <w:p>
            <w:pPr>
              <w:pStyle w:val="TableParagraph"/>
              <w:ind w:left="112"/>
              <w:rPr>
                <w:sz w:val="14"/>
              </w:rPr>
            </w:pPr>
            <w:r>
              <w:rPr>
                <w:sz w:val="14"/>
              </w:rPr>
              <w:t>11.95</w:t>
            </w:r>
          </w:p>
        </w:tc>
        <w:tc>
          <w:tcPr>
            <w:tcW w:w="712" w:type="dxa"/>
            <w:tcBorders>
              <w:bottom w:val="single" w:sz="4" w:space="0" w:color="000000"/>
            </w:tcBorders>
          </w:tcPr>
          <w:p>
            <w:pPr>
              <w:pStyle w:val="TableParagraph"/>
              <w:spacing w:before="3"/>
              <w:rPr>
                <w:b/>
                <w:sz w:val="13"/>
              </w:rPr>
            </w:pPr>
          </w:p>
          <w:p>
            <w:pPr>
              <w:pStyle w:val="TableParagraph"/>
              <w:ind w:left="109"/>
              <w:rPr>
                <w:sz w:val="14"/>
              </w:rPr>
            </w:pPr>
            <w:r>
              <w:rPr>
                <w:sz w:val="14"/>
              </w:rPr>
              <w:t>5.65</w:t>
            </w:r>
          </w:p>
        </w:tc>
        <w:tc>
          <w:tcPr>
            <w:tcW w:w="779" w:type="dxa"/>
            <w:tcBorders>
              <w:bottom w:val="single" w:sz="4" w:space="0" w:color="000000"/>
            </w:tcBorders>
          </w:tcPr>
          <w:p>
            <w:pPr>
              <w:pStyle w:val="TableParagraph"/>
              <w:spacing w:before="3"/>
              <w:rPr>
                <w:b/>
                <w:sz w:val="13"/>
              </w:rPr>
            </w:pPr>
          </w:p>
          <w:p>
            <w:pPr>
              <w:pStyle w:val="TableParagraph"/>
              <w:ind w:left="107"/>
              <w:rPr>
                <w:sz w:val="14"/>
              </w:rPr>
            </w:pPr>
            <w:r>
              <w:rPr>
                <w:sz w:val="14"/>
              </w:rPr>
              <w:t>15.85</w:t>
            </w:r>
          </w:p>
        </w:tc>
        <w:tc>
          <w:tcPr>
            <w:tcW w:w="712" w:type="dxa"/>
            <w:tcBorders>
              <w:bottom w:val="single" w:sz="4" w:space="0" w:color="000000"/>
            </w:tcBorders>
          </w:tcPr>
          <w:p>
            <w:pPr>
              <w:pStyle w:val="TableParagraph"/>
              <w:spacing w:before="3"/>
              <w:rPr>
                <w:b/>
                <w:sz w:val="13"/>
              </w:rPr>
            </w:pPr>
          </w:p>
          <w:p>
            <w:pPr>
              <w:pStyle w:val="TableParagraph"/>
              <w:ind w:left="109"/>
              <w:rPr>
                <w:sz w:val="14"/>
              </w:rPr>
            </w:pPr>
            <w:r>
              <w:rPr>
                <w:sz w:val="14"/>
              </w:rPr>
              <w:t>2.38</w:t>
            </w:r>
          </w:p>
        </w:tc>
        <w:tc>
          <w:tcPr>
            <w:tcW w:w="649" w:type="dxa"/>
            <w:tcBorders>
              <w:bottom w:val="single" w:sz="4" w:space="0" w:color="000000"/>
            </w:tcBorders>
          </w:tcPr>
          <w:p>
            <w:pPr>
              <w:pStyle w:val="TableParagraph"/>
              <w:spacing w:before="3"/>
              <w:rPr>
                <w:b/>
                <w:sz w:val="13"/>
              </w:rPr>
            </w:pPr>
          </w:p>
          <w:p>
            <w:pPr>
              <w:pStyle w:val="TableParagraph"/>
              <w:ind w:left="107"/>
              <w:rPr>
                <w:sz w:val="14"/>
              </w:rPr>
            </w:pPr>
            <w:r>
              <w:rPr>
                <w:sz w:val="14"/>
              </w:rPr>
              <w:t>1.46</w:t>
            </w:r>
          </w:p>
        </w:tc>
        <w:tc>
          <w:tcPr>
            <w:tcW w:w="720" w:type="dxa"/>
            <w:tcBorders>
              <w:bottom w:val="single" w:sz="4" w:space="0" w:color="000000"/>
            </w:tcBorders>
          </w:tcPr>
          <w:p>
            <w:pPr>
              <w:pStyle w:val="TableParagraph"/>
              <w:spacing w:before="3"/>
              <w:rPr>
                <w:b/>
                <w:sz w:val="13"/>
              </w:rPr>
            </w:pPr>
          </w:p>
          <w:p>
            <w:pPr>
              <w:pStyle w:val="TableParagraph"/>
              <w:ind w:left="107"/>
              <w:rPr>
                <w:sz w:val="14"/>
              </w:rPr>
            </w:pPr>
            <w:r>
              <w:rPr>
                <w:sz w:val="14"/>
              </w:rPr>
              <w:t>3.36</w:t>
            </w:r>
          </w:p>
        </w:tc>
      </w:tr>
    </w:tbl>
    <w:p>
      <w:pPr>
        <w:pStyle w:val="BodyText"/>
        <w:spacing w:line="480" w:lineRule="auto"/>
        <w:ind w:left="242" w:right="121"/>
        <w:jc w:val="both"/>
      </w:pPr>
      <w:r>
        <w:rPr/>
        <w:t>Las variables fueron definidas en el Cuadro 3. Medias con la misma letra no son significativamente diferentes (Tukey, P=0.01).</w:t>
      </w:r>
    </w:p>
    <w:p>
      <w:pPr>
        <w:pStyle w:val="BodyText"/>
        <w:spacing w:before="6"/>
        <w:rPr>
          <w:sz w:val="18"/>
        </w:rPr>
      </w:pPr>
    </w:p>
    <w:p>
      <w:pPr>
        <w:pStyle w:val="Heading2"/>
        <w:spacing w:before="1"/>
        <w:ind w:left="242"/>
      </w:pPr>
      <w:r>
        <w:rPr/>
        <w:t>CONCLUSIONES</w:t>
      </w:r>
    </w:p>
    <w:p>
      <w:pPr>
        <w:pStyle w:val="BodyText"/>
        <w:rPr>
          <w:b/>
        </w:rPr>
      </w:pPr>
    </w:p>
    <w:p>
      <w:pPr>
        <w:pStyle w:val="BodyText"/>
        <w:spacing w:line="480" w:lineRule="auto" w:before="154"/>
        <w:ind w:left="242" w:right="115"/>
        <w:jc w:val="both"/>
      </w:pPr>
      <w:r>
        <w:rPr/>
        <w:t>Metepec y Tiacaque fueron las mejores localidades para la evaluación del material genético. Los cultivares Victoria, H-159 y SBA-470 representaron la fracción superior de los programas de hibridación obtenidos por metodologías convencionales y Amarillos Allende, San Cayetano y Portes Gil, Cacahuacintles Tlacotepec y San Cristóbal y Blancos Tlacotepec y San Diego son la  obra  artística y cultural de los agricultores mexiquenses que, por medio de selección masal visual aplicada a las dimensiones de la mazorca y de la planta, han logrado incrementar su potencial productivo en el Valle Toluca-Atlacomulco, México. Los incrementos en la producción de materia verde y/o seca total en este material genético   sobresaliente se explican por aumentos significativos en número   de   </w:t>
      </w:r>
      <w:r>
        <w:rPr>
          <w:spacing w:val="26"/>
        </w:rPr>
        <w:t> </w:t>
      </w:r>
      <w:r>
        <w:rPr/>
        <w:t>hojas</w:t>
      </w:r>
    </w:p>
    <w:p>
      <w:pPr>
        <w:spacing w:after="0" w:line="480" w:lineRule="auto"/>
        <w:jc w:val="both"/>
        <w:sectPr>
          <w:pgSz w:w="12240" w:h="15840"/>
          <w:pgMar w:header="0" w:footer="943" w:top="1500" w:bottom="1200" w:left="1460" w:right="1300"/>
        </w:sectPr>
      </w:pPr>
    </w:p>
    <w:p>
      <w:pPr>
        <w:pStyle w:val="BodyText"/>
        <w:spacing w:before="8"/>
        <w:rPr>
          <w:sz w:val="10"/>
        </w:rPr>
      </w:pPr>
    </w:p>
    <w:p>
      <w:pPr>
        <w:pStyle w:val="BodyText"/>
        <w:spacing w:line="480" w:lineRule="auto" w:before="73"/>
        <w:ind w:left="102" w:right="116"/>
      </w:pPr>
      <w:r>
        <w:rPr/>
        <w:t>por planta, floración masculina, altura de planta, y producciones de materia verde y seca de elote, tallos y hojas.</w:t>
      </w:r>
    </w:p>
    <w:p>
      <w:pPr>
        <w:pStyle w:val="Heading2"/>
        <w:spacing w:before="173"/>
        <w:ind w:right="19"/>
        <w:jc w:val="left"/>
      </w:pPr>
      <w:r>
        <w:rPr/>
        <w:t>LITERATURA CITADA</w:t>
      </w:r>
    </w:p>
    <w:p>
      <w:pPr>
        <w:pStyle w:val="BodyText"/>
        <w:rPr>
          <w:b/>
        </w:rPr>
      </w:pPr>
    </w:p>
    <w:p>
      <w:pPr>
        <w:pStyle w:val="BodyText"/>
        <w:spacing w:line="480" w:lineRule="auto" w:before="156"/>
        <w:ind w:left="810" w:right="112" w:hanging="708"/>
        <w:jc w:val="both"/>
      </w:pPr>
      <w:r>
        <w:rPr/>
        <w:t>Antolín, D. M.; González, R. M.; Goñi, C. S.; Domínguez, V. A., y Ariciaga, G. C. 2009. Rendimiento y producción de gas </w:t>
      </w:r>
      <w:r>
        <w:rPr>
          <w:i/>
        </w:rPr>
        <w:t>in vitro </w:t>
      </w:r>
      <w:r>
        <w:rPr/>
        <w:t>de maíces híbridos conservados por ensilaje o henificado. Técnica Pecuaria en México 47(4):413-423.</w:t>
      </w:r>
    </w:p>
    <w:p>
      <w:pPr>
        <w:pStyle w:val="BodyText"/>
        <w:spacing w:line="480" w:lineRule="auto" w:before="171"/>
        <w:ind w:left="810" w:right="116" w:hanging="708"/>
        <w:jc w:val="both"/>
      </w:pPr>
      <w:r>
        <w:rPr/>
        <w:t>Bosch, L.; Muñoz, F.; Casañas, E., y Nuez, F. 1992. Valoración forrajera de 24 híbridos comerciales de maíz de ciclo largo: parámetros de producción de biomasa y de calidad nutritiva. Investigación Agrícola en Protección Vegetal 7(2):130-142.</w:t>
      </w:r>
    </w:p>
    <w:p>
      <w:pPr>
        <w:pStyle w:val="BodyText"/>
        <w:spacing w:line="480" w:lineRule="auto" w:before="170"/>
        <w:ind w:left="810" w:right="114" w:hanging="708"/>
        <w:jc w:val="both"/>
      </w:pPr>
      <w:r>
        <w:rPr/>
        <w:t>Brambila-Paz, J. J.; Martínez-Damián, M. A.; Rojas-Rojas, M. M., y Pérez-Cerecedo, V. 2014. El  valor de la producción agrícola y pecuaria en México: fuentes de crecimiento 1980-2010. Revista Mexicana de  Ciencias Agrícolas</w:t>
      </w:r>
      <w:r>
        <w:rPr>
          <w:spacing w:val="-16"/>
        </w:rPr>
        <w:t> </w:t>
      </w:r>
      <w:r>
        <w:rPr/>
        <w:t>5(4):619-631.</w:t>
      </w:r>
    </w:p>
    <w:p>
      <w:pPr>
        <w:pStyle w:val="BodyText"/>
        <w:spacing w:line="480" w:lineRule="auto" w:before="171"/>
        <w:ind w:left="810" w:right="120" w:hanging="708"/>
        <w:jc w:val="both"/>
      </w:pPr>
      <w:r>
        <w:rPr/>
        <w:t>Castillo, J. M.; Rojas, B. A., y Wing Ch, J. R. 2009. Valor nutricional del ensilaje de maíz cultivado en asocio con vigna (</w:t>
      </w:r>
      <w:r>
        <w:rPr>
          <w:i/>
        </w:rPr>
        <w:t>Vigna radiata</w:t>
      </w:r>
      <w:r>
        <w:rPr/>
        <w:t>). Agronomía Costarricense 33:133-146.</w:t>
      </w:r>
    </w:p>
    <w:p>
      <w:pPr>
        <w:pStyle w:val="BodyText"/>
        <w:spacing w:line="480" w:lineRule="auto" w:before="168"/>
        <w:ind w:left="810" w:right="119" w:hanging="708"/>
        <w:jc w:val="both"/>
      </w:pPr>
      <w:r>
        <w:rPr/>
        <w:t>Comisión Nacional del Agua (CONAGUA). 2013. Coordinación General del Servicio Meteorológico Nacional. Área Técnica. Departamento de Aguas Superficiales e Ingeniería de Ríos.</w:t>
      </w:r>
    </w:p>
    <w:p>
      <w:pPr>
        <w:pStyle w:val="BodyText"/>
        <w:spacing w:line="480" w:lineRule="auto" w:before="168"/>
        <w:ind w:left="810" w:right="117" w:hanging="708"/>
        <w:jc w:val="both"/>
      </w:pPr>
      <w:r>
        <w:rPr/>
        <w:t>González, H. A.; Sahagún, C. J.; Pérez, L. D. J.; Domínguez, L. A.; Serrato, C. R.; Landeros, F. V., y Dorantes, C. E. 2006. Diversidad fenotípica del maíz Cacahuacintle en el Valle de Toluca, México. Revista Fitotecnia Mexicana 29(3):255-261.</w:t>
      </w:r>
    </w:p>
    <w:p>
      <w:pPr>
        <w:pStyle w:val="BodyText"/>
        <w:spacing w:line="480" w:lineRule="auto" w:before="170"/>
        <w:ind w:left="810" w:right="114" w:hanging="708"/>
        <w:jc w:val="both"/>
      </w:pPr>
      <w:r>
        <w:rPr/>
        <w:t>González, H. A.; Vázquez, G. L. M.; Sahagún, C. J.; Rodríguez, P. J. E., y Pérez, L. D. J. 2007. Rendimiento del maíz de temporal y su relación con la pudrición de mazorca. Agricultura Técnica en México 33(1):33-42.</w:t>
      </w:r>
    </w:p>
    <w:p>
      <w:pPr>
        <w:spacing w:after="0" w:line="480" w:lineRule="auto"/>
        <w:jc w:val="both"/>
        <w:sectPr>
          <w:pgSz w:w="12240" w:h="15840"/>
          <w:pgMar w:header="0" w:footer="943" w:top="1500" w:bottom="1200" w:left="1600" w:right="1300"/>
        </w:sectPr>
      </w:pPr>
    </w:p>
    <w:p>
      <w:pPr>
        <w:pStyle w:val="BodyText"/>
        <w:spacing w:before="8"/>
        <w:rPr>
          <w:sz w:val="10"/>
        </w:rPr>
      </w:pPr>
    </w:p>
    <w:p>
      <w:pPr>
        <w:pStyle w:val="BodyText"/>
        <w:spacing w:line="480" w:lineRule="auto" w:before="73"/>
        <w:ind w:left="810" w:right="115" w:hanging="708"/>
        <w:jc w:val="both"/>
      </w:pPr>
      <w:r>
        <w:rPr/>
        <w:t>González, H. A.; Vázquez, G. L. M.; Sahagún, C. J., y Rodríguez, P. J. E. 2008. Diversidad fenotípica de variedades e híbridos de maíz en el Valle Toluca-Atlacomulco, México. Revista Fitotecnia Mexicana 31(1):67-76.</w:t>
      </w:r>
    </w:p>
    <w:p>
      <w:pPr>
        <w:pStyle w:val="BodyText"/>
        <w:spacing w:before="170"/>
        <w:ind w:left="102" w:right="19"/>
      </w:pPr>
      <w:r>
        <w:rPr/>
        <w:t>González, A.; Pérez, D. J.; Sahagún, J.; Franco, O.; Morales, E.; Rubí, M.; Gutiérrez, F., y Balbuena,</w:t>
      </w:r>
    </w:p>
    <w:p>
      <w:pPr>
        <w:pStyle w:val="BodyText"/>
      </w:pPr>
    </w:p>
    <w:p>
      <w:pPr>
        <w:pStyle w:val="ListParagraph"/>
        <w:numPr>
          <w:ilvl w:val="2"/>
          <w:numId w:val="9"/>
        </w:numPr>
        <w:tabs>
          <w:tab w:pos="1122" w:val="left" w:leader="none"/>
        </w:tabs>
        <w:spacing w:line="477" w:lineRule="auto" w:before="0" w:after="0"/>
        <w:ind w:left="810" w:right="115" w:firstLine="0"/>
        <w:jc w:val="left"/>
        <w:rPr>
          <w:sz w:val="22"/>
        </w:rPr>
      </w:pPr>
      <w:r>
        <w:rPr>
          <w:sz w:val="22"/>
        </w:rPr>
        <w:t>2010. Aplicación y comparación de métodos univariados para evaluar la estabilidad en maíces del Valle-Toluca-Atlacomulco, México. Agronomía Costarricense</w:t>
      </w:r>
      <w:r>
        <w:rPr>
          <w:spacing w:val="-27"/>
          <w:sz w:val="22"/>
        </w:rPr>
        <w:t> </w:t>
      </w:r>
      <w:r>
        <w:rPr>
          <w:sz w:val="22"/>
        </w:rPr>
        <w:t>34(2):129-143.</w:t>
      </w:r>
    </w:p>
    <w:p>
      <w:pPr>
        <w:pStyle w:val="BodyText"/>
        <w:spacing w:line="480" w:lineRule="auto" w:before="173"/>
        <w:ind w:left="810" w:right="117" w:hanging="708"/>
        <w:jc w:val="both"/>
      </w:pPr>
      <w:r>
        <w:rPr/>
        <w:t>González, H. A.; Pérez, L. D. J.; Franco, M. O.; Nava, B. E. G.; Gutiérrez, R. F.; Rubí, A. M., y Castañeda, V. A. 2011. Análisis multivariado aplicado al estudio de las interrelaciones entre cultivares de  maíz y variables agronómicas. Revista Ciencias Agrícolas Informa 20(2):58-65.</w:t>
      </w:r>
    </w:p>
    <w:p>
      <w:pPr>
        <w:pStyle w:val="BodyText"/>
        <w:spacing w:line="480" w:lineRule="auto" w:before="168"/>
        <w:ind w:left="810" w:right="117" w:hanging="708"/>
        <w:jc w:val="both"/>
      </w:pPr>
      <w:r>
        <w:rPr/>
        <w:t>Kennington, L. R.; Hunt, C.W.; Szasz, J.I.; Grove, V., and Kezar, W. 2005. Effect of cutting height and genetics on composition, intake and digestibility of corn silage by heifers. Journal of Animal Science 83:1145-1454.</w:t>
      </w:r>
    </w:p>
    <w:p>
      <w:pPr>
        <w:pStyle w:val="BodyText"/>
        <w:spacing w:line="480" w:lineRule="auto" w:before="168"/>
        <w:ind w:left="810" w:right="119" w:hanging="708"/>
        <w:jc w:val="both"/>
      </w:pPr>
      <w:r>
        <w:rPr/>
        <w:t>Lauer, J. G.; Coors, J. G., and Flannery, P.J. 2001. Forage yield and quality of corn cultivars developed in different eras. Crop Science 41:1449-1455.</w:t>
      </w:r>
    </w:p>
    <w:p>
      <w:pPr>
        <w:pStyle w:val="BodyText"/>
        <w:spacing w:line="480" w:lineRule="auto" w:before="168"/>
        <w:ind w:left="810" w:right="110" w:hanging="708"/>
        <w:jc w:val="both"/>
      </w:pPr>
      <w:r>
        <w:rPr/>
        <w:t>Muñoz-Tlahuiz, F.; Guerrero-Rodríguez, J. D.; López, P. A.; Gil-Muñoz, A.; López-Sánchez, H.; Ortiz-Torres, E.; Hernández-Guzmán, A.; Taboada-Gaytán, O.; Vargas-López, S., y Valadez- Ramírez, M. 2013. Producción de rastrojo y grano de variedades locales de maíz en condiciones de temporal en los Valles Altos de Libres-Serdán, Puebla, México. Revista Mexicana de Ciencias Pecuarias 4(4):</w:t>
      </w:r>
      <w:r>
        <w:rPr>
          <w:spacing w:val="-9"/>
        </w:rPr>
        <w:t> </w:t>
      </w:r>
      <w:r>
        <w:rPr/>
        <w:t>515-530.</w:t>
      </w:r>
    </w:p>
    <w:p>
      <w:pPr>
        <w:pStyle w:val="BodyText"/>
        <w:spacing w:line="480" w:lineRule="auto" w:before="168"/>
        <w:ind w:left="810" w:right="113" w:hanging="708"/>
        <w:jc w:val="both"/>
      </w:pPr>
      <w:r>
        <w:rPr/>
        <w:t>Núñez, H. G.; Contreras, F.; Faz, R., y Herrera, R. 1999. Selección de híbridos para obtener mayor rendimiento y alto valor energético en maíz para ensilaje. </w:t>
      </w:r>
      <w:r>
        <w:rPr>
          <w:i/>
        </w:rPr>
        <w:t>In</w:t>
      </w:r>
      <w:r>
        <w:rPr/>
        <w:t>: Componentes tecnológicos para  la producción de ensilados de maíz y sorgo. SAGAR-INIFAP-CIRNOC-CELALA. Folleto Técnico No. 4.</w:t>
      </w:r>
      <w:r>
        <w:rPr>
          <w:spacing w:val="-5"/>
        </w:rPr>
        <w:t> </w:t>
      </w:r>
      <w:r>
        <w:rPr/>
        <w:t>pp:2-5.</w:t>
      </w:r>
    </w:p>
    <w:p>
      <w:pPr>
        <w:spacing w:after="0" w:line="480" w:lineRule="auto"/>
        <w:jc w:val="both"/>
        <w:sectPr>
          <w:pgSz w:w="12240" w:h="15840"/>
          <w:pgMar w:header="0" w:footer="943" w:top="1500" w:bottom="1200" w:left="1600" w:right="1300"/>
        </w:sectPr>
      </w:pPr>
    </w:p>
    <w:p>
      <w:pPr>
        <w:pStyle w:val="BodyText"/>
        <w:spacing w:before="8"/>
        <w:rPr>
          <w:sz w:val="10"/>
        </w:rPr>
      </w:pPr>
    </w:p>
    <w:p>
      <w:pPr>
        <w:pStyle w:val="BodyText"/>
        <w:spacing w:line="480" w:lineRule="auto" w:before="73"/>
        <w:ind w:left="810" w:right="113" w:hanging="708"/>
        <w:jc w:val="both"/>
      </w:pPr>
      <w:r>
        <w:rPr/>
        <w:t>Peña, R. A.; González, C. F.; Núñez, H. G.; Preciado, O. R.; Terrón, I. A., y Luna, F. M. 2008. H-376. Híbrido de maíz para producción de forraje y grano en el Bajío y la región norte centro de México. Revista Fitotecnia Mexicana 31:85-87.</w:t>
      </w:r>
    </w:p>
    <w:p>
      <w:pPr>
        <w:pStyle w:val="BodyText"/>
        <w:spacing w:line="480" w:lineRule="auto" w:before="170"/>
        <w:ind w:left="810" w:right="120" w:hanging="708"/>
        <w:jc w:val="both"/>
      </w:pPr>
      <w:r>
        <w:rPr/>
        <w:t>Peña, R. A.; González, C. F.. y Robles, E. F. J. 2010. Manejo agronómico para incrementar el rendimiento de grano y forraje en híbridos tardíos de maíz. Revista Mexicana de Ciencias Agrícolas 1(1):27-35.</w:t>
      </w:r>
    </w:p>
    <w:p>
      <w:pPr>
        <w:pStyle w:val="BodyText"/>
        <w:spacing w:line="480" w:lineRule="auto" w:before="171"/>
        <w:ind w:left="810" w:right="118" w:hanging="708"/>
        <w:jc w:val="both"/>
      </w:pPr>
      <w:r>
        <w:rPr/>
        <w:t>Peña, R. A.; González, C. F; Núñez, H. G.; Tovar, G. M. R.; Vidal, M. V. A., y Ramírez, D. J. L. 2012. Heterosis y aptitud combinatoria para producción y calidad de forraje en seis poblaciones de maíz. Revista Mexicana de Ciencias Pecuarias 3(3):389-406.</w:t>
      </w:r>
    </w:p>
    <w:p>
      <w:pPr>
        <w:pStyle w:val="BodyText"/>
        <w:spacing w:line="480" w:lineRule="auto" w:before="168"/>
        <w:ind w:left="810" w:right="115" w:hanging="708"/>
        <w:jc w:val="both"/>
      </w:pPr>
      <w:r>
        <w:rPr/>
        <w:t>Reynoso, Q. C. A.; González, H. A.; Pérez, L. D. J.; Franco, M.O.; Torres, F. J. L.; Velázquez, C. G. A.; Breton, L. C.; Balbuena, M. A., y Mercado, V. O. 2014. Análisis de 17 híbridos de maíz sembrados en 17 ambientes de los Valles Altos del centro de México. Revista Mexicana de Ciencias Agrícolas 5(5):871-882.</w:t>
      </w:r>
    </w:p>
    <w:p>
      <w:pPr>
        <w:pStyle w:val="BodyText"/>
        <w:spacing w:line="480" w:lineRule="auto" w:before="168"/>
        <w:ind w:left="810" w:right="108" w:hanging="708"/>
        <w:jc w:val="both"/>
      </w:pPr>
      <w:r>
        <w:rPr/>
        <w:t>Rocandio-Rodríguez, M.; Santacruz-Varela, A.; Córdova-Téllez, L.; López-Sánchez, H.; Castillo- González, F.; Lobato-Ortiz, R.; García-Zavala, J., y Ortega-Paczka, R. 2014. Caracterización morfológica y agronómica de siete razas de maíz de los Valles Altos de México. Revista Fitotecnia Mexicana 37(4):351-361.</w:t>
      </w:r>
    </w:p>
    <w:p>
      <w:pPr>
        <w:pStyle w:val="BodyText"/>
        <w:spacing w:line="480" w:lineRule="auto" w:before="170"/>
        <w:ind w:left="810" w:right="118" w:hanging="708"/>
        <w:jc w:val="both"/>
      </w:pPr>
      <w:r>
        <w:rPr/>
        <w:t>Rodríguez, F. I.; González, H. A.; Pérez, L. D. J., y Rubí, A. M. 2015. Efecto de cinco densidades de población en ocho cultivares de maíz sembrados en tres localidades del Valle de Toluca, México. Revista Mexicana de Ciencias Agrícolas 6(8). En prensa.</w:t>
      </w:r>
    </w:p>
    <w:p>
      <w:pPr>
        <w:pStyle w:val="BodyText"/>
        <w:spacing w:line="480" w:lineRule="auto" w:before="168"/>
        <w:ind w:left="810" w:right="113" w:hanging="708"/>
        <w:jc w:val="both"/>
      </w:pPr>
      <w:r>
        <w:rPr/>
        <w:t>Rodríguez, P. J.E.; Sahagún, C. J.; Villaseñor, M., H.E.; Molina, G.J.S., y Martínez, G. A. 2002. Estabilidad de siete variedades comerciales de trigo (</w:t>
      </w:r>
      <w:r>
        <w:rPr>
          <w:i/>
        </w:rPr>
        <w:t>Triticum aestivum </w:t>
      </w:r>
      <w:r>
        <w:rPr/>
        <w:t>L.) de temporal. Revista Fitotecnia Mexicana</w:t>
      </w:r>
      <w:r>
        <w:rPr>
          <w:spacing w:val="-12"/>
        </w:rPr>
        <w:t> </w:t>
      </w:r>
      <w:r>
        <w:rPr/>
        <w:t>25(2):143-151.</w:t>
      </w:r>
    </w:p>
    <w:p>
      <w:pPr>
        <w:spacing w:after="0" w:line="480" w:lineRule="auto"/>
        <w:jc w:val="both"/>
        <w:sectPr>
          <w:pgSz w:w="12240" w:h="15840"/>
          <w:pgMar w:header="0" w:footer="943" w:top="1500" w:bottom="1200" w:left="1600" w:right="1300"/>
        </w:sectPr>
      </w:pPr>
    </w:p>
    <w:p>
      <w:pPr>
        <w:pStyle w:val="BodyText"/>
        <w:spacing w:before="8"/>
        <w:rPr>
          <w:sz w:val="10"/>
        </w:rPr>
      </w:pPr>
    </w:p>
    <w:p>
      <w:pPr>
        <w:pStyle w:val="BodyText"/>
        <w:spacing w:before="73"/>
        <w:ind w:left="102" w:right="19"/>
      </w:pPr>
      <w:r>
        <w:rPr/>
        <w:t>Sánchez, G. J. J. 1995. El análisis biplot en clasificación. Revista Fitotecnia Mexicana 18(2):188-203.</w:t>
      </w:r>
    </w:p>
    <w:p>
      <w:pPr>
        <w:pStyle w:val="BodyText"/>
      </w:pPr>
    </w:p>
    <w:p>
      <w:pPr>
        <w:pStyle w:val="BodyText"/>
        <w:spacing w:line="480" w:lineRule="auto" w:before="159"/>
        <w:ind w:left="810" w:right="113" w:hanging="708"/>
        <w:jc w:val="both"/>
      </w:pPr>
      <w:r>
        <w:rPr/>
        <w:t>Secretaría de Agricultura, Ganadería, Desarrollo Rural, Pesca y Alimentación (SAGARPA). 2014. Servicio de Información Agroalimentaria y Pesquera (SIAP)-Anuario Estadístico. URL: </w:t>
      </w:r>
      <w:hyperlink r:id="rId33">
        <w:r>
          <w:rPr>
            <w:u w:val="single"/>
          </w:rPr>
          <w:t>http://www.siap.gob.mx</w:t>
        </w:r>
        <w:r>
          <w:rPr/>
          <w:t>.</w:t>
        </w:r>
      </w:hyperlink>
    </w:p>
    <w:p>
      <w:pPr>
        <w:pStyle w:val="BodyText"/>
        <w:spacing w:before="168"/>
        <w:ind w:left="102"/>
        <w:jc w:val="both"/>
      </w:pPr>
      <w:r>
        <w:rPr/>
        <w:t>Statistical Analysis System (SAS Institute). 1999. User’s guide: Version 9. Cary, NC. USA.</w:t>
      </w:r>
    </w:p>
    <w:p>
      <w:pPr>
        <w:pStyle w:val="BodyText"/>
      </w:pPr>
    </w:p>
    <w:p>
      <w:pPr>
        <w:pStyle w:val="BodyText"/>
        <w:spacing w:line="480" w:lineRule="auto" w:before="161"/>
        <w:ind w:left="810" w:right="120" w:hanging="708"/>
        <w:jc w:val="both"/>
      </w:pPr>
      <w:r>
        <w:rPr/>
        <w:t>Subedi, K.D., and Ma. B. L. 2005. Ear position, leaf area and contribution of individual leaves to grain yield in conventional and leafy maize hibryds. Crop Science 45:2246-2257.</w:t>
      </w:r>
    </w:p>
    <w:p>
      <w:pPr>
        <w:pStyle w:val="BodyText"/>
      </w:pPr>
    </w:p>
    <w:p>
      <w:pPr>
        <w:pStyle w:val="BodyText"/>
      </w:pPr>
    </w:p>
    <w:p>
      <w:pPr>
        <w:pStyle w:val="BodyText"/>
        <w:spacing w:before="7"/>
        <w:rPr>
          <w:sz w:val="28"/>
        </w:rPr>
      </w:pPr>
    </w:p>
    <w:p>
      <w:pPr>
        <w:pStyle w:val="BodyText"/>
        <w:spacing w:line="480" w:lineRule="auto"/>
        <w:ind w:left="810" w:right="114" w:hanging="708"/>
        <w:jc w:val="both"/>
      </w:pPr>
      <w:r>
        <w:rPr/>
        <w:t>Wellhausen, E. J.; Roberts, L. M. y Hernández, X. E. 1951. Razas de maíz en México, su origen, características y distribución. Oficina de Estudios Especiales. Secretaria de Agricultura y Ganadería. Folleto Técnico Núm. 5. México, D. F.  237 p.</w:t>
      </w:r>
    </w:p>
    <w:p>
      <w:pPr>
        <w:pStyle w:val="BodyText"/>
        <w:spacing w:line="357" w:lineRule="auto" w:before="171"/>
        <w:ind w:left="102" w:right="114"/>
        <w:jc w:val="both"/>
      </w:pPr>
      <w:r>
        <w:rPr/>
        <w:t>Wong, R.R.; Gutiérrez, R.E.; Rodríguez, H. S.A.; Palomo, G. A.; Córdova,O.H., y Espinosa, B.A. 2006. Aptitud combinatoria y parámetros genéticos de maíz para forraje en la Comarca Lagunera, México. Universidad y Ciencia 22(2):141-151.</w:t>
      </w:r>
    </w:p>
    <w:p>
      <w:pPr>
        <w:spacing w:after="0" w:line="357" w:lineRule="auto"/>
        <w:jc w:val="both"/>
        <w:sectPr>
          <w:pgSz w:w="12240" w:h="15840"/>
          <w:pgMar w:header="0" w:footer="943" w:top="1500" w:bottom="1200" w:left="1600" w:right="1300"/>
        </w:sectPr>
      </w:pPr>
    </w:p>
    <w:p>
      <w:pPr>
        <w:pStyle w:val="BodyText"/>
        <w:spacing w:before="6"/>
        <w:rPr>
          <w:sz w:val="17"/>
        </w:rPr>
      </w:pPr>
      <w:r>
        <w:rPr/>
        <w:pict>
          <v:line style="position:absolute;mso-position-horizontal-relative:page;mso-position-vertical-relative:page;z-index:2104" from="49.32pt,85.110001pt" to="49.32pt,687.340001pt" stroked="true" strokeweight=".72pt" strokecolor="#000000">
            <w10:wrap type="none"/>
          </v:line>
        </w:pict>
      </w:r>
    </w:p>
    <w:p>
      <w:pPr>
        <w:pStyle w:val="BodyText"/>
        <w:ind w:left="834"/>
        <w:rPr>
          <w:sz w:val="20"/>
        </w:rPr>
      </w:pPr>
      <w:r>
        <w:rPr>
          <w:sz w:val="20"/>
        </w:rPr>
        <w:drawing>
          <wp:inline distT="0" distB="0" distL="0" distR="0">
            <wp:extent cx="5801869" cy="7519987"/>
            <wp:effectExtent l="0" t="0" r="0" b="0"/>
            <wp:docPr id="9" name="image13.png" descr=""/>
            <wp:cNvGraphicFramePr>
              <a:graphicFrameLocks noChangeAspect="1"/>
            </wp:cNvGraphicFramePr>
            <a:graphic>
              <a:graphicData uri="http://schemas.openxmlformats.org/drawingml/2006/picture">
                <pic:pic>
                  <pic:nvPicPr>
                    <pic:cNvPr id="10" name="image13.png"/>
                    <pic:cNvPicPr/>
                  </pic:nvPicPr>
                  <pic:blipFill>
                    <a:blip r:embed="rId34" cstate="print"/>
                    <a:stretch>
                      <a:fillRect/>
                    </a:stretch>
                  </pic:blipFill>
                  <pic:spPr>
                    <a:xfrm>
                      <a:off x="0" y="0"/>
                      <a:ext cx="5801869" cy="7519987"/>
                    </a:xfrm>
                    <a:prstGeom prst="rect">
                      <a:avLst/>
                    </a:prstGeom>
                  </pic:spPr>
                </pic:pic>
              </a:graphicData>
            </a:graphic>
          </wp:inline>
        </w:drawing>
      </w:r>
      <w:r>
        <w:rPr>
          <w:sz w:val="20"/>
        </w:rPr>
      </w:r>
    </w:p>
    <w:p>
      <w:pPr>
        <w:spacing w:after="0"/>
        <w:rPr>
          <w:sz w:val="20"/>
        </w:rPr>
        <w:sectPr>
          <w:pgSz w:w="12240" w:h="15840"/>
          <w:pgMar w:header="0" w:footer="943" w:top="1500" w:bottom="1140" w:left="860" w:right="1300"/>
        </w:sectPr>
      </w:pPr>
    </w:p>
    <w:p>
      <w:pPr>
        <w:pStyle w:val="BodyText"/>
        <w:spacing w:before="3"/>
        <w:rPr>
          <w:sz w:val="11"/>
        </w:rPr>
      </w:pPr>
    </w:p>
    <w:p>
      <w:pPr>
        <w:pStyle w:val="Heading1"/>
        <w:spacing w:before="69"/>
        <w:ind w:left="102"/>
      </w:pPr>
      <w:r>
        <w:rPr/>
        <w:t>Articulo 2:</w:t>
      </w:r>
    </w:p>
    <w:p>
      <w:pPr>
        <w:pStyle w:val="BodyText"/>
        <w:rPr>
          <w:b/>
          <w:sz w:val="24"/>
        </w:rPr>
      </w:pPr>
    </w:p>
    <w:p>
      <w:pPr>
        <w:pStyle w:val="Heading2"/>
        <w:spacing w:before="160"/>
        <w:rPr>
          <w:i/>
        </w:rPr>
      </w:pPr>
      <w:r>
        <w:rPr/>
        <w:t>Effect  of  xylanase,  cellulase  or  natural Maguey  extract  on chemical  composition  and </w:t>
      </w:r>
      <w:r>
        <w:rPr>
          <w:i/>
        </w:rPr>
        <w:t>in vitro</w:t>
      </w:r>
    </w:p>
    <w:p>
      <w:pPr>
        <w:pStyle w:val="BodyText"/>
        <w:rPr>
          <w:b/>
          <w:i/>
        </w:rPr>
      </w:pPr>
    </w:p>
    <w:p>
      <w:pPr>
        <w:spacing w:line="633" w:lineRule="auto" w:before="0"/>
        <w:ind w:left="102" w:right="5838" w:firstLine="0"/>
        <w:jc w:val="left"/>
        <w:rPr>
          <w:b/>
          <w:sz w:val="22"/>
        </w:rPr>
      </w:pPr>
      <w:r>
        <w:rPr>
          <w:b/>
          <w:sz w:val="22"/>
        </w:rPr>
        <w:t>rumen gas production of corn silage Abstract</w:t>
      </w:r>
    </w:p>
    <w:p>
      <w:pPr>
        <w:pStyle w:val="BodyText"/>
        <w:spacing w:line="480" w:lineRule="auto" w:before="7"/>
        <w:ind w:left="102" w:right="111"/>
        <w:jc w:val="both"/>
      </w:pPr>
      <w:r>
        <w:rPr/>
        <w:t>The study considered the application of the exogenous enzymes xylanase (XYL), cellulase (CEL) and Maguey extract (1 ml per kg as fresh matter) in four maize silage varieties (San Diego, Cacahuacintle, P-1832 and Victoria) to investigate their effect on the chemical composition, gas production (GP) and in vitro ruminal fermentation parameters. GP was measured at 3, 6, 9, </w:t>
      </w:r>
      <w:r>
        <w:rPr>
          <w:spacing w:val="2"/>
        </w:rPr>
        <w:t>12, </w:t>
      </w:r>
      <w:r>
        <w:rPr/>
        <w:t>24, 36, 48, 72 and 96 hours of incubation. Data were analyzed using a completely randomized design with factorial arrangement 4 x 3. The CP content was higher (P &lt;0.05) for Victoria and P-1832 varieties, and that for Maguey extract treatment was higher (P &lt;0.05) compared to the other treatments. The GP was higher (P &lt;0.05) for San Diego and Cacahuacintle varieties and lag time was greater (P &lt;0.05) for Victoria. The addition of enzymes or Maguey extract affected dry matter digestibility (P &lt;0.01) and ME, with GP24h being higher compared with the control treatment. In conclusion, the addition of XYL, CEL and Maguey extract promotes dry matter degradation and increases their energy availability, with increased in vitro gas</w:t>
      </w:r>
      <w:r>
        <w:rPr>
          <w:spacing w:val="-3"/>
        </w:rPr>
        <w:t> </w:t>
      </w:r>
      <w:r>
        <w:rPr/>
        <w:t>production.</w:t>
      </w:r>
    </w:p>
    <w:p>
      <w:pPr>
        <w:pStyle w:val="BodyText"/>
        <w:spacing w:before="170"/>
        <w:ind w:left="157"/>
        <w:jc w:val="both"/>
      </w:pPr>
      <w:r>
        <w:rPr>
          <w:b/>
        </w:rPr>
        <w:t>Keywords: </w:t>
      </w:r>
      <w:r>
        <w:rPr/>
        <w:t>corn silage, xylanase, cellulase, Maguey extract, in vitro gas production.</w:t>
      </w:r>
    </w:p>
    <w:p>
      <w:pPr>
        <w:pStyle w:val="BodyText"/>
      </w:pPr>
    </w:p>
    <w:p>
      <w:pPr>
        <w:pStyle w:val="Heading2"/>
        <w:spacing w:before="163"/>
      </w:pPr>
      <w:r>
        <w:rPr/>
        <w:t>Introduction</w:t>
      </w:r>
    </w:p>
    <w:p>
      <w:pPr>
        <w:pStyle w:val="BodyText"/>
        <w:rPr>
          <w:b/>
        </w:rPr>
      </w:pPr>
    </w:p>
    <w:p>
      <w:pPr>
        <w:pStyle w:val="BodyText"/>
        <w:spacing w:line="480" w:lineRule="auto" w:before="157"/>
        <w:ind w:left="102" w:right="114"/>
        <w:jc w:val="both"/>
      </w:pPr>
      <w:r>
        <w:rPr/>
        <w:t>Corn silage is most frequently used in the feeding of dairy cows for its energy value and high production of dry matter (DM) (Peña et al., 2010). These fibrous feeds have higher concentrations of cellulose and hemicellulose, which can create a structural complex of carbohydrates and lignin, thereby reducing the digestibility of carbohydrates and decreasing the efficient utilization of feed by ruminants (Elghandour  et  al.,  2013).  Fibrolytic  enzymes  alter  the  structure  of  foods,  making  them      more</w:t>
      </w:r>
    </w:p>
    <w:p>
      <w:pPr>
        <w:spacing w:after="0" w:line="480" w:lineRule="auto"/>
        <w:jc w:val="both"/>
        <w:sectPr>
          <w:footerReference w:type="default" r:id="rId35"/>
          <w:pgSz w:w="12240" w:h="15840"/>
          <w:pgMar w:footer="943" w:header="0" w:top="1500" w:bottom="1140" w:left="1600" w:right="1300"/>
        </w:sectPr>
      </w:pPr>
    </w:p>
    <w:p>
      <w:pPr>
        <w:pStyle w:val="BodyText"/>
        <w:spacing w:before="8"/>
        <w:rPr>
          <w:sz w:val="10"/>
        </w:rPr>
      </w:pPr>
    </w:p>
    <w:p>
      <w:pPr>
        <w:pStyle w:val="BodyText"/>
        <w:spacing w:line="480" w:lineRule="auto" w:before="73"/>
        <w:ind w:left="102" w:right="112"/>
        <w:jc w:val="both"/>
      </w:pPr>
      <w:r>
        <w:rPr/>
        <w:t>susceptible to ruminal hydrolysis (Nsereko et al., 2000). Cellulases, on the other hand, cause partial hydrolysis of the plant cell wall during ensiling (Kuhad et al., 2011). Settimi et al. (2013) mention that direct application of enzymes to the substrate favors the formation of a stable enzyme-substrate complex, which increases the effectiveness of the exogenous enzymes, which can make the fiber more soluble or available for microbial activity in the rumen.</w:t>
      </w:r>
    </w:p>
    <w:p>
      <w:pPr>
        <w:pStyle w:val="BodyText"/>
        <w:spacing w:line="480" w:lineRule="auto" w:before="168"/>
        <w:ind w:left="102" w:right="121"/>
        <w:jc w:val="both"/>
      </w:pPr>
      <w:r>
        <w:rPr/>
        <w:t>On the other hand, sustainable animal diets (StAnD) as developed by the FAO (2014), which consider the use of native resources in animal feeding, decrease environmental degradation and the loss of biodiversity, suggesting the use of native plants and their products as an option in ruminant feeding.</w:t>
      </w:r>
    </w:p>
    <w:p>
      <w:pPr>
        <w:pStyle w:val="BodyText"/>
        <w:spacing w:line="480" w:lineRule="auto" w:before="170"/>
        <w:ind w:left="102" w:right="112"/>
        <w:jc w:val="both"/>
      </w:pPr>
      <w:r>
        <w:rPr/>
        <w:t>Currently, little attention has been paid to the use of Maguey pulquero (</w:t>
      </w:r>
      <w:r>
        <w:rPr>
          <w:i/>
        </w:rPr>
        <w:t>Agave salmiana</w:t>
      </w:r>
      <w:r>
        <w:rPr/>
        <w:t>, </w:t>
      </w:r>
      <w:r>
        <w:rPr>
          <w:i/>
        </w:rPr>
        <w:t>A. mapisaga </w:t>
      </w:r>
      <w:r>
        <w:rPr/>
        <w:t>and </w:t>
      </w:r>
      <w:r>
        <w:rPr>
          <w:i/>
        </w:rPr>
        <w:t>A. atrovirens</w:t>
      </w:r>
      <w:r>
        <w:rPr/>
        <w:t>), which has been reported in 136 of the 150 species in Mexico (Rzedowski and Calderon, 1990; Nobel, 1998). These species are used as food, fiber, fodder, medicine, in construction, and in the production of alcoholic beverages (Ramirez et al., 2000). Maguey extract is extracted for the preparation of “pulque”, the product of fermentation, which is a sweet, colorless, transparent liquid with a light herbal scent, rich in carbohydrates and protein. Its protein contains organic forms of nitrogen such as amino acids (Garcia et al., 2011), taking advantage of the presence of all  proteinogenic amino acids found in the fluid phloem (Atkins and Beevers,</w:t>
      </w:r>
      <w:r>
        <w:rPr>
          <w:spacing w:val="-21"/>
        </w:rPr>
        <w:t> </w:t>
      </w:r>
      <w:r>
        <w:rPr/>
        <w:t>1990).</w:t>
      </w:r>
    </w:p>
    <w:p>
      <w:pPr>
        <w:pStyle w:val="BodyText"/>
        <w:spacing w:line="480" w:lineRule="auto" w:before="170"/>
        <w:ind w:left="102" w:right="118"/>
        <w:jc w:val="both"/>
      </w:pPr>
      <w:r>
        <w:rPr/>
        <w:t>The aim of this study was to determine the effects of xylanase, cellulase and Maguey extract, applied</w:t>
      </w:r>
      <w:r>
        <w:rPr>
          <w:spacing w:val="-34"/>
        </w:rPr>
        <w:t> </w:t>
      </w:r>
      <w:r>
        <w:rPr/>
        <w:t>to four maize silage varieties, on chemical characterization, in vitro gas production and fermentation parameters.</w:t>
      </w:r>
    </w:p>
    <w:p>
      <w:pPr>
        <w:pStyle w:val="Heading3"/>
        <w:spacing w:line="631" w:lineRule="auto" w:before="176"/>
        <w:ind w:right="7139"/>
        <w:jc w:val="left"/>
      </w:pPr>
      <w:r>
        <w:rPr>
          <w:i/>
        </w:rPr>
        <w:t>Materials and methods </w:t>
      </w:r>
      <w:r>
        <w:rPr/>
        <w:t>Material evaluated</w:t>
      </w:r>
    </w:p>
    <w:p>
      <w:pPr>
        <w:pStyle w:val="BodyText"/>
        <w:spacing w:line="480" w:lineRule="auto" w:before="12"/>
        <w:ind w:left="102" w:right="112"/>
        <w:jc w:val="both"/>
      </w:pPr>
      <w:r>
        <w:rPr/>
        <w:t>Four varieties of corn were used – two Creole native breeds, Cacahuacintle (white grain) and San Diego</w:t>
      </w:r>
      <w:r>
        <w:rPr>
          <w:spacing w:val="38"/>
        </w:rPr>
        <w:t> </w:t>
      </w:r>
      <w:r>
        <w:rPr/>
        <w:t>(yellow</w:t>
      </w:r>
      <w:r>
        <w:rPr>
          <w:spacing w:val="37"/>
        </w:rPr>
        <w:t> </w:t>
      </w:r>
      <w:r>
        <w:rPr/>
        <w:t>grain),</w:t>
      </w:r>
      <w:r>
        <w:rPr>
          <w:spacing w:val="36"/>
        </w:rPr>
        <w:t> </w:t>
      </w:r>
      <w:r>
        <w:rPr/>
        <w:t>and</w:t>
      </w:r>
      <w:r>
        <w:rPr>
          <w:spacing w:val="36"/>
        </w:rPr>
        <w:t> </w:t>
      </w:r>
      <w:r>
        <w:rPr/>
        <w:t>two</w:t>
      </w:r>
      <w:r>
        <w:rPr>
          <w:spacing w:val="38"/>
        </w:rPr>
        <w:t> </w:t>
      </w:r>
      <w:r>
        <w:rPr/>
        <w:t>hybrids,</w:t>
      </w:r>
      <w:r>
        <w:rPr>
          <w:spacing w:val="39"/>
        </w:rPr>
        <w:t> </w:t>
      </w:r>
      <w:r>
        <w:rPr/>
        <w:t>P-1832</w:t>
      </w:r>
      <w:r>
        <w:rPr>
          <w:spacing w:val="38"/>
        </w:rPr>
        <w:t> </w:t>
      </w:r>
      <w:r>
        <w:rPr/>
        <w:t>(yellow</w:t>
      </w:r>
      <w:r>
        <w:rPr>
          <w:spacing w:val="37"/>
        </w:rPr>
        <w:t> </w:t>
      </w:r>
      <w:r>
        <w:rPr/>
        <w:t>grain)</w:t>
      </w:r>
      <w:r>
        <w:rPr>
          <w:spacing w:val="39"/>
        </w:rPr>
        <w:t> </w:t>
      </w:r>
      <w:r>
        <w:rPr/>
        <w:t>and</w:t>
      </w:r>
      <w:r>
        <w:rPr>
          <w:spacing w:val="36"/>
        </w:rPr>
        <w:t> </w:t>
      </w:r>
      <w:r>
        <w:rPr/>
        <w:t>Victoria</w:t>
      </w:r>
      <w:r>
        <w:rPr>
          <w:spacing w:val="36"/>
        </w:rPr>
        <w:t> </w:t>
      </w:r>
      <w:r>
        <w:rPr/>
        <w:t>(white</w:t>
      </w:r>
      <w:r>
        <w:rPr>
          <w:spacing w:val="36"/>
        </w:rPr>
        <w:t> </w:t>
      </w:r>
      <w:r>
        <w:rPr/>
        <w:t>grain)</w:t>
      </w:r>
      <w:r>
        <w:rPr>
          <w:spacing w:val="44"/>
        </w:rPr>
        <w:t> </w:t>
      </w:r>
      <w:r>
        <w:rPr/>
        <w:t>–</w:t>
      </w:r>
      <w:r>
        <w:rPr>
          <w:spacing w:val="39"/>
        </w:rPr>
        <w:t> </w:t>
      </w:r>
      <w:r>
        <w:rPr/>
        <w:t>whose</w:t>
      </w:r>
    </w:p>
    <w:p>
      <w:pPr>
        <w:spacing w:after="0" w:line="480" w:lineRule="auto"/>
        <w:jc w:val="both"/>
        <w:sectPr>
          <w:footerReference w:type="default" r:id="rId36"/>
          <w:pgSz w:w="12240" w:h="15840"/>
          <w:pgMar w:footer="1003" w:header="0" w:top="1500" w:bottom="1200" w:left="1600" w:right="1300"/>
          <w:pgNumType w:start="51"/>
        </w:sectPr>
      </w:pPr>
    </w:p>
    <w:p>
      <w:pPr>
        <w:pStyle w:val="BodyText"/>
        <w:spacing w:before="8"/>
        <w:rPr>
          <w:sz w:val="10"/>
        </w:rPr>
      </w:pPr>
    </w:p>
    <w:p>
      <w:pPr>
        <w:pStyle w:val="BodyText"/>
        <w:spacing w:line="480" w:lineRule="auto" w:before="73"/>
        <w:ind w:left="102" w:right="111"/>
        <w:jc w:val="both"/>
      </w:pPr>
      <w:r>
        <w:rPr/>
        <w:t>production characteristics are described by Franco et al. (2015). Plants were cut when the grains of  corn reached a doughy state, at 155, 149, 176 and 168 days after planting, respectively. Whole plants  of the experimental plots of each variety were cut and then chopped in a Wiley mill (DPM Junior, Noriega) to obtain a particle size of 1.5 to 4.0 cm; subsequently to form micro-silos, 1 ml of enzyme or Maguey extract was used for each product per kg of silage as fresh matter, which were weighed in quadruplicate (10 kg of fresh forage of each variety). To these were applied: 10 ml of xylanase (XYL, product consisting of 34,000 to 41,000 units xylanase / g, of 12,000 to 15,000 units of β-glucanase / g and 45,000 to 55,000 units of cellulase / g); 10 ml of cellulase (CEL, consisting of 30,000 to 36,000 units cellulase / g and from 7,500 to 10,000 units β-glucanase / g); or 10 ml of Maguey extract  (Maguey extract, with 11.96 g kg-1 protein, 22.7% fructose, 22% dextrose, sucrose 32.4% and 14.1% of saccharides); the respective </w:t>
      </w:r>
      <w:r>
        <w:rPr>
          <w:b/>
        </w:rPr>
        <w:t>control </w:t>
      </w:r>
      <w:r>
        <w:rPr/>
        <w:t>group received no additives. Subsequently three 15x30 cm polyvinyl chloride cylinders were filled with each of the varieties of maize and their respective treatments, compacted with a fodder press cylinder with a metal seal and finally covered with black plastic. The microsilos were stacked inside a cool, covered place for six months at room</w:t>
      </w:r>
      <w:r>
        <w:rPr>
          <w:spacing w:val="-27"/>
        </w:rPr>
        <w:t> </w:t>
      </w:r>
      <w:r>
        <w:rPr/>
        <w:t>temperature.</w:t>
      </w:r>
    </w:p>
    <w:p>
      <w:pPr>
        <w:pStyle w:val="Heading2"/>
        <w:spacing w:before="175"/>
      </w:pPr>
      <w:r>
        <w:rPr/>
        <w:t>Chemical composition</w:t>
      </w:r>
    </w:p>
    <w:p>
      <w:pPr>
        <w:pStyle w:val="BodyText"/>
        <w:rPr>
          <w:b/>
        </w:rPr>
      </w:pPr>
    </w:p>
    <w:p>
      <w:pPr>
        <w:pStyle w:val="BodyText"/>
        <w:spacing w:line="480" w:lineRule="auto" w:before="154"/>
        <w:ind w:left="102" w:right="114"/>
        <w:jc w:val="both"/>
      </w:pPr>
      <w:r>
        <w:rPr/>
        <w:t>Forage samples for chemical analysis post-conservation were collected from silages (4 silages per sample) at opening. A minimum of 6 cores were taken from each microsilo and pooled to produce one sample per bag. Samples for chemical analysis were frozen at -18 </w:t>
      </w:r>
      <w:r>
        <w:rPr>
          <w:position w:val="6"/>
        </w:rPr>
        <w:t>◦</w:t>
      </w:r>
      <w:r>
        <w:rPr/>
        <w:t>C before chemical composition analysis.</w:t>
      </w:r>
    </w:p>
    <w:p>
      <w:pPr>
        <w:pStyle w:val="BodyText"/>
        <w:spacing w:line="480" w:lineRule="auto" w:before="10"/>
        <w:ind w:left="102" w:right="114"/>
        <w:jc w:val="both"/>
      </w:pPr>
      <w:r>
        <w:rPr/>
        <w:t>Pooled samples of feeds were ground to a 1mm maximum size with a Wiley mill and analyzed in duplicate following the procedures of AOAC (1997). The pH was measured immediately after opening a silo; dry matter (DM) was determined by oven drying at 105°C to constant weight (ref. 934.01), organic matter and total ash by muffle furnace (ref. 942.05), and crude protein (CP) by the Kjeldahl method (ref. 976.05). The content of neutral detergent fiber (NDF), acid detergent fiber (ADF) and</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4"/>
        <w:jc w:val="both"/>
      </w:pPr>
      <w:r>
        <w:rPr/>
        <w:t>lignin (ADL) was determined according to Van Soest et al. (1991) using an Ankom 200 Fiber Analyzer (Ankom Technol. Co. Macedon, NY. USA). NDF was assayed without α-amylase. Both NDF and  ADF were expressed without residual ash. Moisture content of the silages was determined through distillation with toluene (Haigh and Hopkins,</w:t>
      </w:r>
      <w:r>
        <w:rPr>
          <w:spacing w:val="-20"/>
        </w:rPr>
        <w:t> </w:t>
      </w:r>
      <w:r>
        <w:rPr/>
        <w:t>1977).</w:t>
      </w:r>
    </w:p>
    <w:p>
      <w:pPr>
        <w:pStyle w:val="Heading3"/>
        <w:spacing w:before="17"/>
        <w:rPr>
          <w:i/>
        </w:rPr>
      </w:pPr>
      <w:r>
        <w:rPr>
          <w:i/>
        </w:rPr>
        <w:t>In vitro gas production</w:t>
      </w:r>
    </w:p>
    <w:p>
      <w:pPr>
        <w:pStyle w:val="BodyText"/>
        <w:rPr>
          <w:b/>
          <w:i/>
        </w:rPr>
      </w:pPr>
    </w:p>
    <w:p>
      <w:pPr>
        <w:pStyle w:val="BodyText"/>
        <w:spacing w:line="480" w:lineRule="auto" w:before="154"/>
        <w:ind w:left="102" w:right="114"/>
        <w:jc w:val="both"/>
      </w:pPr>
      <w:r>
        <w:rPr/>
        <w:t>During the first day of incubation, two dry Holstein cows (450 kg LW), fistulated in the rumen, were fed with a diet based on corn silage/alfalfa hay (60/40 ratio) supplemented with commercial  concentrate (Purina R) and water </w:t>
      </w:r>
      <w:r>
        <w:rPr>
          <w:i/>
        </w:rPr>
        <w:t>ad libitum</w:t>
      </w:r>
      <w:r>
        <w:rPr/>
        <w:t>. The ruminal fluid was extracted at 0800 h before the cows were fed, and transported in a thermos to the laboratory and filtered using a triple layer of cheesecloth, </w:t>
      </w:r>
      <w:r>
        <w:rPr>
          <w:position w:val="2"/>
        </w:rPr>
        <w:t>kept at a temperature of 39°C and gassed with CO</w:t>
      </w:r>
      <w:r>
        <w:rPr>
          <w:sz w:val="14"/>
        </w:rPr>
        <w:t>2</w:t>
      </w:r>
      <w:r>
        <w:rPr>
          <w:position w:val="2"/>
        </w:rPr>
        <w:t>. Stirring solutions (Menke and Steingas, 1988) </w:t>
      </w:r>
      <w:r>
        <w:rPr/>
        <w:t>were maintained at a temperature of 39°C, and 10% of ruminal fluid was added and mixed. 800 mg of DM of each of the treatments was weighed and placed in 48 amber bottles of 120 ml (considering the 16 treatments in triplicate), with the addition of 90 ml of buffer solution. After agitation, the flasks were placed in a water bath at 39°C. Subsequently the pressure (PSI) was determined using a pressure transducer (DELTA OHM HD2124.1) and gas production was measured at 3, 6, 9, 12, 24, 36, 48, 72 and 96 h of incubation. For gas correction four flasks were used without substrate as blanks; moreover, four bottles with barley hay were used as a standard (Theodorou et al.,</w:t>
      </w:r>
      <w:r>
        <w:rPr>
          <w:spacing w:val="-17"/>
        </w:rPr>
        <w:t> </w:t>
      </w:r>
      <w:r>
        <w:rPr/>
        <w:t>1994).</w:t>
      </w:r>
    </w:p>
    <w:p>
      <w:pPr>
        <w:pStyle w:val="BodyText"/>
        <w:spacing w:before="1"/>
      </w:pPr>
    </w:p>
    <w:p>
      <w:pPr>
        <w:pStyle w:val="Heading2"/>
        <w:spacing w:before="0"/>
      </w:pPr>
      <w:r>
        <w:rPr/>
        <w:t>Calculations and statistical analysis</w:t>
      </w:r>
    </w:p>
    <w:p>
      <w:pPr>
        <w:pStyle w:val="BodyText"/>
        <w:rPr>
          <w:b/>
        </w:rPr>
      </w:pPr>
    </w:p>
    <w:p>
      <w:pPr>
        <w:pStyle w:val="BodyText"/>
        <w:spacing w:before="8"/>
        <w:rPr>
          <w:b/>
          <w:sz w:val="20"/>
        </w:rPr>
      </w:pPr>
    </w:p>
    <w:p>
      <w:pPr>
        <w:pStyle w:val="BodyText"/>
        <w:spacing w:line="477" w:lineRule="auto"/>
        <w:ind w:left="102" w:right="120"/>
        <w:jc w:val="both"/>
      </w:pPr>
      <w:r>
        <w:rPr/>
        <w:t>The kinetic parameters of GP were estimated through an iterative procedure of nonlinear regression analysis (PROC NLIN, SAS Institute 2002) according to Krishnamoorthy et al. (1991), calculated as:</w:t>
      </w:r>
    </w:p>
    <w:p>
      <w:pPr>
        <w:pStyle w:val="BodyText"/>
        <w:spacing w:before="3"/>
        <w:rPr>
          <w:sz w:val="21"/>
        </w:rPr>
      </w:pPr>
    </w:p>
    <w:p>
      <w:pPr>
        <w:tabs>
          <w:tab w:pos="7890" w:val="left" w:leader="none"/>
        </w:tabs>
        <w:spacing w:before="0"/>
        <w:ind w:left="102" w:right="0" w:firstLine="0"/>
        <w:jc w:val="both"/>
        <w:rPr>
          <w:sz w:val="22"/>
        </w:rPr>
      </w:pPr>
      <w:r>
        <w:rPr>
          <w:sz w:val="22"/>
        </w:rPr>
        <w:t>GP = b</w:t>
      </w:r>
      <w:r>
        <w:rPr>
          <w:spacing w:val="-5"/>
          <w:sz w:val="22"/>
        </w:rPr>
        <w:t> </w:t>
      </w:r>
      <w:r>
        <w:rPr>
          <w:sz w:val="22"/>
        </w:rPr>
        <w:t>(1-e</w:t>
      </w:r>
      <w:r>
        <w:rPr>
          <w:spacing w:val="-2"/>
          <w:sz w:val="22"/>
        </w:rPr>
        <w:t> </w:t>
      </w:r>
      <w:r>
        <w:rPr>
          <w:sz w:val="22"/>
        </w:rPr>
        <w:t>–</w:t>
      </w:r>
      <w:r>
        <w:rPr>
          <w:position w:val="8"/>
          <w:sz w:val="14"/>
        </w:rPr>
        <w:t>c(t-l)</w:t>
      </w:r>
      <w:r>
        <w:rPr>
          <w:sz w:val="22"/>
        </w:rPr>
        <w:t>)</w:t>
        <w:tab/>
        <w:t>(1)</w:t>
      </w:r>
    </w:p>
    <w:p>
      <w:pPr>
        <w:spacing w:after="0"/>
        <w:jc w:val="both"/>
        <w:rPr>
          <w:sz w:val="22"/>
        </w:rPr>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9"/>
        <w:jc w:val="both"/>
      </w:pPr>
      <w:r>
        <w:rPr/>
        <w:t>where GP is the volume of GP at time (t); b is the asymptotic GP (ml/g DM); c is the rate of GP (g/h), and </w:t>
      </w:r>
      <w:r>
        <w:rPr>
          <w:i/>
        </w:rPr>
        <w:t>l </w:t>
      </w:r>
      <w:r>
        <w:rPr/>
        <w:t>(h) is the discrete lag time prior to gas production.</w:t>
      </w:r>
    </w:p>
    <w:p>
      <w:pPr>
        <w:pStyle w:val="BodyText"/>
        <w:spacing w:line="480" w:lineRule="auto" w:before="168"/>
        <w:ind w:left="102" w:right="120"/>
        <w:jc w:val="both"/>
      </w:pPr>
      <w:r>
        <w:rPr/>
        <w:t>At the end of the incubation DM degradability (DMD, mg) and OM degradability (OMD, mg) were </w:t>
      </w:r>
      <w:r>
        <w:rPr>
          <w:position w:val="2"/>
        </w:rPr>
        <w:t>determined; gas yield (GY</w:t>
      </w:r>
      <w:r>
        <w:rPr>
          <w:sz w:val="14"/>
        </w:rPr>
        <w:t>24</w:t>
      </w:r>
      <w:r>
        <w:rPr>
          <w:position w:val="2"/>
        </w:rPr>
        <w:t>) was calculated as the volume of gas (ml gas/g DM) produced after 24 h  </w:t>
      </w:r>
      <w:r>
        <w:rPr/>
        <w:t>of incubation divided by the amount of DMD (g)</w:t>
      </w:r>
      <w:r>
        <w:rPr>
          <w:spacing w:val="-17"/>
        </w:rPr>
        <w:t> </w:t>
      </w:r>
      <w:r>
        <w:rPr/>
        <w:t>as:</w:t>
      </w:r>
    </w:p>
    <w:p>
      <w:pPr>
        <w:pStyle w:val="BodyText"/>
        <w:tabs>
          <w:tab w:pos="7238" w:val="left" w:leader="none"/>
        </w:tabs>
        <w:spacing w:line="482" w:lineRule="auto" w:before="9"/>
        <w:ind w:left="102" w:right="1172"/>
      </w:pPr>
      <w:r>
        <w:rPr>
          <w:position w:val="2"/>
        </w:rPr>
        <w:t>Gas yield (GY</w:t>
      </w:r>
      <w:r>
        <w:rPr>
          <w:sz w:val="14"/>
        </w:rPr>
        <w:t>24</w:t>
      </w:r>
      <w:r>
        <w:rPr>
          <w:position w:val="2"/>
        </w:rPr>
        <w:t>) = ml gas. g DM</w:t>
      </w:r>
      <w:r>
        <w:rPr>
          <w:sz w:val="14"/>
        </w:rPr>
        <w:t>24h </w:t>
      </w:r>
      <w:r>
        <w:rPr>
          <w:position w:val="2"/>
        </w:rPr>
        <w:t>/</w:t>
      </w:r>
      <w:r>
        <w:rPr>
          <w:spacing w:val="8"/>
          <w:position w:val="2"/>
        </w:rPr>
        <w:t> </w:t>
      </w:r>
      <w:r>
        <w:rPr>
          <w:position w:val="2"/>
        </w:rPr>
        <w:t>g</w:t>
      </w:r>
      <w:r>
        <w:rPr>
          <w:spacing w:val="-4"/>
          <w:position w:val="2"/>
        </w:rPr>
        <w:t> </w:t>
      </w:r>
      <w:r>
        <w:rPr>
          <w:position w:val="2"/>
        </w:rPr>
        <w:t>DMD</w:t>
        <w:tab/>
        <w:t>(2) </w:t>
      </w:r>
      <w:r>
        <w:rPr/>
        <w:t>Metabolizable energy (ME, MJ/kg DM) was estimated according to Menke et al. (1979)</w:t>
      </w:r>
      <w:r>
        <w:rPr>
          <w:spacing w:val="-21"/>
        </w:rPr>
        <w:t> </w:t>
      </w:r>
      <w:r>
        <w:rPr/>
        <w:t>as:</w:t>
      </w:r>
    </w:p>
    <w:p>
      <w:pPr>
        <w:pStyle w:val="BodyText"/>
        <w:tabs>
          <w:tab w:pos="7182" w:val="left" w:leader="none"/>
        </w:tabs>
        <w:spacing w:before="9"/>
        <w:ind w:left="872" w:right="19"/>
      </w:pPr>
      <w:r>
        <w:rPr/>
        <w:t>ME = 2.20 + 0.136 GP (ml/0.5g DM) + 0.057 CP</w:t>
      </w:r>
      <w:r>
        <w:rPr>
          <w:spacing w:val="-10"/>
        </w:rPr>
        <w:t> </w:t>
      </w:r>
      <w:r>
        <w:rPr/>
        <w:t>(g/kg</w:t>
      </w:r>
      <w:r>
        <w:rPr>
          <w:spacing w:val="-1"/>
        </w:rPr>
        <w:t> </w:t>
      </w:r>
      <w:r>
        <w:rPr/>
        <w:t>DM)</w:t>
        <w:tab/>
        <w:t>(3)</w:t>
      </w:r>
    </w:p>
    <w:p>
      <w:pPr>
        <w:pStyle w:val="BodyText"/>
        <w:tabs>
          <w:tab w:pos="7182" w:val="left" w:leader="none"/>
        </w:tabs>
        <w:spacing w:line="580" w:lineRule="atLeast" w:before="85"/>
        <w:ind w:left="102" w:right="120"/>
        <w:jc w:val="both"/>
      </w:pPr>
      <w:r>
        <w:rPr/>
        <w:t>Relative gas production (RGP) was calculated as milliliter of gas per gram of DMD after 48h </w:t>
      </w:r>
      <w:r>
        <w:rPr>
          <w:position w:val="2"/>
        </w:rPr>
        <w:t>incubation (DMD</w:t>
      </w:r>
      <w:r>
        <w:rPr>
          <w:sz w:val="14"/>
        </w:rPr>
        <w:t>48h</w:t>
      </w:r>
      <w:r>
        <w:rPr>
          <w:position w:val="2"/>
        </w:rPr>
        <w:t>). RGP  </w:t>
      </w:r>
      <w:r>
        <w:rPr>
          <w:rFonts w:ascii="Cambria Math"/>
          <w:position w:val="2"/>
        </w:rPr>
        <w:t>=  </w:t>
      </w:r>
      <w:r>
        <w:rPr>
          <w:position w:val="2"/>
        </w:rPr>
        <w:t>ml gas</w:t>
      </w:r>
      <w:r>
        <w:rPr>
          <w:rFonts w:ascii="Cambria Math"/>
          <w:position w:val="2"/>
        </w:rPr>
        <w:t>/</w:t>
      </w:r>
      <w:r>
        <w:rPr>
          <w:rFonts w:ascii="Cambria Math"/>
          <w:spacing w:val="-9"/>
          <w:position w:val="2"/>
        </w:rPr>
        <w:t> </w:t>
      </w:r>
      <w:r>
        <w:rPr>
          <w:position w:val="2"/>
        </w:rPr>
        <w:t>g</w:t>
      </w:r>
      <w:r>
        <w:rPr>
          <w:spacing w:val="-8"/>
          <w:position w:val="2"/>
        </w:rPr>
        <w:t> </w:t>
      </w:r>
      <w:r>
        <w:rPr>
          <w:position w:val="2"/>
        </w:rPr>
        <w:t>DMD</w:t>
      </w:r>
      <w:r>
        <w:rPr>
          <w:position w:val="-5"/>
          <w:sz w:val="16"/>
        </w:rPr>
        <w:t>48h</w:t>
        <w:tab/>
      </w:r>
      <w:r>
        <w:rPr>
          <w:position w:val="2"/>
        </w:rPr>
        <w:t>(4)</w:t>
      </w:r>
    </w:p>
    <w:p>
      <w:pPr>
        <w:pStyle w:val="BodyText"/>
        <w:tabs>
          <w:tab w:pos="6474" w:val="left" w:leader="none"/>
        </w:tabs>
        <w:spacing w:line="482" w:lineRule="auto" w:before="223"/>
        <w:ind w:left="102" w:right="112"/>
        <w:jc w:val="both"/>
      </w:pPr>
      <w:r>
        <w:rPr/>
        <w:t>Short chain fatty acid concentrations (SCFA) were calculated according to Getachew et al.  (2002)     as</w:t>
      </w:r>
      <w:r>
        <w:rPr>
          <w:rFonts w:ascii="Cambria Math" w:hAnsi="Cambria Math"/>
        </w:rPr>
        <w:t>: </w:t>
      </w:r>
      <w:r>
        <w:rPr/>
        <w:t>SCFA </w:t>
      </w:r>
      <w:r>
        <w:rPr>
          <w:rFonts w:ascii="Cambria Math" w:hAnsi="Cambria Math"/>
        </w:rPr>
        <w:t>(</w:t>
      </w:r>
      <w:r>
        <w:rPr/>
        <w:t>mmol</w:t>
      </w:r>
      <w:r>
        <w:rPr>
          <w:rFonts w:ascii="Cambria Math" w:hAnsi="Cambria Math"/>
        </w:rPr>
        <w:t>/</w:t>
      </w:r>
      <w:r>
        <w:rPr/>
        <w:t>200 mg DM</w:t>
      </w:r>
      <w:r>
        <w:rPr>
          <w:rFonts w:ascii="Cambria Math" w:hAnsi="Cambria Math"/>
        </w:rPr>
        <w:t>)  =  </w:t>
      </w:r>
      <w:r>
        <w:rPr/>
        <w:t>0</w:t>
      </w:r>
      <w:r>
        <w:rPr>
          <w:rFonts w:ascii="Cambria Math" w:hAnsi="Cambria Math"/>
        </w:rPr>
        <w:t>.</w:t>
      </w:r>
      <w:r>
        <w:rPr/>
        <w:t>0222 GP</w:t>
      </w:r>
      <w:r>
        <w:rPr>
          <w:spacing w:val="37"/>
        </w:rPr>
        <w:t> </w:t>
      </w:r>
      <w:r>
        <w:rPr>
          <w:rFonts w:ascii="Cambria Math" w:hAnsi="Cambria Math"/>
        </w:rPr>
        <w:t>−</w:t>
      </w:r>
      <w:r>
        <w:rPr>
          <w:rFonts w:ascii="Cambria Math" w:hAnsi="Cambria Math"/>
          <w:spacing w:val="47"/>
        </w:rPr>
        <w:t> </w:t>
      </w:r>
      <w:r>
        <w:rPr/>
        <w:t>0</w:t>
      </w:r>
      <w:r>
        <w:rPr>
          <w:rFonts w:ascii="Cambria Math" w:hAnsi="Cambria Math"/>
        </w:rPr>
        <w:t>.</w:t>
      </w:r>
      <w:r>
        <w:rPr/>
        <w:t>00425</w:t>
        <w:tab/>
        <w:t>(5)</w:t>
      </w:r>
    </w:p>
    <w:p>
      <w:pPr>
        <w:pStyle w:val="BodyText"/>
        <w:spacing w:before="12"/>
        <w:ind w:left="102"/>
        <w:jc w:val="both"/>
      </w:pPr>
      <w:r>
        <w:rPr/>
        <w:t>where GP is the 24h net gas production (ml/200 mg DM).</w:t>
      </w:r>
    </w:p>
    <w:p>
      <w:pPr>
        <w:pStyle w:val="BodyText"/>
        <w:spacing w:before="1"/>
      </w:pPr>
    </w:p>
    <w:p>
      <w:pPr>
        <w:pStyle w:val="BodyText"/>
        <w:ind w:left="102"/>
        <w:jc w:val="both"/>
        <w:rPr>
          <w:rFonts w:ascii="Cambria Math"/>
        </w:rPr>
      </w:pPr>
      <w:r>
        <w:rPr/>
        <w:t>Microbial CP biomass production was calculated according to Blummel et al</w:t>
      </w:r>
      <w:r>
        <w:rPr>
          <w:i/>
        </w:rPr>
        <w:t>. </w:t>
      </w:r>
      <w:r>
        <w:rPr/>
        <w:t>(1997) as: MCP </w:t>
      </w:r>
      <w:r>
        <w:rPr>
          <w:rFonts w:ascii="Cambria Math"/>
        </w:rPr>
        <w:t>(</w:t>
      </w:r>
      <w:r>
        <w:rPr/>
        <w:t>mg</w:t>
      </w:r>
      <w:r>
        <w:rPr>
          <w:rFonts w:ascii="Cambria Math"/>
        </w:rPr>
        <w:t>/</w:t>
      </w:r>
    </w:p>
    <w:p>
      <w:pPr>
        <w:pStyle w:val="BodyText"/>
        <w:rPr>
          <w:rFonts w:ascii="Cambria Math"/>
        </w:rPr>
      </w:pPr>
    </w:p>
    <w:p>
      <w:pPr>
        <w:pStyle w:val="BodyText"/>
        <w:tabs>
          <w:tab w:pos="7238" w:val="left" w:leader="none"/>
        </w:tabs>
        <w:ind w:left="102"/>
        <w:jc w:val="both"/>
      </w:pPr>
      <w:r>
        <w:rPr/>
        <w:t>g DM</w:t>
      </w:r>
      <w:r>
        <w:rPr>
          <w:rFonts w:ascii="Cambria Math" w:hAnsi="Cambria Math"/>
        </w:rPr>
        <w:t>)  =  </w:t>
      </w:r>
      <w:r>
        <w:rPr/>
        <w:t>mg DMD  </w:t>
      </w:r>
      <w:r>
        <w:rPr>
          <w:rFonts w:ascii="Cambria Math" w:hAnsi="Cambria Math"/>
        </w:rPr>
        <w:t>−  (</w:t>
      </w:r>
      <w:r>
        <w:rPr/>
        <w:t>ml gas  </w:t>
      </w:r>
      <w:r>
        <w:rPr>
          <w:rFonts w:ascii="Cambria Math" w:hAnsi="Cambria Math"/>
        </w:rPr>
        <w:t>×</w:t>
      </w:r>
      <w:r>
        <w:rPr>
          <w:rFonts w:ascii="Cambria Math" w:hAnsi="Cambria Math"/>
          <w:spacing w:val="22"/>
        </w:rPr>
        <w:t> </w:t>
      </w:r>
      <w:r>
        <w:rPr/>
        <w:t>2</w:t>
      </w:r>
      <w:r>
        <w:rPr>
          <w:rFonts w:ascii="Cambria Math" w:hAnsi="Cambria Math"/>
        </w:rPr>
        <w:t>.</w:t>
      </w:r>
      <w:r>
        <w:rPr/>
        <w:t>2</w:t>
      </w:r>
      <w:r>
        <w:rPr>
          <w:spacing w:val="-8"/>
        </w:rPr>
        <w:t> </w:t>
      </w:r>
      <w:r>
        <w:rPr/>
        <w:t>mg</w:t>
      </w:r>
      <w:r>
        <w:rPr>
          <w:rFonts w:ascii="Cambria Math" w:hAnsi="Cambria Math"/>
        </w:rPr>
        <w:t>/</w:t>
      </w:r>
      <w:r>
        <w:rPr/>
        <w:t>ml</w:t>
      </w:r>
      <w:r>
        <w:rPr>
          <w:rFonts w:ascii="Cambria Math" w:hAnsi="Cambria Math"/>
        </w:rPr>
        <w:t>).</w:t>
        <w:tab/>
      </w:r>
      <w:r>
        <w:rPr/>
        <w:t>(6)</w:t>
      </w:r>
    </w:p>
    <w:p>
      <w:pPr>
        <w:pStyle w:val="BodyText"/>
        <w:spacing w:before="6"/>
      </w:pPr>
    </w:p>
    <w:p>
      <w:pPr>
        <w:pStyle w:val="BodyText"/>
        <w:spacing w:line="480" w:lineRule="auto"/>
        <w:ind w:left="102" w:right="122"/>
        <w:jc w:val="both"/>
      </w:pPr>
      <w:r>
        <w:rPr/>
        <w:t>where 2.2mg/ml is a stoichiometric factor that expresses mg of C, H and O required for the production of SCFA gas associated with production of 1 ml of gas.</w:t>
      </w:r>
    </w:p>
    <w:p>
      <w:pPr>
        <w:pStyle w:val="BodyText"/>
        <w:spacing w:line="480" w:lineRule="auto" w:before="12"/>
        <w:ind w:left="102" w:right="115"/>
        <w:jc w:val="both"/>
      </w:pPr>
      <w:r>
        <w:rPr/>
        <w:t>The experiment was a completely randomized design with factorial arrangement 4 x 4 (Steel et al., 1997), where the treatments were maize varieties (V) (n = 4) and additives (Control, XYL, CEL and Maguey extract) (A) (n = 4), with three replications. Data were analyzed by repeated measurements over time, using statistical procedure (SAS, 1999).</w:t>
      </w:r>
    </w:p>
    <w:p>
      <w:pPr>
        <w:pStyle w:val="BodyText"/>
        <w:spacing w:before="170"/>
        <w:ind w:left="102"/>
        <w:jc w:val="both"/>
      </w:pPr>
      <w:r>
        <w:rPr/>
        <w:t>The statistical model was:</w:t>
      </w:r>
    </w:p>
    <w:p>
      <w:pPr>
        <w:pStyle w:val="BodyText"/>
      </w:pPr>
    </w:p>
    <w:p>
      <w:pPr>
        <w:pStyle w:val="BodyText"/>
        <w:tabs>
          <w:tab w:pos="7182" w:val="left" w:leader="none"/>
        </w:tabs>
        <w:spacing w:before="159"/>
        <w:ind w:left="102"/>
        <w:jc w:val="both"/>
      </w:pPr>
      <w:r>
        <w:rPr/>
        <w:t>Yijk = μ + Vi + Aj + (V * A) ij</w:t>
      </w:r>
      <w:r>
        <w:rPr>
          <w:spacing w:val="-9"/>
        </w:rPr>
        <w:t> </w:t>
      </w:r>
      <w:r>
        <w:rPr/>
        <w:t>+ Eijk</w:t>
        <w:tab/>
        <w:t>(7)</w:t>
      </w:r>
    </w:p>
    <w:p>
      <w:pPr>
        <w:spacing w:after="0"/>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2"/>
        <w:jc w:val="both"/>
      </w:pPr>
      <w:r>
        <w:rPr/>
        <w:t>where Yijk = response variable of silages treated with xylanase, cellulase and Maguey extract; μ = general mean; Vi = effect of the ith variety (i = 1-4); J = effect of the jth additive (j = 1-4); (V * A) ij = effect of the interaction between the ith variety and the jth additive; Eijk = experimental error of the ith variety, jth additive and kth repetition. Means were compared by the Tukey test with a lower probability equal to 0.5</w:t>
      </w:r>
      <w:r>
        <w:rPr>
          <w:spacing w:val="-7"/>
        </w:rPr>
        <w:t> </w:t>
      </w:r>
      <w:r>
        <w:rPr/>
        <w:t>%.</w:t>
      </w:r>
    </w:p>
    <w:p>
      <w:pPr>
        <w:pStyle w:val="Heading3"/>
        <w:spacing w:before="173"/>
        <w:rPr>
          <w:i/>
        </w:rPr>
      </w:pPr>
      <w:r>
        <w:rPr>
          <w:i/>
        </w:rPr>
        <w:t>Results</w:t>
      </w:r>
    </w:p>
    <w:p>
      <w:pPr>
        <w:pStyle w:val="BodyText"/>
        <w:rPr>
          <w:b/>
          <w:i/>
        </w:rPr>
      </w:pPr>
    </w:p>
    <w:p>
      <w:pPr>
        <w:spacing w:before="162"/>
        <w:ind w:left="102" w:right="0" w:firstLine="0"/>
        <w:jc w:val="both"/>
        <w:rPr>
          <w:b/>
          <w:i/>
          <w:sz w:val="22"/>
        </w:rPr>
      </w:pPr>
      <w:r>
        <w:rPr>
          <w:b/>
          <w:i/>
          <w:sz w:val="22"/>
        </w:rPr>
        <w:t>Chemical composition</w:t>
      </w:r>
    </w:p>
    <w:p>
      <w:pPr>
        <w:pStyle w:val="BodyText"/>
        <w:rPr>
          <w:b/>
          <w:i/>
        </w:rPr>
      </w:pPr>
    </w:p>
    <w:p>
      <w:pPr>
        <w:pStyle w:val="BodyText"/>
        <w:spacing w:line="480" w:lineRule="auto" w:before="154"/>
        <w:ind w:left="102" w:right="112"/>
        <w:jc w:val="both"/>
      </w:pPr>
      <w:r>
        <w:rPr/>
        <w:t>The interaction of the varieties and extracts had a significant effect (P &lt;0.05) for OM and CP. The CP content for corn silages San Diego and Cacahuacintle was lower (P &lt;0.05) than for P-1832 and  Victoria hybrids. The concentration of NDF and ADF was higher (P &lt;0.05) in hybrids, especially for Victoria, compared with the native corns. The inclusion of Maguey extract, CEL and XYL enzymes increased (P&lt;0.05) the CP content compared to the control group. The addition of Maguey extract decreased (P &lt;0.05) the content of ADF more than the rest of the treatments (Table</w:t>
      </w:r>
      <w:r>
        <w:rPr>
          <w:spacing w:val="-26"/>
        </w:rPr>
        <w:t> </w:t>
      </w:r>
      <w:r>
        <w:rPr/>
        <w:t>1).</w:t>
      </w:r>
    </w:p>
    <w:p>
      <w:pPr>
        <w:pStyle w:val="Heading3"/>
        <w:spacing w:before="173"/>
        <w:rPr>
          <w:i/>
        </w:rPr>
      </w:pPr>
      <w:r>
        <w:rPr>
          <w:i/>
        </w:rPr>
        <w:t>In vitro gas production</w:t>
      </w:r>
    </w:p>
    <w:p>
      <w:pPr>
        <w:pStyle w:val="BodyText"/>
        <w:rPr>
          <w:b/>
          <w:i/>
        </w:rPr>
      </w:pPr>
    </w:p>
    <w:p>
      <w:pPr>
        <w:pStyle w:val="BodyText"/>
        <w:spacing w:line="480" w:lineRule="auto" w:before="154"/>
        <w:ind w:left="102" w:right="118"/>
        <w:jc w:val="both"/>
      </w:pPr>
      <w:r>
        <w:rPr/>
        <w:t>The application of enzymes and Maguey Extract increased the GP (ml gas / g DM) of the four genotypes; however, the greatest accumulation of gas was at 24 hours. The fermentation rate “b” was higher (P &lt;0.05) for San Diego and Cacahuacintle compared with the corn hybrids. The use of XYL increased the gas production (P &lt;0.05) followed by CEL and Maguey extract. The addition of Maguey extract, CEL and XYL had a linear increase in GP (gas ml / hour) over time, observing a greater accumulation of gas in relation to the control silage (Table 2).</w:t>
      </w:r>
    </w:p>
    <w:p>
      <w:pPr>
        <w:spacing w:after="0" w:line="480" w:lineRule="auto"/>
        <w:jc w:val="both"/>
        <w:sectPr>
          <w:pgSz w:w="12240" w:h="15840"/>
          <w:pgMar w:header="0" w:footer="1003" w:top="1500" w:bottom="1200" w:left="1600" w:right="1300"/>
        </w:sectPr>
      </w:pPr>
    </w:p>
    <w:p>
      <w:pPr>
        <w:pStyle w:val="BodyText"/>
        <w:spacing w:before="1"/>
        <w:rPr>
          <w:sz w:val="11"/>
        </w:rPr>
      </w:pPr>
    </w:p>
    <w:p>
      <w:pPr>
        <w:pStyle w:val="Heading3"/>
        <w:rPr>
          <w:i/>
        </w:rPr>
      </w:pPr>
      <w:r>
        <w:rPr>
          <w:i/>
        </w:rPr>
        <w:t>Ruminal fermentation in vitro</w:t>
      </w:r>
    </w:p>
    <w:p>
      <w:pPr>
        <w:pStyle w:val="BodyText"/>
        <w:rPr>
          <w:b/>
          <w:i/>
        </w:rPr>
      </w:pPr>
    </w:p>
    <w:p>
      <w:pPr>
        <w:pStyle w:val="BodyText"/>
        <w:spacing w:line="480" w:lineRule="auto" w:before="154"/>
        <w:ind w:left="102" w:right="115" w:firstLine="55"/>
        <w:jc w:val="both"/>
      </w:pPr>
      <w:r>
        <w:rPr/>
        <w:t>The pH was lower (P &lt;0.05) for the variety San Diego, likewise the Maguey extract inclusion decreased the pH of the silage (P &lt;0.05) followed by XYL and CEL. The addition of enzymes or Maguey extract increased the concentration of ME and OMD compared with the control treatment, while the concentration of SCFA and MCP was higher (P &lt;0.05) for CEL and XYL compared to the control. GY24h was lower (P &lt;0.05) for the control compared with the rest of the treatments (Table 2).</w:t>
      </w:r>
    </w:p>
    <w:p>
      <w:pPr>
        <w:pStyle w:val="Heading3"/>
        <w:spacing w:before="176"/>
        <w:rPr>
          <w:i/>
        </w:rPr>
      </w:pPr>
      <w:r>
        <w:rPr>
          <w:i/>
        </w:rPr>
        <w:t>Discussion</w:t>
      </w:r>
    </w:p>
    <w:p>
      <w:pPr>
        <w:pStyle w:val="BodyText"/>
        <w:rPr>
          <w:b/>
          <w:i/>
        </w:rPr>
      </w:pPr>
    </w:p>
    <w:p>
      <w:pPr>
        <w:spacing w:before="159"/>
        <w:ind w:left="102" w:right="0" w:firstLine="0"/>
        <w:jc w:val="both"/>
        <w:rPr>
          <w:b/>
          <w:i/>
          <w:sz w:val="22"/>
        </w:rPr>
      </w:pPr>
      <w:r>
        <w:rPr>
          <w:b/>
          <w:i/>
          <w:sz w:val="22"/>
        </w:rPr>
        <w:t>Chemical composition</w:t>
      </w:r>
    </w:p>
    <w:p>
      <w:pPr>
        <w:pStyle w:val="BodyText"/>
        <w:rPr>
          <w:b/>
          <w:i/>
        </w:rPr>
      </w:pPr>
    </w:p>
    <w:p>
      <w:pPr>
        <w:pStyle w:val="BodyText"/>
        <w:spacing w:line="480" w:lineRule="auto" w:before="156"/>
        <w:ind w:left="102" w:right="112"/>
        <w:jc w:val="both"/>
      </w:pPr>
      <w:r>
        <w:rPr/>
        <w:t>The activity of enzymes and Maguey extract showed greater contribution of dry matter in the natives corns San Diego and Cacahuacintle compared with P-1832 and Victoria hybrids. This is attributable to the addition of exogenous fibrolytic enzymes, which can alter the structure of the fiber and stimulate the microbial colonization (Newbold, 1997; Giraldo et al., 2004), due to the strong reaction of the enzyme with substrate when it is incorporated into the corn (Settimi et al., 2013). In the present study the DM content was higher for CEL, XYL and Maguey extract compared to the control treatment, whereby Schingoethe et al. (1999) mention that with the use of fibrolytic enzymes DM and NDF digestibility increases. Kuhad et al. (2011) observed that the activity of cellulases could cause partial hydrolysis of the plant cell wall during ensiling. In addition the compound of the Maguey extract included 8.6% sugars (Ortiz-Basurto et al., 2008), which are actively involved in the fermentation of carbohydrates and in protein degradation to amino acids released by the feed enzymes, stabilizing the silage (Barry et al., 1980; Hopkins, 2000), together with those spiked enzymes. The highest content of CP, with the inclusion of Maguey extract with respect to the control treatment, could be due to the effect caused by the supply of 0.3% amino acids and 3% protein contained in the Maguey extract (Ortiz-Basurto</w:t>
      </w:r>
      <w:r>
        <w:rPr>
          <w:spacing w:val="25"/>
        </w:rPr>
        <w:t> </w:t>
      </w:r>
      <w:r>
        <w:rPr/>
        <w:t>et</w:t>
      </w:r>
      <w:r>
        <w:rPr>
          <w:spacing w:val="26"/>
        </w:rPr>
        <w:t> </w:t>
      </w:r>
      <w:r>
        <w:rPr/>
        <w:t>al.,</w:t>
      </w:r>
      <w:r>
        <w:rPr>
          <w:spacing w:val="25"/>
        </w:rPr>
        <w:t> </w:t>
      </w:r>
      <w:r>
        <w:rPr/>
        <w:t>2008).</w:t>
      </w:r>
      <w:r>
        <w:rPr>
          <w:spacing w:val="25"/>
        </w:rPr>
        <w:t> </w:t>
      </w:r>
      <w:r>
        <w:rPr/>
        <w:t>The</w:t>
      </w:r>
      <w:r>
        <w:rPr>
          <w:spacing w:val="25"/>
        </w:rPr>
        <w:t> </w:t>
      </w:r>
      <w:r>
        <w:rPr/>
        <w:t>effect</w:t>
      </w:r>
      <w:r>
        <w:rPr>
          <w:spacing w:val="26"/>
        </w:rPr>
        <w:t> </w:t>
      </w:r>
      <w:r>
        <w:rPr/>
        <w:t>of</w:t>
      </w:r>
      <w:r>
        <w:rPr>
          <w:spacing w:val="26"/>
        </w:rPr>
        <w:t> </w:t>
      </w:r>
      <w:r>
        <w:rPr/>
        <w:t>adding</w:t>
      </w:r>
      <w:r>
        <w:rPr>
          <w:spacing w:val="23"/>
        </w:rPr>
        <w:t> </w:t>
      </w:r>
      <w:r>
        <w:rPr/>
        <w:t>enzymes,</w:t>
      </w:r>
      <w:r>
        <w:rPr>
          <w:spacing w:val="25"/>
        </w:rPr>
        <w:t> </w:t>
      </w:r>
      <w:r>
        <w:rPr/>
        <w:t>according</w:t>
      </w:r>
      <w:r>
        <w:rPr>
          <w:spacing w:val="23"/>
        </w:rPr>
        <w:t> </w:t>
      </w:r>
      <w:r>
        <w:rPr/>
        <w:t>to</w:t>
      </w:r>
      <w:r>
        <w:rPr>
          <w:spacing w:val="25"/>
        </w:rPr>
        <w:t> </w:t>
      </w:r>
      <w:r>
        <w:rPr/>
        <w:t>Carvacho</w:t>
      </w:r>
      <w:r>
        <w:rPr>
          <w:spacing w:val="25"/>
        </w:rPr>
        <w:t> </w:t>
      </w:r>
      <w:r>
        <w:rPr/>
        <w:t>et</w:t>
      </w:r>
      <w:r>
        <w:rPr>
          <w:spacing w:val="26"/>
        </w:rPr>
        <w:t> </w:t>
      </w:r>
      <w:r>
        <w:rPr/>
        <w:t>al.</w:t>
      </w:r>
      <w:r>
        <w:rPr>
          <w:spacing w:val="25"/>
        </w:rPr>
        <w:t> </w:t>
      </w:r>
      <w:r>
        <w:rPr/>
        <w:t>(2003)</w:t>
      </w:r>
      <w:r>
        <w:rPr>
          <w:spacing w:val="26"/>
        </w:rPr>
        <w:t> </w:t>
      </w:r>
      <w:r>
        <w:rPr/>
        <w:t>and</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9"/>
        <w:jc w:val="both"/>
      </w:pPr>
      <w:r>
        <w:rPr/>
        <w:t>Bayer et al. (2004) is independent of the origin of cellulases, the maguey extract contains about 35 amino acids and rich in serine and threonine, which increase the CP content in the silage.</w:t>
      </w:r>
    </w:p>
    <w:p>
      <w:pPr>
        <w:pStyle w:val="BodyText"/>
        <w:spacing w:line="480" w:lineRule="auto" w:before="168"/>
        <w:ind w:left="102" w:right="111"/>
        <w:jc w:val="both"/>
      </w:pPr>
      <w:r>
        <w:rPr/>
        <w:t>Corn stover can be used in feed for ruminants after improving its nutritional value (Elghandour et al., 2014), using exogenous fibrolytic enzymes to enhance the degradation of carbohydrates and the cell wall (Alsersy et al., 2015; Salem et al., 2015) in the phase of ruminal preincubation (Beauchemin et al., 2003) – which is consistent with the decrease in the NDF when applying CEL, XYL and Maguey extract in the present study. The activity of these products, mainly in natives corns (i.e. Cacahuacintle) is also evident, showing a trend (P = 0.08) in NDF content; Muttoni et al. (2013) found that the range  of variability of NDF in local maize varieties was 46.8 to 72% and 42-78% in lines derived from different germoplasm, ranking in lower concentrations in the maize cultivars evaluated in this study. Nsereko et al. (2000) found that adding fibrolytic enzymes to the fodder before ingestion alters the structure of the feed, making it more susceptible to ruminal hydrolysis. Meanwhile Casler (2001) found a reduction in the NDF content and an increase in the proportion of highly digestible soluble components with the addition of enzymes. The inclusion of enzymes such as CEL showed the greatest effect with the least content of NDF and ADF in relation to the control treatment, which is in accordance with Alsersy et al. (2015) and Salem et al. (2015) with the addition of cellulolytic enzymes in the diet of ruminants improving fiber digestion. Settimi et al. (2013) indicate that fibrolytic enzymes improve the initial degradation of structural carbohydrates of plants. The lowest content of ADF was evident using Maguey extract compared with the control, which could be due to the high amount of sugars containing this additive, optimizing the fermentation of corn silage, according to Forsberg et al. (2000). Polysaccharides provide fermentable carbohydrates to stimulate microbial</w:t>
      </w:r>
      <w:r>
        <w:rPr>
          <w:spacing w:val="-25"/>
        </w:rPr>
        <w:t> </w:t>
      </w:r>
      <w:r>
        <w:rPr/>
        <w:t>growth.</w:t>
      </w:r>
    </w:p>
    <w:p>
      <w:pPr>
        <w:pStyle w:val="Heading3"/>
        <w:spacing w:before="173"/>
        <w:rPr>
          <w:i/>
        </w:rPr>
      </w:pPr>
      <w:r>
        <w:rPr>
          <w:i/>
        </w:rPr>
        <w:t>In vitro gas production</w:t>
      </w:r>
    </w:p>
    <w:p>
      <w:pPr>
        <w:pStyle w:val="BodyText"/>
        <w:rPr>
          <w:b/>
          <w:i/>
        </w:rPr>
      </w:pPr>
    </w:p>
    <w:p>
      <w:pPr>
        <w:pStyle w:val="BodyText"/>
        <w:spacing w:line="480" w:lineRule="auto" w:before="156"/>
        <w:ind w:left="102" w:right="116"/>
        <w:jc w:val="both"/>
      </w:pPr>
      <w:r>
        <w:rPr/>
        <w:t>The activity of the XYL, CEL and Maguey extract was reflected more strongly in the Cacahuacintle and San Diego corn natives with respect to the P-1832 and Victoria hybrids, given their remarkable</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6"/>
        <w:jc w:val="both"/>
      </w:pPr>
      <w:r>
        <w:rPr/>
        <w:t>increase in GP, the time of fermentation rate and the delay time of incubation (Table 1). This could be because the germoplasm adapted to the highlands tends to accumulate anthocyanins in the midribs and pith of the stem, which is associated with a low lignin content and high polyphenolic soluble materials (Barriere and Argilliers, 1993; Estrada-Flores et al., 2003). The sugars added from Maguey extract (Lappe-Olivares et al. 2008) are glucose, fructose and sucrose; besides releasing polysaccharides in the corn plant, these provide fermentable carbohydrates to stimulate microbial growth (Vallejo et al., 2016) and increase the number of fibrolytic bacteria and not fibrolytic bacteria in the rumen, which utilize polysaccharides (Nsereko et al., 2002).</w:t>
      </w:r>
    </w:p>
    <w:p>
      <w:pPr>
        <w:pStyle w:val="BodyText"/>
        <w:spacing w:line="480" w:lineRule="auto" w:before="170"/>
        <w:ind w:left="102" w:right="108"/>
        <w:jc w:val="both"/>
      </w:pPr>
      <w:r>
        <w:rPr/>
        <w:t>The criteria linked to GP were more efficient for native corns, except the lag time for the hybrid </w:t>
      </w:r>
      <w:r>
        <w:rPr>
          <w:spacing w:val="3"/>
        </w:rPr>
        <w:t>P- </w:t>
      </w:r>
      <w:r>
        <w:rPr/>
        <w:t>1832, which showed the fastest time (0.96 h). According to Franco et al. (2015) this latter plant material requires 176 days to harvest for silage; Van Soest (1994) notes that those genotypes that vegetatively linger to a late maturity for a longer period of time tend to be less lignificated compared with early maturing genotypes. The XYL was the most efficient enzyme in terms of GP, fermentation time and lag time and had the higher cumulative GP production; Colombatto et al. (2003b) mention  that if the enzyme affects the GP until the end of fermentation this means that the enzyme increases the fermentable material. The addition of XYL, CEL and Maguey extract performed better on GP and the other variables than the control. Salem et al. (2015b) found that the efficacy of enzymes depends upon the substrate specificity and dose of the enzyme; in this study the dose used of 1 ml / kg as fresh matter added to corn substrate was effective according to the results obtained with continuous activity of GP up to 96 h; however Vallejo et al. (2016) mention that the dose of 40 mg / g of xylanase or cellulase as DM applied to corn fodder has greater GP compared with other enzyme levels, with continuing effect up to 72 h; moreover Giraldo et al. (2007) assert that applying two cellulases from </w:t>
      </w:r>
      <w:r>
        <w:rPr>
          <w:i/>
        </w:rPr>
        <w:t>Aspergillus niger </w:t>
      </w:r>
      <w:r>
        <w:rPr/>
        <w:t>and </w:t>
      </w:r>
      <w:r>
        <w:rPr>
          <w:i/>
        </w:rPr>
        <w:t>Trichoderma longibrachiatum </w:t>
      </w:r>
      <w:r>
        <w:rPr/>
        <w:t>at a dose of 30 U / g substrate (70% grass hay and 30% concentrate) showed greater disappearance of DM, after 6 and 24 h, with no effect after 48 h of</w:t>
      </w:r>
      <w:r>
        <w:rPr>
          <w:spacing w:val="-25"/>
        </w:rPr>
        <w:t> </w:t>
      </w:r>
      <w:r>
        <w:rPr/>
        <w:t>incubation.</w:t>
      </w:r>
    </w:p>
    <w:p>
      <w:pPr>
        <w:spacing w:after="0" w:line="480" w:lineRule="auto"/>
        <w:jc w:val="both"/>
        <w:sectPr>
          <w:pgSz w:w="12240" w:h="15840"/>
          <w:pgMar w:header="0" w:footer="1003" w:top="1500" w:bottom="1200" w:left="1600" w:right="1300"/>
        </w:sectPr>
      </w:pPr>
    </w:p>
    <w:p>
      <w:pPr>
        <w:pStyle w:val="BodyText"/>
        <w:spacing w:before="1"/>
        <w:rPr>
          <w:sz w:val="11"/>
        </w:rPr>
      </w:pPr>
    </w:p>
    <w:p>
      <w:pPr>
        <w:pStyle w:val="Heading3"/>
        <w:rPr>
          <w:i/>
        </w:rPr>
      </w:pPr>
      <w:r>
        <w:rPr>
          <w:i/>
        </w:rPr>
        <w:t>In vitro fermentation</w:t>
      </w:r>
    </w:p>
    <w:p>
      <w:pPr>
        <w:pStyle w:val="BodyText"/>
        <w:rPr>
          <w:b/>
          <w:i/>
        </w:rPr>
      </w:pPr>
    </w:p>
    <w:p>
      <w:pPr>
        <w:pStyle w:val="BodyText"/>
        <w:spacing w:line="480" w:lineRule="auto" w:before="154"/>
        <w:ind w:left="102" w:right="112"/>
        <w:jc w:val="both"/>
      </w:pPr>
      <w:r>
        <w:rPr/>
        <w:t>The corn silages San Diego, P-1832 and Cacahuacintle showed decreased pH, as did the XYL, Maguey extract and CEL compared with the control treatment, which could be due to the aggressive fermentation of fresh forage with the addition of sugars of Maguey extract and the direct application of exogenous enzymes that favor the formation of a stable substrate which increases the effectiveness of these enzymes in the rumen (Settimi et al., 2013) which was clearly the situation in the present study since the greatest effect on the DMD and OMD was for the varieties and additives mentioned. In contrast, the hybrid Victoria had the highest pH, with lower activity of ruminal fermentation for DMD, OMD, ME, SCFA, MCP, and GY24h, similar to the control treatment, which could be due to the difficulty of plant fermentation given the thickness of its stem. According to Franco et al. (2015) the Victoria cultivar has the thicker stem with a diameter of 2.28 cm; meanwhile Chalquer-Scott and Fuchigami (1989) demonstrated that low temperature stress can cause this cell wall thickening, as a physiological response to increase the resistance of plants. Boon et al. (2008) mention that the stem has the worst digestibility of all parts of the maize plant, since it is the more lignified; and according to Barriere et al. (2005) the lignin content is the indigestible component of the fiber fraction, playing an important part for strength but resulting in worse stem digestibility of the cell wall.</w:t>
      </w:r>
    </w:p>
    <w:p>
      <w:pPr>
        <w:pStyle w:val="BodyText"/>
        <w:spacing w:line="480" w:lineRule="auto" w:before="168"/>
        <w:ind w:left="102" w:right="111"/>
        <w:jc w:val="both"/>
      </w:pPr>
      <w:r>
        <w:rPr/>
        <w:t>The effects on </w:t>
      </w:r>
      <w:r>
        <w:rPr>
          <w:i/>
        </w:rPr>
        <w:t>in vitro </w:t>
      </w:r>
      <w:r>
        <w:rPr/>
        <w:t>fermentation of corn silage when XYL, CEL and Maguey extract were added  led to objectively observed increases in DMD, OMD, ME, SCFA and MCP, the latter only for XYL and CEL compared with the control treatment, being higher than the results of DMD, OMD and ME reported by Vallejo et al. (2016) when working with the addition of CEL and XYL at different doses in corn stover. In this sense Settimi et al. (2013), working with an enzyme complex (cellulase, xylanase and β-glucosidase) applied at different doses, determined that enzymes increased the </w:t>
      </w:r>
      <w:r>
        <w:rPr>
          <w:i/>
        </w:rPr>
        <w:t>in vitro </w:t>
      </w:r>
      <w:r>
        <w:rPr/>
        <w:t>DM digestibility</w:t>
      </w:r>
      <w:r>
        <w:rPr>
          <w:spacing w:val="19"/>
        </w:rPr>
        <w:t> </w:t>
      </w:r>
      <w:r>
        <w:rPr/>
        <w:t>of</w:t>
      </w:r>
      <w:r>
        <w:rPr>
          <w:spacing w:val="22"/>
        </w:rPr>
        <w:t> </w:t>
      </w:r>
      <w:r>
        <w:rPr/>
        <w:t>corn</w:t>
      </w:r>
      <w:r>
        <w:rPr>
          <w:spacing w:val="22"/>
        </w:rPr>
        <w:t> </w:t>
      </w:r>
      <w:r>
        <w:rPr/>
        <w:t>stover,</w:t>
      </w:r>
      <w:r>
        <w:rPr>
          <w:spacing w:val="19"/>
        </w:rPr>
        <w:t> </w:t>
      </w:r>
      <w:r>
        <w:rPr/>
        <w:t>but</w:t>
      </w:r>
      <w:r>
        <w:rPr>
          <w:spacing w:val="22"/>
        </w:rPr>
        <w:t> </w:t>
      </w:r>
      <w:r>
        <w:rPr/>
        <w:t>did</w:t>
      </w:r>
      <w:r>
        <w:rPr>
          <w:spacing w:val="22"/>
        </w:rPr>
        <w:t> </w:t>
      </w:r>
      <w:r>
        <w:rPr/>
        <w:t>not</w:t>
      </w:r>
      <w:r>
        <w:rPr>
          <w:spacing w:val="22"/>
        </w:rPr>
        <w:t> </w:t>
      </w:r>
      <w:r>
        <w:rPr/>
        <w:t>affect</w:t>
      </w:r>
      <w:r>
        <w:rPr>
          <w:spacing w:val="20"/>
        </w:rPr>
        <w:t> </w:t>
      </w:r>
      <w:r>
        <w:rPr/>
        <w:t>the</w:t>
      </w:r>
      <w:r>
        <w:rPr>
          <w:spacing w:val="20"/>
        </w:rPr>
        <w:t> </w:t>
      </w:r>
      <w:r>
        <w:rPr/>
        <w:t>digestion</w:t>
      </w:r>
      <w:r>
        <w:rPr>
          <w:spacing w:val="22"/>
        </w:rPr>
        <w:t> </w:t>
      </w:r>
      <w:r>
        <w:rPr/>
        <w:t>after</w:t>
      </w:r>
      <w:r>
        <w:rPr>
          <w:spacing w:val="20"/>
        </w:rPr>
        <w:t> </w:t>
      </w:r>
      <w:r>
        <w:rPr/>
        <w:t>long</w:t>
      </w:r>
      <w:r>
        <w:rPr>
          <w:spacing w:val="19"/>
        </w:rPr>
        <w:t> </w:t>
      </w:r>
      <w:r>
        <w:rPr/>
        <w:t>periods</w:t>
      </w:r>
      <w:r>
        <w:rPr>
          <w:spacing w:val="22"/>
        </w:rPr>
        <w:t> </w:t>
      </w:r>
      <w:r>
        <w:rPr/>
        <w:t>of</w:t>
      </w:r>
      <w:r>
        <w:rPr>
          <w:spacing w:val="22"/>
        </w:rPr>
        <w:t> </w:t>
      </w:r>
      <w:r>
        <w:rPr/>
        <w:t>ruminal</w:t>
      </w:r>
      <w:r>
        <w:rPr>
          <w:spacing w:val="21"/>
        </w:rPr>
        <w:t> </w:t>
      </w:r>
      <w:r>
        <w:rPr/>
        <w:t>incubation;</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21"/>
        <w:jc w:val="both"/>
      </w:pPr>
      <w:r>
        <w:rPr/>
        <w:t>meanwhile Casler (2001) mentions that the NDF reduction translates into greater DMD, coinciding with the results of the present study.</w:t>
      </w:r>
    </w:p>
    <w:p>
      <w:pPr>
        <w:pStyle w:val="BodyText"/>
        <w:spacing w:line="480" w:lineRule="auto" w:before="168"/>
        <w:ind w:left="102" w:right="114"/>
        <w:jc w:val="both"/>
      </w:pPr>
      <w:r>
        <w:rPr/>
        <w:t>Similar increases in OMD, ME and SCFA were obtained with the implementation of the  three additives in this study; Elghandour et al. (2014) found that increased OMD-related enzymes are correlated with the fermented OM. In the case of ME, Zsubori et al. (2013) mention that their close correlation is due to the content of the OM and the degradability of forage cell wall, agreeing with Elghandour et al. (2013) who came to infer that increases in these variables were due to supplementation of XYL and CEL in the fibrous feeds evaluated.</w:t>
      </w:r>
    </w:p>
    <w:p>
      <w:pPr>
        <w:pStyle w:val="BodyText"/>
        <w:spacing w:line="480" w:lineRule="auto" w:before="170"/>
        <w:ind w:left="102" w:right="112"/>
        <w:jc w:val="both"/>
      </w:pPr>
      <w:r>
        <w:rPr/>
        <w:t>The genotypes of yellow grain (San Diego and P-1832), and the treatments XYL and CEL showed the highest MCP, which could be because the grains of yellow corn are sweeter than white grains, leading to accelerated fermentation of the former. Moreover, the OMD increased with the addition of XYL and CEL, which overcame the problem of the slow rate of digestion of low-quality forage due to long retention times of the intake in the rumen (Leng 1990), so that exogenous fibrolytic enzymes can supplement the enzyme activities of microorganisms in the rumen and allow better digestion of the substrate during the preliminary stages, which are the most critical for digestion (Settimi et al., 2013). The increased production of MCP with the addition of XYL and CEL was evident in the present study, since with their implementation the number of total bacteria and </w:t>
      </w:r>
      <w:r>
        <w:rPr>
          <w:i/>
        </w:rPr>
        <w:t>Fibrobacter succinogens </w:t>
      </w:r>
      <w:r>
        <w:rPr/>
        <w:t>in the incubation medium increased (Mao et al., 2013).</w:t>
      </w:r>
    </w:p>
    <w:p>
      <w:pPr>
        <w:pStyle w:val="BodyText"/>
        <w:spacing w:line="480" w:lineRule="auto" w:before="168"/>
        <w:ind w:left="102" w:right="113"/>
        <w:jc w:val="both"/>
      </w:pPr>
      <w:r>
        <w:rPr/>
        <w:t>The most GY24h was for the native corns San Diego and Cacahuacintle, and for the enzymes XYL and CEL, followed by Maguey extract, which could be due to increased fiber digestion and altered ruminal fermentation (Nsereko et al., 2002) and for the contribution of enzymes and sugars present in the corn silage. These results coincide with Vallejo et al. (2016), who added CEL and XYL at different doses, which together with the release of polysaccharides for the corn forage, caused a higher GY24h compared with the control treatment.</w:t>
      </w:r>
    </w:p>
    <w:p>
      <w:pPr>
        <w:spacing w:after="0" w:line="480" w:lineRule="auto"/>
        <w:jc w:val="both"/>
        <w:sectPr>
          <w:footerReference w:type="default" r:id="rId37"/>
          <w:pgSz w:w="12240" w:h="15840"/>
          <w:pgMar w:footer="1003" w:header="0" w:top="1500" w:bottom="1200" w:left="1600" w:right="1300"/>
        </w:sectPr>
      </w:pPr>
    </w:p>
    <w:p>
      <w:pPr>
        <w:pStyle w:val="BodyText"/>
        <w:spacing w:before="1"/>
        <w:rPr>
          <w:sz w:val="11"/>
        </w:rPr>
      </w:pPr>
    </w:p>
    <w:p>
      <w:pPr>
        <w:pStyle w:val="Heading3"/>
        <w:rPr>
          <w:i/>
        </w:rPr>
      </w:pPr>
      <w:r>
        <w:rPr>
          <w:i/>
        </w:rPr>
        <w:t>Conclusions</w:t>
      </w:r>
    </w:p>
    <w:p>
      <w:pPr>
        <w:pStyle w:val="BodyText"/>
        <w:rPr>
          <w:b/>
          <w:i/>
        </w:rPr>
      </w:pPr>
    </w:p>
    <w:p>
      <w:pPr>
        <w:pStyle w:val="BodyText"/>
        <w:spacing w:line="480" w:lineRule="auto" w:before="154"/>
        <w:ind w:left="102" w:right="114"/>
        <w:jc w:val="both"/>
      </w:pPr>
      <w:r>
        <w:rPr/>
        <w:t>The application of xylanase and cellulase can be replaced by Maguey extract in corn silage, as a sustainable natural option, increasing gas production and the </w:t>
      </w:r>
      <w:r>
        <w:rPr>
          <w:i/>
        </w:rPr>
        <w:t>in vitro </w:t>
      </w:r>
      <w:r>
        <w:rPr/>
        <w:t>ruminal fermentation parameters, and decreasing the pH of silage compared to the control treatment.</w:t>
      </w:r>
    </w:p>
    <w:p>
      <w:pPr>
        <w:pStyle w:val="Heading2"/>
        <w:spacing w:before="173"/>
      </w:pPr>
      <w:r>
        <w:rPr/>
        <w:t>References</w:t>
      </w:r>
    </w:p>
    <w:p>
      <w:pPr>
        <w:pStyle w:val="BodyText"/>
        <w:rPr>
          <w:b/>
        </w:rPr>
      </w:pPr>
    </w:p>
    <w:p>
      <w:pPr>
        <w:pStyle w:val="BodyText"/>
        <w:spacing w:line="480" w:lineRule="auto" w:before="156"/>
        <w:ind w:left="102" w:right="112"/>
        <w:jc w:val="both"/>
      </w:pPr>
      <w:r>
        <w:rPr/>
        <w:t>Alsersy H, Salem A Z M, Borhami B E, Olivares J, Gado H M, Mariezcurrena M D, Yacuot M H, Kholif A E, El-Adawy M, Hernandez S R. 2015. Effect of Mediterranean saltbush (</w:t>
      </w:r>
      <w:r>
        <w:rPr>
          <w:i/>
        </w:rPr>
        <w:t>Atriplex halimus</w:t>
      </w:r>
      <w:r>
        <w:rPr/>
        <w:t>) ensilaging with two developed enzyme cocktails on feed intake, nutrient digestibility and ruminal fermentation in sheep. Anim Sci  J. 86: 51–58.</w:t>
      </w:r>
    </w:p>
    <w:p>
      <w:pPr>
        <w:spacing w:line="480" w:lineRule="auto" w:before="170"/>
        <w:ind w:left="102" w:right="116" w:firstLine="0"/>
        <w:jc w:val="both"/>
        <w:rPr>
          <w:sz w:val="22"/>
        </w:rPr>
      </w:pPr>
      <w:r>
        <w:rPr>
          <w:sz w:val="22"/>
        </w:rPr>
        <w:t>AOAC. 1997. </w:t>
      </w:r>
      <w:r>
        <w:rPr>
          <w:i/>
          <w:sz w:val="22"/>
        </w:rPr>
        <w:t>Official Methods of Analysis</w:t>
      </w:r>
      <w:r>
        <w:rPr>
          <w:sz w:val="22"/>
        </w:rPr>
        <w:t>.16th edn.Association of Official Analytical Chemists.Arlington, VA, USA.</w:t>
      </w:r>
    </w:p>
    <w:p>
      <w:pPr>
        <w:pStyle w:val="BodyText"/>
        <w:spacing w:line="480" w:lineRule="auto" w:before="168"/>
        <w:ind w:left="102" w:right="121"/>
        <w:jc w:val="both"/>
      </w:pPr>
      <w:r>
        <w:rPr/>
        <w:t>Atkins C, Beevers L. 1990. Synthesis transport and utilization of translocated solutes of nitrogen. In: Nitrogen in higher plants. Research Studies Press. Somerset, England. pp. 223-295.</w:t>
      </w:r>
    </w:p>
    <w:p>
      <w:pPr>
        <w:pStyle w:val="BodyText"/>
        <w:spacing w:before="168"/>
        <w:ind w:left="102"/>
        <w:jc w:val="both"/>
      </w:pPr>
      <w:r>
        <w:rPr/>
        <w:t>Barrière Y, Argillier O. 1993. Brown-midrib genes of maize: a review. Agronomie 13: 865-876.</w:t>
      </w:r>
    </w:p>
    <w:p>
      <w:pPr>
        <w:pStyle w:val="BodyText"/>
      </w:pPr>
    </w:p>
    <w:p>
      <w:pPr>
        <w:pStyle w:val="BodyText"/>
        <w:spacing w:line="480" w:lineRule="auto" w:before="161"/>
        <w:ind w:left="102" w:right="115"/>
        <w:jc w:val="both"/>
      </w:pPr>
      <w:r>
        <w:rPr/>
        <w:t>Barrière Y, Alber D, Dolstra O, Lapierre C, Motto M, Ordas A, Van Waes J, Vlasminkel L, Welcker  C, Monod J P. 2005. Past and prospects of forage maize breeding in Europe. I. The grass cell wall as a basis of genetic variation and future improvements in feeding value. Maydica</w:t>
      </w:r>
      <w:r>
        <w:rPr>
          <w:spacing w:val="-22"/>
        </w:rPr>
        <w:t> </w:t>
      </w:r>
      <w:r>
        <w:rPr/>
        <w:t>50:259-274.</w:t>
      </w:r>
    </w:p>
    <w:p>
      <w:pPr>
        <w:pStyle w:val="BodyText"/>
        <w:spacing w:line="480" w:lineRule="auto" w:before="171"/>
        <w:ind w:left="102" w:right="117"/>
        <w:jc w:val="both"/>
      </w:pPr>
      <w:r>
        <w:rPr/>
        <w:t>Barry T N, Marsh R, Reardon T F, South A. 1980. Conservation and utilization of hay and silage. In: Supplementary feeding. Drew K R, Fennessy P F. Mosgiel, New Zeland. Prod Invermay Research Centre.</w:t>
      </w:r>
    </w:p>
    <w:p>
      <w:pPr>
        <w:pStyle w:val="BodyText"/>
        <w:spacing w:line="480" w:lineRule="auto" w:before="168"/>
        <w:ind w:left="102" w:right="119"/>
        <w:jc w:val="both"/>
      </w:pPr>
      <w:r>
        <w:rPr/>
        <w:t>Bayer E A, Belaich J P, Shoham Y, Lamed R. 2004. The celulosomes: multienzime machines for degradation of plant cell wall polysaccharides. Annual Review of Microbiology 58:521-554.</w:t>
      </w:r>
    </w:p>
    <w:p>
      <w:pPr>
        <w:spacing w:after="0" w:line="480" w:lineRule="auto"/>
        <w:jc w:val="both"/>
        <w:sectPr>
          <w:footerReference w:type="default" r:id="rId38"/>
          <w:pgSz w:w="12240" w:h="15840"/>
          <w:pgMar w:footer="1003" w:header="0" w:top="1500" w:bottom="1200" w:left="1600" w:right="1300"/>
          <w:pgNumType w:start="61"/>
        </w:sectPr>
      </w:pPr>
    </w:p>
    <w:p>
      <w:pPr>
        <w:pStyle w:val="BodyText"/>
        <w:spacing w:before="8"/>
        <w:rPr>
          <w:sz w:val="10"/>
        </w:rPr>
      </w:pPr>
    </w:p>
    <w:p>
      <w:pPr>
        <w:pStyle w:val="BodyText"/>
        <w:spacing w:line="480" w:lineRule="auto" w:before="73"/>
        <w:ind w:left="102" w:right="119"/>
        <w:jc w:val="both"/>
      </w:pPr>
      <w:r>
        <w:rPr/>
        <w:t>Beauchemin K A, Colombatto D, Morgavi P D, Yang Z W. 2003. Use of exogenous fibrolytic  enzymes to improve feed utilization by ruminants. J Anim Sci 81(2):</w:t>
      </w:r>
      <w:r>
        <w:rPr>
          <w:spacing w:val="-23"/>
        </w:rPr>
        <w:t> </w:t>
      </w:r>
      <w:r>
        <w:rPr/>
        <w:t>37-47.</w:t>
      </w:r>
    </w:p>
    <w:p>
      <w:pPr>
        <w:pStyle w:val="BodyText"/>
        <w:spacing w:line="480" w:lineRule="auto" w:before="168"/>
        <w:ind w:left="102" w:right="119"/>
        <w:jc w:val="both"/>
      </w:pPr>
      <w:r>
        <w:rPr/>
        <w:t>Blümmel M, Steingss H, Becker K. 1997. The relationship between in vitro gas production, in vitro microbial biomass yield and 15N incorporation and its implications for the prediction of voluntary feed intake of roughages. Br. J. Nutr. 77:911–921.</w:t>
      </w:r>
    </w:p>
    <w:p>
      <w:pPr>
        <w:pStyle w:val="BodyText"/>
        <w:spacing w:line="480" w:lineRule="auto" w:before="168"/>
        <w:ind w:left="102" w:right="113"/>
        <w:jc w:val="both"/>
      </w:pPr>
      <w:r>
        <w:rPr/>
        <w:t>Boon E J M C, Struik P C, Tamminga S, Engels F M, Cone J W, 2008. Stem characteristics of two forage maize (Zea mays L) cultivars varying in whole plant digestibility. III. Intra-stem variability in anatomy, chemical composition and in vitro rumen fermentation. NJAS-Wageningen J Life Sci 56: 101-122</w:t>
      </w:r>
    </w:p>
    <w:p>
      <w:pPr>
        <w:pStyle w:val="BodyText"/>
        <w:spacing w:before="168"/>
        <w:ind w:left="102"/>
        <w:jc w:val="both"/>
      </w:pPr>
      <w:r>
        <w:rPr/>
        <w:t>Casler M D. 2001. Breeding forage crops for increased nutritional value. Adv Agron 7: 51-107</w:t>
      </w:r>
    </w:p>
    <w:p>
      <w:pPr>
        <w:pStyle w:val="BodyText"/>
      </w:pPr>
    </w:p>
    <w:p>
      <w:pPr>
        <w:pStyle w:val="BodyText"/>
        <w:spacing w:line="480" w:lineRule="auto" w:before="161"/>
        <w:ind w:left="102" w:right="119"/>
        <w:jc w:val="both"/>
      </w:pPr>
      <w:r>
        <w:rPr/>
        <w:t>Colombatto D, Mould F L, Bhat M K, Owen E. 2003. Use of fibrolytic enzymes to improve the nutritive value of ruminant diets. A biochemical and in vitro rumen degradation assessment. Anim Feed Sci Technol</w:t>
      </w:r>
      <w:r>
        <w:rPr>
          <w:spacing w:val="-4"/>
        </w:rPr>
        <w:t> </w:t>
      </w:r>
      <w:r>
        <w:rPr/>
        <w:t>107:201–209.</w:t>
      </w:r>
    </w:p>
    <w:p>
      <w:pPr>
        <w:pStyle w:val="BodyText"/>
        <w:spacing w:line="477" w:lineRule="auto" w:before="170"/>
        <w:ind w:left="102" w:right="121"/>
        <w:jc w:val="both"/>
      </w:pPr>
      <w:r>
        <w:rPr/>
        <w:t>Chalker-Scott L, Fuchigami L H. 1989. The role of phenolic compounds in plant stress responses. In: Low temperature stress physiology in crops. Lee P H ed. CRC Press, Boca Raton.</w:t>
      </w:r>
    </w:p>
    <w:p>
      <w:pPr>
        <w:pStyle w:val="BodyText"/>
        <w:spacing w:line="480" w:lineRule="auto" w:before="173"/>
        <w:ind w:left="102" w:right="111"/>
        <w:jc w:val="both"/>
      </w:pPr>
      <w:r>
        <w:rPr/>
        <w:t>Elghandour M M Y, Salem A Z M, Gonzalez-Ronquillo M, Borquez J L, Gado H M, Odongo N E and Penuelas C G. 2013. Effects of exogenous enzymes on in vitro gas production kinetics and ruminal fermentation of four fibrous feeds. Anim Feed Sci and Tech 179:46– 53.</w:t>
      </w:r>
    </w:p>
    <w:p>
      <w:pPr>
        <w:pStyle w:val="BodyText"/>
        <w:spacing w:line="480" w:lineRule="auto" w:before="168"/>
        <w:ind w:left="102" w:right="113"/>
        <w:jc w:val="both"/>
      </w:pPr>
      <w:r>
        <w:rPr/>
        <w:t>Elghandour M M Y, Vazquez Ch J C, Salem A Z M., Kholif A E, Martinez C J S, Camacho L M, Cerrillo-Soto M A. 2014. Effects of Saccharomyces cerevisiae at direct addition or pre-incubation on  </w:t>
      </w:r>
      <w:r>
        <w:rPr>
          <w:i/>
        </w:rPr>
        <w:t>in vitro </w:t>
      </w:r>
      <w:r>
        <w:rPr/>
        <w:t>gas production kinetics and degradability of four fibrous feeds. Italian J of Anim Sci 13:295– 301.</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4"/>
        <w:jc w:val="both"/>
      </w:pPr>
      <w:r>
        <w:rPr/>
        <w:t>FAO (Food and Agriculture Organization). 2014. Towards a concept of Sustainable Animal Diets, by Harinder P. S. Makkar &amp; Philippe Ankers. FAO Animal Production and Health Report. No. 7. Rome, Italy.</w:t>
      </w:r>
    </w:p>
    <w:p>
      <w:pPr>
        <w:pStyle w:val="BodyText"/>
        <w:spacing w:line="480" w:lineRule="auto" w:before="170"/>
        <w:ind w:left="102" w:right="119"/>
        <w:jc w:val="both"/>
      </w:pPr>
      <w:r>
        <w:rPr/>
        <w:t>Forsberg C, Forano E, Chesson A. 2000. Microbial adherence to the plant cellwall and enzymatic hydrolysis. In: Cronje, P.B. (Ed.), Ruminant Physiology: Digestion, Metabolism, Growth and Reproduction. CABI Publishing, Wallingford, UK, pp. 79–97.</w:t>
      </w:r>
    </w:p>
    <w:p>
      <w:pPr>
        <w:pStyle w:val="BodyText"/>
        <w:spacing w:line="480" w:lineRule="auto" w:before="171"/>
        <w:ind w:left="102" w:right="114"/>
        <w:jc w:val="both"/>
      </w:pPr>
      <w:r>
        <w:rPr/>
        <w:t>Franco M J R P, Gonzalez H A, Perez L D J, Gonzalez R M. 2015. Fhenotypic characterization of hybrids and varieties of forage maize in High Valley State of Mexico, Mexico. Rev Mex Cienc Agric 6(8):1915-1927.</w:t>
      </w:r>
    </w:p>
    <w:p>
      <w:pPr>
        <w:pStyle w:val="BodyText"/>
        <w:spacing w:line="480" w:lineRule="auto" w:before="168"/>
        <w:ind w:left="102" w:right="112"/>
        <w:jc w:val="both"/>
      </w:pPr>
      <w:r>
        <w:rPr/>
        <w:t>Garcia A L, Madrid R, Gimeno V, Rodriguez-Ortega W M, Nicolas N, Garcia-Sanchez F. 2011. The effects of amino acids fertilization incorporated to the nutrient solution on mineral composition and growth in tomato seedlings. Span. J Agric Res 9(3):852-861.</w:t>
      </w:r>
    </w:p>
    <w:p>
      <w:pPr>
        <w:pStyle w:val="BodyText"/>
        <w:spacing w:line="480" w:lineRule="auto" w:before="168"/>
        <w:ind w:left="102" w:right="112"/>
        <w:jc w:val="both"/>
      </w:pPr>
      <w:r>
        <w:rPr/>
        <w:t>Getachew G, Makkar H P S, Becker K. 2002. Tropical browses: contents of phenolic compounds, in vitro gas production and stoichiometric relationship between short chain fatty acid and </w:t>
      </w:r>
      <w:r>
        <w:rPr>
          <w:i/>
        </w:rPr>
        <w:t>in vitro </w:t>
      </w:r>
      <w:r>
        <w:rPr/>
        <w:t>gas production. J Agric Sci 139:341–352.</w:t>
      </w:r>
    </w:p>
    <w:p>
      <w:pPr>
        <w:pStyle w:val="BodyText"/>
        <w:spacing w:line="480" w:lineRule="auto" w:before="168"/>
        <w:ind w:left="102" w:right="115"/>
        <w:jc w:val="both"/>
      </w:pPr>
      <w:r>
        <w:rPr/>
        <w:t>Giraldo L A, Ranilla M J, Tejido M L, Carro M D. 2004. Effect of enzyme application method on in vitro rumen fermentation of tropical forages. J Anim Feed Sci 13:63–66.</w:t>
      </w:r>
    </w:p>
    <w:p>
      <w:pPr>
        <w:pStyle w:val="BodyText"/>
        <w:spacing w:line="480" w:lineRule="auto" w:before="170"/>
        <w:ind w:left="102" w:right="114"/>
        <w:jc w:val="both"/>
      </w:pPr>
      <w:r>
        <w:rPr/>
        <w:t>Giraldo L A, Tejido M L, Ranilla J M, Carro M D. 2007. Effects of exogenous cellulase supplementation on microbial growth and ruminal fermentation of a high-forage diet in rusitec fermenters. J Anim Sci 85:1962-1970.</w:t>
      </w:r>
    </w:p>
    <w:p>
      <w:pPr>
        <w:pStyle w:val="BodyText"/>
        <w:spacing w:line="480" w:lineRule="auto" w:before="170"/>
        <w:ind w:left="102" w:right="118"/>
        <w:jc w:val="both"/>
      </w:pPr>
      <w:r>
        <w:rPr/>
        <w:t>Haigh PM, Hopkins JR, 1977. Relationship between oven and toluene dry matter in grass silage. J Sci Food Agric 28(6): 477-480.</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7"/>
        <w:jc w:val="both"/>
      </w:pPr>
      <w:r>
        <w:rPr/>
        <w:t>Krishnamoorthy U, Soller H, Menke K H. 1991. A comparative study on rumen fermentation or energy supplements in vitro. Phys Anim Nutr, 65:28-35.</w:t>
      </w:r>
    </w:p>
    <w:p>
      <w:pPr>
        <w:pStyle w:val="BodyText"/>
        <w:spacing w:line="480" w:lineRule="auto" w:before="168"/>
        <w:ind w:left="102" w:right="121"/>
        <w:jc w:val="both"/>
      </w:pPr>
      <w:r>
        <w:rPr/>
        <w:t>Kuhad R Ch, Gupta R, Singh A. 2011. Microbial cellulases and their industrial applications. Enzyme Research. SAGE-Hindawi Access to Research. New Delhi, India. Article ID 280696:1-10.</w:t>
      </w:r>
    </w:p>
    <w:p>
      <w:pPr>
        <w:pStyle w:val="BodyText"/>
        <w:spacing w:line="480" w:lineRule="auto" w:before="168"/>
        <w:ind w:left="102" w:right="113"/>
        <w:jc w:val="both"/>
      </w:pPr>
      <w:r>
        <w:rPr/>
        <w:t>Lappe-Olivares P, Moreno-Terrazas R, Arrison-Gabiño J, Herrera-Suarez T. 2008. Yeasts associated with the production of mexican alcoholic non destilled and distilled Agave beverages. FEMS Yeast Research, 8(7):1035-1052.</w:t>
      </w:r>
    </w:p>
    <w:p>
      <w:pPr>
        <w:pStyle w:val="BodyText"/>
        <w:spacing w:line="480" w:lineRule="auto" w:before="168"/>
        <w:ind w:left="102" w:right="117"/>
        <w:jc w:val="both"/>
      </w:pPr>
      <w:r>
        <w:rPr/>
        <w:t>Leng R A. 1990. Factors affecting the utilization of ‘poor quality’ forages by ruminants particularly under tropical conditions. Nutrition Research Reviews 3: 277–303.</w:t>
      </w:r>
    </w:p>
    <w:p>
      <w:pPr>
        <w:pStyle w:val="BodyText"/>
        <w:spacing w:line="480" w:lineRule="auto" w:before="170"/>
        <w:ind w:left="102" w:right="113"/>
        <w:jc w:val="both"/>
      </w:pPr>
      <w:r>
        <w:rPr/>
        <w:t>Mao H L, Wu C H, Wang J K and Liu J X. 2013. Synergistic effect of cellulase and xylanase on in  vitro rumen fermentation and microbial population with rice straw as substrate. Anim Nutr and Feed Tech 13: 477–87.</w:t>
      </w:r>
    </w:p>
    <w:p>
      <w:pPr>
        <w:pStyle w:val="BodyText"/>
        <w:spacing w:line="480" w:lineRule="auto" w:before="171"/>
        <w:ind w:left="102" w:right="120"/>
        <w:jc w:val="both"/>
      </w:pPr>
      <w:r>
        <w:rPr/>
        <w:t>Menke, K.H., Raab, L., Salewski, A., Steingass, H., Fritz, D., Schneider,W., 1979. The estimation of the digestibility and metabolizable energy content of ruminant feeding stuffs from the gas production when they are incubated with rumen liquor </w:t>
      </w:r>
      <w:r>
        <w:rPr>
          <w:i/>
        </w:rPr>
        <w:t>in vitro</w:t>
      </w:r>
      <w:r>
        <w:rPr/>
        <w:t>. J. Agric. Sci. Camb. 93, 217–222.</w:t>
      </w:r>
    </w:p>
    <w:p>
      <w:pPr>
        <w:pStyle w:val="BodyText"/>
        <w:spacing w:line="480" w:lineRule="auto" w:before="170"/>
        <w:ind w:left="102" w:right="120"/>
        <w:jc w:val="both"/>
      </w:pPr>
      <w:r>
        <w:rPr/>
        <w:t>Menke K H and Steingass H. 1988. Estimation of the energetic fed value obtained from chemical analysis and in vitro gas production using rumen fluid. Anim Res Dev, 28:7-12.</w:t>
      </w:r>
    </w:p>
    <w:p>
      <w:pPr>
        <w:pStyle w:val="BodyText"/>
        <w:spacing w:line="480" w:lineRule="auto" w:before="168"/>
        <w:ind w:left="102" w:right="114"/>
        <w:jc w:val="both"/>
      </w:pPr>
      <w:r>
        <w:rPr/>
        <w:t>Muttoni G, Palacios-Rojas N, Galicia L, Rosales A, Pixley K V, Leon N. 2013. Cell wall composition and biomass digestibility diversity in Mexican maize (</w:t>
      </w:r>
      <w:r>
        <w:rPr>
          <w:i/>
        </w:rPr>
        <w:t>Zea mays </w:t>
      </w:r>
      <w:r>
        <w:rPr/>
        <w:t>L) landraces and CIMMYT inbred lines. Maydica 58:21-33.</w:t>
      </w:r>
    </w:p>
    <w:p>
      <w:pPr>
        <w:pStyle w:val="BodyText"/>
        <w:spacing w:before="168"/>
        <w:ind w:left="102"/>
        <w:jc w:val="both"/>
      </w:pPr>
      <w:r>
        <w:rPr/>
        <w:t>Nobel P S. 1998. Los Incomparables Agaves y Cactus. Ed. Trillas. México. (In Spanish).</w:t>
      </w:r>
    </w:p>
    <w:p>
      <w:pPr>
        <w:spacing w:after="0"/>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20"/>
        <w:jc w:val="both"/>
      </w:pPr>
      <w:r>
        <w:rPr/>
        <w:t>Nsereko V L, Morgavi D P, Rode L M, Beauchemin K A, McAllister T A. 2000. Effects of fungal enzyme preparations on hydrolysis and subsequent degradation of alfalfa hay fiber by mixed rumen microorganisms in vitro. Animal Feed Science and Technology, 88:153-170.</w:t>
      </w:r>
    </w:p>
    <w:p>
      <w:pPr>
        <w:pStyle w:val="BodyText"/>
        <w:spacing w:line="480" w:lineRule="auto" w:before="170"/>
        <w:ind w:left="102" w:right="120"/>
        <w:jc w:val="both"/>
      </w:pPr>
      <w:r>
        <w:rPr/>
        <w:t>Nsereko VL, Beauchemin K A, Morgavi D P, Rode L M, Furtado A F, McAllister T A, Iwaasa A D, Yang W Z, Wang Y. 2002. Effect of a fibrolytic enzyme preparation from Trichoderma longibrachiatum on the rumen microbial population of dairy cows. Can. J. Microbiol, 48, 14–20.</w:t>
      </w:r>
    </w:p>
    <w:p>
      <w:pPr>
        <w:pStyle w:val="BodyText"/>
        <w:spacing w:line="480" w:lineRule="auto" w:before="171"/>
        <w:ind w:left="102" w:right="113"/>
        <w:jc w:val="both"/>
      </w:pPr>
      <w:r>
        <w:rPr/>
        <w:t>Ortiz-Basurto R I, Pourcelly G, Doco T, Williams P, Domier M, Belleville M P. 2008. Analysis of the main components of the aguamiel produced by the Maguey-Pulquero (</w:t>
      </w:r>
      <w:r>
        <w:rPr>
          <w:i/>
        </w:rPr>
        <w:t>Agave mapisaga</w:t>
      </w:r>
      <w:r>
        <w:rPr/>
        <w:t>) throughout the harvest period. J. Agric. Food Chem., 56(10):3682-3687.</w:t>
      </w:r>
    </w:p>
    <w:p>
      <w:pPr>
        <w:pStyle w:val="BodyText"/>
        <w:spacing w:line="480" w:lineRule="auto" w:before="168"/>
        <w:ind w:left="102" w:right="121"/>
        <w:jc w:val="both"/>
      </w:pPr>
      <w:r>
        <w:rPr/>
        <w:t>Peña R A, González C F, Robles E F J. 2010. Manejo agronómico para incrementar el rendimiento de grano y forraje en híbridos tardíos de maíz. Rev Mex Cienc Agríc 1(1):27-35.</w:t>
      </w:r>
    </w:p>
    <w:p>
      <w:pPr>
        <w:pStyle w:val="BodyText"/>
        <w:spacing w:line="480" w:lineRule="auto" w:before="168"/>
        <w:ind w:left="102" w:right="114"/>
        <w:jc w:val="both"/>
      </w:pPr>
      <w:r>
        <w:rPr/>
        <w:t>Ramírez V P, Pascka R O, Herrera A L, Castillo F, Livera M, Rincón F, Zavala F. 2000. Recursos Fitogenéticos de México para la Alimentación y la Agricultura. Informe Nacional. Servicio Nacional de Inspección y Certificación de Semillas y Sociedad Mexicana de Fitogenética, A.C. Chapingo, México. pp:1-100. (In</w:t>
      </w:r>
      <w:r>
        <w:rPr>
          <w:spacing w:val="-5"/>
        </w:rPr>
        <w:t> </w:t>
      </w:r>
      <w:r>
        <w:rPr/>
        <w:t>Spanish).</w:t>
      </w:r>
    </w:p>
    <w:p>
      <w:pPr>
        <w:pStyle w:val="BodyText"/>
        <w:spacing w:line="480" w:lineRule="auto" w:before="168"/>
        <w:ind w:left="102" w:right="121"/>
        <w:jc w:val="both"/>
      </w:pPr>
      <w:r>
        <w:rPr/>
        <w:t>Rzedowski R J, Calderón R G. 1990. Flora Fanerogámica del Valle de México. Instituto de Ecología. Michoacán, México. 394 p. (In Spanish).</w:t>
      </w:r>
    </w:p>
    <w:p>
      <w:pPr>
        <w:pStyle w:val="BodyText"/>
        <w:spacing w:line="480" w:lineRule="auto" w:before="170"/>
        <w:ind w:left="102" w:right="116"/>
        <w:jc w:val="both"/>
      </w:pPr>
      <w:r>
        <w:rPr/>
        <w:t>Salem A Z M, Alsersy H, Camacho L M, El-Adawy M M, Elghandour M M Y, Kholif A E, Rivero N, Alonso M U and Zaragoza A. 2015a. Feed intake, nutrient digestibility, nitrogen  utilization  and ruminal fermentation activities of sheep fed </w:t>
      </w:r>
      <w:r>
        <w:rPr>
          <w:i/>
        </w:rPr>
        <w:t>Atriplex halimus </w:t>
      </w:r>
      <w:r>
        <w:rPr/>
        <w:t>ensiled with three developed enzyme cocktails. </w:t>
      </w:r>
      <w:r>
        <w:rPr>
          <w:i/>
        </w:rPr>
        <w:t>Czech Journal of Animal Science </w:t>
      </w:r>
      <w:r>
        <w:rPr>
          <w:b/>
        </w:rPr>
        <w:t>60</w:t>
      </w:r>
      <w:r>
        <w:rPr/>
        <w:t>:185–94.</w:t>
      </w:r>
    </w:p>
    <w:p>
      <w:pPr>
        <w:spacing w:after="0" w:line="480" w:lineRule="auto"/>
        <w:jc w:val="both"/>
        <w:sectPr>
          <w:pgSz w:w="12240" w:h="15840"/>
          <w:pgMar w:header="0" w:footer="1003" w:top="1500" w:bottom="1200" w:left="1600" w:right="1300"/>
        </w:sectPr>
      </w:pPr>
    </w:p>
    <w:p>
      <w:pPr>
        <w:pStyle w:val="BodyText"/>
        <w:spacing w:before="8"/>
        <w:rPr>
          <w:sz w:val="10"/>
        </w:rPr>
      </w:pPr>
    </w:p>
    <w:p>
      <w:pPr>
        <w:pStyle w:val="BodyText"/>
        <w:spacing w:line="480" w:lineRule="auto" w:before="73"/>
        <w:ind w:left="102" w:right="117"/>
        <w:jc w:val="both"/>
      </w:pPr>
      <w:r>
        <w:rPr/>
        <w:t>Salem A Z M, Ammar H, Kholif A E, Elghandour M M Y and Ortiz L B. 2015b. Effect of glucoamylase enzyme extract on </w:t>
      </w:r>
      <w:r>
        <w:rPr>
          <w:i/>
        </w:rPr>
        <w:t>in vitro </w:t>
      </w:r>
      <w:r>
        <w:rPr/>
        <w:t>gas production and degradability of two diets with 25% of corn or sorghum grains. </w:t>
      </w:r>
      <w:r>
        <w:rPr>
          <w:i/>
        </w:rPr>
        <w:t>Indian Journal of Animal Sciences </w:t>
      </w:r>
      <w:r>
        <w:rPr>
          <w:b/>
        </w:rPr>
        <w:t>85</w:t>
      </w:r>
      <w:r>
        <w:rPr/>
        <w:t>:183–88.</w:t>
      </w:r>
    </w:p>
    <w:p>
      <w:pPr>
        <w:pStyle w:val="BodyText"/>
        <w:spacing w:before="170"/>
        <w:ind w:left="102"/>
        <w:jc w:val="both"/>
      </w:pPr>
      <w:r>
        <w:rPr/>
        <w:t>SAS, 2002. User’s Guide: Statistics Ver 9.0. SAS Inst. Inc., Cary, NC, USA.</w:t>
      </w:r>
    </w:p>
    <w:p>
      <w:pPr>
        <w:pStyle w:val="BodyText"/>
      </w:pPr>
    </w:p>
    <w:p>
      <w:pPr>
        <w:pStyle w:val="BodyText"/>
        <w:spacing w:line="480" w:lineRule="auto" w:before="159"/>
        <w:ind w:left="102" w:right="121"/>
        <w:jc w:val="both"/>
      </w:pPr>
      <w:r>
        <w:rPr/>
        <w:t>Schingoethe D J, Stegeman G A, Treacher R J. 1999. Response of lactanting dairy cows to a cellulase and xylanase enzyme mixture applied to forages at the time of feeding. Journal of Dairy Science 82(5):996-1003.</w:t>
      </w:r>
    </w:p>
    <w:p>
      <w:pPr>
        <w:pStyle w:val="BodyText"/>
        <w:spacing w:line="480" w:lineRule="auto" w:before="168"/>
        <w:ind w:left="102" w:right="119"/>
        <w:jc w:val="both"/>
      </w:pPr>
      <w:r>
        <w:rPr/>
        <w:t>Settimi C C S, Nassar F R, Ayres O M, Oliveira F A, Arnhold E, Ulhoa C J. 2013. Production, characterization and evaluation of fibrolytic enzymes on digestibility of forage maize. Cienc Anim  Bras Goiania</w:t>
      </w:r>
      <w:r>
        <w:rPr>
          <w:spacing w:val="-7"/>
        </w:rPr>
        <w:t> </w:t>
      </w:r>
      <w:r>
        <w:rPr/>
        <w:t>14(4):426-435.</w:t>
      </w:r>
    </w:p>
    <w:p>
      <w:pPr>
        <w:pStyle w:val="BodyText"/>
        <w:spacing w:line="477" w:lineRule="auto" w:before="170"/>
        <w:ind w:left="102" w:right="117"/>
        <w:jc w:val="both"/>
      </w:pPr>
      <w:r>
        <w:rPr/>
        <w:t>Steel R G D, Torrie J H, Dickey D A. 1997. Principles and Procedures of Statistics. In: A biometrical approach, 3rd Ed. McGraw Hill Book Co, New York, USA.</w:t>
      </w:r>
    </w:p>
    <w:p>
      <w:pPr>
        <w:pStyle w:val="BodyText"/>
        <w:spacing w:line="480" w:lineRule="auto" w:before="173"/>
        <w:ind w:left="102" w:right="118"/>
        <w:jc w:val="both"/>
      </w:pPr>
      <w:r>
        <w:rPr/>
        <w:t>Theodorou M K, Williams B A, Dhanoa M S, McAllan A B, France J. 1994. A simple gas production method using a pressure transducer to determine the fermentation kinetics of ruminant feeds. Anim. Feed Sci. Technol 48: 185–197.</w:t>
      </w:r>
    </w:p>
    <w:p>
      <w:pPr>
        <w:pStyle w:val="BodyText"/>
        <w:spacing w:line="480" w:lineRule="auto" w:before="170"/>
        <w:ind w:left="102" w:right="112"/>
        <w:jc w:val="both"/>
      </w:pPr>
      <w:r>
        <w:rPr/>
        <w:t>Vallejo L H, Salem A Z M, Kholif A E, Elghangour M M Y, Fajardo R C, Rivero N, Bastida A Z, Mariezcurrena M D. 2016. Influence of cellulase or xylanase on the </w:t>
      </w:r>
      <w:r>
        <w:rPr>
          <w:i/>
        </w:rPr>
        <w:t>in vitro </w:t>
      </w:r>
      <w:r>
        <w:rPr/>
        <w:t>rumen gas production and fermentation of corn stover. Indian J. Anim. Sci. 86(1):70-74.</w:t>
      </w:r>
    </w:p>
    <w:p>
      <w:pPr>
        <w:pStyle w:val="BodyText"/>
        <w:spacing w:line="480" w:lineRule="auto" w:before="168"/>
        <w:ind w:left="102" w:right="121"/>
        <w:jc w:val="both"/>
      </w:pPr>
      <w:r>
        <w:rPr/>
        <w:t>Van Soest P J, Robertson J B, Lewis B A. 1991. Methods for dietary fiber, neutral detergent fiber and non-starch polysaccharides in relation to animal nutrition. J. Dairy Sci 74:3583–3597.</w:t>
      </w:r>
    </w:p>
    <w:p>
      <w:pPr>
        <w:pStyle w:val="BodyText"/>
        <w:spacing w:line="480" w:lineRule="auto" w:before="168"/>
        <w:ind w:left="102" w:right="122"/>
        <w:jc w:val="both"/>
      </w:pPr>
      <w:r>
        <w:rPr/>
        <w:t>Zsubori Z T, Pinter J, Spitko T, Hegyi Z, Marton C L. 2013. Yield and chemical composition of plant parts of silage maize (</w:t>
      </w:r>
      <w:r>
        <w:rPr>
          <w:i/>
        </w:rPr>
        <w:t>Zea mays </w:t>
      </w:r>
      <w:r>
        <w:rPr/>
        <w:t>L) hybrids and their interest for biogás production. Maydica 58:34-41.</w:t>
      </w:r>
    </w:p>
    <w:p>
      <w:pPr>
        <w:spacing w:after="0" w:line="480" w:lineRule="auto"/>
        <w:jc w:val="both"/>
        <w:sectPr>
          <w:pgSz w:w="12240" w:h="15840"/>
          <w:pgMar w:header="0" w:footer="1003" w:top="1500" w:bottom="120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pStyle w:val="BodyText"/>
        <w:spacing w:before="73"/>
        <w:ind w:left="222"/>
      </w:pPr>
      <w:r>
        <w:rPr/>
        <w:t>Table 1. Chemical composition (g kg /DM) of four corn varieties (V) treated with maguey extract de maguey, cellulose and xilanase</w:t>
      </w:r>
    </w:p>
    <w:p>
      <w:pPr>
        <w:pStyle w:val="BodyText"/>
        <w:spacing w:before="1"/>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7"/>
        <w:gridCol w:w="1166"/>
        <w:gridCol w:w="1430"/>
        <w:gridCol w:w="855"/>
        <w:gridCol w:w="1001"/>
        <w:gridCol w:w="281"/>
        <w:gridCol w:w="854"/>
        <w:gridCol w:w="1560"/>
        <w:gridCol w:w="1070"/>
        <w:gridCol w:w="934"/>
        <w:gridCol w:w="221"/>
        <w:gridCol w:w="667"/>
        <w:gridCol w:w="667"/>
        <w:gridCol w:w="667"/>
        <w:gridCol w:w="684"/>
      </w:tblGrid>
      <w:tr>
        <w:trPr>
          <w:trHeight w:val="241" w:hRule="exact"/>
        </w:trPr>
        <w:tc>
          <w:tcPr>
            <w:tcW w:w="617" w:type="dxa"/>
          </w:tcPr>
          <w:p>
            <w:pPr/>
          </w:p>
        </w:tc>
        <w:tc>
          <w:tcPr>
            <w:tcW w:w="4453" w:type="dxa"/>
            <w:gridSpan w:val="4"/>
          </w:tcPr>
          <w:p>
            <w:pPr>
              <w:pStyle w:val="TableParagraph"/>
              <w:spacing w:line="226" w:lineRule="exact"/>
              <w:ind w:left="1736" w:right="1738"/>
              <w:jc w:val="center"/>
              <w:rPr>
                <w:sz w:val="20"/>
              </w:rPr>
            </w:pPr>
            <w:r>
              <w:rPr>
                <w:sz w:val="20"/>
              </w:rPr>
              <w:t>Variety (V)</w:t>
            </w:r>
          </w:p>
        </w:tc>
        <w:tc>
          <w:tcPr>
            <w:tcW w:w="281" w:type="dxa"/>
          </w:tcPr>
          <w:p>
            <w:pPr/>
          </w:p>
        </w:tc>
        <w:tc>
          <w:tcPr>
            <w:tcW w:w="4419" w:type="dxa"/>
            <w:gridSpan w:val="4"/>
          </w:tcPr>
          <w:p>
            <w:pPr>
              <w:pStyle w:val="TableParagraph"/>
              <w:spacing w:line="226" w:lineRule="exact"/>
              <w:ind w:left="1569" w:right="1573"/>
              <w:jc w:val="center"/>
              <w:rPr>
                <w:sz w:val="20"/>
              </w:rPr>
            </w:pPr>
            <w:r>
              <w:rPr>
                <w:sz w:val="20"/>
              </w:rPr>
              <w:t>Treatment (Tx)</w:t>
            </w:r>
          </w:p>
        </w:tc>
        <w:tc>
          <w:tcPr>
            <w:tcW w:w="221" w:type="dxa"/>
          </w:tcPr>
          <w:p>
            <w:pPr/>
          </w:p>
        </w:tc>
        <w:tc>
          <w:tcPr>
            <w:tcW w:w="667" w:type="dxa"/>
          </w:tcPr>
          <w:p>
            <w:pPr/>
          </w:p>
        </w:tc>
        <w:tc>
          <w:tcPr>
            <w:tcW w:w="667" w:type="dxa"/>
          </w:tcPr>
          <w:p>
            <w:pPr/>
          </w:p>
        </w:tc>
        <w:tc>
          <w:tcPr>
            <w:tcW w:w="667" w:type="dxa"/>
          </w:tcPr>
          <w:p>
            <w:pPr/>
          </w:p>
        </w:tc>
        <w:tc>
          <w:tcPr>
            <w:tcW w:w="684" w:type="dxa"/>
          </w:tcPr>
          <w:p>
            <w:pPr/>
          </w:p>
        </w:tc>
      </w:tr>
      <w:tr>
        <w:trPr>
          <w:trHeight w:val="470" w:hRule="exact"/>
        </w:trPr>
        <w:tc>
          <w:tcPr>
            <w:tcW w:w="617" w:type="dxa"/>
          </w:tcPr>
          <w:p>
            <w:pPr>
              <w:pStyle w:val="TableParagraph"/>
              <w:spacing w:line="226" w:lineRule="exact"/>
              <w:ind w:left="103"/>
              <w:rPr>
                <w:sz w:val="20"/>
              </w:rPr>
            </w:pPr>
            <w:r>
              <w:rPr>
                <w:sz w:val="20"/>
              </w:rPr>
              <w:t>Item</w:t>
            </w:r>
          </w:p>
        </w:tc>
        <w:tc>
          <w:tcPr>
            <w:tcW w:w="1166" w:type="dxa"/>
          </w:tcPr>
          <w:p>
            <w:pPr>
              <w:pStyle w:val="TableParagraph"/>
              <w:spacing w:line="226" w:lineRule="exact"/>
              <w:ind w:left="103"/>
              <w:rPr>
                <w:sz w:val="20"/>
              </w:rPr>
            </w:pPr>
            <w:r>
              <w:rPr>
                <w:sz w:val="20"/>
              </w:rPr>
              <w:t>San Diego</w:t>
            </w:r>
          </w:p>
        </w:tc>
        <w:tc>
          <w:tcPr>
            <w:tcW w:w="1430" w:type="dxa"/>
          </w:tcPr>
          <w:p>
            <w:pPr>
              <w:pStyle w:val="TableParagraph"/>
              <w:spacing w:line="226" w:lineRule="exact"/>
              <w:ind w:left="103"/>
              <w:rPr>
                <w:sz w:val="20"/>
              </w:rPr>
            </w:pPr>
            <w:r>
              <w:rPr>
                <w:sz w:val="20"/>
              </w:rPr>
              <w:t>Cacahuacincle</w:t>
            </w:r>
          </w:p>
        </w:tc>
        <w:tc>
          <w:tcPr>
            <w:tcW w:w="855" w:type="dxa"/>
          </w:tcPr>
          <w:p>
            <w:pPr>
              <w:pStyle w:val="TableParagraph"/>
              <w:spacing w:line="226" w:lineRule="exact"/>
              <w:ind w:left="103"/>
              <w:rPr>
                <w:sz w:val="20"/>
              </w:rPr>
            </w:pPr>
            <w:r>
              <w:rPr>
                <w:sz w:val="20"/>
              </w:rPr>
              <w:t>P-1832</w:t>
            </w:r>
          </w:p>
        </w:tc>
        <w:tc>
          <w:tcPr>
            <w:tcW w:w="1001" w:type="dxa"/>
          </w:tcPr>
          <w:p>
            <w:pPr>
              <w:pStyle w:val="TableParagraph"/>
              <w:spacing w:line="226" w:lineRule="exact"/>
              <w:ind w:left="103"/>
              <w:rPr>
                <w:sz w:val="20"/>
              </w:rPr>
            </w:pPr>
            <w:r>
              <w:rPr>
                <w:sz w:val="20"/>
              </w:rPr>
              <w:t>Victoria</w:t>
            </w:r>
          </w:p>
        </w:tc>
        <w:tc>
          <w:tcPr>
            <w:tcW w:w="281" w:type="dxa"/>
          </w:tcPr>
          <w:p>
            <w:pPr/>
          </w:p>
        </w:tc>
        <w:tc>
          <w:tcPr>
            <w:tcW w:w="854" w:type="dxa"/>
          </w:tcPr>
          <w:p>
            <w:pPr>
              <w:pStyle w:val="TableParagraph"/>
              <w:spacing w:line="226" w:lineRule="exact"/>
              <w:ind w:left="103"/>
              <w:rPr>
                <w:sz w:val="20"/>
              </w:rPr>
            </w:pPr>
            <w:r>
              <w:rPr>
                <w:sz w:val="20"/>
              </w:rPr>
              <w:t>Control</w:t>
            </w:r>
          </w:p>
        </w:tc>
        <w:tc>
          <w:tcPr>
            <w:tcW w:w="1560" w:type="dxa"/>
          </w:tcPr>
          <w:p>
            <w:pPr>
              <w:pStyle w:val="TableParagraph"/>
              <w:spacing w:line="226" w:lineRule="exact"/>
              <w:ind w:left="103"/>
              <w:rPr>
                <w:sz w:val="20"/>
              </w:rPr>
            </w:pPr>
            <w:r>
              <w:rPr>
                <w:sz w:val="20"/>
              </w:rPr>
              <w:t>Maguey extract</w:t>
            </w:r>
          </w:p>
        </w:tc>
        <w:tc>
          <w:tcPr>
            <w:tcW w:w="1070" w:type="dxa"/>
          </w:tcPr>
          <w:p>
            <w:pPr>
              <w:pStyle w:val="TableParagraph"/>
              <w:spacing w:line="226" w:lineRule="exact"/>
              <w:ind w:left="100"/>
              <w:rPr>
                <w:sz w:val="20"/>
              </w:rPr>
            </w:pPr>
            <w:r>
              <w:rPr>
                <w:sz w:val="20"/>
              </w:rPr>
              <w:t>Cellulose</w:t>
            </w:r>
          </w:p>
        </w:tc>
        <w:tc>
          <w:tcPr>
            <w:tcW w:w="934" w:type="dxa"/>
          </w:tcPr>
          <w:p>
            <w:pPr>
              <w:pStyle w:val="TableParagraph"/>
              <w:spacing w:line="226" w:lineRule="exact"/>
              <w:ind w:left="103"/>
              <w:rPr>
                <w:sz w:val="20"/>
              </w:rPr>
            </w:pPr>
            <w:r>
              <w:rPr>
                <w:sz w:val="20"/>
              </w:rPr>
              <w:t>Xilanase</w:t>
            </w:r>
          </w:p>
        </w:tc>
        <w:tc>
          <w:tcPr>
            <w:tcW w:w="221" w:type="dxa"/>
          </w:tcPr>
          <w:p>
            <w:pPr/>
          </w:p>
        </w:tc>
        <w:tc>
          <w:tcPr>
            <w:tcW w:w="667" w:type="dxa"/>
          </w:tcPr>
          <w:p>
            <w:pPr>
              <w:pStyle w:val="TableParagraph"/>
              <w:spacing w:line="226" w:lineRule="exact"/>
              <w:ind w:left="103"/>
              <w:rPr>
                <w:sz w:val="20"/>
              </w:rPr>
            </w:pPr>
            <w:r>
              <w:rPr>
                <w:sz w:val="20"/>
              </w:rPr>
              <w:t>SEM</w:t>
            </w:r>
          </w:p>
        </w:tc>
        <w:tc>
          <w:tcPr>
            <w:tcW w:w="667" w:type="dxa"/>
          </w:tcPr>
          <w:p>
            <w:pPr>
              <w:pStyle w:val="TableParagraph"/>
              <w:spacing w:line="226" w:lineRule="exact"/>
              <w:ind w:left="103"/>
              <w:rPr>
                <w:sz w:val="20"/>
              </w:rPr>
            </w:pPr>
            <w:r>
              <w:rPr>
                <w:w w:val="99"/>
                <w:sz w:val="20"/>
              </w:rPr>
              <w:t>V</w:t>
            </w:r>
          </w:p>
        </w:tc>
        <w:tc>
          <w:tcPr>
            <w:tcW w:w="667" w:type="dxa"/>
          </w:tcPr>
          <w:p>
            <w:pPr>
              <w:pStyle w:val="TableParagraph"/>
              <w:spacing w:line="226" w:lineRule="exact"/>
              <w:ind w:left="103"/>
              <w:rPr>
                <w:sz w:val="20"/>
              </w:rPr>
            </w:pPr>
            <w:r>
              <w:rPr>
                <w:sz w:val="20"/>
              </w:rPr>
              <w:t>Tx</w:t>
            </w:r>
          </w:p>
        </w:tc>
        <w:tc>
          <w:tcPr>
            <w:tcW w:w="684" w:type="dxa"/>
          </w:tcPr>
          <w:p>
            <w:pPr>
              <w:pStyle w:val="TableParagraph"/>
              <w:spacing w:line="226" w:lineRule="exact"/>
              <w:ind w:left="83" w:right="84"/>
              <w:jc w:val="center"/>
              <w:rPr>
                <w:sz w:val="20"/>
              </w:rPr>
            </w:pPr>
            <w:r>
              <w:rPr>
                <w:sz w:val="20"/>
              </w:rPr>
              <w:t>VxTx</w:t>
            </w:r>
          </w:p>
        </w:tc>
      </w:tr>
      <w:tr>
        <w:trPr>
          <w:trHeight w:val="240" w:hRule="exact"/>
        </w:trPr>
        <w:tc>
          <w:tcPr>
            <w:tcW w:w="617" w:type="dxa"/>
          </w:tcPr>
          <w:p>
            <w:pPr>
              <w:pStyle w:val="TableParagraph"/>
              <w:spacing w:line="223" w:lineRule="exact"/>
              <w:ind w:left="103"/>
              <w:rPr>
                <w:sz w:val="20"/>
              </w:rPr>
            </w:pPr>
            <w:r>
              <w:rPr>
                <w:sz w:val="20"/>
              </w:rPr>
              <w:t>DM</w:t>
            </w:r>
          </w:p>
        </w:tc>
        <w:tc>
          <w:tcPr>
            <w:tcW w:w="1166" w:type="dxa"/>
          </w:tcPr>
          <w:p>
            <w:pPr>
              <w:pStyle w:val="TableParagraph"/>
              <w:spacing w:line="223" w:lineRule="exact"/>
              <w:ind w:left="103"/>
              <w:rPr>
                <w:sz w:val="20"/>
              </w:rPr>
            </w:pPr>
            <w:r>
              <w:rPr>
                <w:sz w:val="20"/>
              </w:rPr>
              <w:t>229a</w:t>
            </w:r>
          </w:p>
        </w:tc>
        <w:tc>
          <w:tcPr>
            <w:tcW w:w="1430" w:type="dxa"/>
          </w:tcPr>
          <w:p>
            <w:pPr>
              <w:pStyle w:val="TableParagraph"/>
              <w:spacing w:line="223" w:lineRule="exact"/>
              <w:ind w:left="103"/>
              <w:rPr>
                <w:sz w:val="20"/>
              </w:rPr>
            </w:pPr>
            <w:r>
              <w:rPr>
                <w:sz w:val="20"/>
              </w:rPr>
              <w:t>210a</w:t>
            </w:r>
          </w:p>
        </w:tc>
        <w:tc>
          <w:tcPr>
            <w:tcW w:w="855" w:type="dxa"/>
          </w:tcPr>
          <w:p>
            <w:pPr>
              <w:pStyle w:val="TableParagraph"/>
              <w:spacing w:line="223" w:lineRule="exact"/>
              <w:ind w:left="103"/>
              <w:rPr>
                <w:sz w:val="20"/>
              </w:rPr>
            </w:pPr>
            <w:r>
              <w:rPr>
                <w:sz w:val="20"/>
              </w:rPr>
              <w:t>203a</w:t>
            </w:r>
          </w:p>
        </w:tc>
        <w:tc>
          <w:tcPr>
            <w:tcW w:w="1001" w:type="dxa"/>
          </w:tcPr>
          <w:p>
            <w:pPr>
              <w:pStyle w:val="TableParagraph"/>
              <w:spacing w:line="223" w:lineRule="exact"/>
              <w:ind w:left="103"/>
              <w:rPr>
                <w:sz w:val="20"/>
              </w:rPr>
            </w:pPr>
            <w:r>
              <w:rPr>
                <w:sz w:val="20"/>
              </w:rPr>
              <w:t>171b</w:t>
            </w:r>
          </w:p>
        </w:tc>
        <w:tc>
          <w:tcPr>
            <w:tcW w:w="281" w:type="dxa"/>
          </w:tcPr>
          <w:p>
            <w:pPr/>
          </w:p>
        </w:tc>
        <w:tc>
          <w:tcPr>
            <w:tcW w:w="854" w:type="dxa"/>
          </w:tcPr>
          <w:p>
            <w:pPr>
              <w:pStyle w:val="TableParagraph"/>
              <w:spacing w:line="223" w:lineRule="exact"/>
              <w:ind w:left="103"/>
              <w:rPr>
                <w:sz w:val="20"/>
              </w:rPr>
            </w:pPr>
            <w:r>
              <w:rPr>
                <w:sz w:val="20"/>
              </w:rPr>
              <w:t>180b</w:t>
            </w:r>
          </w:p>
        </w:tc>
        <w:tc>
          <w:tcPr>
            <w:tcW w:w="1560" w:type="dxa"/>
          </w:tcPr>
          <w:p>
            <w:pPr>
              <w:pStyle w:val="TableParagraph"/>
              <w:spacing w:line="223" w:lineRule="exact"/>
              <w:ind w:left="103"/>
              <w:rPr>
                <w:sz w:val="20"/>
              </w:rPr>
            </w:pPr>
            <w:r>
              <w:rPr>
                <w:sz w:val="20"/>
              </w:rPr>
              <w:t>204ab</w:t>
            </w:r>
          </w:p>
        </w:tc>
        <w:tc>
          <w:tcPr>
            <w:tcW w:w="1070" w:type="dxa"/>
          </w:tcPr>
          <w:p>
            <w:pPr>
              <w:pStyle w:val="TableParagraph"/>
              <w:spacing w:line="223" w:lineRule="exact"/>
              <w:ind w:left="100"/>
              <w:rPr>
                <w:sz w:val="20"/>
              </w:rPr>
            </w:pPr>
            <w:r>
              <w:rPr>
                <w:sz w:val="20"/>
              </w:rPr>
              <w:t>216a</w:t>
            </w:r>
          </w:p>
        </w:tc>
        <w:tc>
          <w:tcPr>
            <w:tcW w:w="934" w:type="dxa"/>
          </w:tcPr>
          <w:p>
            <w:pPr>
              <w:pStyle w:val="TableParagraph"/>
              <w:spacing w:line="223" w:lineRule="exact"/>
              <w:ind w:left="103"/>
              <w:rPr>
                <w:sz w:val="20"/>
              </w:rPr>
            </w:pPr>
            <w:r>
              <w:rPr>
                <w:sz w:val="20"/>
              </w:rPr>
              <w:t>213a</w:t>
            </w:r>
          </w:p>
        </w:tc>
        <w:tc>
          <w:tcPr>
            <w:tcW w:w="221" w:type="dxa"/>
          </w:tcPr>
          <w:p>
            <w:pPr/>
          </w:p>
        </w:tc>
        <w:tc>
          <w:tcPr>
            <w:tcW w:w="667" w:type="dxa"/>
          </w:tcPr>
          <w:p>
            <w:pPr>
              <w:pStyle w:val="TableParagraph"/>
              <w:spacing w:line="223" w:lineRule="exact"/>
              <w:ind w:left="103"/>
              <w:rPr>
                <w:sz w:val="20"/>
              </w:rPr>
            </w:pPr>
            <w:r>
              <w:rPr>
                <w:sz w:val="20"/>
              </w:rPr>
              <w:t>7.01</w:t>
            </w:r>
          </w:p>
        </w:tc>
        <w:tc>
          <w:tcPr>
            <w:tcW w:w="667" w:type="dxa"/>
          </w:tcPr>
          <w:p>
            <w:pPr>
              <w:pStyle w:val="TableParagraph"/>
              <w:spacing w:line="223" w:lineRule="exact"/>
              <w:ind w:left="103"/>
              <w:rPr>
                <w:sz w:val="20"/>
              </w:rPr>
            </w:pPr>
            <w:r>
              <w:rPr>
                <w:sz w:val="20"/>
              </w:rPr>
              <w:t>0.001</w:t>
            </w:r>
          </w:p>
        </w:tc>
        <w:tc>
          <w:tcPr>
            <w:tcW w:w="667" w:type="dxa"/>
          </w:tcPr>
          <w:p>
            <w:pPr>
              <w:pStyle w:val="TableParagraph"/>
              <w:spacing w:line="223" w:lineRule="exact"/>
              <w:ind w:left="103"/>
              <w:rPr>
                <w:sz w:val="20"/>
              </w:rPr>
            </w:pPr>
            <w:r>
              <w:rPr>
                <w:sz w:val="20"/>
              </w:rPr>
              <w:t>0.004</w:t>
            </w:r>
          </w:p>
        </w:tc>
        <w:tc>
          <w:tcPr>
            <w:tcW w:w="684" w:type="dxa"/>
          </w:tcPr>
          <w:p>
            <w:pPr>
              <w:pStyle w:val="TableParagraph"/>
              <w:spacing w:line="223" w:lineRule="exact"/>
              <w:ind w:left="70" w:right="84"/>
              <w:jc w:val="center"/>
              <w:rPr>
                <w:sz w:val="20"/>
              </w:rPr>
            </w:pPr>
            <w:r>
              <w:rPr>
                <w:sz w:val="20"/>
              </w:rPr>
              <w:t>0.288</w:t>
            </w:r>
          </w:p>
        </w:tc>
      </w:tr>
      <w:tr>
        <w:trPr>
          <w:trHeight w:val="240" w:hRule="exact"/>
        </w:trPr>
        <w:tc>
          <w:tcPr>
            <w:tcW w:w="617" w:type="dxa"/>
          </w:tcPr>
          <w:p>
            <w:pPr>
              <w:pStyle w:val="TableParagraph"/>
              <w:spacing w:line="223" w:lineRule="exact"/>
              <w:ind w:left="103"/>
              <w:rPr>
                <w:sz w:val="20"/>
              </w:rPr>
            </w:pPr>
            <w:r>
              <w:rPr>
                <w:sz w:val="20"/>
              </w:rPr>
              <w:t>OM</w:t>
            </w:r>
          </w:p>
        </w:tc>
        <w:tc>
          <w:tcPr>
            <w:tcW w:w="1166" w:type="dxa"/>
          </w:tcPr>
          <w:p>
            <w:pPr>
              <w:pStyle w:val="TableParagraph"/>
              <w:spacing w:line="223" w:lineRule="exact"/>
              <w:ind w:left="103"/>
              <w:rPr>
                <w:sz w:val="20"/>
              </w:rPr>
            </w:pPr>
            <w:r>
              <w:rPr>
                <w:sz w:val="20"/>
              </w:rPr>
              <w:t>920</w:t>
            </w:r>
          </w:p>
        </w:tc>
        <w:tc>
          <w:tcPr>
            <w:tcW w:w="1430" w:type="dxa"/>
          </w:tcPr>
          <w:p>
            <w:pPr>
              <w:pStyle w:val="TableParagraph"/>
              <w:spacing w:line="223" w:lineRule="exact"/>
              <w:ind w:left="103"/>
              <w:rPr>
                <w:sz w:val="20"/>
              </w:rPr>
            </w:pPr>
            <w:r>
              <w:rPr>
                <w:sz w:val="20"/>
              </w:rPr>
              <w:t>913</w:t>
            </w:r>
          </w:p>
        </w:tc>
        <w:tc>
          <w:tcPr>
            <w:tcW w:w="855" w:type="dxa"/>
          </w:tcPr>
          <w:p>
            <w:pPr>
              <w:pStyle w:val="TableParagraph"/>
              <w:spacing w:line="223" w:lineRule="exact"/>
              <w:ind w:left="103"/>
              <w:rPr>
                <w:sz w:val="20"/>
              </w:rPr>
            </w:pPr>
            <w:r>
              <w:rPr>
                <w:sz w:val="20"/>
              </w:rPr>
              <w:t>921</w:t>
            </w:r>
          </w:p>
        </w:tc>
        <w:tc>
          <w:tcPr>
            <w:tcW w:w="1001" w:type="dxa"/>
          </w:tcPr>
          <w:p>
            <w:pPr>
              <w:pStyle w:val="TableParagraph"/>
              <w:spacing w:line="223" w:lineRule="exact"/>
              <w:ind w:left="103"/>
              <w:rPr>
                <w:sz w:val="20"/>
              </w:rPr>
            </w:pPr>
            <w:r>
              <w:rPr>
                <w:sz w:val="20"/>
              </w:rPr>
              <w:t>913</w:t>
            </w:r>
          </w:p>
        </w:tc>
        <w:tc>
          <w:tcPr>
            <w:tcW w:w="281" w:type="dxa"/>
          </w:tcPr>
          <w:p>
            <w:pPr/>
          </w:p>
        </w:tc>
        <w:tc>
          <w:tcPr>
            <w:tcW w:w="854" w:type="dxa"/>
          </w:tcPr>
          <w:p>
            <w:pPr>
              <w:pStyle w:val="TableParagraph"/>
              <w:spacing w:line="223" w:lineRule="exact"/>
              <w:ind w:left="103"/>
              <w:rPr>
                <w:sz w:val="20"/>
              </w:rPr>
            </w:pPr>
            <w:r>
              <w:rPr>
                <w:sz w:val="20"/>
              </w:rPr>
              <w:t>903c</w:t>
            </w:r>
          </w:p>
        </w:tc>
        <w:tc>
          <w:tcPr>
            <w:tcW w:w="1560" w:type="dxa"/>
          </w:tcPr>
          <w:p>
            <w:pPr>
              <w:pStyle w:val="TableParagraph"/>
              <w:spacing w:line="223" w:lineRule="exact"/>
              <w:ind w:left="103"/>
              <w:rPr>
                <w:sz w:val="20"/>
              </w:rPr>
            </w:pPr>
            <w:r>
              <w:rPr>
                <w:sz w:val="20"/>
              </w:rPr>
              <w:t>924ab</w:t>
            </w:r>
          </w:p>
        </w:tc>
        <w:tc>
          <w:tcPr>
            <w:tcW w:w="1070" w:type="dxa"/>
          </w:tcPr>
          <w:p>
            <w:pPr>
              <w:pStyle w:val="TableParagraph"/>
              <w:spacing w:line="223" w:lineRule="exact"/>
              <w:ind w:left="100"/>
              <w:rPr>
                <w:sz w:val="20"/>
              </w:rPr>
            </w:pPr>
            <w:r>
              <w:rPr>
                <w:sz w:val="20"/>
              </w:rPr>
              <w:t>927a</w:t>
            </w:r>
          </w:p>
        </w:tc>
        <w:tc>
          <w:tcPr>
            <w:tcW w:w="934" w:type="dxa"/>
          </w:tcPr>
          <w:p>
            <w:pPr>
              <w:pStyle w:val="TableParagraph"/>
              <w:spacing w:line="223" w:lineRule="exact"/>
              <w:ind w:left="103"/>
              <w:rPr>
                <w:sz w:val="20"/>
              </w:rPr>
            </w:pPr>
            <w:r>
              <w:rPr>
                <w:sz w:val="20"/>
              </w:rPr>
              <w:t>913bc</w:t>
            </w:r>
          </w:p>
        </w:tc>
        <w:tc>
          <w:tcPr>
            <w:tcW w:w="221" w:type="dxa"/>
          </w:tcPr>
          <w:p>
            <w:pPr/>
          </w:p>
        </w:tc>
        <w:tc>
          <w:tcPr>
            <w:tcW w:w="667" w:type="dxa"/>
          </w:tcPr>
          <w:p>
            <w:pPr>
              <w:pStyle w:val="TableParagraph"/>
              <w:spacing w:line="223" w:lineRule="exact"/>
              <w:ind w:left="103"/>
              <w:rPr>
                <w:sz w:val="20"/>
              </w:rPr>
            </w:pPr>
            <w:r>
              <w:rPr>
                <w:sz w:val="20"/>
              </w:rPr>
              <w:t>3.18</w:t>
            </w:r>
          </w:p>
        </w:tc>
        <w:tc>
          <w:tcPr>
            <w:tcW w:w="667" w:type="dxa"/>
          </w:tcPr>
          <w:p>
            <w:pPr>
              <w:pStyle w:val="TableParagraph"/>
              <w:spacing w:line="223" w:lineRule="exact"/>
              <w:ind w:left="103"/>
              <w:rPr>
                <w:sz w:val="20"/>
              </w:rPr>
            </w:pPr>
            <w:r>
              <w:rPr>
                <w:sz w:val="20"/>
              </w:rPr>
              <w:t>0.143</w:t>
            </w:r>
          </w:p>
        </w:tc>
        <w:tc>
          <w:tcPr>
            <w:tcW w:w="667" w:type="dxa"/>
          </w:tcPr>
          <w:p>
            <w:pPr>
              <w:pStyle w:val="TableParagraph"/>
              <w:spacing w:line="223" w:lineRule="exact"/>
              <w:ind w:left="103"/>
              <w:rPr>
                <w:sz w:val="20"/>
              </w:rPr>
            </w:pPr>
            <w:r>
              <w:rPr>
                <w:sz w:val="20"/>
              </w:rPr>
              <w:t>0.001</w:t>
            </w:r>
          </w:p>
        </w:tc>
        <w:tc>
          <w:tcPr>
            <w:tcW w:w="684" w:type="dxa"/>
          </w:tcPr>
          <w:p>
            <w:pPr>
              <w:pStyle w:val="TableParagraph"/>
              <w:spacing w:line="223" w:lineRule="exact"/>
              <w:ind w:left="70" w:right="84"/>
              <w:jc w:val="center"/>
              <w:rPr>
                <w:sz w:val="20"/>
              </w:rPr>
            </w:pPr>
            <w:r>
              <w:rPr>
                <w:sz w:val="20"/>
              </w:rPr>
              <w:t>0.001</w:t>
            </w:r>
          </w:p>
        </w:tc>
      </w:tr>
      <w:tr>
        <w:trPr>
          <w:trHeight w:val="240" w:hRule="exact"/>
        </w:trPr>
        <w:tc>
          <w:tcPr>
            <w:tcW w:w="617" w:type="dxa"/>
          </w:tcPr>
          <w:p>
            <w:pPr>
              <w:pStyle w:val="TableParagraph"/>
              <w:spacing w:line="223" w:lineRule="exact"/>
              <w:ind w:left="103"/>
              <w:rPr>
                <w:sz w:val="20"/>
              </w:rPr>
            </w:pPr>
            <w:r>
              <w:rPr>
                <w:sz w:val="20"/>
              </w:rPr>
              <w:t>CP</w:t>
            </w:r>
          </w:p>
        </w:tc>
        <w:tc>
          <w:tcPr>
            <w:tcW w:w="1166" w:type="dxa"/>
          </w:tcPr>
          <w:p>
            <w:pPr>
              <w:pStyle w:val="TableParagraph"/>
              <w:spacing w:line="223" w:lineRule="exact"/>
              <w:ind w:left="103"/>
              <w:rPr>
                <w:sz w:val="20"/>
              </w:rPr>
            </w:pPr>
            <w:r>
              <w:rPr>
                <w:sz w:val="20"/>
              </w:rPr>
              <w:t>76bc</w:t>
            </w:r>
          </w:p>
        </w:tc>
        <w:tc>
          <w:tcPr>
            <w:tcW w:w="1430" w:type="dxa"/>
          </w:tcPr>
          <w:p>
            <w:pPr>
              <w:pStyle w:val="TableParagraph"/>
              <w:spacing w:line="223" w:lineRule="exact"/>
              <w:ind w:left="103"/>
              <w:rPr>
                <w:sz w:val="20"/>
              </w:rPr>
            </w:pPr>
            <w:r>
              <w:rPr>
                <w:sz w:val="20"/>
              </w:rPr>
              <w:t>71c</w:t>
            </w:r>
          </w:p>
        </w:tc>
        <w:tc>
          <w:tcPr>
            <w:tcW w:w="855" w:type="dxa"/>
          </w:tcPr>
          <w:p>
            <w:pPr>
              <w:pStyle w:val="TableParagraph"/>
              <w:spacing w:line="223" w:lineRule="exact"/>
              <w:ind w:left="103"/>
              <w:rPr>
                <w:sz w:val="20"/>
              </w:rPr>
            </w:pPr>
            <w:r>
              <w:rPr>
                <w:sz w:val="20"/>
              </w:rPr>
              <w:t>80ab</w:t>
            </w:r>
          </w:p>
        </w:tc>
        <w:tc>
          <w:tcPr>
            <w:tcW w:w="1001" w:type="dxa"/>
          </w:tcPr>
          <w:p>
            <w:pPr>
              <w:pStyle w:val="TableParagraph"/>
              <w:spacing w:line="223" w:lineRule="exact"/>
              <w:ind w:left="103"/>
              <w:rPr>
                <w:sz w:val="20"/>
              </w:rPr>
            </w:pPr>
            <w:r>
              <w:rPr>
                <w:sz w:val="20"/>
              </w:rPr>
              <w:t>83a</w:t>
            </w:r>
          </w:p>
        </w:tc>
        <w:tc>
          <w:tcPr>
            <w:tcW w:w="281" w:type="dxa"/>
          </w:tcPr>
          <w:p>
            <w:pPr/>
          </w:p>
        </w:tc>
        <w:tc>
          <w:tcPr>
            <w:tcW w:w="854" w:type="dxa"/>
          </w:tcPr>
          <w:p>
            <w:pPr>
              <w:pStyle w:val="TableParagraph"/>
              <w:spacing w:line="223" w:lineRule="exact"/>
              <w:ind w:left="103"/>
              <w:rPr>
                <w:sz w:val="20"/>
              </w:rPr>
            </w:pPr>
            <w:r>
              <w:rPr>
                <w:sz w:val="20"/>
              </w:rPr>
              <w:t>72b</w:t>
            </w:r>
          </w:p>
        </w:tc>
        <w:tc>
          <w:tcPr>
            <w:tcW w:w="1560" w:type="dxa"/>
          </w:tcPr>
          <w:p>
            <w:pPr>
              <w:pStyle w:val="TableParagraph"/>
              <w:spacing w:line="223" w:lineRule="exact"/>
              <w:ind w:left="103"/>
              <w:rPr>
                <w:sz w:val="20"/>
              </w:rPr>
            </w:pPr>
            <w:r>
              <w:rPr>
                <w:sz w:val="20"/>
              </w:rPr>
              <w:t>82a</w:t>
            </w:r>
          </w:p>
        </w:tc>
        <w:tc>
          <w:tcPr>
            <w:tcW w:w="1070" w:type="dxa"/>
          </w:tcPr>
          <w:p>
            <w:pPr>
              <w:pStyle w:val="TableParagraph"/>
              <w:spacing w:line="223" w:lineRule="exact"/>
              <w:ind w:left="100"/>
              <w:rPr>
                <w:sz w:val="20"/>
              </w:rPr>
            </w:pPr>
            <w:r>
              <w:rPr>
                <w:sz w:val="20"/>
              </w:rPr>
              <w:t>77a</w:t>
            </w:r>
          </w:p>
        </w:tc>
        <w:tc>
          <w:tcPr>
            <w:tcW w:w="934" w:type="dxa"/>
          </w:tcPr>
          <w:p>
            <w:pPr>
              <w:pStyle w:val="TableParagraph"/>
              <w:spacing w:line="223" w:lineRule="exact"/>
              <w:ind w:left="103"/>
              <w:rPr>
                <w:sz w:val="20"/>
              </w:rPr>
            </w:pPr>
            <w:r>
              <w:rPr>
                <w:sz w:val="20"/>
              </w:rPr>
              <w:t>78a</w:t>
            </w:r>
          </w:p>
        </w:tc>
        <w:tc>
          <w:tcPr>
            <w:tcW w:w="221" w:type="dxa"/>
          </w:tcPr>
          <w:p>
            <w:pPr/>
          </w:p>
        </w:tc>
        <w:tc>
          <w:tcPr>
            <w:tcW w:w="667" w:type="dxa"/>
          </w:tcPr>
          <w:p>
            <w:pPr>
              <w:pStyle w:val="TableParagraph"/>
              <w:spacing w:line="223" w:lineRule="exact"/>
              <w:ind w:left="103"/>
              <w:rPr>
                <w:sz w:val="20"/>
              </w:rPr>
            </w:pPr>
            <w:r>
              <w:rPr>
                <w:sz w:val="20"/>
              </w:rPr>
              <w:t>1.30</w:t>
            </w:r>
          </w:p>
        </w:tc>
        <w:tc>
          <w:tcPr>
            <w:tcW w:w="667" w:type="dxa"/>
          </w:tcPr>
          <w:p>
            <w:pPr>
              <w:pStyle w:val="TableParagraph"/>
              <w:spacing w:line="223" w:lineRule="exact"/>
              <w:ind w:left="103"/>
              <w:rPr>
                <w:sz w:val="20"/>
              </w:rPr>
            </w:pPr>
            <w:r>
              <w:rPr>
                <w:sz w:val="20"/>
              </w:rPr>
              <w:t>0.001</w:t>
            </w:r>
          </w:p>
        </w:tc>
        <w:tc>
          <w:tcPr>
            <w:tcW w:w="667" w:type="dxa"/>
          </w:tcPr>
          <w:p>
            <w:pPr>
              <w:pStyle w:val="TableParagraph"/>
              <w:spacing w:line="223" w:lineRule="exact"/>
              <w:ind w:left="103"/>
              <w:rPr>
                <w:sz w:val="20"/>
              </w:rPr>
            </w:pPr>
            <w:r>
              <w:rPr>
                <w:sz w:val="20"/>
              </w:rPr>
              <w:t>0.001</w:t>
            </w:r>
          </w:p>
        </w:tc>
        <w:tc>
          <w:tcPr>
            <w:tcW w:w="684" w:type="dxa"/>
          </w:tcPr>
          <w:p>
            <w:pPr>
              <w:pStyle w:val="TableParagraph"/>
              <w:spacing w:line="223" w:lineRule="exact"/>
              <w:ind w:left="70" w:right="84"/>
              <w:jc w:val="center"/>
              <w:rPr>
                <w:sz w:val="20"/>
              </w:rPr>
            </w:pPr>
            <w:r>
              <w:rPr>
                <w:sz w:val="20"/>
              </w:rPr>
              <w:t>0.001</w:t>
            </w:r>
          </w:p>
        </w:tc>
      </w:tr>
      <w:tr>
        <w:trPr>
          <w:trHeight w:val="240" w:hRule="exact"/>
        </w:trPr>
        <w:tc>
          <w:tcPr>
            <w:tcW w:w="617" w:type="dxa"/>
          </w:tcPr>
          <w:p>
            <w:pPr>
              <w:pStyle w:val="TableParagraph"/>
              <w:spacing w:line="223" w:lineRule="exact"/>
              <w:ind w:left="103"/>
              <w:rPr>
                <w:sz w:val="20"/>
              </w:rPr>
            </w:pPr>
            <w:r>
              <w:rPr>
                <w:sz w:val="20"/>
              </w:rPr>
              <w:t>NDF</w:t>
            </w:r>
          </w:p>
        </w:tc>
        <w:tc>
          <w:tcPr>
            <w:tcW w:w="1166" w:type="dxa"/>
          </w:tcPr>
          <w:p>
            <w:pPr>
              <w:pStyle w:val="TableParagraph"/>
              <w:spacing w:line="223" w:lineRule="exact"/>
              <w:ind w:left="103"/>
              <w:rPr>
                <w:sz w:val="20"/>
              </w:rPr>
            </w:pPr>
            <w:r>
              <w:rPr>
                <w:sz w:val="20"/>
              </w:rPr>
              <w:t>487b</w:t>
            </w:r>
          </w:p>
        </w:tc>
        <w:tc>
          <w:tcPr>
            <w:tcW w:w="1430" w:type="dxa"/>
          </w:tcPr>
          <w:p>
            <w:pPr>
              <w:pStyle w:val="TableParagraph"/>
              <w:spacing w:line="223" w:lineRule="exact"/>
              <w:ind w:left="103"/>
              <w:rPr>
                <w:sz w:val="20"/>
              </w:rPr>
            </w:pPr>
            <w:r>
              <w:rPr>
                <w:sz w:val="20"/>
              </w:rPr>
              <w:t>495ab</w:t>
            </w:r>
          </w:p>
        </w:tc>
        <w:tc>
          <w:tcPr>
            <w:tcW w:w="855" w:type="dxa"/>
          </w:tcPr>
          <w:p>
            <w:pPr>
              <w:pStyle w:val="TableParagraph"/>
              <w:spacing w:line="223" w:lineRule="exact"/>
              <w:ind w:left="103"/>
              <w:rPr>
                <w:sz w:val="20"/>
              </w:rPr>
            </w:pPr>
            <w:r>
              <w:rPr>
                <w:sz w:val="20"/>
              </w:rPr>
              <w:t>548a</w:t>
            </w:r>
          </w:p>
        </w:tc>
        <w:tc>
          <w:tcPr>
            <w:tcW w:w="1001" w:type="dxa"/>
          </w:tcPr>
          <w:p>
            <w:pPr>
              <w:pStyle w:val="TableParagraph"/>
              <w:spacing w:line="223" w:lineRule="exact"/>
              <w:ind w:left="103"/>
              <w:rPr>
                <w:sz w:val="20"/>
              </w:rPr>
            </w:pPr>
            <w:r>
              <w:rPr>
                <w:sz w:val="20"/>
              </w:rPr>
              <w:t>544a</w:t>
            </w:r>
          </w:p>
        </w:tc>
        <w:tc>
          <w:tcPr>
            <w:tcW w:w="281" w:type="dxa"/>
          </w:tcPr>
          <w:p>
            <w:pPr/>
          </w:p>
        </w:tc>
        <w:tc>
          <w:tcPr>
            <w:tcW w:w="854" w:type="dxa"/>
          </w:tcPr>
          <w:p>
            <w:pPr>
              <w:pStyle w:val="TableParagraph"/>
              <w:spacing w:line="223" w:lineRule="exact"/>
              <w:ind w:left="103"/>
              <w:rPr>
                <w:sz w:val="20"/>
              </w:rPr>
            </w:pPr>
            <w:r>
              <w:rPr>
                <w:sz w:val="20"/>
              </w:rPr>
              <w:t>546</w:t>
            </w:r>
          </w:p>
        </w:tc>
        <w:tc>
          <w:tcPr>
            <w:tcW w:w="1560" w:type="dxa"/>
          </w:tcPr>
          <w:p>
            <w:pPr>
              <w:pStyle w:val="TableParagraph"/>
              <w:spacing w:line="223" w:lineRule="exact"/>
              <w:ind w:left="103"/>
              <w:rPr>
                <w:sz w:val="20"/>
              </w:rPr>
            </w:pPr>
            <w:r>
              <w:rPr>
                <w:sz w:val="20"/>
              </w:rPr>
              <w:t>514</w:t>
            </w:r>
          </w:p>
        </w:tc>
        <w:tc>
          <w:tcPr>
            <w:tcW w:w="1070" w:type="dxa"/>
          </w:tcPr>
          <w:p>
            <w:pPr>
              <w:pStyle w:val="TableParagraph"/>
              <w:spacing w:line="223" w:lineRule="exact"/>
              <w:ind w:left="100"/>
              <w:rPr>
                <w:sz w:val="20"/>
              </w:rPr>
            </w:pPr>
            <w:r>
              <w:rPr>
                <w:sz w:val="20"/>
              </w:rPr>
              <w:t>489</w:t>
            </w:r>
          </w:p>
        </w:tc>
        <w:tc>
          <w:tcPr>
            <w:tcW w:w="934" w:type="dxa"/>
          </w:tcPr>
          <w:p>
            <w:pPr>
              <w:pStyle w:val="TableParagraph"/>
              <w:spacing w:line="223" w:lineRule="exact"/>
              <w:ind w:left="103"/>
              <w:rPr>
                <w:sz w:val="20"/>
              </w:rPr>
            </w:pPr>
            <w:r>
              <w:rPr>
                <w:sz w:val="20"/>
              </w:rPr>
              <w:t>525</w:t>
            </w:r>
          </w:p>
        </w:tc>
        <w:tc>
          <w:tcPr>
            <w:tcW w:w="221" w:type="dxa"/>
          </w:tcPr>
          <w:p>
            <w:pPr/>
          </w:p>
        </w:tc>
        <w:tc>
          <w:tcPr>
            <w:tcW w:w="667" w:type="dxa"/>
          </w:tcPr>
          <w:p>
            <w:pPr>
              <w:pStyle w:val="TableParagraph"/>
              <w:spacing w:line="223" w:lineRule="exact"/>
              <w:ind w:left="103"/>
              <w:rPr>
                <w:sz w:val="20"/>
              </w:rPr>
            </w:pPr>
            <w:r>
              <w:rPr>
                <w:sz w:val="20"/>
              </w:rPr>
              <w:t>15.23</w:t>
            </w:r>
          </w:p>
        </w:tc>
        <w:tc>
          <w:tcPr>
            <w:tcW w:w="667" w:type="dxa"/>
          </w:tcPr>
          <w:p>
            <w:pPr>
              <w:pStyle w:val="TableParagraph"/>
              <w:spacing w:line="223" w:lineRule="exact"/>
              <w:ind w:left="103"/>
              <w:rPr>
                <w:sz w:val="20"/>
              </w:rPr>
            </w:pPr>
            <w:r>
              <w:rPr>
                <w:sz w:val="20"/>
              </w:rPr>
              <w:t>0.010</w:t>
            </w:r>
          </w:p>
        </w:tc>
        <w:tc>
          <w:tcPr>
            <w:tcW w:w="667" w:type="dxa"/>
          </w:tcPr>
          <w:p>
            <w:pPr>
              <w:pStyle w:val="TableParagraph"/>
              <w:spacing w:line="223" w:lineRule="exact"/>
              <w:ind w:left="103"/>
              <w:rPr>
                <w:sz w:val="20"/>
              </w:rPr>
            </w:pPr>
            <w:r>
              <w:rPr>
                <w:sz w:val="20"/>
              </w:rPr>
              <w:t>0.080</w:t>
            </w:r>
          </w:p>
        </w:tc>
        <w:tc>
          <w:tcPr>
            <w:tcW w:w="684" w:type="dxa"/>
          </w:tcPr>
          <w:p>
            <w:pPr>
              <w:pStyle w:val="TableParagraph"/>
              <w:spacing w:line="223" w:lineRule="exact"/>
              <w:ind w:left="70" w:right="84"/>
              <w:jc w:val="center"/>
              <w:rPr>
                <w:sz w:val="20"/>
              </w:rPr>
            </w:pPr>
            <w:r>
              <w:rPr>
                <w:sz w:val="20"/>
              </w:rPr>
              <w:t>0.308</w:t>
            </w:r>
          </w:p>
        </w:tc>
      </w:tr>
      <w:tr>
        <w:trPr>
          <w:trHeight w:val="240" w:hRule="exact"/>
        </w:trPr>
        <w:tc>
          <w:tcPr>
            <w:tcW w:w="617" w:type="dxa"/>
          </w:tcPr>
          <w:p>
            <w:pPr>
              <w:pStyle w:val="TableParagraph"/>
              <w:spacing w:line="223" w:lineRule="exact"/>
              <w:ind w:left="103"/>
              <w:rPr>
                <w:sz w:val="20"/>
              </w:rPr>
            </w:pPr>
            <w:r>
              <w:rPr>
                <w:sz w:val="20"/>
              </w:rPr>
              <w:t>ADF</w:t>
            </w:r>
          </w:p>
        </w:tc>
        <w:tc>
          <w:tcPr>
            <w:tcW w:w="1166" w:type="dxa"/>
          </w:tcPr>
          <w:p>
            <w:pPr>
              <w:pStyle w:val="TableParagraph"/>
              <w:spacing w:line="223" w:lineRule="exact"/>
              <w:ind w:left="103"/>
              <w:rPr>
                <w:sz w:val="20"/>
              </w:rPr>
            </w:pPr>
            <w:r>
              <w:rPr>
                <w:sz w:val="20"/>
              </w:rPr>
              <w:t>207b</w:t>
            </w:r>
          </w:p>
        </w:tc>
        <w:tc>
          <w:tcPr>
            <w:tcW w:w="1430" w:type="dxa"/>
          </w:tcPr>
          <w:p>
            <w:pPr>
              <w:pStyle w:val="TableParagraph"/>
              <w:spacing w:line="223" w:lineRule="exact"/>
              <w:ind w:left="103"/>
              <w:rPr>
                <w:sz w:val="20"/>
              </w:rPr>
            </w:pPr>
            <w:r>
              <w:rPr>
                <w:sz w:val="20"/>
              </w:rPr>
              <w:t>180b</w:t>
            </w:r>
          </w:p>
        </w:tc>
        <w:tc>
          <w:tcPr>
            <w:tcW w:w="855" w:type="dxa"/>
          </w:tcPr>
          <w:p>
            <w:pPr>
              <w:pStyle w:val="TableParagraph"/>
              <w:spacing w:line="223" w:lineRule="exact"/>
              <w:ind w:left="103"/>
              <w:rPr>
                <w:sz w:val="20"/>
              </w:rPr>
            </w:pPr>
            <w:r>
              <w:rPr>
                <w:sz w:val="20"/>
              </w:rPr>
              <w:t>203b</w:t>
            </w:r>
          </w:p>
        </w:tc>
        <w:tc>
          <w:tcPr>
            <w:tcW w:w="1001" w:type="dxa"/>
          </w:tcPr>
          <w:p>
            <w:pPr>
              <w:pStyle w:val="TableParagraph"/>
              <w:spacing w:line="223" w:lineRule="exact"/>
              <w:ind w:left="103"/>
              <w:rPr>
                <w:sz w:val="20"/>
              </w:rPr>
            </w:pPr>
            <w:r>
              <w:rPr>
                <w:sz w:val="20"/>
              </w:rPr>
              <w:t>245a</w:t>
            </w:r>
          </w:p>
        </w:tc>
        <w:tc>
          <w:tcPr>
            <w:tcW w:w="281" w:type="dxa"/>
          </w:tcPr>
          <w:p>
            <w:pPr/>
          </w:p>
        </w:tc>
        <w:tc>
          <w:tcPr>
            <w:tcW w:w="854" w:type="dxa"/>
          </w:tcPr>
          <w:p>
            <w:pPr>
              <w:pStyle w:val="TableParagraph"/>
              <w:spacing w:line="223" w:lineRule="exact"/>
              <w:ind w:left="103"/>
              <w:rPr>
                <w:sz w:val="20"/>
              </w:rPr>
            </w:pPr>
            <w:r>
              <w:rPr>
                <w:sz w:val="20"/>
              </w:rPr>
              <w:t>206ab</w:t>
            </w:r>
          </w:p>
        </w:tc>
        <w:tc>
          <w:tcPr>
            <w:tcW w:w="1560" w:type="dxa"/>
          </w:tcPr>
          <w:p>
            <w:pPr>
              <w:pStyle w:val="TableParagraph"/>
              <w:spacing w:line="223" w:lineRule="exact"/>
              <w:ind w:left="103"/>
              <w:rPr>
                <w:sz w:val="20"/>
              </w:rPr>
            </w:pPr>
            <w:r>
              <w:rPr>
                <w:sz w:val="20"/>
              </w:rPr>
              <w:t>190b</w:t>
            </w:r>
          </w:p>
        </w:tc>
        <w:tc>
          <w:tcPr>
            <w:tcW w:w="1070" w:type="dxa"/>
          </w:tcPr>
          <w:p>
            <w:pPr>
              <w:pStyle w:val="TableParagraph"/>
              <w:spacing w:line="223" w:lineRule="exact"/>
              <w:ind w:left="100"/>
              <w:rPr>
                <w:sz w:val="20"/>
              </w:rPr>
            </w:pPr>
            <w:r>
              <w:rPr>
                <w:sz w:val="20"/>
              </w:rPr>
              <w:t>205b</w:t>
            </w:r>
          </w:p>
        </w:tc>
        <w:tc>
          <w:tcPr>
            <w:tcW w:w="934" w:type="dxa"/>
          </w:tcPr>
          <w:p>
            <w:pPr>
              <w:pStyle w:val="TableParagraph"/>
              <w:spacing w:line="223" w:lineRule="exact"/>
              <w:ind w:left="103"/>
              <w:rPr>
                <w:sz w:val="20"/>
              </w:rPr>
            </w:pPr>
            <w:r>
              <w:rPr>
                <w:sz w:val="20"/>
              </w:rPr>
              <w:t>234a</w:t>
            </w:r>
          </w:p>
        </w:tc>
        <w:tc>
          <w:tcPr>
            <w:tcW w:w="221" w:type="dxa"/>
          </w:tcPr>
          <w:p>
            <w:pPr/>
          </w:p>
        </w:tc>
        <w:tc>
          <w:tcPr>
            <w:tcW w:w="667" w:type="dxa"/>
          </w:tcPr>
          <w:p>
            <w:pPr>
              <w:pStyle w:val="TableParagraph"/>
              <w:spacing w:line="223" w:lineRule="exact"/>
              <w:ind w:left="103"/>
              <w:rPr>
                <w:sz w:val="20"/>
              </w:rPr>
            </w:pPr>
            <w:r>
              <w:rPr>
                <w:sz w:val="20"/>
              </w:rPr>
              <w:t>9.22</w:t>
            </w:r>
          </w:p>
        </w:tc>
        <w:tc>
          <w:tcPr>
            <w:tcW w:w="667" w:type="dxa"/>
          </w:tcPr>
          <w:p>
            <w:pPr>
              <w:pStyle w:val="TableParagraph"/>
              <w:spacing w:line="223" w:lineRule="exact"/>
              <w:ind w:left="103"/>
              <w:rPr>
                <w:sz w:val="20"/>
              </w:rPr>
            </w:pPr>
            <w:r>
              <w:rPr>
                <w:sz w:val="20"/>
              </w:rPr>
              <w:t>0.002</w:t>
            </w:r>
          </w:p>
        </w:tc>
        <w:tc>
          <w:tcPr>
            <w:tcW w:w="667" w:type="dxa"/>
          </w:tcPr>
          <w:p>
            <w:pPr>
              <w:pStyle w:val="TableParagraph"/>
              <w:spacing w:line="223" w:lineRule="exact"/>
              <w:ind w:left="103"/>
              <w:rPr>
                <w:sz w:val="20"/>
              </w:rPr>
            </w:pPr>
            <w:r>
              <w:rPr>
                <w:sz w:val="20"/>
              </w:rPr>
              <w:t>0.017</w:t>
            </w:r>
          </w:p>
        </w:tc>
        <w:tc>
          <w:tcPr>
            <w:tcW w:w="684" w:type="dxa"/>
          </w:tcPr>
          <w:p>
            <w:pPr>
              <w:pStyle w:val="TableParagraph"/>
              <w:spacing w:line="223" w:lineRule="exact"/>
              <w:ind w:left="70" w:right="84"/>
              <w:jc w:val="center"/>
              <w:rPr>
                <w:sz w:val="20"/>
              </w:rPr>
            </w:pPr>
            <w:r>
              <w:rPr>
                <w:sz w:val="20"/>
              </w:rPr>
              <w:t>0.031</w:t>
            </w:r>
          </w:p>
        </w:tc>
      </w:tr>
    </w:tbl>
    <w:p>
      <w:pPr>
        <w:pStyle w:val="BodyText"/>
        <w:rPr>
          <w:sz w:val="20"/>
        </w:rPr>
      </w:pPr>
    </w:p>
    <w:p>
      <w:pPr>
        <w:pStyle w:val="BodyText"/>
        <w:spacing w:before="2"/>
        <w:rPr>
          <w:sz w:val="17"/>
        </w:rPr>
      </w:pPr>
    </w:p>
    <w:p>
      <w:pPr>
        <w:pStyle w:val="BodyText"/>
        <w:spacing w:line="410" w:lineRule="auto"/>
        <w:ind w:left="222" w:right="2614"/>
      </w:pPr>
      <w:r>
        <w:rPr/>
        <w:t>DM, Dry mater; OM, organic matter; CP, crude protein; NDF, Neutral detergent fiber; ADF, Acid detergent fiber. SEM, standard error mean. Different letters in the same row are different (P&lt;0.05).</w:t>
      </w:r>
    </w:p>
    <w:p>
      <w:pPr>
        <w:spacing w:after="0" w:line="410" w:lineRule="auto"/>
        <w:sectPr>
          <w:footerReference w:type="default" r:id="rId39"/>
          <w:pgSz w:w="15840" w:h="12240" w:orient="landscape"/>
          <w:pgMar w:footer="1003" w:header="0" w:top="1140" w:bottom="1200" w:left="1480" w:right="1460"/>
          <w:pgNumType w:start="67"/>
        </w:sectPr>
      </w:pPr>
    </w:p>
    <w:p>
      <w:pPr>
        <w:pStyle w:val="BodyText"/>
        <w:rPr>
          <w:sz w:val="20"/>
        </w:rPr>
      </w:pPr>
    </w:p>
    <w:p>
      <w:pPr>
        <w:pStyle w:val="BodyText"/>
        <w:rPr>
          <w:sz w:val="20"/>
        </w:rPr>
      </w:pPr>
    </w:p>
    <w:p>
      <w:pPr>
        <w:pStyle w:val="BodyText"/>
        <w:spacing w:before="3"/>
        <w:rPr>
          <w:sz w:val="21"/>
        </w:rPr>
      </w:pPr>
    </w:p>
    <w:p>
      <w:pPr>
        <w:pStyle w:val="BodyText"/>
        <w:spacing w:line="259" w:lineRule="auto"/>
        <w:ind w:left="222" w:right="423"/>
      </w:pPr>
      <w:r>
        <w:rPr/>
        <w:t>Table 2. Gas production (ml gas/ g DM) and ruminal in vitro fermentation parameters in for corn silage varieties (V) treated with maguey extract, cellulose and xylanase.</w:t>
      </w:r>
    </w:p>
    <w:p>
      <w:pPr>
        <w:pStyle w:val="BodyText"/>
        <w:spacing w:before="4"/>
        <w:rPr>
          <w:sz w:val="14"/>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2"/>
        <w:gridCol w:w="859"/>
        <w:gridCol w:w="970"/>
        <w:gridCol w:w="860"/>
        <w:gridCol w:w="871"/>
        <w:gridCol w:w="290"/>
        <w:gridCol w:w="869"/>
        <w:gridCol w:w="1296"/>
        <w:gridCol w:w="902"/>
        <w:gridCol w:w="890"/>
        <w:gridCol w:w="276"/>
        <w:gridCol w:w="655"/>
        <w:gridCol w:w="658"/>
        <w:gridCol w:w="655"/>
        <w:gridCol w:w="768"/>
      </w:tblGrid>
      <w:tr>
        <w:trPr>
          <w:trHeight w:val="218" w:hRule="exact"/>
        </w:trPr>
        <w:tc>
          <w:tcPr>
            <w:tcW w:w="872" w:type="dxa"/>
          </w:tcPr>
          <w:p>
            <w:pPr/>
          </w:p>
        </w:tc>
        <w:tc>
          <w:tcPr>
            <w:tcW w:w="3560" w:type="dxa"/>
            <w:gridSpan w:val="4"/>
          </w:tcPr>
          <w:p>
            <w:pPr>
              <w:pStyle w:val="TableParagraph"/>
              <w:spacing w:line="205" w:lineRule="exact"/>
              <w:ind w:left="1334" w:right="1340"/>
              <w:jc w:val="center"/>
              <w:rPr>
                <w:sz w:val="18"/>
              </w:rPr>
            </w:pPr>
            <w:r>
              <w:rPr>
                <w:sz w:val="18"/>
              </w:rPr>
              <w:t>Variety (V)</w:t>
            </w:r>
          </w:p>
        </w:tc>
        <w:tc>
          <w:tcPr>
            <w:tcW w:w="290" w:type="dxa"/>
          </w:tcPr>
          <w:p>
            <w:pPr/>
          </w:p>
        </w:tc>
        <w:tc>
          <w:tcPr>
            <w:tcW w:w="3958" w:type="dxa"/>
            <w:gridSpan w:val="4"/>
          </w:tcPr>
          <w:p>
            <w:pPr>
              <w:pStyle w:val="TableParagraph"/>
              <w:spacing w:line="205" w:lineRule="exact"/>
              <w:ind w:left="1380" w:right="1384"/>
              <w:jc w:val="center"/>
              <w:rPr>
                <w:sz w:val="18"/>
              </w:rPr>
            </w:pPr>
            <w:r>
              <w:rPr>
                <w:sz w:val="18"/>
              </w:rPr>
              <w:t>Treatment (TX)</w:t>
            </w:r>
          </w:p>
        </w:tc>
        <w:tc>
          <w:tcPr>
            <w:tcW w:w="276" w:type="dxa"/>
          </w:tcPr>
          <w:p>
            <w:pPr/>
          </w:p>
        </w:tc>
        <w:tc>
          <w:tcPr>
            <w:tcW w:w="655" w:type="dxa"/>
          </w:tcPr>
          <w:p>
            <w:pPr/>
          </w:p>
        </w:tc>
        <w:tc>
          <w:tcPr>
            <w:tcW w:w="658" w:type="dxa"/>
          </w:tcPr>
          <w:p>
            <w:pPr/>
          </w:p>
        </w:tc>
        <w:tc>
          <w:tcPr>
            <w:tcW w:w="655" w:type="dxa"/>
          </w:tcPr>
          <w:p>
            <w:pPr/>
          </w:p>
        </w:tc>
        <w:tc>
          <w:tcPr>
            <w:tcW w:w="768" w:type="dxa"/>
          </w:tcPr>
          <w:p>
            <w:pPr/>
          </w:p>
        </w:tc>
      </w:tr>
      <w:tr>
        <w:trPr>
          <w:trHeight w:val="422" w:hRule="exact"/>
        </w:trPr>
        <w:tc>
          <w:tcPr>
            <w:tcW w:w="872" w:type="dxa"/>
          </w:tcPr>
          <w:p>
            <w:pPr>
              <w:pStyle w:val="TableParagraph"/>
              <w:spacing w:line="202" w:lineRule="exact"/>
              <w:ind w:left="103"/>
              <w:rPr>
                <w:sz w:val="18"/>
              </w:rPr>
            </w:pPr>
            <w:r>
              <w:rPr>
                <w:sz w:val="18"/>
              </w:rPr>
              <w:t>item</w:t>
            </w:r>
          </w:p>
        </w:tc>
        <w:tc>
          <w:tcPr>
            <w:tcW w:w="859" w:type="dxa"/>
          </w:tcPr>
          <w:p>
            <w:pPr>
              <w:pStyle w:val="TableParagraph"/>
              <w:ind w:left="100" w:right="109"/>
              <w:rPr>
                <w:sz w:val="18"/>
              </w:rPr>
            </w:pPr>
            <w:r>
              <w:rPr>
                <w:sz w:val="18"/>
              </w:rPr>
              <w:t>Cacahua cintle</w:t>
            </w:r>
          </w:p>
        </w:tc>
        <w:tc>
          <w:tcPr>
            <w:tcW w:w="970" w:type="dxa"/>
          </w:tcPr>
          <w:p>
            <w:pPr>
              <w:pStyle w:val="TableParagraph"/>
              <w:ind w:left="103" w:right="397"/>
              <w:rPr>
                <w:sz w:val="18"/>
              </w:rPr>
            </w:pPr>
            <w:r>
              <w:rPr>
                <w:sz w:val="18"/>
              </w:rPr>
              <w:t>San Diego</w:t>
            </w:r>
          </w:p>
        </w:tc>
        <w:tc>
          <w:tcPr>
            <w:tcW w:w="860" w:type="dxa"/>
          </w:tcPr>
          <w:p>
            <w:pPr>
              <w:pStyle w:val="TableParagraph"/>
              <w:spacing w:line="202" w:lineRule="exact"/>
              <w:ind w:left="100"/>
              <w:rPr>
                <w:sz w:val="18"/>
              </w:rPr>
            </w:pPr>
            <w:r>
              <w:rPr>
                <w:sz w:val="18"/>
              </w:rPr>
              <w:t>P-1832</w:t>
            </w:r>
          </w:p>
        </w:tc>
        <w:tc>
          <w:tcPr>
            <w:tcW w:w="871" w:type="dxa"/>
          </w:tcPr>
          <w:p>
            <w:pPr>
              <w:pStyle w:val="TableParagraph"/>
              <w:spacing w:line="202" w:lineRule="exact"/>
              <w:ind w:left="103"/>
              <w:rPr>
                <w:sz w:val="18"/>
              </w:rPr>
            </w:pPr>
            <w:r>
              <w:rPr>
                <w:sz w:val="18"/>
              </w:rPr>
              <w:t>Victoria</w:t>
            </w:r>
          </w:p>
        </w:tc>
        <w:tc>
          <w:tcPr>
            <w:tcW w:w="290" w:type="dxa"/>
          </w:tcPr>
          <w:p>
            <w:pPr/>
          </w:p>
        </w:tc>
        <w:tc>
          <w:tcPr>
            <w:tcW w:w="869" w:type="dxa"/>
          </w:tcPr>
          <w:p>
            <w:pPr>
              <w:pStyle w:val="TableParagraph"/>
              <w:spacing w:line="202" w:lineRule="exact"/>
              <w:ind w:left="100"/>
              <w:rPr>
                <w:sz w:val="18"/>
              </w:rPr>
            </w:pPr>
            <w:r>
              <w:rPr>
                <w:sz w:val="18"/>
              </w:rPr>
              <w:t>Control</w:t>
            </w:r>
          </w:p>
        </w:tc>
        <w:tc>
          <w:tcPr>
            <w:tcW w:w="1296" w:type="dxa"/>
          </w:tcPr>
          <w:p>
            <w:pPr>
              <w:pStyle w:val="TableParagraph"/>
              <w:ind w:left="103" w:right="573"/>
              <w:rPr>
                <w:sz w:val="18"/>
              </w:rPr>
            </w:pPr>
            <w:r>
              <w:rPr>
                <w:sz w:val="18"/>
              </w:rPr>
              <w:t>Maguey extract</w:t>
            </w:r>
          </w:p>
        </w:tc>
        <w:tc>
          <w:tcPr>
            <w:tcW w:w="902" w:type="dxa"/>
          </w:tcPr>
          <w:p>
            <w:pPr>
              <w:pStyle w:val="TableParagraph"/>
              <w:spacing w:line="202" w:lineRule="exact"/>
              <w:ind w:left="103"/>
              <w:rPr>
                <w:sz w:val="18"/>
              </w:rPr>
            </w:pPr>
            <w:r>
              <w:rPr>
                <w:sz w:val="18"/>
              </w:rPr>
              <w:t>Cellulose</w:t>
            </w:r>
          </w:p>
        </w:tc>
        <w:tc>
          <w:tcPr>
            <w:tcW w:w="890" w:type="dxa"/>
          </w:tcPr>
          <w:p>
            <w:pPr>
              <w:pStyle w:val="TableParagraph"/>
              <w:spacing w:line="202" w:lineRule="exact"/>
              <w:ind w:left="100"/>
              <w:rPr>
                <w:sz w:val="18"/>
              </w:rPr>
            </w:pPr>
            <w:r>
              <w:rPr>
                <w:sz w:val="18"/>
              </w:rPr>
              <w:t>Xylanase</w:t>
            </w:r>
          </w:p>
        </w:tc>
        <w:tc>
          <w:tcPr>
            <w:tcW w:w="276" w:type="dxa"/>
          </w:tcPr>
          <w:p>
            <w:pPr/>
          </w:p>
        </w:tc>
        <w:tc>
          <w:tcPr>
            <w:tcW w:w="655" w:type="dxa"/>
          </w:tcPr>
          <w:p>
            <w:pPr>
              <w:pStyle w:val="TableParagraph"/>
              <w:spacing w:line="202" w:lineRule="exact"/>
              <w:ind w:left="103"/>
              <w:rPr>
                <w:sz w:val="18"/>
              </w:rPr>
            </w:pPr>
            <w:r>
              <w:rPr>
                <w:sz w:val="18"/>
              </w:rPr>
              <w:t>SEM</w:t>
            </w:r>
          </w:p>
        </w:tc>
        <w:tc>
          <w:tcPr>
            <w:tcW w:w="658" w:type="dxa"/>
          </w:tcPr>
          <w:p>
            <w:pPr>
              <w:pStyle w:val="TableParagraph"/>
              <w:spacing w:line="202" w:lineRule="exact"/>
              <w:ind w:left="103"/>
              <w:rPr>
                <w:sz w:val="18"/>
              </w:rPr>
            </w:pPr>
            <w:r>
              <w:rPr>
                <w:w w:val="99"/>
                <w:sz w:val="18"/>
              </w:rPr>
              <w:t>V</w:t>
            </w:r>
          </w:p>
        </w:tc>
        <w:tc>
          <w:tcPr>
            <w:tcW w:w="655" w:type="dxa"/>
          </w:tcPr>
          <w:p>
            <w:pPr>
              <w:pStyle w:val="TableParagraph"/>
              <w:spacing w:line="202" w:lineRule="exact"/>
              <w:ind w:left="100"/>
              <w:rPr>
                <w:sz w:val="18"/>
              </w:rPr>
            </w:pPr>
            <w:r>
              <w:rPr>
                <w:sz w:val="18"/>
              </w:rPr>
              <w:t>Tx</w:t>
            </w:r>
          </w:p>
        </w:tc>
        <w:tc>
          <w:tcPr>
            <w:tcW w:w="768" w:type="dxa"/>
          </w:tcPr>
          <w:p>
            <w:pPr>
              <w:pStyle w:val="TableParagraph"/>
              <w:spacing w:line="202" w:lineRule="exact"/>
              <w:ind w:left="103"/>
              <w:rPr>
                <w:sz w:val="18"/>
              </w:rPr>
            </w:pPr>
            <w:r>
              <w:rPr>
                <w:sz w:val="18"/>
              </w:rPr>
              <w:t>VxE</w:t>
            </w:r>
          </w:p>
        </w:tc>
      </w:tr>
      <w:tr>
        <w:trPr>
          <w:trHeight w:val="218" w:hRule="exact"/>
        </w:trPr>
        <w:tc>
          <w:tcPr>
            <w:tcW w:w="872" w:type="dxa"/>
          </w:tcPr>
          <w:p>
            <w:pPr>
              <w:pStyle w:val="TableParagraph"/>
              <w:spacing w:line="205" w:lineRule="exact"/>
              <w:ind w:left="103"/>
              <w:rPr>
                <w:sz w:val="18"/>
              </w:rPr>
            </w:pPr>
            <w:r>
              <w:rPr>
                <w:w w:val="99"/>
                <w:sz w:val="18"/>
              </w:rPr>
              <w:t>A</w:t>
            </w:r>
          </w:p>
        </w:tc>
        <w:tc>
          <w:tcPr>
            <w:tcW w:w="859" w:type="dxa"/>
          </w:tcPr>
          <w:p>
            <w:pPr>
              <w:pStyle w:val="TableParagraph"/>
              <w:spacing w:line="205" w:lineRule="exact"/>
              <w:ind w:left="100" w:right="109"/>
              <w:rPr>
                <w:sz w:val="18"/>
              </w:rPr>
            </w:pPr>
            <w:r>
              <w:rPr>
                <w:sz w:val="18"/>
              </w:rPr>
              <w:t>229.0a</w:t>
            </w:r>
          </w:p>
        </w:tc>
        <w:tc>
          <w:tcPr>
            <w:tcW w:w="970" w:type="dxa"/>
          </w:tcPr>
          <w:p>
            <w:pPr>
              <w:pStyle w:val="TableParagraph"/>
              <w:spacing w:line="205" w:lineRule="exact"/>
              <w:ind w:left="103"/>
              <w:rPr>
                <w:sz w:val="18"/>
              </w:rPr>
            </w:pPr>
            <w:r>
              <w:rPr>
                <w:sz w:val="18"/>
              </w:rPr>
              <w:t>226.2a</w:t>
            </w:r>
          </w:p>
        </w:tc>
        <w:tc>
          <w:tcPr>
            <w:tcW w:w="860" w:type="dxa"/>
          </w:tcPr>
          <w:p>
            <w:pPr>
              <w:pStyle w:val="TableParagraph"/>
              <w:spacing w:line="205" w:lineRule="exact"/>
              <w:ind w:left="100"/>
              <w:rPr>
                <w:sz w:val="18"/>
              </w:rPr>
            </w:pPr>
            <w:r>
              <w:rPr>
                <w:sz w:val="18"/>
              </w:rPr>
              <w:t>209.8b</w:t>
            </w:r>
          </w:p>
        </w:tc>
        <w:tc>
          <w:tcPr>
            <w:tcW w:w="871" w:type="dxa"/>
          </w:tcPr>
          <w:p>
            <w:pPr>
              <w:pStyle w:val="TableParagraph"/>
              <w:spacing w:line="205" w:lineRule="exact"/>
              <w:ind w:left="103"/>
              <w:rPr>
                <w:sz w:val="18"/>
              </w:rPr>
            </w:pPr>
            <w:r>
              <w:rPr>
                <w:sz w:val="18"/>
              </w:rPr>
              <w:t>198.3c</w:t>
            </w:r>
          </w:p>
        </w:tc>
        <w:tc>
          <w:tcPr>
            <w:tcW w:w="290" w:type="dxa"/>
          </w:tcPr>
          <w:p>
            <w:pPr/>
          </w:p>
        </w:tc>
        <w:tc>
          <w:tcPr>
            <w:tcW w:w="869" w:type="dxa"/>
          </w:tcPr>
          <w:p>
            <w:pPr>
              <w:pStyle w:val="TableParagraph"/>
              <w:spacing w:line="205" w:lineRule="exact"/>
              <w:ind w:left="100"/>
              <w:rPr>
                <w:sz w:val="18"/>
              </w:rPr>
            </w:pPr>
            <w:r>
              <w:rPr>
                <w:sz w:val="18"/>
              </w:rPr>
              <w:t>192.5c</w:t>
            </w:r>
          </w:p>
        </w:tc>
        <w:tc>
          <w:tcPr>
            <w:tcW w:w="1296" w:type="dxa"/>
          </w:tcPr>
          <w:p>
            <w:pPr>
              <w:pStyle w:val="TableParagraph"/>
              <w:spacing w:line="205" w:lineRule="exact"/>
              <w:ind w:left="103" w:right="573"/>
              <w:rPr>
                <w:sz w:val="18"/>
              </w:rPr>
            </w:pPr>
            <w:r>
              <w:rPr>
                <w:sz w:val="18"/>
              </w:rPr>
              <w:t>220.3b</w:t>
            </w:r>
          </w:p>
        </w:tc>
        <w:tc>
          <w:tcPr>
            <w:tcW w:w="902" w:type="dxa"/>
          </w:tcPr>
          <w:p>
            <w:pPr>
              <w:pStyle w:val="TableParagraph"/>
              <w:spacing w:line="205" w:lineRule="exact"/>
              <w:ind w:left="103"/>
              <w:rPr>
                <w:sz w:val="18"/>
              </w:rPr>
            </w:pPr>
            <w:r>
              <w:rPr>
                <w:sz w:val="18"/>
              </w:rPr>
              <w:t>221.4b</w:t>
            </w:r>
          </w:p>
        </w:tc>
        <w:tc>
          <w:tcPr>
            <w:tcW w:w="890" w:type="dxa"/>
          </w:tcPr>
          <w:p>
            <w:pPr>
              <w:pStyle w:val="TableParagraph"/>
              <w:spacing w:line="205" w:lineRule="exact"/>
              <w:ind w:left="100"/>
              <w:rPr>
                <w:sz w:val="18"/>
              </w:rPr>
            </w:pPr>
            <w:r>
              <w:rPr>
                <w:sz w:val="18"/>
              </w:rPr>
              <w:t>229.2a</w:t>
            </w:r>
          </w:p>
        </w:tc>
        <w:tc>
          <w:tcPr>
            <w:tcW w:w="276" w:type="dxa"/>
          </w:tcPr>
          <w:p>
            <w:pPr/>
          </w:p>
        </w:tc>
        <w:tc>
          <w:tcPr>
            <w:tcW w:w="655" w:type="dxa"/>
          </w:tcPr>
          <w:p>
            <w:pPr>
              <w:pStyle w:val="TableParagraph"/>
              <w:spacing w:line="205" w:lineRule="exact"/>
              <w:ind w:left="103"/>
              <w:rPr>
                <w:sz w:val="18"/>
              </w:rPr>
            </w:pPr>
            <w:r>
              <w:rPr>
                <w:sz w:val="18"/>
              </w:rPr>
              <w:t>2.021</w:t>
            </w:r>
          </w:p>
        </w:tc>
        <w:tc>
          <w:tcPr>
            <w:tcW w:w="658" w:type="dxa"/>
          </w:tcPr>
          <w:p>
            <w:pPr>
              <w:pStyle w:val="TableParagraph"/>
              <w:spacing w:line="205" w:lineRule="exact"/>
              <w:ind w:left="103"/>
              <w:rPr>
                <w:sz w:val="18"/>
              </w:rPr>
            </w:pPr>
            <w:r>
              <w:rPr>
                <w:sz w:val="18"/>
              </w:rPr>
              <w:t>0.001</w:t>
            </w:r>
          </w:p>
        </w:tc>
        <w:tc>
          <w:tcPr>
            <w:tcW w:w="655" w:type="dxa"/>
          </w:tcPr>
          <w:p>
            <w:pPr>
              <w:pStyle w:val="TableParagraph"/>
              <w:spacing w:line="205" w:lineRule="exact"/>
              <w:ind w:left="100"/>
              <w:rPr>
                <w:sz w:val="18"/>
              </w:rPr>
            </w:pPr>
            <w:r>
              <w:rPr>
                <w:sz w:val="18"/>
              </w:rPr>
              <w:t>0.001</w:t>
            </w:r>
          </w:p>
        </w:tc>
        <w:tc>
          <w:tcPr>
            <w:tcW w:w="768" w:type="dxa"/>
          </w:tcPr>
          <w:p>
            <w:pPr>
              <w:pStyle w:val="TableParagraph"/>
              <w:spacing w:line="205"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B</w:t>
            </w:r>
          </w:p>
        </w:tc>
        <w:tc>
          <w:tcPr>
            <w:tcW w:w="859" w:type="dxa"/>
          </w:tcPr>
          <w:p>
            <w:pPr>
              <w:pStyle w:val="TableParagraph"/>
              <w:spacing w:line="202" w:lineRule="exact"/>
              <w:ind w:left="100" w:right="109"/>
              <w:rPr>
                <w:sz w:val="18"/>
              </w:rPr>
            </w:pPr>
            <w:r>
              <w:rPr>
                <w:sz w:val="18"/>
              </w:rPr>
              <w:t>0.0380a</w:t>
            </w:r>
          </w:p>
        </w:tc>
        <w:tc>
          <w:tcPr>
            <w:tcW w:w="970" w:type="dxa"/>
          </w:tcPr>
          <w:p>
            <w:pPr>
              <w:pStyle w:val="TableParagraph"/>
              <w:spacing w:line="202" w:lineRule="exact"/>
              <w:ind w:left="103"/>
              <w:rPr>
                <w:sz w:val="18"/>
              </w:rPr>
            </w:pPr>
            <w:r>
              <w:rPr>
                <w:sz w:val="18"/>
              </w:rPr>
              <w:t>0.0396a</w:t>
            </w:r>
          </w:p>
        </w:tc>
        <w:tc>
          <w:tcPr>
            <w:tcW w:w="860" w:type="dxa"/>
          </w:tcPr>
          <w:p>
            <w:pPr>
              <w:pStyle w:val="TableParagraph"/>
              <w:spacing w:line="202" w:lineRule="exact"/>
              <w:ind w:left="100"/>
              <w:rPr>
                <w:sz w:val="18"/>
              </w:rPr>
            </w:pPr>
            <w:r>
              <w:rPr>
                <w:sz w:val="18"/>
              </w:rPr>
              <w:t>0.0304b</w:t>
            </w:r>
          </w:p>
        </w:tc>
        <w:tc>
          <w:tcPr>
            <w:tcW w:w="871" w:type="dxa"/>
          </w:tcPr>
          <w:p>
            <w:pPr>
              <w:pStyle w:val="TableParagraph"/>
              <w:spacing w:line="202" w:lineRule="exact"/>
              <w:ind w:left="103"/>
              <w:rPr>
                <w:sz w:val="18"/>
              </w:rPr>
            </w:pPr>
            <w:r>
              <w:rPr>
                <w:sz w:val="18"/>
              </w:rPr>
              <w:t>0.0313b</w:t>
            </w:r>
          </w:p>
        </w:tc>
        <w:tc>
          <w:tcPr>
            <w:tcW w:w="290" w:type="dxa"/>
          </w:tcPr>
          <w:p>
            <w:pPr/>
          </w:p>
        </w:tc>
        <w:tc>
          <w:tcPr>
            <w:tcW w:w="869" w:type="dxa"/>
          </w:tcPr>
          <w:p>
            <w:pPr>
              <w:pStyle w:val="TableParagraph"/>
              <w:spacing w:line="202" w:lineRule="exact"/>
              <w:ind w:left="100"/>
              <w:rPr>
                <w:sz w:val="18"/>
              </w:rPr>
            </w:pPr>
            <w:r>
              <w:rPr>
                <w:sz w:val="18"/>
              </w:rPr>
              <w:t>0.0306b</w:t>
            </w:r>
          </w:p>
        </w:tc>
        <w:tc>
          <w:tcPr>
            <w:tcW w:w="1296" w:type="dxa"/>
          </w:tcPr>
          <w:p>
            <w:pPr>
              <w:pStyle w:val="TableParagraph"/>
              <w:spacing w:line="202" w:lineRule="exact"/>
              <w:ind w:left="103"/>
              <w:rPr>
                <w:sz w:val="18"/>
              </w:rPr>
            </w:pPr>
            <w:r>
              <w:rPr>
                <w:sz w:val="18"/>
              </w:rPr>
              <w:t>0.0371a</w:t>
            </w:r>
          </w:p>
        </w:tc>
        <w:tc>
          <w:tcPr>
            <w:tcW w:w="902" w:type="dxa"/>
          </w:tcPr>
          <w:p>
            <w:pPr>
              <w:pStyle w:val="TableParagraph"/>
              <w:spacing w:line="202" w:lineRule="exact"/>
              <w:ind w:left="103"/>
              <w:rPr>
                <w:sz w:val="18"/>
              </w:rPr>
            </w:pPr>
            <w:r>
              <w:rPr>
                <w:sz w:val="18"/>
              </w:rPr>
              <w:t>0.0362a</w:t>
            </w:r>
          </w:p>
        </w:tc>
        <w:tc>
          <w:tcPr>
            <w:tcW w:w="890" w:type="dxa"/>
          </w:tcPr>
          <w:p>
            <w:pPr>
              <w:pStyle w:val="TableParagraph"/>
              <w:spacing w:line="202" w:lineRule="exact"/>
              <w:ind w:left="100"/>
              <w:rPr>
                <w:sz w:val="18"/>
              </w:rPr>
            </w:pPr>
            <w:r>
              <w:rPr>
                <w:sz w:val="18"/>
              </w:rPr>
              <w:t>0.0353</w:t>
            </w:r>
          </w:p>
        </w:tc>
        <w:tc>
          <w:tcPr>
            <w:tcW w:w="276" w:type="dxa"/>
          </w:tcPr>
          <w:p>
            <w:pPr/>
          </w:p>
        </w:tc>
        <w:tc>
          <w:tcPr>
            <w:tcW w:w="655" w:type="dxa"/>
          </w:tcPr>
          <w:p>
            <w:pPr>
              <w:pStyle w:val="TableParagraph"/>
              <w:spacing w:line="202" w:lineRule="exact"/>
              <w:ind w:left="103"/>
              <w:rPr>
                <w:sz w:val="18"/>
              </w:rPr>
            </w:pPr>
            <w:r>
              <w:rPr>
                <w:sz w:val="18"/>
              </w:rPr>
              <w:t>0.000</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8" w:hRule="exact"/>
        </w:trPr>
        <w:tc>
          <w:tcPr>
            <w:tcW w:w="872" w:type="dxa"/>
          </w:tcPr>
          <w:p>
            <w:pPr>
              <w:pStyle w:val="TableParagraph"/>
              <w:spacing w:line="202" w:lineRule="exact"/>
              <w:ind w:left="103"/>
              <w:rPr>
                <w:sz w:val="18"/>
              </w:rPr>
            </w:pPr>
            <w:r>
              <w:rPr>
                <w:sz w:val="18"/>
              </w:rPr>
              <w:t>C</w:t>
            </w:r>
          </w:p>
        </w:tc>
        <w:tc>
          <w:tcPr>
            <w:tcW w:w="859" w:type="dxa"/>
          </w:tcPr>
          <w:p>
            <w:pPr>
              <w:pStyle w:val="TableParagraph"/>
              <w:spacing w:line="202" w:lineRule="exact"/>
              <w:ind w:left="100"/>
              <w:rPr>
                <w:sz w:val="18"/>
              </w:rPr>
            </w:pPr>
            <w:r>
              <w:rPr>
                <w:sz w:val="18"/>
              </w:rPr>
              <w:t>-0.0436a</w:t>
            </w:r>
          </w:p>
        </w:tc>
        <w:tc>
          <w:tcPr>
            <w:tcW w:w="970" w:type="dxa"/>
          </w:tcPr>
          <w:p>
            <w:pPr>
              <w:pStyle w:val="TableParagraph"/>
              <w:spacing w:line="202" w:lineRule="exact"/>
              <w:ind w:left="103"/>
              <w:rPr>
                <w:sz w:val="18"/>
              </w:rPr>
            </w:pPr>
            <w:r>
              <w:rPr>
                <w:sz w:val="18"/>
              </w:rPr>
              <w:t>-0.0407a</w:t>
            </w:r>
          </w:p>
        </w:tc>
        <w:tc>
          <w:tcPr>
            <w:tcW w:w="860" w:type="dxa"/>
          </w:tcPr>
          <w:p>
            <w:pPr>
              <w:pStyle w:val="TableParagraph"/>
              <w:spacing w:line="202" w:lineRule="exact"/>
              <w:ind w:left="100"/>
              <w:rPr>
                <w:sz w:val="18"/>
              </w:rPr>
            </w:pPr>
            <w:r>
              <w:rPr>
                <w:sz w:val="18"/>
              </w:rPr>
              <w:t>-0.0336a</w:t>
            </w:r>
          </w:p>
        </w:tc>
        <w:tc>
          <w:tcPr>
            <w:tcW w:w="871" w:type="dxa"/>
          </w:tcPr>
          <w:p>
            <w:pPr>
              <w:pStyle w:val="TableParagraph"/>
              <w:spacing w:line="202" w:lineRule="exact"/>
              <w:ind w:left="103"/>
              <w:rPr>
                <w:sz w:val="18"/>
              </w:rPr>
            </w:pPr>
            <w:r>
              <w:rPr>
                <w:sz w:val="18"/>
              </w:rPr>
              <w:t>-0.0589b</w:t>
            </w:r>
          </w:p>
        </w:tc>
        <w:tc>
          <w:tcPr>
            <w:tcW w:w="290" w:type="dxa"/>
          </w:tcPr>
          <w:p>
            <w:pPr/>
          </w:p>
        </w:tc>
        <w:tc>
          <w:tcPr>
            <w:tcW w:w="869" w:type="dxa"/>
          </w:tcPr>
          <w:p>
            <w:pPr>
              <w:pStyle w:val="TableParagraph"/>
              <w:spacing w:line="202" w:lineRule="exact"/>
              <w:ind w:left="100"/>
              <w:rPr>
                <w:sz w:val="18"/>
              </w:rPr>
            </w:pPr>
            <w:r>
              <w:rPr>
                <w:sz w:val="18"/>
              </w:rPr>
              <w:t>-0.0575b</w:t>
            </w:r>
          </w:p>
        </w:tc>
        <w:tc>
          <w:tcPr>
            <w:tcW w:w="1296" w:type="dxa"/>
          </w:tcPr>
          <w:p>
            <w:pPr>
              <w:pStyle w:val="TableParagraph"/>
              <w:spacing w:line="202" w:lineRule="exact"/>
              <w:ind w:left="103"/>
              <w:rPr>
                <w:sz w:val="18"/>
              </w:rPr>
            </w:pPr>
            <w:r>
              <w:rPr>
                <w:sz w:val="18"/>
              </w:rPr>
              <w:t>-0.0522b</w:t>
            </w:r>
          </w:p>
        </w:tc>
        <w:tc>
          <w:tcPr>
            <w:tcW w:w="902" w:type="dxa"/>
          </w:tcPr>
          <w:p>
            <w:pPr>
              <w:pStyle w:val="TableParagraph"/>
              <w:spacing w:line="202" w:lineRule="exact"/>
              <w:ind w:left="103"/>
              <w:rPr>
                <w:sz w:val="18"/>
              </w:rPr>
            </w:pPr>
            <w:r>
              <w:rPr>
                <w:sz w:val="18"/>
              </w:rPr>
              <w:t>-0.0377a</w:t>
            </w:r>
          </w:p>
        </w:tc>
        <w:tc>
          <w:tcPr>
            <w:tcW w:w="890" w:type="dxa"/>
          </w:tcPr>
          <w:p>
            <w:pPr>
              <w:pStyle w:val="TableParagraph"/>
              <w:spacing w:line="202" w:lineRule="exact"/>
              <w:ind w:left="100"/>
              <w:rPr>
                <w:sz w:val="18"/>
              </w:rPr>
            </w:pPr>
            <w:r>
              <w:rPr>
                <w:sz w:val="18"/>
              </w:rPr>
              <w:t>-0.0294a</w:t>
            </w:r>
          </w:p>
        </w:tc>
        <w:tc>
          <w:tcPr>
            <w:tcW w:w="276" w:type="dxa"/>
          </w:tcPr>
          <w:p>
            <w:pPr/>
          </w:p>
        </w:tc>
        <w:tc>
          <w:tcPr>
            <w:tcW w:w="655" w:type="dxa"/>
          </w:tcPr>
          <w:p>
            <w:pPr>
              <w:pStyle w:val="TableParagraph"/>
              <w:spacing w:line="202" w:lineRule="exact"/>
              <w:ind w:left="103"/>
              <w:rPr>
                <w:sz w:val="18"/>
              </w:rPr>
            </w:pPr>
            <w:r>
              <w:rPr>
                <w:sz w:val="18"/>
              </w:rPr>
              <w:t>0.002</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Lag time</w:t>
            </w:r>
          </w:p>
        </w:tc>
        <w:tc>
          <w:tcPr>
            <w:tcW w:w="859" w:type="dxa"/>
          </w:tcPr>
          <w:p>
            <w:pPr>
              <w:pStyle w:val="TableParagraph"/>
              <w:spacing w:line="202" w:lineRule="exact"/>
              <w:ind w:left="100" w:right="109"/>
              <w:rPr>
                <w:sz w:val="18"/>
              </w:rPr>
            </w:pPr>
            <w:r>
              <w:rPr>
                <w:sz w:val="18"/>
              </w:rPr>
              <w:t>1.29b</w:t>
            </w:r>
          </w:p>
        </w:tc>
        <w:tc>
          <w:tcPr>
            <w:tcW w:w="970" w:type="dxa"/>
          </w:tcPr>
          <w:p>
            <w:pPr>
              <w:pStyle w:val="TableParagraph"/>
              <w:spacing w:line="202" w:lineRule="exact"/>
              <w:ind w:left="103" w:right="397"/>
              <w:rPr>
                <w:sz w:val="18"/>
              </w:rPr>
            </w:pPr>
            <w:r>
              <w:rPr>
                <w:sz w:val="18"/>
              </w:rPr>
              <w:t>1.27b</w:t>
            </w:r>
          </w:p>
        </w:tc>
        <w:tc>
          <w:tcPr>
            <w:tcW w:w="860" w:type="dxa"/>
          </w:tcPr>
          <w:p>
            <w:pPr>
              <w:pStyle w:val="TableParagraph"/>
              <w:spacing w:line="202" w:lineRule="exact"/>
              <w:ind w:left="100"/>
              <w:rPr>
                <w:sz w:val="18"/>
              </w:rPr>
            </w:pPr>
            <w:r>
              <w:rPr>
                <w:sz w:val="18"/>
              </w:rPr>
              <w:t>0.96c</w:t>
            </w:r>
          </w:p>
        </w:tc>
        <w:tc>
          <w:tcPr>
            <w:tcW w:w="871" w:type="dxa"/>
          </w:tcPr>
          <w:p>
            <w:pPr>
              <w:pStyle w:val="TableParagraph"/>
              <w:spacing w:line="202" w:lineRule="exact"/>
              <w:ind w:left="103"/>
              <w:rPr>
                <w:sz w:val="18"/>
              </w:rPr>
            </w:pPr>
            <w:r>
              <w:rPr>
                <w:sz w:val="18"/>
              </w:rPr>
              <w:t>2.85a</w:t>
            </w:r>
          </w:p>
        </w:tc>
        <w:tc>
          <w:tcPr>
            <w:tcW w:w="290" w:type="dxa"/>
          </w:tcPr>
          <w:p>
            <w:pPr/>
          </w:p>
        </w:tc>
        <w:tc>
          <w:tcPr>
            <w:tcW w:w="869" w:type="dxa"/>
          </w:tcPr>
          <w:p>
            <w:pPr>
              <w:pStyle w:val="TableParagraph"/>
              <w:spacing w:line="202" w:lineRule="exact"/>
              <w:ind w:left="100"/>
              <w:rPr>
                <w:sz w:val="18"/>
              </w:rPr>
            </w:pPr>
            <w:r>
              <w:rPr>
                <w:sz w:val="18"/>
              </w:rPr>
              <w:t>2.25a</w:t>
            </w:r>
          </w:p>
        </w:tc>
        <w:tc>
          <w:tcPr>
            <w:tcW w:w="1296" w:type="dxa"/>
          </w:tcPr>
          <w:p>
            <w:pPr>
              <w:pStyle w:val="TableParagraph"/>
              <w:spacing w:line="202" w:lineRule="exact"/>
              <w:ind w:left="103" w:right="573"/>
              <w:rPr>
                <w:sz w:val="18"/>
              </w:rPr>
            </w:pPr>
            <w:r>
              <w:rPr>
                <w:sz w:val="18"/>
              </w:rPr>
              <w:t>1.87b</w:t>
            </w:r>
          </w:p>
        </w:tc>
        <w:tc>
          <w:tcPr>
            <w:tcW w:w="902" w:type="dxa"/>
          </w:tcPr>
          <w:p>
            <w:pPr>
              <w:pStyle w:val="TableParagraph"/>
              <w:spacing w:line="202" w:lineRule="exact"/>
              <w:ind w:left="103"/>
              <w:rPr>
                <w:sz w:val="18"/>
              </w:rPr>
            </w:pPr>
            <w:r>
              <w:rPr>
                <w:sz w:val="18"/>
              </w:rPr>
              <w:t>1.20c</w:t>
            </w:r>
          </w:p>
        </w:tc>
        <w:tc>
          <w:tcPr>
            <w:tcW w:w="890" w:type="dxa"/>
          </w:tcPr>
          <w:p>
            <w:pPr>
              <w:pStyle w:val="TableParagraph"/>
              <w:spacing w:line="202" w:lineRule="exact"/>
              <w:ind w:left="100"/>
              <w:rPr>
                <w:sz w:val="18"/>
              </w:rPr>
            </w:pPr>
            <w:r>
              <w:rPr>
                <w:sz w:val="18"/>
              </w:rPr>
              <w:t>1.05c</w:t>
            </w:r>
          </w:p>
        </w:tc>
        <w:tc>
          <w:tcPr>
            <w:tcW w:w="276" w:type="dxa"/>
          </w:tcPr>
          <w:p>
            <w:pPr/>
          </w:p>
        </w:tc>
        <w:tc>
          <w:tcPr>
            <w:tcW w:w="655" w:type="dxa"/>
          </w:tcPr>
          <w:p>
            <w:pPr>
              <w:pStyle w:val="TableParagraph"/>
              <w:spacing w:line="202" w:lineRule="exact"/>
              <w:ind w:left="103"/>
              <w:rPr>
                <w:sz w:val="18"/>
              </w:rPr>
            </w:pPr>
            <w:r>
              <w:rPr>
                <w:sz w:val="18"/>
              </w:rPr>
              <w:t>0.066</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9" w:hRule="exact"/>
        </w:trPr>
        <w:tc>
          <w:tcPr>
            <w:tcW w:w="872" w:type="dxa"/>
          </w:tcPr>
          <w:p>
            <w:pPr>
              <w:pStyle w:val="TableParagraph"/>
              <w:spacing w:line="203" w:lineRule="exact"/>
              <w:ind w:left="103"/>
              <w:rPr>
                <w:sz w:val="18"/>
              </w:rPr>
            </w:pPr>
            <w:r>
              <w:rPr>
                <w:sz w:val="18"/>
              </w:rPr>
              <w:t>Gas3</w:t>
            </w:r>
          </w:p>
        </w:tc>
        <w:tc>
          <w:tcPr>
            <w:tcW w:w="859" w:type="dxa"/>
          </w:tcPr>
          <w:p>
            <w:pPr>
              <w:pStyle w:val="TableParagraph"/>
              <w:spacing w:line="203" w:lineRule="exact"/>
              <w:ind w:left="100" w:right="109"/>
              <w:rPr>
                <w:sz w:val="18"/>
              </w:rPr>
            </w:pPr>
            <w:r>
              <w:rPr>
                <w:sz w:val="18"/>
              </w:rPr>
              <w:t>8.01a</w:t>
            </w:r>
          </w:p>
        </w:tc>
        <w:tc>
          <w:tcPr>
            <w:tcW w:w="970" w:type="dxa"/>
          </w:tcPr>
          <w:p>
            <w:pPr>
              <w:pStyle w:val="TableParagraph"/>
              <w:spacing w:line="203" w:lineRule="exact"/>
              <w:ind w:left="103" w:right="397"/>
              <w:rPr>
                <w:sz w:val="18"/>
              </w:rPr>
            </w:pPr>
            <w:r>
              <w:rPr>
                <w:sz w:val="18"/>
              </w:rPr>
              <w:t>6.74a</w:t>
            </w:r>
          </w:p>
        </w:tc>
        <w:tc>
          <w:tcPr>
            <w:tcW w:w="860" w:type="dxa"/>
          </w:tcPr>
          <w:p>
            <w:pPr>
              <w:pStyle w:val="TableParagraph"/>
              <w:spacing w:line="203" w:lineRule="exact"/>
              <w:ind w:left="100"/>
              <w:rPr>
                <w:sz w:val="18"/>
              </w:rPr>
            </w:pPr>
            <w:r>
              <w:rPr>
                <w:sz w:val="18"/>
              </w:rPr>
              <w:t>7.55a</w:t>
            </w:r>
          </w:p>
        </w:tc>
        <w:tc>
          <w:tcPr>
            <w:tcW w:w="871" w:type="dxa"/>
          </w:tcPr>
          <w:p>
            <w:pPr>
              <w:pStyle w:val="TableParagraph"/>
              <w:spacing w:line="203" w:lineRule="exact"/>
              <w:ind w:left="103"/>
              <w:rPr>
                <w:sz w:val="18"/>
              </w:rPr>
            </w:pPr>
            <w:r>
              <w:rPr>
                <w:sz w:val="18"/>
              </w:rPr>
              <w:t>2.50b</w:t>
            </w:r>
          </w:p>
        </w:tc>
        <w:tc>
          <w:tcPr>
            <w:tcW w:w="290" w:type="dxa"/>
          </w:tcPr>
          <w:p>
            <w:pPr/>
          </w:p>
        </w:tc>
        <w:tc>
          <w:tcPr>
            <w:tcW w:w="869" w:type="dxa"/>
          </w:tcPr>
          <w:p>
            <w:pPr>
              <w:pStyle w:val="TableParagraph"/>
              <w:spacing w:line="203" w:lineRule="exact"/>
              <w:ind w:left="100"/>
              <w:rPr>
                <w:sz w:val="18"/>
              </w:rPr>
            </w:pPr>
            <w:r>
              <w:rPr>
                <w:sz w:val="18"/>
              </w:rPr>
              <w:t>3.84c</w:t>
            </w:r>
          </w:p>
        </w:tc>
        <w:tc>
          <w:tcPr>
            <w:tcW w:w="1296" w:type="dxa"/>
          </w:tcPr>
          <w:p>
            <w:pPr>
              <w:pStyle w:val="TableParagraph"/>
              <w:spacing w:line="203" w:lineRule="exact"/>
              <w:ind w:left="103" w:right="573"/>
              <w:rPr>
                <w:sz w:val="18"/>
              </w:rPr>
            </w:pPr>
            <w:r>
              <w:rPr>
                <w:sz w:val="18"/>
              </w:rPr>
              <w:t>5.97b</w:t>
            </w:r>
          </w:p>
        </w:tc>
        <w:tc>
          <w:tcPr>
            <w:tcW w:w="902" w:type="dxa"/>
          </w:tcPr>
          <w:p>
            <w:pPr>
              <w:pStyle w:val="TableParagraph"/>
              <w:spacing w:line="203" w:lineRule="exact"/>
              <w:ind w:left="103"/>
              <w:rPr>
                <w:sz w:val="18"/>
              </w:rPr>
            </w:pPr>
            <w:r>
              <w:rPr>
                <w:sz w:val="18"/>
              </w:rPr>
              <w:t>7.36ab</w:t>
            </w:r>
          </w:p>
        </w:tc>
        <w:tc>
          <w:tcPr>
            <w:tcW w:w="890" w:type="dxa"/>
          </w:tcPr>
          <w:p>
            <w:pPr>
              <w:pStyle w:val="TableParagraph"/>
              <w:spacing w:line="203" w:lineRule="exact"/>
              <w:ind w:left="100"/>
              <w:rPr>
                <w:sz w:val="18"/>
              </w:rPr>
            </w:pPr>
            <w:r>
              <w:rPr>
                <w:sz w:val="18"/>
              </w:rPr>
              <w:t>7.62a</w:t>
            </w:r>
          </w:p>
        </w:tc>
        <w:tc>
          <w:tcPr>
            <w:tcW w:w="276" w:type="dxa"/>
          </w:tcPr>
          <w:p>
            <w:pPr/>
          </w:p>
        </w:tc>
        <w:tc>
          <w:tcPr>
            <w:tcW w:w="655" w:type="dxa"/>
          </w:tcPr>
          <w:p>
            <w:pPr>
              <w:pStyle w:val="TableParagraph"/>
              <w:spacing w:line="203" w:lineRule="exact"/>
              <w:ind w:left="103"/>
              <w:rPr>
                <w:sz w:val="18"/>
              </w:rPr>
            </w:pPr>
            <w:r>
              <w:rPr>
                <w:sz w:val="18"/>
              </w:rPr>
              <w:t>0.367</w:t>
            </w:r>
          </w:p>
        </w:tc>
        <w:tc>
          <w:tcPr>
            <w:tcW w:w="658" w:type="dxa"/>
          </w:tcPr>
          <w:p>
            <w:pPr>
              <w:pStyle w:val="TableParagraph"/>
              <w:spacing w:line="203" w:lineRule="exact"/>
              <w:ind w:left="103"/>
              <w:rPr>
                <w:sz w:val="18"/>
              </w:rPr>
            </w:pPr>
            <w:r>
              <w:rPr>
                <w:sz w:val="18"/>
              </w:rPr>
              <w:t>0.001</w:t>
            </w:r>
          </w:p>
        </w:tc>
        <w:tc>
          <w:tcPr>
            <w:tcW w:w="655" w:type="dxa"/>
          </w:tcPr>
          <w:p>
            <w:pPr>
              <w:pStyle w:val="TableParagraph"/>
              <w:spacing w:line="203" w:lineRule="exact"/>
              <w:ind w:left="100"/>
              <w:rPr>
                <w:sz w:val="18"/>
              </w:rPr>
            </w:pPr>
            <w:r>
              <w:rPr>
                <w:sz w:val="18"/>
              </w:rPr>
              <w:t>0.001</w:t>
            </w:r>
          </w:p>
        </w:tc>
        <w:tc>
          <w:tcPr>
            <w:tcW w:w="768" w:type="dxa"/>
          </w:tcPr>
          <w:p>
            <w:pPr>
              <w:pStyle w:val="TableParagraph"/>
              <w:spacing w:line="203" w:lineRule="exact"/>
              <w:ind w:left="103"/>
              <w:rPr>
                <w:sz w:val="18"/>
              </w:rPr>
            </w:pPr>
            <w:r>
              <w:rPr>
                <w:sz w:val="18"/>
              </w:rPr>
              <w:t>0.002</w:t>
            </w:r>
          </w:p>
        </w:tc>
      </w:tr>
      <w:tr>
        <w:trPr>
          <w:trHeight w:val="216" w:hRule="exact"/>
        </w:trPr>
        <w:tc>
          <w:tcPr>
            <w:tcW w:w="872" w:type="dxa"/>
          </w:tcPr>
          <w:p>
            <w:pPr>
              <w:pStyle w:val="TableParagraph"/>
              <w:spacing w:line="202" w:lineRule="exact"/>
              <w:ind w:left="103"/>
              <w:rPr>
                <w:sz w:val="18"/>
              </w:rPr>
            </w:pPr>
            <w:r>
              <w:rPr>
                <w:sz w:val="18"/>
              </w:rPr>
              <w:t>Gas6</w:t>
            </w:r>
          </w:p>
        </w:tc>
        <w:tc>
          <w:tcPr>
            <w:tcW w:w="859" w:type="dxa"/>
          </w:tcPr>
          <w:p>
            <w:pPr>
              <w:pStyle w:val="TableParagraph"/>
              <w:spacing w:line="202" w:lineRule="exact"/>
              <w:ind w:left="100" w:right="109"/>
              <w:rPr>
                <w:sz w:val="18"/>
              </w:rPr>
            </w:pPr>
            <w:r>
              <w:rPr>
                <w:sz w:val="18"/>
              </w:rPr>
              <w:t>24.35a</w:t>
            </w:r>
          </w:p>
        </w:tc>
        <w:tc>
          <w:tcPr>
            <w:tcW w:w="970" w:type="dxa"/>
          </w:tcPr>
          <w:p>
            <w:pPr>
              <w:pStyle w:val="TableParagraph"/>
              <w:spacing w:line="202" w:lineRule="exact"/>
              <w:ind w:left="103"/>
              <w:rPr>
                <w:sz w:val="18"/>
              </w:rPr>
            </w:pPr>
            <w:r>
              <w:rPr>
                <w:sz w:val="18"/>
              </w:rPr>
              <w:t>24.45a</w:t>
            </w:r>
          </w:p>
        </w:tc>
        <w:tc>
          <w:tcPr>
            <w:tcW w:w="860" w:type="dxa"/>
          </w:tcPr>
          <w:p>
            <w:pPr>
              <w:pStyle w:val="TableParagraph"/>
              <w:spacing w:line="202" w:lineRule="exact"/>
              <w:ind w:left="100"/>
              <w:rPr>
                <w:sz w:val="18"/>
              </w:rPr>
            </w:pPr>
            <w:r>
              <w:rPr>
                <w:sz w:val="18"/>
              </w:rPr>
              <w:t>20.90b</w:t>
            </w:r>
          </w:p>
        </w:tc>
        <w:tc>
          <w:tcPr>
            <w:tcW w:w="871" w:type="dxa"/>
          </w:tcPr>
          <w:p>
            <w:pPr>
              <w:pStyle w:val="TableParagraph"/>
              <w:spacing w:line="202" w:lineRule="exact"/>
              <w:ind w:left="103"/>
              <w:rPr>
                <w:sz w:val="18"/>
              </w:rPr>
            </w:pPr>
            <w:r>
              <w:rPr>
                <w:sz w:val="18"/>
              </w:rPr>
              <w:t>10.12c</w:t>
            </w:r>
          </w:p>
        </w:tc>
        <w:tc>
          <w:tcPr>
            <w:tcW w:w="290" w:type="dxa"/>
          </w:tcPr>
          <w:p>
            <w:pPr/>
          </w:p>
        </w:tc>
        <w:tc>
          <w:tcPr>
            <w:tcW w:w="869" w:type="dxa"/>
          </w:tcPr>
          <w:p>
            <w:pPr>
              <w:pStyle w:val="TableParagraph"/>
              <w:spacing w:line="202" w:lineRule="exact"/>
              <w:ind w:left="100"/>
              <w:rPr>
                <w:sz w:val="18"/>
              </w:rPr>
            </w:pPr>
            <w:r>
              <w:rPr>
                <w:sz w:val="18"/>
              </w:rPr>
              <w:t>11.91d</w:t>
            </w:r>
          </w:p>
        </w:tc>
        <w:tc>
          <w:tcPr>
            <w:tcW w:w="1296" w:type="dxa"/>
          </w:tcPr>
          <w:p>
            <w:pPr>
              <w:pStyle w:val="TableParagraph"/>
              <w:spacing w:line="202" w:lineRule="exact"/>
              <w:ind w:left="103" w:right="573"/>
              <w:rPr>
                <w:sz w:val="18"/>
              </w:rPr>
            </w:pPr>
            <w:r>
              <w:rPr>
                <w:sz w:val="18"/>
              </w:rPr>
              <w:t>19.66c</w:t>
            </w:r>
          </w:p>
        </w:tc>
        <w:tc>
          <w:tcPr>
            <w:tcW w:w="902" w:type="dxa"/>
          </w:tcPr>
          <w:p>
            <w:pPr>
              <w:pStyle w:val="TableParagraph"/>
              <w:spacing w:line="202" w:lineRule="exact"/>
              <w:ind w:left="103"/>
              <w:rPr>
                <w:sz w:val="18"/>
              </w:rPr>
            </w:pPr>
            <w:r>
              <w:rPr>
                <w:sz w:val="18"/>
              </w:rPr>
              <w:t>22.71b</w:t>
            </w:r>
          </w:p>
        </w:tc>
        <w:tc>
          <w:tcPr>
            <w:tcW w:w="890" w:type="dxa"/>
          </w:tcPr>
          <w:p>
            <w:pPr>
              <w:pStyle w:val="TableParagraph"/>
              <w:spacing w:line="202" w:lineRule="exact"/>
              <w:ind w:left="100"/>
              <w:rPr>
                <w:sz w:val="18"/>
              </w:rPr>
            </w:pPr>
            <w:r>
              <w:rPr>
                <w:sz w:val="18"/>
              </w:rPr>
              <w:t>25.54a</w:t>
            </w:r>
          </w:p>
        </w:tc>
        <w:tc>
          <w:tcPr>
            <w:tcW w:w="276" w:type="dxa"/>
          </w:tcPr>
          <w:p>
            <w:pPr/>
          </w:p>
        </w:tc>
        <w:tc>
          <w:tcPr>
            <w:tcW w:w="655" w:type="dxa"/>
          </w:tcPr>
          <w:p>
            <w:pPr>
              <w:pStyle w:val="TableParagraph"/>
              <w:spacing w:line="202" w:lineRule="exact"/>
              <w:ind w:left="103"/>
              <w:rPr>
                <w:sz w:val="18"/>
              </w:rPr>
            </w:pPr>
            <w:r>
              <w:rPr>
                <w:sz w:val="18"/>
              </w:rPr>
              <w:t>0.533</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Gas9</w:t>
            </w:r>
          </w:p>
        </w:tc>
        <w:tc>
          <w:tcPr>
            <w:tcW w:w="859" w:type="dxa"/>
          </w:tcPr>
          <w:p>
            <w:pPr>
              <w:pStyle w:val="TableParagraph"/>
              <w:spacing w:line="202" w:lineRule="exact"/>
              <w:ind w:left="100" w:right="109"/>
              <w:rPr>
                <w:sz w:val="18"/>
              </w:rPr>
            </w:pPr>
            <w:r>
              <w:rPr>
                <w:sz w:val="18"/>
              </w:rPr>
              <w:t>45.44b</w:t>
            </w:r>
          </w:p>
        </w:tc>
        <w:tc>
          <w:tcPr>
            <w:tcW w:w="970" w:type="dxa"/>
          </w:tcPr>
          <w:p>
            <w:pPr>
              <w:pStyle w:val="TableParagraph"/>
              <w:spacing w:line="202" w:lineRule="exact"/>
              <w:ind w:left="103"/>
              <w:rPr>
                <w:sz w:val="18"/>
              </w:rPr>
            </w:pPr>
            <w:r>
              <w:rPr>
                <w:sz w:val="18"/>
              </w:rPr>
              <w:t>48.75a</w:t>
            </w:r>
          </w:p>
        </w:tc>
        <w:tc>
          <w:tcPr>
            <w:tcW w:w="860" w:type="dxa"/>
          </w:tcPr>
          <w:p>
            <w:pPr>
              <w:pStyle w:val="TableParagraph"/>
              <w:spacing w:line="202" w:lineRule="exact"/>
              <w:ind w:left="100"/>
              <w:rPr>
                <w:sz w:val="18"/>
              </w:rPr>
            </w:pPr>
            <w:r>
              <w:rPr>
                <w:sz w:val="18"/>
              </w:rPr>
              <w:t>36.63c</w:t>
            </w:r>
          </w:p>
        </w:tc>
        <w:tc>
          <w:tcPr>
            <w:tcW w:w="871" w:type="dxa"/>
          </w:tcPr>
          <w:p>
            <w:pPr>
              <w:pStyle w:val="TableParagraph"/>
              <w:spacing w:line="202" w:lineRule="exact"/>
              <w:ind w:left="103"/>
              <w:rPr>
                <w:sz w:val="18"/>
              </w:rPr>
            </w:pPr>
            <w:r>
              <w:rPr>
                <w:sz w:val="18"/>
              </w:rPr>
              <w:t>24.48d</w:t>
            </w:r>
          </w:p>
        </w:tc>
        <w:tc>
          <w:tcPr>
            <w:tcW w:w="290" w:type="dxa"/>
          </w:tcPr>
          <w:p>
            <w:pPr/>
          </w:p>
        </w:tc>
        <w:tc>
          <w:tcPr>
            <w:tcW w:w="869" w:type="dxa"/>
          </w:tcPr>
          <w:p>
            <w:pPr>
              <w:pStyle w:val="TableParagraph"/>
              <w:spacing w:line="202" w:lineRule="exact"/>
              <w:ind w:left="100"/>
              <w:rPr>
                <w:sz w:val="18"/>
              </w:rPr>
            </w:pPr>
            <w:r>
              <w:rPr>
                <w:sz w:val="18"/>
              </w:rPr>
              <w:t>23.63d</w:t>
            </w:r>
          </w:p>
        </w:tc>
        <w:tc>
          <w:tcPr>
            <w:tcW w:w="1296" w:type="dxa"/>
          </w:tcPr>
          <w:p>
            <w:pPr>
              <w:pStyle w:val="TableParagraph"/>
              <w:spacing w:line="202" w:lineRule="exact"/>
              <w:ind w:left="103" w:right="573"/>
              <w:rPr>
                <w:sz w:val="18"/>
              </w:rPr>
            </w:pPr>
            <w:r>
              <w:rPr>
                <w:sz w:val="18"/>
              </w:rPr>
              <w:t>38.69c</w:t>
            </w:r>
          </w:p>
        </w:tc>
        <w:tc>
          <w:tcPr>
            <w:tcW w:w="902" w:type="dxa"/>
          </w:tcPr>
          <w:p>
            <w:pPr>
              <w:pStyle w:val="TableParagraph"/>
              <w:spacing w:line="202" w:lineRule="exact"/>
              <w:ind w:left="103"/>
              <w:rPr>
                <w:sz w:val="18"/>
              </w:rPr>
            </w:pPr>
            <w:r>
              <w:rPr>
                <w:sz w:val="18"/>
              </w:rPr>
              <w:t>43.64b</w:t>
            </w:r>
          </w:p>
        </w:tc>
        <w:tc>
          <w:tcPr>
            <w:tcW w:w="890" w:type="dxa"/>
          </w:tcPr>
          <w:p>
            <w:pPr>
              <w:pStyle w:val="TableParagraph"/>
              <w:spacing w:line="202" w:lineRule="exact"/>
              <w:ind w:left="100"/>
              <w:rPr>
                <w:sz w:val="18"/>
              </w:rPr>
            </w:pPr>
            <w:r>
              <w:rPr>
                <w:sz w:val="18"/>
              </w:rPr>
              <w:t>49.35a</w:t>
            </w:r>
          </w:p>
        </w:tc>
        <w:tc>
          <w:tcPr>
            <w:tcW w:w="276" w:type="dxa"/>
          </w:tcPr>
          <w:p>
            <w:pPr/>
          </w:p>
        </w:tc>
        <w:tc>
          <w:tcPr>
            <w:tcW w:w="655" w:type="dxa"/>
          </w:tcPr>
          <w:p>
            <w:pPr>
              <w:pStyle w:val="TableParagraph"/>
              <w:spacing w:line="202" w:lineRule="exact"/>
              <w:ind w:left="103"/>
              <w:rPr>
                <w:sz w:val="18"/>
              </w:rPr>
            </w:pPr>
            <w:r>
              <w:rPr>
                <w:sz w:val="18"/>
              </w:rPr>
              <w:t>0.678</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8" w:hRule="exact"/>
        </w:trPr>
        <w:tc>
          <w:tcPr>
            <w:tcW w:w="872" w:type="dxa"/>
          </w:tcPr>
          <w:p>
            <w:pPr>
              <w:pStyle w:val="TableParagraph"/>
              <w:spacing w:line="205" w:lineRule="exact"/>
              <w:ind w:left="103"/>
              <w:rPr>
                <w:sz w:val="18"/>
              </w:rPr>
            </w:pPr>
            <w:r>
              <w:rPr>
                <w:sz w:val="18"/>
              </w:rPr>
              <w:t>Gas12</w:t>
            </w:r>
          </w:p>
        </w:tc>
        <w:tc>
          <w:tcPr>
            <w:tcW w:w="859" w:type="dxa"/>
          </w:tcPr>
          <w:p>
            <w:pPr>
              <w:pStyle w:val="TableParagraph"/>
              <w:spacing w:line="205" w:lineRule="exact"/>
              <w:ind w:left="100" w:right="109"/>
              <w:rPr>
                <w:sz w:val="18"/>
              </w:rPr>
            </w:pPr>
            <w:r>
              <w:rPr>
                <w:sz w:val="18"/>
              </w:rPr>
              <w:t>66.43b</w:t>
            </w:r>
          </w:p>
        </w:tc>
        <w:tc>
          <w:tcPr>
            <w:tcW w:w="970" w:type="dxa"/>
          </w:tcPr>
          <w:p>
            <w:pPr>
              <w:pStyle w:val="TableParagraph"/>
              <w:spacing w:line="205" w:lineRule="exact"/>
              <w:ind w:left="103"/>
              <w:rPr>
                <w:sz w:val="18"/>
              </w:rPr>
            </w:pPr>
            <w:r>
              <w:rPr>
                <w:sz w:val="18"/>
              </w:rPr>
              <w:t>71.21a</w:t>
            </w:r>
          </w:p>
        </w:tc>
        <w:tc>
          <w:tcPr>
            <w:tcW w:w="860" w:type="dxa"/>
          </w:tcPr>
          <w:p>
            <w:pPr>
              <w:pStyle w:val="TableParagraph"/>
              <w:spacing w:line="205" w:lineRule="exact"/>
              <w:ind w:left="100"/>
              <w:rPr>
                <w:sz w:val="18"/>
              </w:rPr>
            </w:pPr>
            <w:r>
              <w:rPr>
                <w:sz w:val="18"/>
              </w:rPr>
              <w:t>52.72c</w:t>
            </w:r>
          </w:p>
        </w:tc>
        <w:tc>
          <w:tcPr>
            <w:tcW w:w="871" w:type="dxa"/>
          </w:tcPr>
          <w:p>
            <w:pPr>
              <w:pStyle w:val="TableParagraph"/>
              <w:spacing w:line="205" w:lineRule="exact"/>
              <w:ind w:left="103"/>
              <w:rPr>
                <w:sz w:val="18"/>
              </w:rPr>
            </w:pPr>
            <w:r>
              <w:rPr>
                <w:sz w:val="18"/>
              </w:rPr>
              <w:t>34.72d</w:t>
            </w:r>
          </w:p>
        </w:tc>
        <w:tc>
          <w:tcPr>
            <w:tcW w:w="290" w:type="dxa"/>
          </w:tcPr>
          <w:p>
            <w:pPr/>
          </w:p>
        </w:tc>
        <w:tc>
          <w:tcPr>
            <w:tcW w:w="869" w:type="dxa"/>
          </w:tcPr>
          <w:p>
            <w:pPr>
              <w:pStyle w:val="TableParagraph"/>
              <w:spacing w:line="205" w:lineRule="exact"/>
              <w:ind w:left="100"/>
              <w:rPr>
                <w:sz w:val="18"/>
              </w:rPr>
            </w:pPr>
            <w:r>
              <w:rPr>
                <w:sz w:val="18"/>
              </w:rPr>
              <w:t>35.47d</w:t>
            </w:r>
          </w:p>
        </w:tc>
        <w:tc>
          <w:tcPr>
            <w:tcW w:w="1296" w:type="dxa"/>
          </w:tcPr>
          <w:p>
            <w:pPr>
              <w:pStyle w:val="TableParagraph"/>
              <w:spacing w:line="205" w:lineRule="exact"/>
              <w:ind w:left="103" w:right="573"/>
              <w:rPr>
                <w:sz w:val="18"/>
              </w:rPr>
            </w:pPr>
            <w:r>
              <w:rPr>
                <w:sz w:val="18"/>
              </w:rPr>
              <w:t>57.03c</w:t>
            </w:r>
          </w:p>
        </w:tc>
        <w:tc>
          <w:tcPr>
            <w:tcW w:w="902" w:type="dxa"/>
          </w:tcPr>
          <w:p>
            <w:pPr>
              <w:pStyle w:val="TableParagraph"/>
              <w:spacing w:line="205" w:lineRule="exact"/>
              <w:ind w:left="103"/>
              <w:rPr>
                <w:sz w:val="18"/>
              </w:rPr>
            </w:pPr>
            <w:r>
              <w:rPr>
                <w:sz w:val="18"/>
              </w:rPr>
              <w:t>62.87b</w:t>
            </w:r>
          </w:p>
        </w:tc>
        <w:tc>
          <w:tcPr>
            <w:tcW w:w="890" w:type="dxa"/>
          </w:tcPr>
          <w:p>
            <w:pPr>
              <w:pStyle w:val="TableParagraph"/>
              <w:spacing w:line="205" w:lineRule="exact"/>
              <w:ind w:left="100"/>
              <w:rPr>
                <w:sz w:val="18"/>
              </w:rPr>
            </w:pPr>
            <w:r>
              <w:rPr>
                <w:sz w:val="18"/>
              </w:rPr>
              <w:t>69.71a</w:t>
            </w:r>
          </w:p>
        </w:tc>
        <w:tc>
          <w:tcPr>
            <w:tcW w:w="276" w:type="dxa"/>
          </w:tcPr>
          <w:p>
            <w:pPr/>
          </w:p>
        </w:tc>
        <w:tc>
          <w:tcPr>
            <w:tcW w:w="655" w:type="dxa"/>
          </w:tcPr>
          <w:p>
            <w:pPr>
              <w:pStyle w:val="TableParagraph"/>
              <w:spacing w:line="205" w:lineRule="exact"/>
              <w:ind w:left="103"/>
              <w:rPr>
                <w:sz w:val="18"/>
              </w:rPr>
            </w:pPr>
            <w:r>
              <w:rPr>
                <w:sz w:val="18"/>
              </w:rPr>
              <w:t>0.886</w:t>
            </w:r>
          </w:p>
        </w:tc>
        <w:tc>
          <w:tcPr>
            <w:tcW w:w="658" w:type="dxa"/>
          </w:tcPr>
          <w:p>
            <w:pPr>
              <w:pStyle w:val="TableParagraph"/>
              <w:spacing w:line="205" w:lineRule="exact"/>
              <w:ind w:left="103"/>
              <w:rPr>
                <w:sz w:val="18"/>
              </w:rPr>
            </w:pPr>
            <w:r>
              <w:rPr>
                <w:sz w:val="18"/>
              </w:rPr>
              <w:t>0.001</w:t>
            </w:r>
          </w:p>
        </w:tc>
        <w:tc>
          <w:tcPr>
            <w:tcW w:w="655" w:type="dxa"/>
          </w:tcPr>
          <w:p>
            <w:pPr>
              <w:pStyle w:val="TableParagraph"/>
              <w:spacing w:line="205" w:lineRule="exact"/>
              <w:ind w:left="100"/>
              <w:rPr>
                <w:sz w:val="18"/>
              </w:rPr>
            </w:pPr>
            <w:r>
              <w:rPr>
                <w:sz w:val="18"/>
              </w:rPr>
              <w:t>0.001</w:t>
            </w:r>
          </w:p>
        </w:tc>
        <w:tc>
          <w:tcPr>
            <w:tcW w:w="768" w:type="dxa"/>
          </w:tcPr>
          <w:p>
            <w:pPr>
              <w:pStyle w:val="TableParagraph"/>
              <w:spacing w:line="205"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Gas24</w:t>
            </w:r>
          </w:p>
        </w:tc>
        <w:tc>
          <w:tcPr>
            <w:tcW w:w="859" w:type="dxa"/>
          </w:tcPr>
          <w:p>
            <w:pPr>
              <w:pStyle w:val="TableParagraph"/>
              <w:spacing w:line="202" w:lineRule="exact"/>
              <w:ind w:left="100" w:right="109"/>
              <w:rPr>
                <w:sz w:val="18"/>
              </w:rPr>
            </w:pPr>
            <w:r>
              <w:rPr>
                <w:sz w:val="18"/>
              </w:rPr>
              <w:t>112.88a</w:t>
            </w:r>
          </w:p>
        </w:tc>
        <w:tc>
          <w:tcPr>
            <w:tcW w:w="970" w:type="dxa"/>
          </w:tcPr>
          <w:p>
            <w:pPr>
              <w:pStyle w:val="TableParagraph"/>
              <w:spacing w:line="202" w:lineRule="exact"/>
              <w:ind w:left="103"/>
              <w:rPr>
                <w:sz w:val="18"/>
              </w:rPr>
            </w:pPr>
            <w:r>
              <w:rPr>
                <w:sz w:val="18"/>
              </w:rPr>
              <w:t>114.10a</w:t>
            </w:r>
          </w:p>
        </w:tc>
        <w:tc>
          <w:tcPr>
            <w:tcW w:w="860" w:type="dxa"/>
          </w:tcPr>
          <w:p>
            <w:pPr>
              <w:pStyle w:val="TableParagraph"/>
              <w:spacing w:line="202" w:lineRule="exact"/>
              <w:ind w:left="100"/>
              <w:rPr>
                <w:sz w:val="18"/>
              </w:rPr>
            </w:pPr>
            <w:r>
              <w:rPr>
                <w:sz w:val="18"/>
              </w:rPr>
              <w:t>90.13b</w:t>
            </w:r>
          </w:p>
        </w:tc>
        <w:tc>
          <w:tcPr>
            <w:tcW w:w="871" w:type="dxa"/>
          </w:tcPr>
          <w:p>
            <w:pPr>
              <w:pStyle w:val="TableParagraph"/>
              <w:spacing w:line="202" w:lineRule="exact"/>
              <w:ind w:left="103"/>
              <w:rPr>
                <w:sz w:val="18"/>
              </w:rPr>
            </w:pPr>
            <w:r>
              <w:rPr>
                <w:sz w:val="18"/>
              </w:rPr>
              <w:t>70.48c</w:t>
            </w:r>
          </w:p>
        </w:tc>
        <w:tc>
          <w:tcPr>
            <w:tcW w:w="290" w:type="dxa"/>
          </w:tcPr>
          <w:p>
            <w:pPr/>
          </w:p>
        </w:tc>
        <w:tc>
          <w:tcPr>
            <w:tcW w:w="869" w:type="dxa"/>
          </w:tcPr>
          <w:p>
            <w:pPr>
              <w:pStyle w:val="TableParagraph"/>
              <w:spacing w:line="202" w:lineRule="exact"/>
              <w:ind w:left="100"/>
              <w:rPr>
                <w:sz w:val="18"/>
              </w:rPr>
            </w:pPr>
            <w:r>
              <w:rPr>
                <w:sz w:val="18"/>
              </w:rPr>
              <w:t>69.81c</w:t>
            </w:r>
          </w:p>
        </w:tc>
        <w:tc>
          <w:tcPr>
            <w:tcW w:w="1296" w:type="dxa"/>
          </w:tcPr>
          <w:p>
            <w:pPr>
              <w:pStyle w:val="TableParagraph"/>
              <w:spacing w:line="202" w:lineRule="exact"/>
              <w:ind w:left="103"/>
              <w:rPr>
                <w:sz w:val="18"/>
              </w:rPr>
            </w:pPr>
            <w:r>
              <w:rPr>
                <w:sz w:val="18"/>
              </w:rPr>
              <w:t>100.63b</w:t>
            </w:r>
          </w:p>
        </w:tc>
        <w:tc>
          <w:tcPr>
            <w:tcW w:w="902" w:type="dxa"/>
          </w:tcPr>
          <w:p>
            <w:pPr>
              <w:pStyle w:val="TableParagraph"/>
              <w:spacing w:line="202" w:lineRule="exact"/>
              <w:ind w:left="103"/>
              <w:rPr>
                <w:sz w:val="18"/>
              </w:rPr>
            </w:pPr>
            <w:r>
              <w:rPr>
                <w:sz w:val="18"/>
              </w:rPr>
              <w:t>106.30a</w:t>
            </w:r>
          </w:p>
        </w:tc>
        <w:tc>
          <w:tcPr>
            <w:tcW w:w="890" w:type="dxa"/>
          </w:tcPr>
          <w:p>
            <w:pPr>
              <w:pStyle w:val="TableParagraph"/>
              <w:spacing w:line="202" w:lineRule="exact"/>
              <w:ind w:left="100"/>
              <w:rPr>
                <w:sz w:val="18"/>
              </w:rPr>
            </w:pPr>
            <w:r>
              <w:rPr>
                <w:sz w:val="18"/>
              </w:rPr>
              <w:t>110.85a</w:t>
            </w:r>
          </w:p>
        </w:tc>
        <w:tc>
          <w:tcPr>
            <w:tcW w:w="276" w:type="dxa"/>
          </w:tcPr>
          <w:p>
            <w:pPr/>
          </w:p>
        </w:tc>
        <w:tc>
          <w:tcPr>
            <w:tcW w:w="655" w:type="dxa"/>
          </w:tcPr>
          <w:p>
            <w:pPr>
              <w:pStyle w:val="TableParagraph"/>
              <w:spacing w:line="202" w:lineRule="exact"/>
              <w:ind w:left="103"/>
              <w:rPr>
                <w:sz w:val="18"/>
              </w:rPr>
            </w:pPr>
            <w:r>
              <w:rPr>
                <w:sz w:val="18"/>
              </w:rPr>
              <w:t>1.433</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8" w:hRule="exact"/>
        </w:trPr>
        <w:tc>
          <w:tcPr>
            <w:tcW w:w="872" w:type="dxa"/>
          </w:tcPr>
          <w:p>
            <w:pPr>
              <w:pStyle w:val="TableParagraph"/>
              <w:spacing w:line="202" w:lineRule="exact"/>
              <w:ind w:left="103"/>
              <w:rPr>
                <w:sz w:val="18"/>
              </w:rPr>
            </w:pPr>
            <w:r>
              <w:rPr>
                <w:sz w:val="18"/>
              </w:rPr>
              <w:t>Gas36</w:t>
            </w:r>
          </w:p>
        </w:tc>
        <w:tc>
          <w:tcPr>
            <w:tcW w:w="859" w:type="dxa"/>
          </w:tcPr>
          <w:p>
            <w:pPr>
              <w:pStyle w:val="TableParagraph"/>
              <w:spacing w:line="202" w:lineRule="exact"/>
              <w:ind w:left="100" w:right="109"/>
              <w:rPr>
                <w:sz w:val="18"/>
              </w:rPr>
            </w:pPr>
            <w:r>
              <w:rPr>
                <w:sz w:val="18"/>
              </w:rPr>
              <w:t>151.96a</w:t>
            </w:r>
          </w:p>
        </w:tc>
        <w:tc>
          <w:tcPr>
            <w:tcW w:w="970" w:type="dxa"/>
          </w:tcPr>
          <w:p>
            <w:pPr>
              <w:pStyle w:val="TableParagraph"/>
              <w:spacing w:line="202" w:lineRule="exact"/>
              <w:ind w:left="103"/>
              <w:rPr>
                <w:sz w:val="18"/>
              </w:rPr>
            </w:pPr>
            <w:r>
              <w:rPr>
                <w:sz w:val="18"/>
              </w:rPr>
              <w:t>154.25a</w:t>
            </w:r>
          </w:p>
        </w:tc>
        <w:tc>
          <w:tcPr>
            <w:tcW w:w="860" w:type="dxa"/>
          </w:tcPr>
          <w:p>
            <w:pPr>
              <w:pStyle w:val="TableParagraph"/>
              <w:spacing w:line="202" w:lineRule="exact"/>
              <w:ind w:left="100"/>
              <w:rPr>
                <w:sz w:val="18"/>
              </w:rPr>
            </w:pPr>
            <w:r>
              <w:rPr>
                <w:sz w:val="18"/>
              </w:rPr>
              <w:t>124.84b</w:t>
            </w:r>
          </w:p>
        </w:tc>
        <w:tc>
          <w:tcPr>
            <w:tcW w:w="871" w:type="dxa"/>
          </w:tcPr>
          <w:p>
            <w:pPr>
              <w:pStyle w:val="TableParagraph"/>
              <w:spacing w:line="202" w:lineRule="exact"/>
              <w:ind w:left="103"/>
              <w:rPr>
                <w:sz w:val="18"/>
              </w:rPr>
            </w:pPr>
            <w:r>
              <w:rPr>
                <w:sz w:val="18"/>
              </w:rPr>
              <w:t>108.72c</w:t>
            </w:r>
          </w:p>
        </w:tc>
        <w:tc>
          <w:tcPr>
            <w:tcW w:w="290" w:type="dxa"/>
          </w:tcPr>
          <w:p>
            <w:pPr/>
          </w:p>
        </w:tc>
        <w:tc>
          <w:tcPr>
            <w:tcW w:w="869" w:type="dxa"/>
          </w:tcPr>
          <w:p>
            <w:pPr>
              <w:pStyle w:val="TableParagraph"/>
              <w:spacing w:line="202" w:lineRule="exact"/>
              <w:ind w:left="100"/>
              <w:rPr>
                <w:sz w:val="18"/>
              </w:rPr>
            </w:pPr>
            <w:r>
              <w:rPr>
                <w:sz w:val="18"/>
              </w:rPr>
              <w:t>104.75c</w:t>
            </w:r>
          </w:p>
        </w:tc>
        <w:tc>
          <w:tcPr>
            <w:tcW w:w="1296" w:type="dxa"/>
          </w:tcPr>
          <w:p>
            <w:pPr>
              <w:pStyle w:val="TableParagraph"/>
              <w:spacing w:line="202" w:lineRule="exact"/>
              <w:ind w:left="103"/>
              <w:rPr>
                <w:sz w:val="18"/>
              </w:rPr>
            </w:pPr>
            <w:r>
              <w:rPr>
                <w:sz w:val="18"/>
              </w:rPr>
              <w:t>141.15b</w:t>
            </w:r>
          </w:p>
        </w:tc>
        <w:tc>
          <w:tcPr>
            <w:tcW w:w="902" w:type="dxa"/>
          </w:tcPr>
          <w:p>
            <w:pPr>
              <w:pStyle w:val="TableParagraph"/>
              <w:spacing w:line="202" w:lineRule="exact"/>
              <w:ind w:left="103"/>
              <w:rPr>
                <w:sz w:val="18"/>
              </w:rPr>
            </w:pPr>
            <w:r>
              <w:rPr>
                <w:sz w:val="18"/>
              </w:rPr>
              <w:t>144.35ab</w:t>
            </w:r>
          </w:p>
        </w:tc>
        <w:tc>
          <w:tcPr>
            <w:tcW w:w="890" w:type="dxa"/>
          </w:tcPr>
          <w:p>
            <w:pPr>
              <w:pStyle w:val="TableParagraph"/>
              <w:spacing w:line="202" w:lineRule="exact"/>
              <w:ind w:left="100"/>
              <w:rPr>
                <w:sz w:val="18"/>
              </w:rPr>
            </w:pPr>
            <w:r>
              <w:rPr>
                <w:sz w:val="18"/>
              </w:rPr>
              <w:t>149.54a</w:t>
            </w:r>
          </w:p>
        </w:tc>
        <w:tc>
          <w:tcPr>
            <w:tcW w:w="276" w:type="dxa"/>
          </w:tcPr>
          <w:p>
            <w:pPr/>
          </w:p>
        </w:tc>
        <w:tc>
          <w:tcPr>
            <w:tcW w:w="655" w:type="dxa"/>
          </w:tcPr>
          <w:p>
            <w:pPr>
              <w:pStyle w:val="TableParagraph"/>
              <w:spacing w:line="202" w:lineRule="exact"/>
              <w:ind w:left="103"/>
              <w:rPr>
                <w:sz w:val="18"/>
              </w:rPr>
            </w:pPr>
            <w:r>
              <w:rPr>
                <w:sz w:val="18"/>
              </w:rPr>
              <w:t>1.659</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Gas48</w:t>
            </w:r>
          </w:p>
        </w:tc>
        <w:tc>
          <w:tcPr>
            <w:tcW w:w="859" w:type="dxa"/>
          </w:tcPr>
          <w:p>
            <w:pPr>
              <w:pStyle w:val="TableParagraph"/>
              <w:spacing w:line="202" w:lineRule="exact"/>
              <w:ind w:left="100" w:right="109"/>
              <w:rPr>
                <w:sz w:val="18"/>
              </w:rPr>
            </w:pPr>
            <w:r>
              <w:rPr>
                <w:sz w:val="18"/>
              </w:rPr>
              <w:t>183.52a</w:t>
            </w:r>
          </w:p>
        </w:tc>
        <w:tc>
          <w:tcPr>
            <w:tcW w:w="970" w:type="dxa"/>
          </w:tcPr>
          <w:p>
            <w:pPr>
              <w:pStyle w:val="TableParagraph"/>
              <w:spacing w:line="202" w:lineRule="exact"/>
              <w:ind w:left="103"/>
              <w:rPr>
                <w:sz w:val="18"/>
              </w:rPr>
            </w:pPr>
            <w:r>
              <w:rPr>
                <w:sz w:val="18"/>
              </w:rPr>
              <w:t>183.65a</w:t>
            </w:r>
          </w:p>
        </w:tc>
        <w:tc>
          <w:tcPr>
            <w:tcW w:w="860" w:type="dxa"/>
          </w:tcPr>
          <w:p>
            <w:pPr>
              <w:pStyle w:val="TableParagraph"/>
              <w:spacing w:line="202" w:lineRule="exact"/>
              <w:ind w:left="100"/>
              <w:rPr>
                <w:sz w:val="18"/>
              </w:rPr>
            </w:pPr>
            <w:r>
              <w:rPr>
                <w:sz w:val="18"/>
              </w:rPr>
              <w:t>152.79b</w:t>
            </w:r>
          </w:p>
        </w:tc>
        <w:tc>
          <w:tcPr>
            <w:tcW w:w="871" w:type="dxa"/>
          </w:tcPr>
          <w:p>
            <w:pPr>
              <w:pStyle w:val="TableParagraph"/>
              <w:spacing w:line="202" w:lineRule="exact"/>
              <w:ind w:left="103"/>
              <w:rPr>
                <w:sz w:val="18"/>
              </w:rPr>
            </w:pPr>
            <w:r>
              <w:rPr>
                <w:sz w:val="18"/>
              </w:rPr>
              <w:t>137.26c</w:t>
            </w:r>
          </w:p>
        </w:tc>
        <w:tc>
          <w:tcPr>
            <w:tcW w:w="290" w:type="dxa"/>
          </w:tcPr>
          <w:p>
            <w:pPr/>
          </w:p>
        </w:tc>
        <w:tc>
          <w:tcPr>
            <w:tcW w:w="869" w:type="dxa"/>
          </w:tcPr>
          <w:p>
            <w:pPr>
              <w:pStyle w:val="TableParagraph"/>
              <w:spacing w:line="202" w:lineRule="exact"/>
              <w:ind w:left="100"/>
              <w:rPr>
                <w:sz w:val="18"/>
              </w:rPr>
            </w:pPr>
            <w:r>
              <w:rPr>
                <w:sz w:val="18"/>
              </w:rPr>
              <w:t>131.78c</w:t>
            </w:r>
          </w:p>
        </w:tc>
        <w:tc>
          <w:tcPr>
            <w:tcW w:w="1296" w:type="dxa"/>
          </w:tcPr>
          <w:p>
            <w:pPr>
              <w:pStyle w:val="TableParagraph"/>
              <w:spacing w:line="202" w:lineRule="exact"/>
              <w:ind w:left="103"/>
              <w:rPr>
                <w:sz w:val="18"/>
              </w:rPr>
            </w:pPr>
            <w:r>
              <w:rPr>
                <w:sz w:val="18"/>
              </w:rPr>
              <w:t>172.28b</w:t>
            </w:r>
          </w:p>
        </w:tc>
        <w:tc>
          <w:tcPr>
            <w:tcW w:w="902" w:type="dxa"/>
          </w:tcPr>
          <w:p>
            <w:pPr>
              <w:pStyle w:val="TableParagraph"/>
              <w:spacing w:line="202" w:lineRule="exact"/>
              <w:ind w:left="103"/>
              <w:rPr>
                <w:sz w:val="18"/>
              </w:rPr>
            </w:pPr>
            <w:r>
              <w:rPr>
                <w:sz w:val="18"/>
              </w:rPr>
              <w:t>173.34ab</w:t>
            </w:r>
          </w:p>
        </w:tc>
        <w:tc>
          <w:tcPr>
            <w:tcW w:w="890" w:type="dxa"/>
          </w:tcPr>
          <w:p>
            <w:pPr>
              <w:pStyle w:val="TableParagraph"/>
              <w:spacing w:line="202" w:lineRule="exact"/>
              <w:ind w:left="100"/>
              <w:rPr>
                <w:sz w:val="18"/>
              </w:rPr>
            </w:pPr>
            <w:r>
              <w:rPr>
                <w:sz w:val="18"/>
              </w:rPr>
              <w:t>179.82a</w:t>
            </w:r>
          </w:p>
        </w:tc>
        <w:tc>
          <w:tcPr>
            <w:tcW w:w="276" w:type="dxa"/>
          </w:tcPr>
          <w:p>
            <w:pPr/>
          </w:p>
        </w:tc>
        <w:tc>
          <w:tcPr>
            <w:tcW w:w="655" w:type="dxa"/>
          </w:tcPr>
          <w:p>
            <w:pPr>
              <w:pStyle w:val="TableParagraph"/>
              <w:spacing w:line="202" w:lineRule="exact"/>
              <w:ind w:left="103"/>
              <w:rPr>
                <w:sz w:val="18"/>
              </w:rPr>
            </w:pPr>
            <w:r>
              <w:rPr>
                <w:sz w:val="18"/>
              </w:rPr>
              <w:t>1.763</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Gas72</w:t>
            </w:r>
          </w:p>
        </w:tc>
        <w:tc>
          <w:tcPr>
            <w:tcW w:w="859" w:type="dxa"/>
          </w:tcPr>
          <w:p>
            <w:pPr>
              <w:pStyle w:val="TableParagraph"/>
              <w:spacing w:line="202" w:lineRule="exact"/>
              <w:ind w:left="100" w:right="109"/>
              <w:rPr>
                <w:sz w:val="18"/>
              </w:rPr>
            </w:pPr>
            <w:r>
              <w:rPr>
                <w:sz w:val="18"/>
              </w:rPr>
              <w:t>206.34a</w:t>
            </w:r>
          </w:p>
        </w:tc>
        <w:tc>
          <w:tcPr>
            <w:tcW w:w="970" w:type="dxa"/>
          </w:tcPr>
          <w:p>
            <w:pPr>
              <w:pStyle w:val="TableParagraph"/>
              <w:spacing w:line="202" w:lineRule="exact"/>
              <w:ind w:left="103"/>
              <w:rPr>
                <w:sz w:val="18"/>
              </w:rPr>
            </w:pPr>
            <w:r>
              <w:rPr>
                <w:sz w:val="18"/>
              </w:rPr>
              <w:t>206.28a</w:t>
            </w:r>
          </w:p>
        </w:tc>
        <w:tc>
          <w:tcPr>
            <w:tcW w:w="860" w:type="dxa"/>
          </w:tcPr>
          <w:p>
            <w:pPr>
              <w:pStyle w:val="TableParagraph"/>
              <w:spacing w:line="202" w:lineRule="exact"/>
              <w:ind w:left="100"/>
              <w:rPr>
                <w:sz w:val="18"/>
              </w:rPr>
            </w:pPr>
            <w:r>
              <w:rPr>
                <w:sz w:val="18"/>
              </w:rPr>
              <w:t>178.57b</w:t>
            </w:r>
          </w:p>
        </w:tc>
        <w:tc>
          <w:tcPr>
            <w:tcW w:w="871" w:type="dxa"/>
          </w:tcPr>
          <w:p>
            <w:pPr>
              <w:pStyle w:val="TableParagraph"/>
              <w:spacing w:line="202" w:lineRule="exact"/>
              <w:ind w:left="103"/>
              <w:rPr>
                <w:sz w:val="18"/>
              </w:rPr>
            </w:pPr>
            <w:r>
              <w:rPr>
                <w:sz w:val="18"/>
              </w:rPr>
              <w:t>161.59c</w:t>
            </w:r>
          </w:p>
        </w:tc>
        <w:tc>
          <w:tcPr>
            <w:tcW w:w="290" w:type="dxa"/>
          </w:tcPr>
          <w:p>
            <w:pPr/>
          </w:p>
        </w:tc>
        <w:tc>
          <w:tcPr>
            <w:tcW w:w="869" w:type="dxa"/>
          </w:tcPr>
          <w:p>
            <w:pPr>
              <w:pStyle w:val="TableParagraph"/>
              <w:spacing w:line="202" w:lineRule="exact"/>
              <w:ind w:left="100"/>
              <w:rPr>
                <w:sz w:val="18"/>
              </w:rPr>
            </w:pPr>
            <w:r>
              <w:rPr>
                <w:sz w:val="18"/>
              </w:rPr>
              <w:t>155.50c</w:t>
            </w:r>
          </w:p>
        </w:tc>
        <w:tc>
          <w:tcPr>
            <w:tcW w:w="1296" w:type="dxa"/>
          </w:tcPr>
          <w:p>
            <w:pPr>
              <w:pStyle w:val="TableParagraph"/>
              <w:spacing w:line="202" w:lineRule="exact"/>
              <w:ind w:left="103"/>
              <w:rPr>
                <w:sz w:val="18"/>
              </w:rPr>
            </w:pPr>
            <w:r>
              <w:rPr>
                <w:sz w:val="18"/>
              </w:rPr>
              <w:t>196.25b</w:t>
            </w:r>
          </w:p>
        </w:tc>
        <w:tc>
          <w:tcPr>
            <w:tcW w:w="902" w:type="dxa"/>
          </w:tcPr>
          <w:p>
            <w:pPr>
              <w:pStyle w:val="TableParagraph"/>
              <w:spacing w:line="202" w:lineRule="exact"/>
              <w:ind w:left="103"/>
              <w:rPr>
                <w:sz w:val="18"/>
              </w:rPr>
            </w:pPr>
            <w:r>
              <w:rPr>
                <w:sz w:val="18"/>
              </w:rPr>
              <w:t>197.29ab</w:t>
            </w:r>
          </w:p>
        </w:tc>
        <w:tc>
          <w:tcPr>
            <w:tcW w:w="890" w:type="dxa"/>
          </w:tcPr>
          <w:p>
            <w:pPr>
              <w:pStyle w:val="TableParagraph"/>
              <w:spacing w:line="202" w:lineRule="exact"/>
              <w:ind w:left="100"/>
              <w:rPr>
                <w:sz w:val="18"/>
              </w:rPr>
            </w:pPr>
            <w:r>
              <w:rPr>
                <w:sz w:val="18"/>
              </w:rPr>
              <w:t>203.75a</w:t>
            </w:r>
          </w:p>
        </w:tc>
        <w:tc>
          <w:tcPr>
            <w:tcW w:w="276" w:type="dxa"/>
          </w:tcPr>
          <w:p>
            <w:pPr/>
          </w:p>
        </w:tc>
        <w:tc>
          <w:tcPr>
            <w:tcW w:w="655" w:type="dxa"/>
          </w:tcPr>
          <w:p>
            <w:pPr>
              <w:pStyle w:val="TableParagraph"/>
              <w:spacing w:line="202" w:lineRule="exact"/>
              <w:ind w:left="103"/>
              <w:rPr>
                <w:sz w:val="18"/>
              </w:rPr>
            </w:pPr>
            <w:r>
              <w:rPr>
                <w:sz w:val="18"/>
              </w:rPr>
              <w:t>1.811</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8" w:hRule="exact"/>
        </w:trPr>
        <w:tc>
          <w:tcPr>
            <w:tcW w:w="872" w:type="dxa"/>
          </w:tcPr>
          <w:p>
            <w:pPr>
              <w:pStyle w:val="TableParagraph"/>
              <w:spacing w:line="205" w:lineRule="exact"/>
              <w:ind w:left="103"/>
              <w:rPr>
                <w:sz w:val="18"/>
              </w:rPr>
            </w:pPr>
            <w:r>
              <w:rPr>
                <w:sz w:val="18"/>
              </w:rPr>
              <w:t>Gas96</w:t>
            </w:r>
          </w:p>
        </w:tc>
        <w:tc>
          <w:tcPr>
            <w:tcW w:w="859" w:type="dxa"/>
          </w:tcPr>
          <w:p>
            <w:pPr>
              <w:pStyle w:val="TableParagraph"/>
              <w:spacing w:line="205" w:lineRule="exact"/>
              <w:ind w:left="100" w:right="109"/>
              <w:rPr>
                <w:sz w:val="18"/>
              </w:rPr>
            </w:pPr>
            <w:r>
              <w:rPr>
                <w:sz w:val="18"/>
              </w:rPr>
              <w:t>220.20a</w:t>
            </w:r>
          </w:p>
        </w:tc>
        <w:tc>
          <w:tcPr>
            <w:tcW w:w="970" w:type="dxa"/>
          </w:tcPr>
          <w:p>
            <w:pPr>
              <w:pStyle w:val="TableParagraph"/>
              <w:spacing w:line="205" w:lineRule="exact"/>
              <w:ind w:left="103"/>
              <w:rPr>
                <w:sz w:val="18"/>
              </w:rPr>
            </w:pPr>
            <w:r>
              <w:rPr>
                <w:sz w:val="18"/>
              </w:rPr>
              <w:t>219.45a</w:t>
            </w:r>
          </w:p>
        </w:tc>
        <w:tc>
          <w:tcPr>
            <w:tcW w:w="860" w:type="dxa"/>
          </w:tcPr>
          <w:p>
            <w:pPr>
              <w:pStyle w:val="TableParagraph"/>
              <w:spacing w:line="205" w:lineRule="exact"/>
              <w:ind w:left="100"/>
              <w:rPr>
                <w:sz w:val="18"/>
              </w:rPr>
            </w:pPr>
            <w:r>
              <w:rPr>
                <w:sz w:val="18"/>
              </w:rPr>
              <w:t>194.41b</w:t>
            </w:r>
          </w:p>
        </w:tc>
        <w:tc>
          <w:tcPr>
            <w:tcW w:w="871" w:type="dxa"/>
          </w:tcPr>
          <w:p>
            <w:pPr>
              <w:pStyle w:val="TableParagraph"/>
              <w:spacing w:line="205" w:lineRule="exact"/>
              <w:ind w:left="103"/>
              <w:rPr>
                <w:sz w:val="18"/>
              </w:rPr>
            </w:pPr>
            <w:r>
              <w:rPr>
                <w:sz w:val="18"/>
              </w:rPr>
              <w:t>177.77c</w:t>
            </w:r>
          </w:p>
        </w:tc>
        <w:tc>
          <w:tcPr>
            <w:tcW w:w="290" w:type="dxa"/>
          </w:tcPr>
          <w:p>
            <w:pPr/>
          </w:p>
        </w:tc>
        <w:tc>
          <w:tcPr>
            <w:tcW w:w="869" w:type="dxa"/>
          </w:tcPr>
          <w:p>
            <w:pPr>
              <w:pStyle w:val="TableParagraph"/>
              <w:spacing w:line="205" w:lineRule="exact"/>
              <w:ind w:left="100"/>
              <w:rPr>
                <w:sz w:val="18"/>
              </w:rPr>
            </w:pPr>
            <w:r>
              <w:rPr>
                <w:sz w:val="18"/>
              </w:rPr>
              <w:t>170.90c</w:t>
            </w:r>
          </w:p>
        </w:tc>
        <w:tc>
          <w:tcPr>
            <w:tcW w:w="1296" w:type="dxa"/>
          </w:tcPr>
          <w:p>
            <w:pPr>
              <w:pStyle w:val="TableParagraph"/>
              <w:spacing w:line="205" w:lineRule="exact"/>
              <w:ind w:left="103"/>
              <w:rPr>
                <w:sz w:val="18"/>
              </w:rPr>
            </w:pPr>
            <w:r>
              <w:rPr>
                <w:sz w:val="18"/>
              </w:rPr>
              <w:t>209.22b</w:t>
            </w:r>
          </w:p>
        </w:tc>
        <w:tc>
          <w:tcPr>
            <w:tcW w:w="902" w:type="dxa"/>
          </w:tcPr>
          <w:p>
            <w:pPr>
              <w:pStyle w:val="TableParagraph"/>
              <w:spacing w:line="205" w:lineRule="exact"/>
              <w:ind w:left="103"/>
              <w:rPr>
                <w:sz w:val="18"/>
              </w:rPr>
            </w:pPr>
            <w:r>
              <w:rPr>
                <w:sz w:val="18"/>
              </w:rPr>
              <w:t>211.97ab</w:t>
            </w:r>
          </w:p>
        </w:tc>
        <w:tc>
          <w:tcPr>
            <w:tcW w:w="890" w:type="dxa"/>
          </w:tcPr>
          <w:p>
            <w:pPr>
              <w:pStyle w:val="TableParagraph"/>
              <w:spacing w:line="205" w:lineRule="exact"/>
              <w:ind w:left="100"/>
              <w:rPr>
                <w:sz w:val="18"/>
              </w:rPr>
            </w:pPr>
            <w:r>
              <w:rPr>
                <w:sz w:val="18"/>
              </w:rPr>
              <w:t>219.74a</w:t>
            </w:r>
          </w:p>
        </w:tc>
        <w:tc>
          <w:tcPr>
            <w:tcW w:w="276" w:type="dxa"/>
          </w:tcPr>
          <w:p>
            <w:pPr/>
          </w:p>
        </w:tc>
        <w:tc>
          <w:tcPr>
            <w:tcW w:w="655" w:type="dxa"/>
          </w:tcPr>
          <w:p>
            <w:pPr>
              <w:pStyle w:val="TableParagraph"/>
              <w:spacing w:line="205" w:lineRule="exact"/>
              <w:ind w:left="103"/>
              <w:rPr>
                <w:sz w:val="18"/>
              </w:rPr>
            </w:pPr>
            <w:r>
              <w:rPr>
                <w:sz w:val="18"/>
              </w:rPr>
              <w:t>2.037</w:t>
            </w:r>
          </w:p>
        </w:tc>
        <w:tc>
          <w:tcPr>
            <w:tcW w:w="658" w:type="dxa"/>
          </w:tcPr>
          <w:p>
            <w:pPr>
              <w:pStyle w:val="TableParagraph"/>
              <w:spacing w:line="205" w:lineRule="exact"/>
              <w:ind w:left="103"/>
              <w:rPr>
                <w:sz w:val="18"/>
              </w:rPr>
            </w:pPr>
            <w:r>
              <w:rPr>
                <w:sz w:val="18"/>
              </w:rPr>
              <w:t>0.001</w:t>
            </w:r>
          </w:p>
        </w:tc>
        <w:tc>
          <w:tcPr>
            <w:tcW w:w="655" w:type="dxa"/>
          </w:tcPr>
          <w:p>
            <w:pPr>
              <w:pStyle w:val="TableParagraph"/>
              <w:spacing w:line="205" w:lineRule="exact"/>
              <w:ind w:left="100"/>
              <w:rPr>
                <w:sz w:val="18"/>
              </w:rPr>
            </w:pPr>
            <w:r>
              <w:rPr>
                <w:sz w:val="18"/>
              </w:rPr>
              <w:t>0.001</w:t>
            </w:r>
          </w:p>
        </w:tc>
        <w:tc>
          <w:tcPr>
            <w:tcW w:w="768" w:type="dxa"/>
          </w:tcPr>
          <w:p>
            <w:pPr>
              <w:pStyle w:val="TableParagraph"/>
              <w:spacing w:line="205"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pH</w:t>
            </w:r>
          </w:p>
        </w:tc>
        <w:tc>
          <w:tcPr>
            <w:tcW w:w="859" w:type="dxa"/>
          </w:tcPr>
          <w:p>
            <w:pPr>
              <w:pStyle w:val="TableParagraph"/>
              <w:spacing w:line="202" w:lineRule="exact"/>
              <w:ind w:left="100" w:right="109"/>
              <w:rPr>
                <w:sz w:val="18"/>
              </w:rPr>
            </w:pPr>
            <w:r>
              <w:rPr>
                <w:sz w:val="18"/>
              </w:rPr>
              <w:t>5.09b</w:t>
            </w:r>
          </w:p>
        </w:tc>
        <w:tc>
          <w:tcPr>
            <w:tcW w:w="970" w:type="dxa"/>
          </w:tcPr>
          <w:p>
            <w:pPr>
              <w:pStyle w:val="TableParagraph"/>
              <w:spacing w:line="202" w:lineRule="exact"/>
              <w:ind w:left="103" w:right="397"/>
              <w:rPr>
                <w:sz w:val="18"/>
              </w:rPr>
            </w:pPr>
            <w:r>
              <w:rPr>
                <w:sz w:val="18"/>
              </w:rPr>
              <w:t>4.31c</w:t>
            </w:r>
          </w:p>
        </w:tc>
        <w:tc>
          <w:tcPr>
            <w:tcW w:w="860" w:type="dxa"/>
          </w:tcPr>
          <w:p>
            <w:pPr>
              <w:pStyle w:val="TableParagraph"/>
              <w:spacing w:line="202" w:lineRule="exact"/>
              <w:ind w:left="100"/>
              <w:rPr>
                <w:sz w:val="18"/>
              </w:rPr>
            </w:pPr>
            <w:r>
              <w:rPr>
                <w:sz w:val="18"/>
              </w:rPr>
              <w:t>4.95b</w:t>
            </w:r>
          </w:p>
        </w:tc>
        <w:tc>
          <w:tcPr>
            <w:tcW w:w="871" w:type="dxa"/>
          </w:tcPr>
          <w:p>
            <w:pPr>
              <w:pStyle w:val="TableParagraph"/>
              <w:spacing w:line="202" w:lineRule="exact"/>
              <w:ind w:left="103"/>
              <w:rPr>
                <w:sz w:val="18"/>
              </w:rPr>
            </w:pPr>
            <w:r>
              <w:rPr>
                <w:sz w:val="18"/>
              </w:rPr>
              <w:t>6.37a</w:t>
            </w:r>
          </w:p>
        </w:tc>
        <w:tc>
          <w:tcPr>
            <w:tcW w:w="290" w:type="dxa"/>
          </w:tcPr>
          <w:p>
            <w:pPr/>
          </w:p>
        </w:tc>
        <w:tc>
          <w:tcPr>
            <w:tcW w:w="869" w:type="dxa"/>
          </w:tcPr>
          <w:p>
            <w:pPr>
              <w:pStyle w:val="TableParagraph"/>
              <w:spacing w:line="202" w:lineRule="exact"/>
              <w:ind w:left="100"/>
              <w:rPr>
                <w:sz w:val="18"/>
              </w:rPr>
            </w:pPr>
            <w:r>
              <w:rPr>
                <w:sz w:val="18"/>
              </w:rPr>
              <w:t>6.13a</w:t>
            </w:r>
          </w:p>
        </w:tc>
        <w:tc>
          <w:tcPr>
            <w:tcW w:w="1296" w:type="dxa"/>
          </w:tcPr>
          <w:p>
            <w:pPr>
              <w:pStyle w:val="TableParagraph"/>
              <w:spacing w:line="202" w:lineRule="exact"/>
              <w:ind w:left="103" w:right="573"/>
              <w:rPr>
                <w:sz w:val="18"/>
              </w:rPr>
            </w:pPr>
            <w:r>
              <w:rPr>
                <w:sz w:val="18"/>
              </w:rPr>
              <w:t>4.87b</w:t>
            </w:r>
          </w:p>
        </w:tc>
        <w:tc>
          <w:tcPr>
            <w:tcW w:w="902" w:type="dxa"/>
          </w:tcPr>
          <w:p>
            <w:pPr>
              <w:pStyle w:val="TableParagraph"/>
              <w:spacing w:line="202" w:lineRule="exact"/>
              <w:ind w:left="103"/>
              <w:rPr>
                <w:sz w:val="18"/>
              </w:rPr>
            </w:pPr>
            <w:r>
              <w:rPr>
                <w:sz w:val="18"/>
              </w:rPr>
              <w:t>5.03b</w:t>
            </w:r>
          </w:p>
        </w:tc>
        <w:tc>
          <w:tcPr>
            <w:tcW w:w="890" w:type="dxa"/>
          </w:tcPr>
          <w:p>
            <w:pPr>
              <w:pStyle w:val="TableParagraph"/>
              <w:spacing w:line="202" w:lineRule="exact"/>
              <w:ind w:left="100"/>
              <w:rPr>
                <w:sz w:val="18"/>
              </w:rPr>
            </w:pPr>
            <w:r>
              <w:rPr>
                <w:sz w:val="18"/>
              </w:rPr>
              <w:t>4.70b</w:t>
            </w:r>
          </w:p>
        </w:tc>
        <w:tc>
          <w:tcPr>
            <w:tcW w:w="276" w:type="dxa"/>
          </w:tcPr>
          <w:p>
            <w:pPr/>
          </w:p>
        </w:tc>
        <w:tc>
          <w:tcPr>
            <w:tcW w:w="655" w:type="dxa"/>
          </w:tcPr>
          <w:p>
            <w:pPr>
              <w:pStyle w:val="TableParagraph"/>
              <w:spacing w:line="202" w:lineRule="exact"/>
              <w:ind w:left="103"/>
              <w:rPr>
                <w:sz w:val="18"/>
              </w:rPr>
            </w:pPr>
            <w:r>
              <w:rPr>
                <w:sz w:val="18"/>
              </w:rPr>
              <w:t>0.225</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8" w:hRule="exact"/>
        </w:trPr>
        <w:tc>
          <w:tcPr>
            <w:tcW w:w="872" w:type="dxa"/>
          </w:tcPr>
          <w:p>
            <w:pPr>
              <w:pStyle w:val="TableParagraph"/>
              <w:spacing w:line="202" w:lineRule="exact"/>
              <w:ind w:left="103"/>
              <w:rPr>
                <w:sz w:val="18"/>
              </w:rPr>
            </w:pPr>
            <w:r>
              <w:rPr>
                <w:sz w:val="18"/>
              </w:rPr>
              <w:t>DMD</w:t>
            </w:r>
          </w:p>
        </w:tc>
        <w:tc>
          <w:tcPr>
            <w:tcW w:w="859" w:type="dxa"/>
          </w:tcPr>
          <w:p>
            <w:pPr>
              <w:pStyle w:val="TableParagraph"/>
              <w:spacing w:line="202" w:lineRule="exact"/>
              <w:ind w:left="100" w:right="109"/>
              <w:rPr>
                <w:sz w:val="18"/>
              </w:rPr>
            </w:pPr>
            <w:r>
              <w:rPr>
                <w:sz w:val="18"/>
              </w:rPr>
              <w:t>649.8b</w:t>
            </w:r>
          </w:p>
        </w:tc>
        <w:tc>
          <w:tcPr>
            <w:tcW w:w="970" w:type="dxa"/>
          </w:tcPr>
          <w:p>
            <w:pPr>
              <w:pStyle w:val="TableParagraph"/>
              <w:spacing w:line="202" w:lineRule="exact"/>
              <w:ind w:left="103"/>
              <w:rPr>
                <w:sz w:val="18"/>
              </w:rPr>
            </w:pPr>
            <w:r>
              <w:rPr>
                <w:sz w:val="18"/>
              </w:rPr>
              <w:t>676.5a</w:t>
            </w:r>
          </w:p>
        </w:tc>
        <w:tc>
          <w:tcPr>
            <w:tcW w:w="860" w:type="dxa"/>
          </w:tcPr>
          <w:p>
            <w:pPr>
              <w:pStyle w:val="TableParagraph"/>
              <w:spacing w:line="202" w:lineRule="exact"/>
              <w:ind w:left="100"/>
              <w:rPr>
                <w:sz w:val="18"/>
              </w:rPr>
            </w:pPr>
            <w:r>
              <w:rPr>
                <w:sz w:val="18"/>
              </w:rPr>
              <w:t>617.2c</w:t>
            </w:r>
          </w:p>
        </w:tc>
        <w:tc>
          <w:tcPr>
            <w:tcW w:w="871" w:type="dxa"/>
          </w:tcPr>
          <w:p>
            <w:pPr>
              <w:pStyle w:val="TableParagraph"/>
              <w:spacing w:line="202" w:lineRule="exact"/>
              <w:ind w:left="103"/>
              <w:rPr>
                <w:sz w:val="18"/>
              </w:rPr>
            </w:pPr>
            <w:r>
              <w:rPr>
                <w:sz w:val="18"/>
              </w:rPr>
              <w:t>553.4d</w:t>
            </w:r>
          </w:p>
        </w:tc>
        <w:tc>
          <w:tcPr>
            <w:tcW w:w="290" w:type="dxa"/>
          </w:tcPr>
          <w:p>
            <w:pPr/>
          </w:p>
        </w:tc>
        <w:tc>
          <w:tcPr>
            <w:tcW w:w="869" w:type="dxa"/>
          </w:tcPr>
          <w:p>
            <w:pPr>
              <w:pStyle w:val="TableParagraph"/>
              <w:spacing w:line="202" w:lineRule="exact"/>
              <w:ind w:left="100"/>
              <w:rPr>
                <w:sz w:val="18"/>
              </w:rPr>
            </w:pPr>
            <w:r>
              <w:rPr>
                <w:sz w:val="18"/>
              </w:rPr>
              <w:t>551.2c</w:t>
            </w:r>
          </w:p>
        </w:tc>
        <w:tc>
          <w:tcPr>
            <w:tcW w:w="1296" w:type="dxa"/>
          </w:tcPr>
          <w:p>
            <w:pPr>
              <w:pStyle w:val="TableParagraph"/>
              <w:spacing w:line="202" w:lineRule="exact"/>
              <w:ind w:left="103" w:right="573"/>
              <w:rPr>
                <w:sz w:val="18"/>
              </w:rPr>
            </w:pPr>
            <w:r>
              <w:rPr>
                <w:sz w:val="18"/>
              </w:rPr>
              <w:t>613.5b</w:t>
            </w:r>
          </w:p>
        </w:tc>
        <w:tc>
          <w:tcPr>
            <w:tcW w:w="902" w:type="dxa"/>
          </w:tcPr>
          <w:p>
            <w:pPr>
              <w:pStyle w:val="TableParagraph"/>
              <w:spacing w:line="202" w:lineRule="exact"/>
              <w:ind w:left="103"/>
              <w:rPr>
                <w:sz w:val="18"/>
              </w:rPr>
            </w:pPr>
            <w:r>
              <w:rPr>
                <w:sz w:val="18"/>
              </w:rPr>
              <w:t>663.4a</w:t>
            </w:r>
          </w:p>
        </w:tc>
        <w:tc>
          <w:tcPr>
            <w:tcW w:w="890" w:type="dxa"/>
          </w:tcPr>
          <w:p>
            <w:pPr>
              <w:pStyle w:val="TableParagraph"/>
              <w:spacing w:line="202" w:lineRule="exact"/>
              <w:ind w:left="100"/>
              <w:rPr>
                <w:sz w:val="18"/>
              </w:rPr>
            </w:pPr>
            <w:r>
              <w:rPr>
                <w:sz w:val="18"/>
              </w:rPr>
              <w:t>668.9a</w:t>
            </w:r>
          </w:p>
        </w:tc>
        <w:tc>
          <w:tcPr>
            <w:tcW w:w="276" w:type="dxa"/>
          </w:tcPr>
          <w:p>
            <w:pPr/>
          </w:p>
        </w:tc>
        <w:tc>
          <w:tcPr>
            <w:tcW w:w="655" w:type="dxa"/>
          </w:tcPr>
          <w:p>
            <w:pPr>
              <w:pStyle w:val="TableParagraph"/>
              <w:spacing w:line="202" w:lineRule="exact"/>
              <w:ind w:left="103"/>
              <w:rPr>
                <w:sz w:val="18"/>
              </w:rPr>
            </w:pPr>
            <w:r>
              <w:rPr>
                <w:sz w:val="18"/>
              </w:rPr>
              <w:t>5.344</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OMD</w:t>
            </w:r>
          </w:p>
        </w:tc>
        <w:tc>
          <w:tcPr>
            <w:tcW w:w="859" w:type="dxa"/>
          </w:tcPr>
          <w:p>
            <w:pPr>
              <w:pStyle w:val="TableParagraph"/>
              <w:spacing w:line="202" w:lineRule="exact"/>
              <w:ind w:left="100" w:right="109"/>
              <w:rPr>
                <w:sz w:val="18"/>
              </w:rPr>
            </w:pPr>
            <w:r>
              <w:rPr>
                <w:sz w:val="18"/>
              </w:rPr>
              <w:t>726.5ab</w:t>
            </w:r>
          </w:p>
        </w:tc>
        <w:tc>
          <w:tcPr>
            <w:tcW w:w="970" w:type="dxa"/>
          </w:tcPr>
          <w:p>
            <w:pPr>
              <w:pStyle w:val="TableParagraph"/>
              <w:spacing w:line="202" w:lineRule="exact"/>
              <w:ind w:left="103"/>
              <w:rPr>
                <w:sz w:val="18"/>
              </w:rPr>
            </w:pPr>
            <w:r>
              <w:rPr>
                <w:sz w:val="18"/>
              </w:rPr>
              <w:t>744.3a</w:t>
            </w:r>
          </w:p>
        </w:tc>
        <w:tc>
          <w:tcPr>
            <w:tcW w:w="860" w:type="dxa"/>
          </w:tcPr>
          <w:p>
            <w:pPr>
              <w:pStyle w:val="TableParagraph"/>
              <w:spacing w:line="202" w:lineRule="exact"/>
              <w:ind w:left="100"/>
              <w:rPr>
                <w:sz w:val="18"/>
              </w:rPr>
            </w:pPr>
            <w:r>
              <w:rPr>
                <w:sz w:val="18"/>
              </w:rPr>
              <w:t>718.6b</w:t>
            </w:r>
          </w:p>
        </w:tc>
        <w:tc>
          <w:tcPr>
            <w:tcW w:w="871" w:type="dxa"/>
          </w:tcPr>
          <w:p>
            <w:pPr>
              <w:pStyle w:val="TableParagraph"/>
              <w:spacing w:line="202" w:lineRule="exact"/>
              <w:ind w:left="103"/>
              <w:rPr>
                <w:sz w:val="18"/>
              </w:rPr>
            </w:pPr>
            <w:r>
              <w:rPr>
                <w:sz w:val="18"/>
              </w:rPr>
              <w:t>705.3b</w:t>
            </w:r>
          </w:p>
        </w:tc>
        <w:tc>
          <w:tcPr>
            <w:tcW w:w="290" w:type="dxa"/>
          </w:tcPr>
          <w:p>
            <w:pPr/>
          </w:p>
        </w:tc>
        <w:tc>
          <w:tcPr>
            <w:tcW w:w="869" w:type="dxa"/>
          </w:tcPr>
          <w:p>
            <w:pPr>
              <w:pStyle w:val="TableParagraph"/>
              <w:spacing w:line="202" w:lineRule="exact"/>
              <w:ind w:left="100"/>
              <w:rPr>
                <w:sz w:val="18"/>
              </w:rPr>
            </w:pPr>
            <w:r>
              <w:rPr>
                <w:sz w:val="18"/>
              </w:rPr>
              <w:t>659.5b</w:t>
            </w:r>
          </w:p>
        </w:tc>
        <w:tc>
          <w:tcPr>
            <w:tcW w:w="1296" w:type="dxa"/>
          </w:tcPr>
          <w:p>
            <w:pPr>
              <w:pStyle w:val="TableParagraph"/>
              <w:spacing w:line="202" w:lineRule="exact"/>
              <w:ind w:left="103" w:right="573"/>
              <w:rPr>
                <w:sz w:val="18"/>
              </w:rPr>
            </w:pPr>
            <w:r>
              <w:rPr>
                <w:sz w:val="18"/>
              </w:rPr>
              <w:t>746.3a</w:t>
            </w:r>
          </w:p>
        </w:tc>
        <w:tc>
          <w:tcPr>
            <w:tcW w:w="902" w:type="dxa"/>
          </w:tcPr>
          <w:p>
            <w:pPr>
              <w:pStyle w:val="TableParagraph"/>
              <w:spacing w:line="202" w:lineRule="exact"/>
              <w:ind w:left="103"/>
              <w:rPr>
                <w:sz w:val="18"/>
              </w:rPr>
            </w:pPr>
            <w:r>
              <w:rPr>
                <w:sz w:val="18"/>
              </w:rPr>
              <w:t>734.5a</w:t>
            </w:r>
          </w:p>
        </w:tc>
        <w:tc>
          <w:tcPr>
            <w:tcW w:w="890" w:type="dxa"/>
          </w:tcPr>
          <w:p>
            <w:pPr>
              <w:pStyle w:val="TableParagraph"/>
              <w:spacing w:line="202" w:lineRule="exact"/>
              <w:ind w:left="100"/>
              <w:rPr>
                <w:sz w:val="18"/>
              </w:rPr>
            </w:pPr>
            <w:r>
              <w:rPr>
                <w:sz w:val="18"/>
              </w:rPr>
              <w:t>754.4a</w:t>
            </w:r>
          </w:p>
        </w:tc>
        <w:tc>
          <w:tcPr>
            <w:tcW w:w="276" w:type="dxa"/>
          </w:tcPr>
          <w:p>
            <w:pPr/>
          </w:p>
        </w:tc>
        <w:tc>
          <w:tcPr>
            <w:tcW w:w="655" w:type="dxa"/>
          </w:tcPr>
          <w:p>
            <w:pPr>
              <w:pStyle w:val="TableParagraph"/>
              <w:spacing w:line="202" w:lineRule="exact"/>
              <w:ind w:left="103"/>
              <w:rPr>
                <w:sz w:val="18"/>
              </w:rPr>
            </w:pPr>
            <w:r>
              <w:rPr>
                <w:sz w:val="18"/>
              </w:rPr>
              <w:t>6.630</w:t>
            </w:r>
          </w:p>
        </w:tc>
        <w:tc>
          <w:tcPr>
            <w:tcW w:w="658" w:type="dxa"/>
          </w:tcPr>
          <w:p>
            <w:pPr>
              <w:pStyle w:val="TableParagraph"/>
              <w:spacing w:line="202" w:lineRule="exact"/>
              <w:ind w:left="103"/>
              <w:rPr>
                <w:sz w:val="18"/>
              </w:rPr>
            </w:pPr>
            <w:r>
              <w:rPr>
                <w:sz w:val="18"/>
              </w:rPr>
              <w:t>0.002</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ME</w:t>
            </w:r>
          </w:p>
        </w:tc>
        <w:tc>
          <w:tcPr>
            <w:tcW w:w="859" w:type="dxa"/>
          </w:tcPr>
          <w:p>
            <w:pPr>
              <w:pStyle w:val="TableParagraph"/>
              <w:spacing w:line="202" w:lineRule="exact"/>
              <w:ind w:left="100" w:right="109"/>
              <w:rPr>
                <w:sz w:val="18"/>
              </w:rPr>
            </w:pPr>
            <w:r>
              <w:rPr>
                <w:sz w:val="18"/>
              </w:rPr>
              <w:t>12.4a</w:t>
            </w:r>
          </w:p>
        </w:tc>
        <w:tc>
          <w:tcPr>
            <w:tcW w:w="970" w:type="dxa"/>
          </w:tcPr>
          <w:p>
            <w:pPr>
              <w:pStyle w:val="TableParagraph"/>
              <w:spacing w:line="202" w:lineRule="exact"/>
              <w:ind w:left="103" w:right="397"/>
              <w:rPr>
                <w:sz w:val="18"/>
              </w:rPr>
            </w:pPr>
            <w:r>
              <w:rPr>
                <w:sz w:val="18"/>
              </w:rPr>
              <w:t>12.7a</w:t>
            </w:r>
          </w:p>
        </w:tc>
        <w:tc>
          <w:tcPr>
            <w:tcW w:w="860" w:type="dxa"/>
          </w:tcPr>
          <w:p>
            <w:pPr>
              <w:pStyle w:val="TableParagraph"/>
              <w:spacing w:line="202" w:lineRule="exact"/>
              <w:ind w:left="100"/>
              <w:rPr>
                <w:sz w:val="18"/>
              </w:rPr>
            </w:pPr>
            <w:r>
              <w:rPr>
                <w:sz w:val="18"/>
              </w:rPr>
              <w:t>11.6b</w:t>
            </w:r>
          </w:p>
        </w:tc>
        <w:tc>
          <w:tcPr>
            <w:tcW w:w="871" w:type="dxa"/>
          </w:tcPr>
          <w:p>
            <w:pPr>
              <w:pStyle w:val="TableParagraph"/>
              <w:spacing w:line="202" w:lineRule="exact"/>
              <w:ind w:left="103"/>
              <w:rPr>
                <w:sz w:val="18"/>
              </w:rPr>
            </w:pPr>
            <w:r>
              <w:rPr>
                <w:sz w:val="18"/>
              </w:rPr>
              <w:t>10.7c</w:t>
            </w:r>
          </w:p>
        </w:tc>
        <w:tc>
          <w:tcPr>
            <w:tcW w:w="290" w:type="dxa"/>
          </w:tcPr>
          <w:p>
            <w:pPr/>
          </w:p>
        </w:tc>
        <w:tc>
          <w:tcPr>
            <w:tcW w:w="869" w:type="dxa"/>
          </w:tcPr>
          <w:p>
            <w:pPr>
              <w:pStyle w:val="TableParagraph"/>
              <w:spacing w:line="202" w:lineRule="exact"/>
              <w:ind w:left="100"/>
              <w:rPr>
                <w:sz w:val="18"/>
              </w:rPr>
            </w:pPr>
            <w:r>
              <w:rPr>
                <w:sz w:val="18"/>
              </w:rPr>
              <w:t>10.1b</w:t>
            </w:r>
          </w:p>
        </w:tc>
        <w:tc>
          <w:tcPr>
            <w:tcW w:w="1296" w:type="dxa"/>
          </w:tcPr>
          <w:p>
            <w:pPr>
              <w:pStyle w:val="TableParagraph"/>
              <w:spacing w:line="202" w:lineRule="exact"/>
              <w:ind w:left="103" w:right="573"/>
              <w:rPr>
                <w:sz w:val="18"/>
              </w:rPr>
            </w:pPr>
            <w:r>
              <w:rPr>
                <w:sz w:val="18"/>
              </w:rPr>
              <w:t>12.3a</w:t>
            </w:r>
          </w:p>
        </w:tc>
        <w:tc>
          <w:tcPr>
            <w:tcW w:w="902" w:type="dxa"/>
          </w:tcPr>
          <w:p>
            <w:pPr>
              <w:pStyle w:val="TableParagraph"/>
              <w:spacing w:line="202" w:lineRule="exact"/>
              <w:ind w:left="103"/>
              <w:rPr>
                <w:sz w:val="18"/>
              </w:rPr>
            </w:pPr>
            <w:r>
              <w:rPr>
                <w:sz w:val="18"/>
              </w:rPr>
              <w:t>12.4a</w:t>
            </w:r>
          </w:p>
        </w:tc>
        <w:tc>
          <w:tcPr>
            <w:tcW w:w="890" w:type="dxa"/>
          </w:tcPr>
          <w:p>
            <w:pPr>
              <w:pStyle w:val="TableParagraph"/>
              <w:spacing w:line="202" w:lineRule="exact"/>
              <w:ind w:left="100"/>
              <w:rPr>
                <w:sz w:val="18"/>
              </w:rPr>
            </w:pPr>
            <w:r>
              <w:rPr>
                <w:sz w:val="18"/>
              </w:rPr>
              <w:t>12.7a</w:t>
            </w:r>
          </w:p>
        </w:tc>
        <w:tc>
          <w:tcPr>
            <w:tcW w:w="276" w:type="dxa"/>
          </w:tcPr>
          <w:p>
            <w:pPr/>
          </w:p>
        </w:tc>
        <w:tc>
          <w:tcPr>
            <w:tcW w:w="655" w:type="dxa"/>
          </w:tcPr>
          <w:p>
            <w:pPr>
              <w:pStyle w:val="TableParagraph"/>
              <w:spacing w:line="202" w:lineRule="exact"/>
              <w:ind w:left="103"/>
              <w:rPr>
                <w:sz w:val="18"/>
              </w:rPr>
            </w:pPr>
            <w:r>
              <w:rPr>
                <w:sz w:val="18"/>
              </w:rPr>
              <w:t>0.109</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r>
        <w:trPr>
          <w:trHeight w:val="219" w:hRule="exact"/>
        </w:trPr>
        <w:tc>
          <w:tcPr>
            <w:tcW w:w="872" w:type="dxa"/>
          </w:tcPr>
          <w:p>
            <w:pPr>
              <w:pStyle w:val="TableParagraph"/>
              <w:spacing w:line="205" w:lineRule="exact"/>
              <w:ind w:left="103"/>
              <w:rPr>
                <w:sz w:val="18"/>
              </w:rPr>
            </w:pPr>
            <w:r>
              <w:rPr>
                <w:sz w:val="18"/>
              </w:rPr>
              <w:t>SCFA</w:t>
            </w:r>
          </w:p>
        </w:tc>
        <w:tc>
          <w:tcPr>
            <w:tcW w:w="859" w:type="dxa"/>
          </w:tcPr>
          <w:p>
            <w:pPr>
              <w:pStyle w:val="TableParagraph"/>
              <w:spacing w:line="205" w:lineRule="exact"/>
              <w:ind w:left="100" w:right="109"/>
              <w:rPr>
                <w:sz w:val="18"/>
              </w:rPr>
            </w:pPr>
            <w:r>
              <w:rPr>
                <w:sz w:val="18"/>
              </w:rPr>
              <w:t>0.496a</w:t>
            </w:r>
          </w:p>
        </w:tc>
        <w:tc>
          <w:tcPr>
            <w:tcW w:w="970" w:type="dxa"/>
          </w:tcPr>
          <w:p>
            <w:pPr>
              <w:pStyle w:val="TableParagraph"/>
              <w:spacing w:line="205" w:lineRule="exact"/>
              <w:ind w:left="103"/>
              <w:rPr>
                <w:sz w:val="18"/>
              </w:rPr>
            </w:pPr>
            <w:r>
              <w:rPr>
                <w:sz w:val="18"/>
              </w:rPr>
              <w:t>0.502a</w:t>
            </w:r>
          </w:p>
        </w:tc>
        <w:tc>
          <w:tcPr>
            <w:tcW w:w="860" w:type="dxa"/>
          </w:tcPr>
          <w:p>
            <w:pPr>
              <w:pStyle w:val="TableParagraph"/>
              <w:spacing w:line="205" w:lineRule="exact"/>
              <w:ind w:left="100"/>
              <w:rPr>
                <w:sz w:val="18"/>
              </w:rPr>
            </w:pPr>
            <w:r>
              <w:rPr>
                <w:sz w:val="18"/>
              </w:rPr>
              <w:t>0.395b</w:t>
            </w:r>
          </w:p>
        </w:tc>
        <w:tc>
          <w:tcPr>
            <w:tcW w:w="871" w:type="dxa"/>
          </w:tcPr>
          <w:p>
            <w:pPr>
              <w:pStyle w:val="TableParagraph"/>
              <w:spacing w:line="205" w:lineRule="exact"/>
              <w:ind w:left="103"/>
              <w:rPr>
                <w:sz w:val="18"/>
              </w:rPr>
            </w:pPr>
            <w:r>
              <w:rPr>
                <w:sz w:val="18"/>
              </w:rPr>
              <w:t>0.308c</w:t>
            </w:r>
          </w:p>
        </w:tc>
        <w:tc>
          <w:tcPr>
            <w:tcW w:w="290" w:type="dxa"/>
          </w:tcPr>
          <w:p>
            <w:pPr/>
          </w:p>
        </w:tc>
        <w:tc>
          <w:tcPr>
            <w:tcW w:w="869" w:type="dxa"/>
          </w:tcPr>
          <w:p>
            <w:pPr>
              <w:pStyle w:val="TableParagraph"/>
              <w:spacing w:line="205" w:lineRule="exact"/>
              <w:ind w:left="100"/>
              <w:rPr>
                <w:sz w:val="18"/>
              </w:rPr>
            </w:pPr>
            <w:r>
              <w:rPr>
                <w:sz w:val="18"/>
              </w:rPr>
              <w:t>0.305c</w:t>
            </w:r>
          </w:p>
        </w:tc>
        <w:tc>
          <w:tcPr>
            <w:tcW w:w="1296" w:type="dxa"/>
          </w:tcPr>
          <w:p>
            <w:pPr>
              <w:pStyle w:val="TableParagraph"/>
              <w:spacing w:line="205" w:lineRule="exact"/>
              <w:ind w:left="103" w:right="573"/>
              <w:rPr>
                <w:sz w:val="18"/>
              </w:rPr>
            </w:pPr>
            <w:r>
              <w:rPr>
                <w:sz w:val="18"/>
              </w:rPr>
              <w:t>0.442b</w:t>
            </w:r>
          </w:p>
        </w:tc>
        <w:tc>
          <w:tcPr>
            <w:tcW w:w="902" w:type="dxa"/>
          </w:tcPr>
          <w:p>
            <w:pPr>
              <w:pStyle w:val="TableParagraph"/>
              <w:spacing w:line="205" w:lineRule="exact"/>
              <w:ind w:left="103"/>
              <w:rPr>
                <w:sz w:val="18"/>
              </w:rPr>
            </w:pPr>
            <w:r>
              <w:rPr>
                <w:sz w:val="18"/>
              </w:rPr>
              <w:t>0.467a</w:t>
            </w:r>
          </w:p>
        </w:tc>
        <w:tc>
          <w:tcPr>
            <w:tcW w:w="890" w:type="dxa"/>
          </w:tcPr>
          <w:p>
            <w:pPr>
              <w:pStyle w:val="TableParagraph"/>
              <w:spacing w:line="205" w:lineRule="exact"/>
              <w:ind w:left="100"/>
              <w:rPr>
                <w:sz w:val="18"/>
              </w:rPr>
            </w:pPr>
            <w:r>
              <w:rPr>
                <w:sz w:val="18"/>
              </w:rPr>
              <w:t>0.488a</w:t>
            </w:r>
          </w:p>
        </w:tc>
        <w:tc>
          <w:tcPr>
            <w:tcW w:w="276" w:type="dxa"/>
          </w:tcPr>
          <w:p>
            <w:pPr/>
          </w:p>
        </w:tc>
        <w:tc>
          <w:tcPr>
            <w:tcW w:w="655" w:type="dxa"/>
          </w:tcPr>
          <w:p>
            <w:pPr>
              <w:pStyle w:val="TableParagraph"/>
              <w:spacing w:line="205" w:lineRule="exact"/>
              <w:ind w:left="103"/>
              <w:rPr>
                <w:sz w:val="18"/>
              </w:rPr>
            </w:pPr>
            <w:r>
              <w:rPr>
                <w:sz w:val="18"/>
              </w:rPr>
              <w:t>0.006</w:t>
            </w:r>
          </w:p>
        </w:tc>
        <w:tc>
          <w:tcPr>
            <w:tcW w:w="658" w:type="dxa"/>
          </w:tcPr>
          <w:p>
            <w:pPr>
              <w:pStyle w:val="TableParagraph"/>
              <w:spacing w:line="205" w:lineRule="exact"/>
              <w:ind w:left="103"/>
              <w:rPr>
                <w:sz w:val="18"/>
              </w:rPr>
            </w:pPr>
            <w:r>
              <w:rPr>
                <w:sz w:val="18"/>
              </w:rPr>
              <w:t>0.001</w:t>
            </w:r>
          </w:p>
        </w:tc>
        <w:tc>
          <w:tcPr>
            <w:tcW w:w="655" w:type="dxa"/>
          </w:tcPr>
          <w:p>
            <w:pPr>
              <w:pStyle w:val="TableParagraph"/>
              <w:spacing w:line="205" w:lineRule="exact"/>
              <w:ind w:left="100"/>
              <w:rPr>
                <w:sz w:val="18"/>
              </w:rPr>
            </w:pPr>
            <w:r>
              <w:rPr>
                <w:sz w:val="18"/>
              </w:rPr>
              <w:t>0.001</w:t>
            </w:r>
          </w:p>
        </w:tc>
        <w:tc>
          <w:tcPr>
            <w:tcW w:w="768" w:type="dxa"/>
          </w:tcPr>
          <w:p>
            <w:pPr>
              <w:pStyle w:val="TableParagraph"/>
              <w:spacing w:line="205" w:lineRule="exact"/>
              <w:ind w:left="103"/>
              <w:rPr>
                <w:sz w:val="18"/>
              </w:rPr>
            </w:pPr>
            <w:r>
              <w:rPr>
                <w:sz w:val="18"/>
              </w:rPr>
              <w:t>0.001</w:t>
            </w:r>
          </w:p>
        </w:tc>
      </w:tr>
      <w:tr>
        <w:trPr>
          <w:trHeight w:val="216" w:hRule="exact"/>
        </w:trPr>
        <w:tc>
          <w:tcPr>
            <w:tcW w:w="872" w:type="dxa"/>
          </w:tcPr>
          <w:p>
            <w:pPr>
              <w:pStyle w:val="TableParagraph"/>
              <w:spacing w:line="202" w:lineRule="exact"/>
              <w:ind w:left="103"/>
              <w:rPr>
                <w:sz w:val="18"/>
              </w:rPr>
            </w:pPr>
            <w:r>
              <w:rPr>
                <w:sz w:val="18"/>
              </w:rPr>
              <w:t>MCP</w:t>
            </w:r>
          </w:p>
        </w:tc>
        <w:tc>
          <w:tcPr>
            <w:tcW w:w="859" w:type="dxa"/>
          </w:tcPr>
          <w:p>
            <w:pPr>
              <w:pStyle w:val="TableParagraph"/>
              <w:spacing w:line="202" w:lineRule="exact"/>
              <w:ind w:left="100" w:right="109"/>
              <w:rPr>
                <w:sz w:val="18"/>
              </w:rPr>
            </w:pPr>
            <w:r>
              <w:rPr>
                <w:sz w:val="18"/>
              </w:rPr>
              <w:t>165.4bc</w:t>
            </w:r>
          </w:p>
        </w:tc>
        <w:tc>
          <w:tcPr>
            <w:tcW w:w="970" w:type="dxa"/>
          </w:tcPr>
          <w:p>
            <w:pPr>
              <w:pStyle w:val="TableParagraph"/>
              <w:spacing w:line="202" w:lineRule="exact"/>
              <w:ind w:left="103"/>
              <w:rPr>
                <w:sz w:val="18"/>
              </w:rPr>
            </w:pPr>
            <w:r>
              <w:rPr>
                <w:sz w:val="18"/>
              </w:rPr>
              <w:t>193.7a</w:t>
            </w:r>
          </w:p>
        </w:tc>
        <w:tc>
          <w:tcPr>
            <w:tcW w:w="860" w:type="dxa"/>
          </w:tcPr>
          <w:p>
            <w:pPr>
              <w:pStyle w:val="TableParagraph"/>
              <w:spacing w:line="202" w:lineRule="exact"/>
              <w:ind w:left="100"/>
              <w:rPr>
                <w:sz w:val="18"/>
              </w:rPr>
            </w:pPr>
            <w:r>
              <w:rPr>
                <w:sz w:val="18"/>
              </w:rPr>
              <w:t>189.5ab</w:t>
            </w:r>
          </w:p>
        </w:tc>
        <w:tc>
          <w:tcPr>
            <w:tcW w:w="871" w:type="dxa"/>
          </w:tcPr>
          <w:p>
            <w:pPr>
              <w:pStyle w:val="TableParagraph"/>
              <w:spacing w:line="202" w:lineRule="exact"/>
              <w:ind w:left="103"/>
              <w:rPr>
                <w:sz w:val="18"/>
              </w:rPr>
            </w:pPr>
            <w:r>
              <w:rPr>
                <w:sz w:val="18"/>
              </w:rPr>
              <w:t>162.3c</w:t>
            </w:r>
          </w:p>
        </w:tc>
        <w:tc>
          <w:tcPr>
            <w:tcW w:w="290" w:type="dxa"/>
          </w:tcPr>
          <w:p>
            <w:pPr/>
          </w:p>
        </w:tc>
        <w:tc>
          <w:tcPr>
            <w:tcW w:w="869" w:type="dxa"/>
          </w:tcPr>
          <w:p>
            <w:pPr>
              <w:pStyle w:val="TableParagraph"/>
              <w:spacing w:line="202" w:lineRule="exact"/>
              <w:ind w:left="100"/>
              <w:rPr>
                <w:sz w:val="18"/>
              </w:rPr>
            </w:pPr>
            <w:r>
              <w:rPr>
                <w:sz w:val="18"/>
              </w:rPr>
              <w:t>175.2ab</w:t>
            </w:r>
          </w:p>
        </w:tc>
        <w:tc>
          <w:tcPr>
            <w:tcW w:w="1296" w:type="dxa"/>
          </w:tcPr>
          <w:p>
            <w:pPr>
              <w:pStyle w:val="TableParagraph"/>
              <w:spacing w:line="202" w:lineRule="exact"/>
              <w:ind w:left="103" w:right="573"/>
              <w:rPr>
                <w:sz w:val="18"/>
              </w:rPr>
            </w:pPr>
            <w:r>
              <w:rPr>
                <w:sz w:val="18"/>
              </w:rPr>
              <w:t>153.2b</w:t>
            </w:r>
          </w:p>
        </w:tc>
        <w:tc>
          <w:tcPr>
            <w:tcW w:w="902" w:type="dxa"/>
          </w:tcPr>
          <w:p>
            <w:pPr>
              <w:pStyle w:val="TableParagraph"/>
              <w:spacing w:line="202" w:lineRule="exact"/>
              <w:ind w:left="103"/>
              <w:rPr>
                <w:sz w:val="18"/>
              </w:rPr>
            </w:pPr>
            <w:r>
              <w:rPr>
                <w:sz w:val="18"/>
              </w:rPr>
              <w:t>197.1a</w:t>
            </w:r>
          </w:p>
        </w:tc>
        <w:tc>
          <w:tcPr>
            <w:tcW w:w="890" w:type="dxa"/>
          </w:tcPr>
          <w:p>
            <w:pPr>
              <w:pStyle w:val="TableParagraph"/>
              <w:spacing w:line="202" w:lineRule="exact"/>
              <w:ind w:left="100"/>
              <w:rPr>
                <w:sz w:val="18"/>
              </w:rPr>
            </w:pPr>
            <w:r>
              <w:rPr>
                <w:sz w:val="18"/>
              </w:rPr>
              <w:t>185.5a</w:t>
            </w:r>
          </w:p>
        </w:tc>
        <w:tc>
          <w:tcPr>
            <w:tcW w:w="276" w:type="dxa"/>
          </w:tcPr>
          <w:p>
            <w:pPr/>
          </w:p>
        </w:tc>
        <w:tc>
          <w:tcPr>
            <w:tcW w:w="655" w:type="dxa"/>
          </w:tcPr>
          <w:p>
            <w:pPr>
              <w:pStyle w:val="TableParagraph"/>
              <w:spacing w:line="202" w:lineRule="exact"/>
              <w:ind w:left="103"/>
              <w:rPr>
                <w:sz w:val="18"/>
              </w:rPr>
            </w:pPr>
            <w:r>
              <w:rPr>
                <w:sz w:val="18"/>
              </w:rPr>
              <w:t>6.584</w:t>
            </w:r>
          </w:p>
        </w:tc>
        <w:tc>
          <w:tcPr>
            <w:tcW w:w="658" w:type="dxa"/>
          </w:tcPr>
          <w:p>
            <w:pPr>
              <w:pStyle w:val="TableParagraph"/>
              <w:spacing w:line="202" w:lineRule="exact"/>
              <w:ind w:left="103"/>
              <w:rPr>
                <w:sz w:val="18"/>
              </w:rPr>
            </w:pPr>
            <w:r>
              <w:rPr>
                <w:sz w:val="18"/>
              </w:rPr>
              <w:t>0.002</w:t>
            </w:r>
          </w:p>
        </w:tc>
        <w:tc>
          <w:tcPr>
            <w:tcW w:w="655" w:type="dxa"/>
          </w:tcPr>
          <w:p>
            <w:pPr>
              <w:pStyle w:val="TableParagraph"/>
              <w:spacing w:line="202" w:lineRule="exact"/>
              <w:ind w:left="100"/>
              <w:rPr>
                <w:sz w:val="18"/>
              </w:rPr>
            </w:pPr>
            <w:r>
              <w:rPr>
                <w:sz w:val="18"/>
              </w:rPr>
              <w:t>0.004</w:t>
            </w:r>
          </w:p>
        </w:tc>
        <w:tc>
          <w:tcPr>
            <w:tcW w:w="768" w:type="dxa"/>
          </w:tcPr>
          <w:p>
            <w:pPr>
              <w:pStyle w:val="TableParagraph"/>
              <w:spacing w:line="202" w:lineRule="exact"/>
              <w:ind w:left="103"/>
              <w:rPr>
                <w:sz w:val="18"/>
              </w:rPr>
            </w:pPr>
            <w:r>
              <w:rPr>
                <w:sz w:val="18"/>
              </w:rPr>
              <w:t>0.001</w:t>
            </w:r>
          </w:p>
        </w:tc>
      </w:tr>
      <w:tr>
        <w:trPr>
          <w:trHeight w:val="218" w:hRule="exact"/>
        </w:trPr>
        <w:tc>
          <w:tcPr>
            <w:tcW w:w="872" w:type="dxa"/>
          </w:tcPr>
          <w:p>
            <w:pPr>
              <w:pStyle w:val="TableParagraph"/>
              <w:spacing w:line="202" w:lineRule="exact"/>
              <w:ind w:left="103"/>
              <w:rPr>
                <w:sz w:val="12"/>
              </w:rPr>
            </w:pPr>
            <w:r>
              <w:rPr>
                <w:position w:val="1"/>
                <w:sz w:val="18"/>
              </w:rPr>
              <w:t>GY</w:t>
            </w:r>
            <w:r>
              <w:rPr>
                <w:sz w:val="12"/>
              </w:rPr>
              <w:t>24h</w:t>
            </w:r>
          </w:p>
        </w:tc>
        <w:tc>
          <w:tcPr>
            <w:tcW w:w="859" w:type="dxa"/>
          </w:tcPr>
          <w:p>
            <w:pPr>
              <w:pStyle w:val="TableParagraph"/>
              <w:spacing w:line="202" w:lineRule="exact"/>
              <w:ind w:left="100" w:right="109"/>
              <w:rPr>
                <w:sz w:val="18"/>
              </w:rPr>
            </w:pPr>
            <w:r>
              <w:rPr>
                <w:sz w:val="18"/>
              </w:rPr>
              <w:t>74.1a</w:t>
            </w:r>
          </w:p>
        </w:tc>
        <w:tc>
          <w:tcPr>
            <w:tcW w:w="970" w:type="dxa"/>
          </w:tcPr>
          <w:p>
            <w:pPr>
              <w:pStyle w:val="TableParagraph"/>
              <w:spacing w:line="202" w:lineRule="exact"/>
              <w:ind w:left="103" w:right="397"/>
              <w:rPr>
                <w:sz w:val="18"/>
              </w:rPr>
            </w:pPr>
            <w:r>
              <w:rPr>
                <w:sz w:val="18"/>
              </w:rPr>
              <w:t>77.3a</w:t>
            </w:r>
          </w:p>
        </w:tc>
        <w:tc>
          <w:tcPr>
            <w:tcW w:w="860" w:type="dxa"/>
          </w:tcPr>
          <w:p>
            <w:pPr>
              <w:pStyle w:val="TableParagraph"/>
              <w:spacing w:line="202" w:lineRule="exact"/>
              <w:ind w:left="100"/>
              <w:rPr>
                <w:sz w:val="18"/>
              </w:rPr>
            </w:pPr>
            <w:r>
              <w:rPr>
                <w:sz w:val="18"/>
              </w:rPr>
              <w:t>56.5b</w:t>
            </w:r>
          </w:p>
        </w:tc>
        <w:tc>
          <w:tcPr>
            <w:tcW w:w="871" w:type="dxa"/>
          </w:tcPr>
          <w:p>
            <w:pPr>
              <w:pStyle w:val="TableParagraph"/>
              <w:spacing w:line="202" w:lineRule="exact"/>
              <w:ind w:left="103"/>
              <w:rPr>
                <w:sz w:val="18"/>
              </w:rPr>
            </w:pPr>
            <w:r>
              <w:rPr>
                <w:sz w:val="18"/>
              </w:rPr>
              <w:t>40.7c</w:t>
            </w:r>
          </w:p>
        </w:tc>
        <w:tc>
          <w:tcPr>
            <w:tcW w:w="290" w:type="dxa"/>
          </w:tcPr>
          <w:p>
            <w:pPr/>
          </w:p>
        </w:tc>
        <w:tc>
          <w:tcPr>
            <w:tcW w:w="869" w:type="dxa"/>
          </w:tcPr>
          <w:p>
            <w:pPr>
              <w:pStyle w:val="TableParagraph"/>
              <w:spacing w:line="202" w:lineRule="exact"/>
              <w:ind w:left="100"/>
              <w:rPr>
                <w:sz w:val="18"/>
              </w:rPr>
            </w:pPr>
            <w:r>
              <w:rPr>
                <w:sz w:val="18"/>
              </w:rPr>
              <w:t>40.5d</w:t>
            </w:r>
          </w:p>
        </w:tc>
        <w:tc>
          <w:tcPr>
            <w:tcW w:w="1296" w:type="dxa"/>
          </w:tcPr>
          <w:p>
            <w:pPr>
              <w:pStyle w:val="TableParagraph"/>
              <w:spacing w:line="202" w:lineRule="exact"/>
              <w:ind w:left="103" w:right="573"/>
              <w:rPr>
                <w:sz w:val="18"/>
              </w:rPr>
            </w:pPr>
            <w:r>
              <w:rPr>
                <w:sz w:val="18"/>
              </w:rPr>
              <w:t>62.5c</w:t>
            </w:r>
          </w:p>
        </w:tc>
        <w:tc>
          <w:tcPr>
            <w:tcW w:w="902" w:type="dxa"/>
          </w:tcPr>
          <w:p>
            <w:pPr>
              <w:pStyle w:val="TableParagraph"/>
              <w:spacing w:line="202" w:lineRule="exact"/>
              <w:ind w:left="103"/>
              <w:rPr>
                <w:sz w:val="18"/>
              </w:rPr>
            </w:pPr>
            <w:r>
              <w:rPr>
                <w:sz w:val="18"/>
              </w:rPr>
              <w:t>70.8b</w:t>
            </w:r>
          </w:p>
        </w:tc>
        <w:tc>
          <w:tcPr>
            <w:tcW w:w="890" w:type="dxa"/>
          </w:tcPr>
          <w:p>
            <w:pPr>
              <w:pStyle w:val="TableParagraph"/>
              <w:spacing w:line="202" w:lineRule="exact"/>
              <w:ind w:left="100"/>
              <w:rPr>
                <w:sz w:val="18"/>
              </w:rPr>
            </w:pPr>
            <w:r>
              <w:rPr>
                <w:sz w:val="18"/>
              </w:rPr>
              <w:t>74.9a</w:t>
            </w:r>
          </w:p>
        </w:tc>
        <w:tc>
          <w:tcPr>
            <w:tcW w:w="276" w:type="dxa"/>
          </w:tcPr>
          <w:p>
            <w:pPr/>
          </w:p>
        </w:tc>
        <w:tc>
          <w:tcPr>
            <w:tcW w:w="655" w:type="dxa"/>
          </w:tcPr>
          <w:p>
            <w:pPr>
              <w:pStyle w:val="TableParagraph"/>
              <w:spacing w:line="202" w:lineRule="exact"/>
              <w:ind w:left="103"/>
              <w:rPr>
                <w:sz w:val="18"/>
              </w:rPr>
            </w:pPr>
            <w:r>
              <w:rPr>
                <w:sz w:val="18"/>
              </w:rPr>
              <w:t>1.045</w:t>
            </w:r>
          </w:p>
        </w:tc>
        <w:tc>
          <w:tcPr>
            <w:tcW w:w="658" w:type="dxa"/>
          </w:tcPr>
          <w:p>
            <w:pPr>
              <w:pStyle w:val="TableParagraph"/>
              <w:spacing w:line="202" w:lineRule="exact"/>
              <w:ind w:left="103"/>
              <w:rPr>
                <w:sz w:val="18"/>
              </w:rPr>
            </w:pPr>
            <w:r>
              <w:rPr>
                <w:sz w:val="18"/>
              </w:rPr>
              <w:t>0.001</w:t>
            </w:r>
          </w:p>
        </w:tc>
        <w:tc>
          <w:tcPr>
            <w:tcW w:w="655" w:type="dxa"/>
          </w:tcPr>
          <w:p>
            <w:pPr>
              <w:pStyle w:val="TableParagraph"/>
              <w:spacing w:line="202" w:lineRule="exact"/>
              <w:ind w:left="100"/>
              <w:rPr>
                <w:sz w:val="18"/>
              </w:rPr>
            </w:pPr>
            <w:r>
              <w:rPr>
                <w:sz w:val="18"/>
              </w:rPr>
              <w:t>0.001</w:t>
            </w:r>
          </w:p>
        </w:tc>
        <w:tc>
          <w:tcPr>
            <w:tcW w:w="768" w:type="dxa"/>
          </w:tcPr>
          <w:p>
            <w:pPr>
              <w:pStyle w:val="TableParagraph"/>
              <w:spacing w:line="202" w:lineRule="exact"/>
              <w:ind w:left="103"/>
              <w:rPr>
                <w:sz w:val="18"/>
              </w:rPr>
            </w:pPr>
            <w:r>
              <w:rPr>
                <w:sz w:val="18"/>
              </w:rPr>
              <w:t>0.001</w:t>
            </w:r>
          </w:p>
        </w:tc>
      </w:tr>
    </w:tbl>
    <w:p>
      <w:pPr>
        <w:pStyle w:val="BodyText"/>
        <w:spacing w:before="1"/>
        <w:rPr>
          <w:sz w:val="23"/>
        </w:rPr>
      </w:pPr>
    </w:p>
    <w:p>
      <w:pPr>
        <w:pStyle w:val="BodyText"/>
        <w:spacing w:line="256" w:lineRule="exact" w:before="80"/>
        <w:ind w:left="222" w:right="423"/>
      </w:pPr>
      <w:r>
        <w:rPr/>
        <w:t>Cellulose had 30 000 a 36 000 units of Cellulose per g and 7 500 up to 10 000 units of β-gluconase per g</w:t>
      </w:r>
      <w:r>
        <w:rPr>
          <w:position w:val="8"/>
          <w:sz w:val="14"/>
        </w:rPr>
        <w:t>-1</w:t>
      </w:r>
      <w:r>
        <w:rPr/>
        <w:t>.</w:t>
      </w:r>
    </w:p>
    <w:p>
      <w:pPr>
        <w:pStyle w:val="BodyText"/>
        <w:spacing w:line="252" w:lineRule="exact" w:before="7"/>
        <w:ind w:left="222" w:right="177"/>
      </w:pPr>
      <w:r>
        <w:rPr/>
        <w:t>Xylanase contains 34 000 up to 41 000 units of Xylanase g</w:t>
      </w:r>
      <w:r>
        <w:rPr>
          <w:position w:val="8"/>
          <w:sz w:val="14"/>
        </w:rPr>
        <w:t>-1</w:t>
      </w:r>
      <w:r>
        <w:rPr/>
        <w:t>, and 12 000 up to 15 000 units of β-gluconase g</w:t>
      </w:r>
      <w:r>
        <w:rPr>
          <w:position w:val="8"/>
          <w:sz w:val="14"/>
        </w:rPr>
        <w:t>-1 </w:t>
      </w:r>
      <w:r>
        <w:rPr/>
        <w:t>and 45 000 to 55 000 units of cellulose. g</w:t>
      </w:r>
      <w:r>
        <w:rPr>
          <w:position w:val="8"/>
          <w:sz w:val="14"/>
        </w:rPr>
        <w:t>-1</w:t>
      </w:r>
      <w:r>
        <w:rPr/>
        <w:t>.</w:t>
      </w:r>
    </w:p>
    <w:p>
      <w:pPr>
        <w:pStyle w:val="BodyText"/>
        <w:spacing w:line="235" w:lineRule="auto"/>
        <w:ind w:left="222" w:right="177"/>
      </w:pPr>
      <w:r>
        <w:rPr/>
        <w:t>Maguey extract contain 3% of crude protein; 8.62% de azucares (fructose, dextrose, sucrose), 0.3% de aminoacidos and  3% de minerales. A: gas production (ml g</w:t>
      </w:r>
      <w:r>
        <w:rPr>
          <w:position w:val="8"/>
          <w:sz w:val="14"/>
        </w:rPr>
        <w:t>-1 </w:t>
      </w:r>
      <w:r>
        <w:rPr/>
        <w:t>MS); b: fermentation rate (h</w:t>
      </w:r>
      <w:r>
        <w:rPr>
          <w:position w:val="8"/>
          <w:sz w:val="14"/>
        </w:rPr>
        <w:t>-1</w:t>
      </w:r>
      <w:r>
        <w:rPr/>
        <w:t>); c, fermentation rate (h</w:t>
      </w:r>
      <w:r>
        <w:rPr>
          <w:position w:val="8"/>
          <w:sz w:val="14"/>
        </w:rPr>
        <w:t>-1/2</w:t>
      </w:r>
      <w:r>
        <w:rPr/>
        <w:t>); lag time: (h</w:t>
      </w:r>
      <w:r>
        <w:rPr>
          <w:position w:val="8"/>
          <w:sz w:val="14"/>
        </w:rPr>
        <w:t>-1</w:t>
      </w:r>
      <w:r>
        <w:rPr/>
        <w:t>). DMD: Dry mater digestibility (mg g</w:t>
      </w:r>
      <w:r>
        <w:rPr>
          <w:position w:val="8"/>
          <w:sz w:val="14"/>
        </w:rPr>
        <w:t>-1 </w:t>
      </w:r>
      <w:r>
        <w:rPr/>
        <w:t>DM); OMD: OM digestibility (mg g</w:t>
      </w:r>
      <w:r>
        <w:rPr>
          <w:position w:val="8"/>
          <w:sz w:val="14"/>
        </w:rPr>
        <w:t>-1 </w:t>
      </w:r>
      <w:r>
        <w:rPr/>
        <w:t>DM); ME, Metabolizable energy (Mj kg</w:t>
      </w:r>
      <w:r>
        <w:rPr>
          <w:position w:val="8"/>
          <w:sz w:val="14"/>
        </w:rPr>
        <w:t>-1 </w:t>
      </w:r>
      <w:r>
        <w:rPr/>
        <w:t>DM); SCFA: Short chain fatty acids (mmol g</w:t>
      </w:r>
      <w:r>
        <w:rPr>
          <w:position w:val="8"/>
          <w:sz w:val="14"/>
        </w:rPr>
        <w:t>-1 </w:t>
      </w:r>
      <w:r>
        <w:rPr/>
        <w:t>DM); MCP: </w:t>
      </w:r>
      <w:r>
        <w:rPr>
          <w:position w:val="2"/>
        </w:rPr>
        <w:t>Microbial crude protein (mg g</w:t>
      </w:r>
      <w:r>
        <w:rPr>
          <w:position w:val="10"/>
          <w:sz w:val="14"/>
        </w:rPr>
        <w:t>-1  </w:t>
      </w:r>
      <w:r>
        <w:rPr>
          <w:position w:val="2"/>
        </w:rPr>
        <w:t>DM); GY</w:t>
      </w:r>
      <w:r>
        <w:rPr>
          <w:sz w:val="14"/>
        </w:rPr>
        <w:t>24h </w:t>
      </w:r>
      <w:r>
        <w:rPr>
          <w:position w:val="2"/>
        </w:rPr>
        <w:t>Gas yield at 24 h (ml gas g</w:t>
      </w:r>
      <w:r>
        <w:rPr>
          <w:position w:val="10"/>
          <w:sz w:val="14"/>
        </w:rPr>
        <w:t>-1 </w:t>
      </w:r>
      <w:r>
        <w:rPr>
          <w:position w:val="2"/>
        </w:rPr>
        <w:t>DM).</w:t>
      </w:r>
    </w:p>
    <w:p>
      <w:pPr>
        <w:pStyle w:val="BodyText"/>
        <w:spacing w:line="249" w:lineRule="exact"/>
        <w:ind w:left="222" w:right="423"/>
      </w:pPr>
      <w:r>
        <w:rPr/>
        <w:t>SEM: standard error mean.</w:t>
      </w:r>
    </w:p>
    <w:p>
      <w:pPr>
        <w:pStyle w:val="BodyText"/>
        <w:spacing w:line="255" w:lineRule="exact"/>
        <w:ind w:left="222" w:right="423"/>
      </w:pPr>
      <w:r>
        <w:rPr>
          <w:position w:val="8"/>
          <w:sz w:val="14"/>
        </w:rPr>
        <w:t>abc</w:t>
      </w:r>
      <w:r>
        <w:rPr/>
        <w:t>Different letters in the same row are significantly different (P&lt;0.01).</w:t>
      </w:r>
    </w:p>
    <w:p>
      <w:pPr>
        <w:spacing w:after="0" w:line="255" w:lineRule="exact"/>
        <w:sectPr>
          <w:pgSz w:w="15840" w:h="12240" w:orient="landscape"/>
          <w:pgMar w:header="0" w:footer="1003" w:top="1140" w:bottom="1200" w:left="1480" w:right="1580"/>
        </w:sectPr>
      </w:pPr>
    </w:p>
    <w:p>
      <w:pPr>
        <w:pStyle w:val="BodyText"/>
        <w:spacing w:before="3"/>
        <w:rPr>
          <w:sz w:val="11"/>
        </w:rPr>
      </w:pPr>
    </w:p>
    <w:p>
      <w:pPr>
        <w:pStyle w:val="Heading1"/>
        <w:numPr>
          <w:ilvl w:val="1"/>
          <w:numId w:val="1"/>
        </w:numPr>
        <w:tabs>
          <w:tab w:pos="3080" w:val="left" w:leader="none"/>
        </w:tabs>
        <w:spacing w:line="240" w:lineRule="auto" w:before="69" w:after="0"/>
        <w:ind w:left="3079" w:right="0" w:hanging="294"/>
        <w:jc w:val="left"/>
      </w:pPr>
      <w:bookmarkStart w:name="_TOC_250001" w:id="18"/>
      <w:r>
        <w:rPr/>
        <w:t>CONCLUSIONES</w:t>
      </w:r>
      <w:r>
        <w:rPr>
          <w:spacing w:val="-8"/>
        </w:rPr>
        <w:t> </w:t>
      </w:r>
      <w:bookmarkEnd w:id="18"/>
      <w:r>
        <w:rPr/>
        <w:t>GENERALES</w:t>
      </w:r>
    </w:p>
    <w:p>
      <w:pPr>
        <w:pStyle w:val="BodyText"/>
        <w:rPr>
          <w:b/>
          <w:sz w:val="24"/>
        </w:rPr>
      </w:pPr>
    </w:p>
    <w:p>
      <w:pPr>
        <w:spacing w:line="480" w:lineRule="auto" w:before="153"/>
        <w:ind w:left="102" w:right="117" w:firstLine="0"/>
        <w:jc w:val="both"/>
        <w:rPr>
          <w:sz w:val="24"/>
        </w:rPr>
      </w:pPr>
      <w:r>
        <w:rPr>
          <w:sz w:val="24"/>
        </w:rPr>
        <w:t>Los maíces híbridos Victoria, H-159 y SBA-470 y las variedades criollas de grano amarillo Allende, San Cayetano y Portes Gil, y de grano blanco Tlacotepec, San Diego, Cacahuacintles Tlacotepec y San Cristobal, podrían emplearse para derivar líneas endogámicas y formar nuevas variedades e híbridos forrajeros.</w:t>
      </w:r>
    </w:p>
    <w:p>
      <w:pPr>
        <w:spacing w:line="480" w:lineRule="auto" w:before="171"/>
        <w:ind w:left="102" w:right="115" w:firstLine="0"/>
        <w:jc w:val="both"/>
        <w:rPr>
          <w:sz w:val="24"/>
        </w:rPr>
      </w:pPr>
      <w:r>
        <w:rPr>
          <w:sz w:val="24"/>
        </w:rPr>
        <w:t>La aplicación de xilanasa, celulasa y Aguamiel de maguey a ensilados de maíz incrementan la producción de gas y fermentación ruminal </w:t>
      </w:r>
      <w:r>
        <w:rPr>
          <w:i/>
          <w:sz w:val="24"/>
        </w:rPr>
        <w:t>in vitro</w:t>
      </w:r>
      <w:r>
        <w:rPr>
          <w:sz w:val="24"/>
        </w:rPr>
        <w:t>, así mismo se favorece el contenido de PC  y disminuye el pH de los ensilados con respecto al</w:t>
      </w:r>
      <w:r>
        <w:rPr>
          <w:spacing w:val="-7"/>
          <w:sz w:val="24"/>
        </w:rPr>
        <w:t> </w:t>
      </w:r>
      <w:r>
        <w:rPr>
          <w:sz w:val="24"/>
        </w:rPr>
        <w:t>control.</w:t>
      </w:r>
    </w:p>
    <w:p>
      <w:pPr>
        <w:spacing w:line="480" w:lineRule="auto" w:before="171"/>
        <w:ind w:left="102" w:right="114" w:firstLine="0"/>
        <w:jc w:val="both"/>
        <w:rPr>
          <w:sz w:val="24"/>
        </w:rPr>
      </w:pPr>
      <w:r>
        <w:rPr>
          <w:sz w:val="24"/>
        </w:rPr>
        <w:t>El ensilaje tratado con xilanasa mostro el menor pH y tuvo la mayor producción de gas a las  96 h de incubación en comparación a la celulasa y el aguamiel de</w:t>
      </w:r>
      <w:r>
        <w:rPr>
          <w:spacing w:val="-14"/>
          <w:sz w:val="24"/>
        </w:rPr>
        <w:t> </w:t>
      </w:r>
      <w:r>
        <w:rPr>
          <w:sz w:val="24"/>
        </w:rPr>
        <w:t>maguey.</w:t>
      </w:r>
    </w:p>
    <w:p>
      <w:pPr>
        <w:spacing w:line="480" w:lineRule="auto" w:before="168"/>
        <w:ind w:left="102" w:right="115" w:firstLine="0"/>
        <w:jc w:val="both"/>
        <w:rPr>
          <w:sz w:val="24"/>
        </w:rPr>
      </w:pPr>
      <w:r>
        <w:rPr>
          <w:sz w:val="24"/>
        </w:rPr>
        <w:t>La tasa de fermentación presento un comportamiento estable para la xilanasa, celulasa y el aguamiel de maguey.</w:t>
      </w:r>
    </w:p>
    <w:p>
      <w:pPr>
        <w:spacing w:line="480" w:lineRule="auto" w:before="171"/>
        <w:ind w:left="102" w:right="121" w:firstLine="0"/>
        <w:jc w:val="both"/>
        <w:rPr>
          <w:sz w:val="24"/>
        </w:rPr>
      </w:pPr>
      <w:r>
        <w:rPr>
          <w:sz w:val="24"/>
        </w:rPr>
        <w:t>Los maíces criollos Cacahuacintle y San diego tratados con xilanasa, celulasa y aguamiel de maguey, mostraron la mayor producción de gas y mejor perfil de fermentación con excepción de la producción de biomasa microbial.</w:t>
      </w:r>
    </w:p>
    <w:p>
      <w:pPr>
        <w:spacing w:line="480" w:lineRule="auto" w:before="168"/>
        <w:ind w:left="102" w:right="109" w:firstLine="0"/>
        <w:jc w:val="both"/>
        <w:rPr>
          <w:sz w:val="24"/>
        </w:rPr>
      </w:pPr>
      <w:r>
        <w:rPr>
          <w:sz w:val="24"/>
        </w:rPr>
        <w:t>El aguamiel de maguey puede ser una alternativa de uso en la degradación de la fibra y fermentación de maíz forrajero.</w:t>
      </w:r>
    </w:p>
    <w:p>
      <w:pPr>
        <w:spacing w:after="0" w:line="480" w:lineRule="auto"/>
        <w:jc w:val="both"/>
        <w:rPr>
          <w:sz w:val="24"/>
        </w:rPr>
        <w:sectPr>
          <w:footerReference w:type="default" r:id="rId40"/>
          <w:pgSz w:w="12240" w:h="15840"/>
          <w:pgMar w:footer="1003" w:header="0" w:top="1500" w:bottom="1200" w:left="1600" w:right="1300"/>
          <w:pgNumType w:start="6"/>
        </w:sectPr>
      </w:pPr>
    </w:p>
    <w:p>
      <w:pPr>
        <w:pStyle w:val="BodyText"/>
        <w:spacing w:before="3"/>
        <w:rPr>
          <w:sz w:val="11"/>
        </w:rPr>
      </w:pPr>
    </w:p>
    <w:p>
      <w:pPr>
        <w:pStyle w:val="Heading1"/>
        <w:numPr>
          <w:ilvl w:val="1"/>
          <w:numId w:val="1"/>
        </w:numPr>
        <w:tabs>
          <w:tab w:pos="2832" w:val="left" w:leader="none"/>
        </w:tabs>
        <w:spacing w:line="240" w:lineRule="auto" w:before="69" w:after="0"/>
        <w:ind w:left="2831" w:right="0" w:hanging="387"/>
        <w:jc w:val="left"/>
      </w:pPr>
      <w:bookmarkStart w:name="_TOC_250000" w:id="19"/>
      <w:r>
        <w:rPr/>
        <w:t>LITERATURA</w:t>
      </w:r>
      <w:r>
        <w:rPr>
          <w:spacing w:val="-9"/>
        </w:rPr>
        <w:t> </w:t>
      </w:r>
      <w:bookmarkEnd w:id="19"/>
      <w:r>
        <w:rPr/>
        <w:t>COMPLEMENTARIA</w:t>
      </w:r>
    </w:p>
    <w:p>
      <w:pPr>
        <w:pStyle w:val="BodyText"/>
        <w:rPr>
          <w:b/>
          <w:sz w:val="24"/>
        </w:rPr>
      </w:pPr>
    </w:p>
    <w:p>
      <w:pPr>
        <w:spacing w:line="480" w:lineRule="auto" w:before="153"/>
        <w:ind w:left="102" w:right="113" w:firstLine="0"/>
        <w:jc w:val="both"/>
        <w:rPr>
          <w:sz w:val="24"/>
        </w:rPr>
      </w:pPr>
      <w:r>
        <w:rPr>
          <w:sz w:val="24"/>
        </w:rPr>
        <w:t>Acamovic T, McCleary B. 1996. Enzyme Special Series-Optimising the response. Feed Mix. 4:14-19.</w:t>
      </w:r>
    </w:p>
    <w:p>
      <w:pPr>
        <w:spacing w:line="480" w:lineRule="auto" w:before="171"/>
        <w:ind w:left="102" w:right="122" w:firstLine="0"/>
        <w:jc w:val="both"/>
        <w:rPr>
          <w:sz w:val="24"/>
        </w:rPr>
      </w:pPr>
      <w:r>
        <w:rPr>
          <w:sz w:val="24"/>
        </w:rPr>
        <w:t>Aguirre M J, Miranda C S. 2002. El ajuste del año trópico en Teotihuacán y su relación con la raza Cónoco de maíz. Rev. Fitotec. Mex. 25(2):223-230.</w:t>
      </w:r>
    </w:p>
    <w:p>
      <w:pPr>
        <w:spacing w:line="480" w:lineRule="auto" w:before="171"/>
        <w:ind w:left="102" w:right="116" w:firstLine="0"/>
        <w:jc w:val="both"/>
        <w:rPr>
          <w:sz w:val="24"/>
        </w:rPr>
      </w:pPr>
      <w:r>
        <w:rPr>
          <w:sz w:val="24"/>
        </w:rPr>
        <w:t>Alsersy H, Salem A Z M, Borhami B E, Olivares J, Gado H M, Mariezcurrena M D, Yacuot M H, Kholif A E, El-Adawy M, Hernandez S R. 2015. Effect of Mediterranean saltbush (</w:t>
      </w:r>
      <w:r>
        <w:rPr>
          <w:i/>
          <w:sz w:val="24"/>
        </w:rPr>
        <w:t>Atriplex halimus</w:t>
      </w:r>
      <w:r>
        <w:rPr>
          <w:sz w:val="24"/>
        </w:rPr>
        <w:t>) ensilaging with two developed enzyme cocktails on feed intake, nutrient digestibility and ruminal fermentation in sheep. J. Anim. Sci. 86:</w:t>
      </w:r>
      <w:r>
        <w:rPr>
          <w:spacing w:val="-9"/>
          <w:sz w:val="24"/>
        </w:rPr>
        <w:t> </w:t>
      </w:r>
      <w:r>
        <w:rPr>
          <w:sz w:val="24"/>
        </w:rPr>
        <w:t>51–58.</w:t>
      </w:r>
    </w:p>
    <w:p>
      <w:pPr>
        <w:spacing w:line="480" w:lineRule="auto" w:before="168"/>
        <w:ind w:left="102" w:right="116" w:firstLine="0"/>
        <w:jc w:val="both"/>
        <w:rPr>
          <w:sz w:val="24"/>
        </w:rPr>
      </w:pPr>
      <w:r>
        <w:rPr>
          <w:sz w:val="24"/>
        </w:rPr>
        <w:t>Aman P. 1993. Composition and structure of cell wall polysaccharides in forages. </w:t>
      </w:r>
      <w:r>
        <w:rPr>
          <w:i/>
          <w:sz w:val="24"/>
        </w:rPr>
        <w:t>In</w:t>
      </w:r>
      <w:r>
        <w:rPr>
          <w:sz w:val="24"/>
        </w:rPr>
        <w:t>: Forage Cell Wall Estructure and Digestibility. H.G. Jung, D.R. Buxton, R.D. Hatfield, J. Ralph (Eds.). ASA-CSSA-SSSA, Madison, Wisconsin, USA. 183-199pp.</w:t>
      </w:r>
    </w:p>
    <w:p>
      <w:pPr>
        <w:spacing w:before="171"/>
        <w:ind w:left="102" w:right="0" w:firstLine="0"/>
        <w:jc w:val="both"/>
        <w:rPr>
          <w:sz w:val="24"/>
        </w:rPr>
      </w:pPr>
      <w:r>
        <w:rPr>
          <w:sz w:val="24"/>
        </w:rPr>
        <w:t>Bates G. 1998. Corn silage. Agricultural Extension Service. University of Tennessee. 8p.</w:t>
      </w:r>
    </w:p>
    <w:p>
      <w:pPr>
        <w:pStyle w:val="BodyText"/>
        <w:rPr>
          <w:sz w:val="24"/>
        </w:rPr>
      </w:pPr>
    </w:p>
    <w:p>
      <w:pPr>
        <w:spacing w:line="480" w:lineRule="auto" w:before="158"/>
        <w:ind w:left="102" w:right="116" w:firstLine="0"/>
        <w:jc w:val="both"/>
        <w:rPr>
          <w:sz w:val="24"/>
        </w:rPr>
      </w:pPr>
      <w:r>
        <w:rPr>
          <w:sz w:val="24"/>
        </w:rPr>
        <w:t>Bayer E A, Morag F, Lamed R. 1994. The cellulosome- a treasure- trove for biotechnology. Trends in Biotechnology 12(9):379-386.</w:t>
      </w:r>
    </w:p>
    <w:p>
      <w:pPr>
        <w:spacing w:line="480" w:lineRule="auto" w:before="171"/>
        <w:ind w:left="102" w:right="118" w:firstLine="0"/>
        <w:jc w:val="both"/>
        <w:rPr>
          <w:sz w:val="24"/>
        </w:rPr>
      </w:pPr>
      <w:r>
        <w:rPr>
          <w:sz w:val="24"/>
        </w:rPr>
        <w:t>Beauchemin K A, Colombatto D, Morgavi P D, Yang Z W. 2003. Use of exogenous fibrolytic enzymes to improve feed utilization by ruminants. J. of Anim. Sci. 81(2):37-47.</w:t>
      </w:r>
    </w:p>
    <w:p>
      <w:pPr>
        <w:spacing w:line="480" w:lineRule="auto" w:before="171"/>
        <w:ind w:left="102" w:right="116" w:firstLine="0"/>
        <w:jc w:val="both"/>
        <w:rPr>
          <w:sz w:val="24"/>
        </w:rPr>
      </w:pPr>
      <w:r>
        <w:rPr>
          <w:sz w:val="24"/>
        </w:rPr>
        <w:t>Beauchemin K A, Colombatto D, Morgavi D P, Yang W Z, Rode L M. 2004. Mode of action of exogenous cell wall degrading enzymes for ruminants. Can. J. Anim. Sci. 84:13-22.</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4" w:firstLine="0"/>
        <w:jc w:val="both"/>
        <w:rPr>
          <w:sz w:val="24"/>
        </w:rPr>
      </w:pPr>
      <w:r>
        <w:rPr>
          <w:sz w:val="24"/>
        </w:rPr>
        <w:t>Beauchemin K A, Holstshausen L. 2011. Developments in enzyme usage in ruminants. </w:t>
      </w:r>
      <w:r>
        <w:rPr>
          <w:i/>
          <w:sz w:val="24"/>
        </w:rPr>
        <w:t>In</w:t>
      </w:r>
      <w:r>
        <w:rPr>
          <w:sz w:val="24"/>
        </w:rPr>
        <w:t>: Enzymes in Farm Animal Nutrition. M. R. Bedford, G. G. Partridge. CABI Publishing (2nd Ed.), UK. 206-230pp.</w:t>
      </w:r>
    </w:p>
    <w:p>
      <w:pPr>
        <w:spacing w:line="480" w:lineRule="auto" w:before="168"/>
        <w:ind w:left="102" w:right="113" w:firstLine="0"/>
        <w:jc w:val="both"/>
        <w:rPr>
          <w:sz w:val="24"/>
        </w:rPr>
      </w:pPr>
      <w:r>
        <w:rPr>
          <w:sz w:val="24"/>
        </w:rPr>
        <w:t>Bhat K M, Hazlewod G P. 2003. Enzymology and other characteristics of cellulases and xilanases. </w:t>
      </w:r>
      <w:r>
        <w:rPr>
          <w:i/>
          <w:sz w:val="24"/>
        </w:rPr>
        <w:t>In</w:t>
      </w:r>
      <w:r>
        <w:rPr>
          <w:sz w:val="24"/>
        </w:rPr>
        <w:t>: Enzymes in Farm Animal Nutrition. M. R. Bedford, G. G. Partridge. CABI Publishing (Ed.), UK. pp: 11-60.</w:t>
      </w:r>
    </w:p>
    <w:p>
      <w:pPr>
        <w:spacing w:line="480" w:lineRule="auto" w:before="171"/>
        <w:ind w:left="102" w:right="114" w:firstLine="0"/>
        <w:jc w:val="both"/>
        <w:rPr>
          <w:sz w:val="24"/>
        </w:rPr>
      </w:pPr>
      <w:r>
        <w:rPr>
          <w:sz w:val="24"/>
        </w:rPr>
        <w:t>Breccia J, Morán A, Castro G, Siñeriz F. 1998. Thermal stanilization by polyols of β-xylanase from Bacillus amyliquefaciens. J. Chem. Technol. Biotech. 71:241-245.</w:t>
      </w:r>
    </w:p>
    <w:p>
      <w:pPr>
        <w:spacing w:line="480" w:lineRule="auto" w:before="171"/>
        <w:ind w:left="102" w:right="113" w:firstLine="0"/>
        <w:jc w:val="both"/>
        <w:rPr>
          <w:sz w:val="24"/>
        </w:rPr>
      </w:pPr>
      <w:r>
        <w:rPr>
          <w:sz w:val="24"/>
        </w:rPr>
        <w:t>Buxton D R, Casler M D. 1993. Environmental and genetic effects on cell-wall composition and digestibility. In: Forage cell wall structure and digestibility. Jung H G et al eds. American Society of Agronomy. Crop Science Society of America and Soil Science Society of America, Madison. 685-714pp.</w:t>
      </w:r>
    </w:p>
    <w:p>
      <w:pPr>
        <w:spacing w:line="480" w:lineRule="auto" w:before="168"/>
        <w:ind w:left="102" w:right="115" w:firstLine="0"/>
        <w:jc w:val="both"/>
        <w:rPr>
          <w:sz w:val="24"/>
        </w:rPr>
      </w:pPr>
      <w:r>
        <w:rPr>
          <w:sz w:val="24"/>
        </w:rPr>
        <w:t>Castillo J M, Rojas B A, Wing Ching J R. 2009. Valor nutricional del ensilaje de maíz cultivado en asocio con vigna (</w:t>
      </w:r>
      <w:r>
        <w:rPr>
          <w:i/>
          <w:sz w:val="24"/>
        </w:rPr>
        <w:t>Vigna radiata</w:t>
      </w:r>
      <w:r>
        <w:rPr>
          <w:sz w:val="24"/>
        </w:rPr>
        <w:t>). Agronomía Costarricense 33:133-146.</w:t>
      </w:r>
    </w:p>
    <w:p>
      <w:pPr>
        <w:spacing w:line="480" w:lineRule="auto" w:before="171"/>
        <w:ind w:left="102" w:right="115" w:firstLine="0"/>
        <w:jc w:val="both"/>
        <w:rPr>
          <w:sz w:val="24"/>
        </w:rPr>
      </w:pPr>
      <w:r>
        <w:rPr>
          <w:sz w:val="24"/>
        </w:rPr>
        <w:t>Castro N S, López S J A, Pecina M J A, Mendoza C M C, Reyes M C. A. 2013. Exploración de germoplasma nativo de maíz en el centro y sur de Tamaulipas, México. Rev. Mex. Cienc. Agríc.</w:t>
      </w:r>
      <w:r>
        <w:rPr>
          <w:spacing w:val="-7"/>
          <w:sz w:val="24"/>
        </w:rPr>
        <w:t> </w:t>
      </w:r>
      <w:r>
        <w:rPr>
          <w:sz w:val="24"/>
        </w:rPr>
        <w:t>4(4):645-653.</w:t>
      </w:r>
    </w:p>
    <w:p>
      <w:pPr>
        <w:spacing w:line="480" w:lineRule="auto" w:before="168"/>
        <w:ind w:left="102" w:right="113" w:firstLine="0"/>
        <w:jc w:val="both"/>
        <w:rPr>
          <w:sz w:val="24"/>
        </w:rPr>
      </w:pPr>
      <w:r>
        <w:rPr>
          <w:sz w:val="24"/>
        </w:rPr>
        <w:t>Cedillo J, Vázquez-Armijo J F, González-Reyna A, Salem A Z M, Kholif A E, Hernández- Meléndez J, Martínez-González J C, De Oca Jiménez R M, Rivero N, López D. 2014. Effects of different doses of Salix babylonica extract on growth performance and diet in vitro gas production in Pelibuey growing lambs. Italian Journal of Animal Science 13:609–613.</w:t>
      </w:r>
    </w:p>
    <w:p>
      <w:pPr>
        <w:spacing w:after="0" w:line="480" w:lineRule="auto"/>
        <w:jc w:val="both"/>
        <w:rPr>
          <w:sz w:val="24"/>
        </w:rPr>
        <w:sectPr>
          <w:footerReference w:type="default" r:id="rId41"/>
          <w:pgSz w:w="12240" w:h="15840"/>
          <w:pgMar w:footer="1003" w:header="0" w:top="1500" w:bottom="1200" w:left="1600" w:right="1300"/>
          <w:pgNumType w:start="71"/>
        </w:sectPr>
      </w:pPr>
    </w:p>
    <w:p>
      <w:pPr>
        <w:pStyle w:val="BodyText"/>
        <w:spacing w:before="9"/>
        <w:rPr>
          <w:sz w:val="10"/>
        </w:rPr>
      </w:pPr>
    </w:p>
    <w:p>
      <w:pPr>
        <w:spacing w:line="480" w:lineRule="auto" w:before="70"/>
        <w:ind w:left="102" w:right="122" w:firstLine="0"/>
        <w:jc w:val="both"/>
        <w:rPr>
          <w:sz w:val="24"/>
        </w:rPr>
      </w:pPr>
      <w:r>
        <w:rPr>
          <w:sz w:val="24"/>
        </w:rPr>
        <w:t>Clark P W, Kelm S, Endres M I. 2002. Effect of feeding a corn hybrid selected for leafiness as silage or grain to lactating dairy cows. J. Dairy Sci. 85: 607-612</w:t>
      </w:r>
    </w:p>
    <w:p>
      <w:pPr>
        <w:spacing w:line="480" w:lineRule="auto" w:before="168"/>
        <w:ind w:left="102" w:right="116" w:firstLine="0"/>
        <w:jc w:val="both"/>
        <w:rPr>
          <w:sz w:val="24"/>
        </w:rPr>
      </w:pPr>
      <w:r>
        <w:rPr>
          <w:sz w:val="24"/>
        </w:rPr>
        <w:t>Colombatto D, Mould F L, Bhat M K, Owen E. 2003. Use of fibrolytic enzymes to improve the nutritive value of ruminant diets. A biochemical and in vitro rumen degradation assessment. Anim. Feed Sci. Technol.</w:t>
      </w:r>
      <w:r>
        <w:rPr>
          <w:spacing w:val="-5"/>
          <w:sz w:val="24"/>
        </w:rPr>
        <w:t> </w:t>
      </w:r>
      <w:r>
        <w:rPr>
          <w:sz w:val="24"/>
        </w:rPr>
        <w:t>107:201–209.</w:t>
      </w:r>
    </w:p>
    <w:p>
      <w:pPr>
        <w:spacing w:line="480" w:lineRule="auto" w:before="171"/>
        <w:ind w:left="102" w:right="111" w:firstLine="0"/>
        <w:jc w:val="both"/>
        <w:rPr>
          <w:sz w:val="24"/>
        </w:rPr>
      </w:pPr>
      <w:r>
        <w:rPr>
          <w:sz w:val="24"/>
        </w:rPr>
        <w:t>Cysneiros C S S, Franco G </w:t>
      </w:r>
      <w:r>
        <w:rPr>
          <w:spacing w:val="-3"/>
          <w:sz w:val="24"/>
        </w:rPr>
        <w:t>L, </w:t>
      </w:r>
      <w:r>
        <w:rPr>
          <w:sz w:val="24"/>
        </w:rPr>
        <w:t>Ulhoa C J, Diogo J M S, Ramos A K B. 2006. Efeito de  enzimas fibrolíticas sobre a composição química da silagem de milho. Ciência Animal Brasileira</w:t>
      </w:r>
      <w:r>
        <w:rPr>
          <w:spacing w:val="-7"/>
          <w:sz w:val="24"/>
        </w:rPr>
        <w:t> </w:t>
      </w:r>
      <w:r>
        <w:rPr>
          <w:sz w:val="24"/>
        </w:rPr>
        <w:t>7(4):339-348.</w:t>
      </w:r>
    </w:p>
    <w:p>
      <w:pPr>
        <w:spacing w:line="480" w:lineRule="auto" w:before="171"/>
        <w:ind w:left="102" w:right="114" w:firstLine="0"/>
        <w:jc w:val="both"/>
        <w:rPr>
          <w:sz w:val="24"/>
        </w:rPr>
      </w:pPr>
      <w:r>
        <w:rPr>
          <w:sz w:val="24"/>
        </w:rPr>
        <w:t>Dawson K A, Tricarico J M. 2007. The use of exogenous fibrolytic enzymes to enhance microbial activities in the rumen and the performance of ruminant animals. In: </w:t>
      </w:r>
      <w:hyperlink r:id="rId42">
        <w:r>
          <w:rPr>
            <w:color w:val="0462C1"/>
            <w:sz w:val="24"/>
            <w:u w:val="single" w:color="0462C1"/>
          </w:rPr>
          <w:t>www.engormix.com/Articles/View.aspxid=695</w:t>
        </w:r>
      </w:hyperlink>
    </w:p>
    <w:p>
      <w:pPr>
        <w:spacing w:line="480" w:lineRule="auto" w:before="169"/>
        <w:ind w:left="102" w:right="115" w:firstLine="0"/>
        <w:jc w:val="both"/>
        <w:rPr>
          <w:sz w:val="24"/>
        </w:rPr>
      </w:pPr>
      <w:r>
        <w:rPr>
          <w:sz w:val="24"/>
        </w:rPr>
        <w:t>Deswal D, Khasa Y P, Kuhad R C. 2011. Optimization of cellulase production by a Brown rot fungus </w:t>
      </w:r>
      <w:r>
        <w:rPr>
          <w:i/>
          <w:sz w:val="24"/>
        </w:rPr>
        <w:t>Fomitopsis </w:t>
      </w:r>
      <w:r>
        <w:rPr>
          <w:sz w:val="24"/>
        </w:rPr>
        <w:t>sp. RCK2010 under solid state fermentation. Bioresource Technology 102(10):6065-6072.</w:t>
      </w:r>
    </w:p>
    <w:p>
      <w:pPr>
        <w:spacing w:line="480" w:lineRule="auto" w:before="171"/>
        <w:ind w:left="102" w:right="122" w:firstLine="0"/>
        <w:jc w:val="both"/>
        <w:rPr>
          <w:sz w:val="24"/>
        </w:rPr>
      </w:pPr>
      <w:r>
        <w:rPr>
          <w:sz w:val="24"/>
        </w:rPr>
        <w:t>Dobley J F, Goodman M M, Stuber Ch W. 1985. Isozyme variation in races of maize from Mexico. Amer. J. Bot. 72:629-639.</w:t>
      </w:r>
    </w:p>
    <w:p>
      <w:pPr>
        <w:spacing w:before="169"/>
        <w:ind w:left="102" w:right="0" w:firstLine="0"/>
        <w:jc w:val="both"/>
        <w:rPr>
          <w:sz w:val="24"/>
        </w:rPr>
      </w:pPr>
      <w:r>
        <w:rPr>
          <w:sz w:val="24"/>
        </w:rPr>
        <w:t>Dobley J. 2004. The genetics of maize evolution. Ann. Rev. Gen. 38:37-59.</w:t>
      </w:r>
    </w:p>
    <w:p>
      <w:pPr>
        <w:pStyle w:val="BodyText"/>
        <w:rPr>
          <w:sz w:val="24"/>
        </w:rPr>
      </w:pPr>
    </w:p>
    <w:p>
      <w:pPr>
        <w:spacing w:line="480" w:lineRule="auto" w:before="161"/>
        <w:ind w:left="102" w:right="117" w:firstLine="0"/>
        <w:jc w:val="both"/>
        <w:rPr>
          <w:sz w:val="24"/>
        </w:rPr>
      </w:pPr>
      <w:r>
        <w:rPr>
          <w:sz w:val="24"/>
        </w:rPr>
        <w:t>Eichlerová I, Ruel K, Homolka L, Joseleau J P, Nerud F. 2000. Ligninolytic characteristics of </w:t>
      </w:r>
      <w:r>
        <w:rPr>
          <w:i/>
          <w:sz w:val="24"/>
        </w:rPr>
        <w:t>Pleurotus ostreatus </w:t>
      </w:r>
      <w:r>
        <w:rPr>
          <w:sz w:val="24"/>
        </w:rPr>
        <w:t>strain F6 and its monokariotic protoplast derivate P19. Can. J. Microbiol. 46:1153-1158.</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8" w:firstLine="0"/>
        <w:jc w:val="both"/>
        <w:rPr>
          <w:sz w:val="24"/>
        </w:rPr>
      </w:pPr>
      <w:r>
        <w:rPr>
          <w:sz w:val="24"/>
        </w:rPr>
        <w:t>Elghandour M M Y, Salem A Z M, Gonzalez-Ronquillo M, Borquez J </w:t>
      </w:r>
      <w:r>
        <w:rPr>
          <w:spacing w:val="-3"/>
          <w:sz w:val="24"/>
        </w:rPr>
        <w:t>L, </w:t>
      </w:r>
      <w:r>
        <w:rPr>
          <w:sz w:val="24"/>
        </w:rPr>
        <w:t>Gado H M, Odongo N E and Penuelas C G. 2013. Effects of exogenous enzymes on in vitro gas production kinetics and ruminal fermentation of four fibrous feeds. Anim. Feed Sci. Technol.</w:t>
      </w:r>
      <w:r>
        <w:rPr>
          <w:spacing w:val="-9"/>
          <w:sz w:val="24"/>
        </w:rPr>
        <w:t> </w:t>
      </w:r>
      <w:r>
        <w:rPr>
          <w:sz w:val="24"/>
        </w:rPr>
        <w:t>179:46–53.</w:t>
      </w:r>
    </w:p>
    <w:p>
      <w:pPr>
        <w:spacing w:line="480" w:lineRule="auto" w:before="168"/>
        <w:ind w:left="102" w:right="113" w:firstLine="0"/>
        <w:jc w:val="both"/>
        <w:rPr>
          <w:sz w:val="24"/>
        </w:rPr>
      </w:pPr>
      <w:r>
        <w:rPr>
          <w:sz w:val="24"/>
        </w:rPr>
        <w:t>Espinosa C A, Tadeo R M, Arteaga E I, Turrent F A, Sierra M O, Gómez M N, Palafox C A, Valdivia B R, Trejo P V, Canales I V. 2012. Rendimiento de las generaciones F1 y F2 de híbridos trilineales de maíz en los Valles Altos de México. Universidad y Ciencia 28(1):57-64.</w:t>
      </w:r>
    </w:p>
    <w:p>
      <w:pPr>
        <w:spacing w:line="480" w:lineRule="auto" w:before="171"/>
        <w:ind w:left="102" w:right="113" w:firstLine="0"/>
        <w:jc w:val="both"/>
        <w:rPr>
          <w:sz w:val="24"/>
        </w:rPr>
      </w:pPr>
      <w:r>
        <w:rPr>
          <w:sz w:val="24"/>
        </w:rPr>
        <w:t>Esquivel E G, Castillo G F, Hernández C J M, Santacruz VA, García S G, Acosta G J. 2013. Aptitud combinatoria en maíz con divergencia genética en el Altiplano Mexicano. Rev. Mex. Cienc. Agric. 4(1):5-18.</w:t>
      </w:r>
    </w:p>
    <w:p>
      <w:pPr>
        <w:spacing w:line="480" w:lineRule="auto" w:before="171"/>
        <w:ind w:left="102" w:right="113" w:firstLine="0"/>
        <w:jc w:val="both"/>
        <w:rPr>
          <w:sz w:val="24"/>
        </w:rPr>
      </w:pPr>
      <w:r>
        <w:rPr>
          <w:sz w:val="24"/>
        </w:rPr>
        <w:t>Estrada-Flores J G, Gonzalez-Ronquillo M, Mould F L, Arriaga-Jordan C M, Castelan-Ortega O A. 2006. Chemical composition and fermentation characteristics of grain and different parts of the stover from maize land races harvested at different growing periods in two zones of central Mexico. Anim. Sci. 82: 845-852</w:t>
      </w:r>
    </w:p>
    <w:p>
      <w:pPr>
        <w:spacing w:line="480" w:lineRule="auto" w:before="168"/>
        <w:ind w:left="102" w:right="116" w:firstLine="0"/>
        <w:jc w:val="both"/>
        <w:rPr>
          <w:sz w:val="24"/>
        </w:rPr>
      </w:pPr>
      <w:r>
        <w:rPr>
          <w:sz w:val="24"/>
        </w:rPr>
        <w:t>FAO, Food and Agriculture Organization. 2009. Base de datos de estadística agropecuaria. En: </w:t>
      </w:r>
      <w:hyperlink r:id="rId43">
        <w:r>
          <w:rPr>
            <w:color w:val="0462C1"/>
            <w:sz w:val="24"/>
            <w:u w:val="single" w:color="0462C1"/>
          </w:rPr>
          <w:t>www.faostat.fao.org</w:t>
        </w:r>
        <w:r>
          <w:rPr>
            <w:sz w:val="24"/>
          </w:rPr>
          <w:t>.</w:t>
        </w:r>
      </w:hyperlink>
      <w:r>
        <w:rPr>
          <w:sz w:val="24"/>
        </w:rPr>
        <w:t> Consultada en marzo 2014.</w:t>
      </w:r>
    </w:p>
    <w:p>
      <w:pPr>
        <w:pStyle w:val="BodyText"/>
        <w:spacing w:before="10"/>
        <w:rPr>
          <w:sz w:val="8"/>
        </w:rPr>
      </w:pPr>
    </w:p>
    <w:p>
      <w:pPr>
        <w:spacing w:line="480" w:lineRule="auto" w:before="69"/>
        <w:ind w:left="102" w:right="118" w:firstLine="0"/>
        <w:jc w:val="both"/>
        <w:rPr>
          <w:sz w:val="24"/>
        </w:rPr>
      </w:pPr>
      <w:r>
        <w:rPr>
          <w:sz w:val="24"/>
        </w:rPr>
        <w:t>Fazaeli H, Azizi A, Jelan Z A, Mirhadi S A. 2003. Effect of fungal treatment on the chemical composition, </w:t>
      </w:r>
      <w:r>
        <w:rPr>
          <w:i/>
          <w:sz w:val="24"/>
        </w:rPr>
        <w:t>in vitro </w:t>
      </w:r>
      <w:r>
        <w:rPr>
          <w:sz w:val="24"/>
        </w:rPr>
        <w:t>digestibility and </w:t>
      </w:r>
      <w:r>
        <w:rPr>
          <w:i/>
          <w:sz w:val="24"/>
        </w:rPr>
        <w:t>in sacco </w:t>
      </w:r>
      <w:r>
        <w:rPr>
          <w:sz w:val="24"/>
        </w:rPr>
        <w:t>degradability of wheat straw. Proc. Br. Soc. Anim. Sci. 166p.</w:t>
      </w:r>
    </w:p>
    <w:p>
      <w:pPr>
        <w:spacing w:line="480" w:lineRule="auto" w:before="168"/>
        <w:ind w:left="102" w:right="112" w:firstLine="0"/>
        <w:jc w:val="both"/>
        <w:rPr>
          <w:sz w:val="24"/>
        </w:rPr>
      </w:pPr>
      <w:r>
        <w:rPr>
          <w:sz w:val="24"/>
        </w:rPr>
        <w:t>Flores A M, Castañeda E H, Sanchez P F J, Romero A L, Ruiz L J. Mecanismos de conservación y uso del maguey pulquero </w:t>
      </w:r>
      <w:r>
        <w:rPr>
          <w:i/>
          <w:sz w:val="24"/>
        </w:rPr>
        <w:t>Agave salmiana </w:t>
      </w:r>
      <w:r>
        <w:rPr>
          <w:sz w:val="24"/>
        </w:rPr>
        <w:t>en el Altiplano Mexicano.   Instituto</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tabs>
          <w:tab w:pos="1846" w:val="left" w:leader="none"/>
          <w:tab w:pos="2688" w:val="left" w:leader="none"/>
          <w:tab w:pos="4142" w:val="left" w:leader="none"/>
          <w:tab w:pos="4914" w:val="left" w:leader="none"/>
          <w:tab w:pos="6350" w:val="left" w:leader="none"/>
        </w:tabs>
        <w:spacing w:before="70"/>
        <w:ind w:left="102" w:right="19" w:firstLine="0"/>
        <w:jc w:val="left"/>
        <w:rPr>
          <w:sz w:val="24"/>
        </w:rPr>
      </w:pPr>
      <w:r>
        <w:rPr>
          <w:sz w:val="24"/>
        </w:rPr>
        <w:t>Tecnológico</w:t>
        <w:tab/>
        <w:t>del</w:t>
        <w:tab/>
        <w:t>Altiplano</w:t>
        <w:tab/>
        <w:t>de</w:t>
        <w:tab/>
        <w:t>Tlaxcala.</w:t>
        <w:tab/>
      </w:r>
      <w:hyperlink r:id="rId44">
        <w:r>
          <w:rPr>
            <w:color w:val="0462C1"/>
            <w:sz w:val="24"/>
            <w:u w:val="single" w:color="0462C1"/>
          </w:rPr>
          <w:t>www.somas.org.mx/pdf/pdfs-</w:t>
        </w:r>
      </w:hyperlink>
    </w:p>
    <w:p>
      <w:pPr>
        <w:pStyle w:val="BodyText"/>
        <w:spacing w:before="11"/>
        <w:rPr>
          <w:sz w:val="17"/>
        </w:rPr>
      </w:pPr>
    </w:p>
    <w:p>
      <w:pPr>
        <w:spacing w:before="69"/>
        <w:ind w:left="102" w:right="19" w:firstLine="0"/>
        <w:jc w:val="left"/>
        <w:rPr>
          <w:sz w:val="24"/>
        </w:rPr>
      </w:pPr>
      <w:hyperlink r:id="rId44">
        <w:r>
          <w:rPr>
            <w:color w:val="0462C1"/>
            <w:sz w:val="24"/>
            <w:u w:val="single" w:color="0462C1"/>
          </w:rPr>
          <w:t>_libros/agriculturasostenible6/61/42.pdf</w:t>
        </w:r>
      </w:hyperlink>
      <w:r>
        <w:rPr>
          <w:sz w:val="24"/>
        </w:rPr>
        <w:t>. Consultado en abril 2015.</w:t>
      </w:r>
    </w:p>
    <w:p>
      <w:pPr>
        <w:pStyle w:val="BodyText"/>
        <w:rPr>
          <w:sz w:val="20"/>
        </w:rPr>
      </w:pPr>
    </w:p>
    <w:p>
      <w:pPr>
        <w:spacing w:line="480" w:lineRule="auto" w:before="204"/>
        <w:ind w:left="102" w:right="114" w:firstLine="0"/>
        <w:jc w:val="both"/>
        <w:rPr>
          <w:sz w:val="24"/>
        </w:rPr>
      </w:pPr>
      <w:r>
        <w:rPr>
          <w:sz w:val="24"/>
        </w:rPr>
        <w:t>Gado H M, Salem A Z M, Robinson P H, Hassan M. 2009. Influence of exogenous enzymes on nutrient digestibility, extent of ruminal fermentation as well as milk production and composition in dairy cows. Anim. Feed Sci. Technol. 154:36-46.</w:t>
      </w:r>
    </w:p>
    <w:p>
      <w:pPr>
        <w:spacing w:line="480" w:lineRule="auto" w:before="171"/>
        <w:ind w:left="102" w:right="117" w:firstLine="0"/>
        <w:jc w:val="both"/>
        <w:rPr>
          <w:sz w:val="24"/>
        </w:rPr>
      </w:pPr>
      <w:r>
        <w:rPr>
          <w:sz w:val="24"/>
        </w:rPr>
        <w:t>Gallardo I, Bárcena R, Pinos-Rodríguez J M, Cobos M, Carreón L, Ortega M E. 2010. Influence of exogenous fibrolytic enzymes on </w:t>
      </w:r>
      <w:r>
        <w:rPr>
          <w:i/>
          <w:sz w:val="24"/>
        </w:rPr>
        <w:t>in vitro </w:t>
      </w:r>
      <w:r>
        <w:rPr>
          <w:sz w:val="24"/>
        </w:rPr>
        <w:t>and </w:t>
      </w:r>
      <w:r>
        <w:rPr>
          <w:i/>
          <w:sz w:val="24"/>
        </w:rPr>
        <w:t>in sacco </w:t>
      </w:r>
      <w:r>
        <w:rPr>
          <w:sz w:val="24"/>
        </w:rPr>
        <w:t>degradation of forages for ruminants. Ital. J. Anim. Sci. 9:34-38.</w:t>
      </w:r>
    </w:p>
    <w:p>
      <w:pPr>
        <w:spacing w:line="480" w:lineRule="auto" w:before="171"/>
        <w:ind w:left="102" w:right="114" w:firstLine="0"/>
        <w:jc w:val="both"/>
        <w:rPr>
          <w:sz w:val="24"/>
        </w:rPr>
      </w:pPr>
      <w:r>
        <w:rPr>
          <w:sz w:val="24"/>
        </w:rPr>
        <w:t>Gámez V A J, de la O Olán M, Santacruz V A, López S H. 2014. Conservación </w:t>
      </w:r>
      <w:r>
        <w:rPr>
          <w:i/>
          <w:sz w:val="24"/>
        </w:rPr>
        <w:t>in situ</w:t>
      </w:r>
      <w:r>
        <w:rPr>
          <w:sz w:val="24"/>
        </w:rPr>
        <w:t>, manejo y aprovechamiento de maíz Palomero Toluqueño con productores custodios. Rev. Mex. Cienc. Agric. 5(8):1519-1530.</w:t>
      </w:r>
    </w:p>
    <w:p>
      <w:pPr>
        <w:spacing w:line="480" w:lineRule="auto" w:before="169"/>
        <w:ind w:left="102" w:right="114" w:firstLine="0"/>
        <w:jc w:val="both"/>
        <w:rPr>
          <w:sz w:val="24"/>
        </w:rPr>
      </w:pPr>
      <w:r>
        <w:rPr>
          <w:sz w:val="24"/>
        </w:rPr>
        <w:t>García-Mendoza A. 1995. Riqueza y endemismo de la familia Agavaceae en México. En: Conservación de Plantas en Peligro de Extinción: Diferentes Enfoques. Linares E, Dávila P, Chiang F, Bye R, Elias T (eds). Instituto de Biología, UNAM, México. 51-70pp.</w:t>
      </w:r>
    </w:p>
    <w:p>
      <w:pPr>
        <w:spacing w:line="480" w:lineRule="auto" w:before="171"/>
        <w:ind w:left="102" w:right="116" w:firstLine="0"/>
        <w:jc w:val="both"/>
        <w:rPr>
          <w:sz w:val="24"/>
        </w:rPr>
      </w:pPr>
      <w:r>
        <w:rPr>
          <w:sz w:val="24"/>
        </w:rPr>
        <w:t>Giraldo L A, Ranilla M J, Tejido M L, Carro M D. 2004. Effect of enzyme application method on in vitro rumen fermentation of tropical forages. J. Anim. Feed Sci. 13:63–66.</w:t>
      </w:r>
    </w:p>
    <w:p>
      <w:pPr>
        <w:spacing w:line="480" w:lineRule="auto" w:before="169"/>
        <w:ind w:left="102" w:right="118" w:firstLine="0"/>
        <w:jc w:val="both"/>
        <w:rPr>
          <w:sz w:val="24"/>
        </w:rPr>
      </w:pPr>
      <w:r>
        <w:rPr>
          <w:sz w:val="24"/>
        </w:rPr>
        <w:t>González A M, Martínez L J A, Villarreal Q H, Gámez G, Verde S J. 2004. La sección </w:t>
      </w:r>
      <w:r>
        <w:rPr>
          <w:i/>
          <w:sz w:val="24"/>
        </w:rPr>
        <w:t>Salmiana </w:t>
      </w:r>
      <w:r>
        <w:rPr>
          <w:sz w:val="24"/>
        </w:rPr>
        <w:t>del genero </w:t>
      </w:r>
      <w:r>
        <w:rPr>
          <w:i/>
          <w:sz w:val="24"/>
        </w:rPr>
        <w:t>Agave </w:t>
      </w:r>
      <w:r>
        <w:rPr>
          <w:sz w:val="24"/>
        </w:rPr>
        <w:t>L. (Agavaceae) y su importancia alimenticia. En: Memorias V Congreso Regional en Ciencias de los Alimentos. Facultad de Ciencias Biológicas, Universidad Autónoma de Nuevo Leon, México.</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8" w:firstLine="0"/>
        <w:jc w:val="both"/>
        <w:rPr>
          <w:sz w:val="24"/>
        </w:rPr>
      </w:pPr>
      <w:r>
        <w:rPr>
          <w:sz w:val="24"/>
        </w:rPr>
        <w:t>Graminha, N.E.B., Goncalves, A.Z.L., Pirota, R.D.P.B., Balsalobre, M.A.A., Da Silva, R., Gomes, E., 2008. Enzyme production by solid-state fermentation: Application to animal nutrition. Anim. Feed Sci. Technol. 144: 1-22.</w:t>
      </w:r>
    </w:p>
    <w:p>
      <w:pPr>
        <w:spacing w:line="480" w:lineRule="auto" w:before="168"/>
        <w:ind w:left="102" w:right="122" w:firstLine="0"/>
        <w:jc w:val="both"/>
        <w:rPr>
          <w:sz w:val="24"/>
        </w:rPr>
      </w:pPr>
      <w:r>
        <w:rPr>
          <w:sz w:val="24"/>
        </w:rPr>
        <w:t>Harris J B. 2003. Harvesting, storing and feeding silage to dairy cattle. Florida Cooperative Extension Service. Institute of Food and Agriculture Sciences. University of Florida. 7p.</w:t>
      </w:r>
    </w:p>
    <w:p>
      <w:pPr>
        <w:spacing w:line="480" w:lineRule="auto" w:before="171"/>
        <w:ind w:left="102" w:right="115" w:firstLine="0"/>
        <w:jc w:val="both"/>
        <w:rPr>
          <w:sz w:val="24"/>
        </w:rPr>
      </w:pPr>
      <w:r>
        <w:rPr>
          <w:sz w:val="24"/>
        </w:rPr>
        <w:t>Hayano K C, Calderón V C, Ibarra-Laclette E, Herrera E L, Simpson J. 2009. Analysis of gene expression and physiological responses in three Mexican maize landraces under drought stress and recovery irrigation. PLOS ONE 4(10):7531, doi:10.1371/journal.pone.0007531.</w:t>
      </w:r>
    </w:p>
    <w:p>
      <w:pPr>
        <w:spacing w:line="480" w:lineRule="auto" w:before="171"/>
        <w:ind w:left="102" w:right="117" w:firstLine="0"/>
        <w:jc w:val="both"/>
        <w:rPr>
          <w:sz w:val="24"/>
        </w:rPr>
      </w:pPr>
      <w:r>
        <w:rPr>
          <w:sz w:val="24"/>
        </w:rPr>
        <w:t>Henrissat B, Teeri T T, Warren R A J. 1998. A scheme for designating enzymes that hydrolyse the polysaccharides in the cell walls of plants. FEBS Letters 425(2):352-354.</w:t>
      </w:r>
    </w:p>
    <w:p>
      <w:pPr>
        <w:spacing w:line="480" w:lineRule="auto" w:before="168"/>
        <w:ind w:left="102" w:right="114" w:firstLine="0"/>
        <w:jc w:val="both"/>
        <w:rPr>
          <w:sz w:val="24"/>
        </w:rPr>
      </w:pPr>
      <w:r>
        <w:rPr>
          <w:sz w:val="24"/>
        </w:rPr>
        <w:t>Kato T A, Mapes C, Mera L M, Serratos J A, Bye R A. 2009. Origen y diversicación del maíz: una revisión analítica. Universidad Nacional Autónoma de México. Comisión Nacional para el Conocimiento y el Uso de la Biodiversidad. México. 116p.</w:t>
      </w:r>
    </w:p>
    <w:p>
      <w:pPr>
        <w:spacing w:line="480" w:lineRule="auto" w:before="171"/>
        <w:ind w:left="102" w:right="113" w:firstLine="0"/>
        <w:jc w:val="both"/>
        <w:rPr>
          <w:sz w:val="24"/>
        </w:rPr>
      </w:pPr>
      <w:r>
        <w:rPr>
          <w:sz w:val="24"/>
        </w:rPr>
        <w:t>Kholif A E, Khattab H M, El-Shewy AA, Salem A Z M, Kholif A M, El-Sayed M M, Gado H M, Mariezcurrena M D. 2014. Nutrient digestibility, ruminal fermentation activities, serum parameters and milk production and composition of lactating goats fed diets containing rice straw treated with Pleurotusostreatus. Asian-Australasian Journal of Animal Sciences 27:357– 364.</w:t>
      </w:r>
    </w:p>
    <w:p>
      <w:pPr>
        <w:spacing w:line="480" w:lineRule="auto" w:before="168"/>
        <w:ind w:left="102" w:right="112" w:firstLine="0"/>
        <w:jc w:val="both"/>
        <w:rPr>
          <w:sz w:val="24"/>
        </w:rPr>
      </w:pPr>
      <w:r>
        <w:rPr>
          <w:sz w:val="24"/>
        </w:rPr>
        <w:t>Kung J L, Treacher R J, Nauman G A, Smagala A M, Endres K M, Cohen M A. 2000. The effect of treating forages with fibrolytic enzymes on its nutritive value and lactation performance of dairy cows. J. Dairy Sci. 83:115-122.</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8" w:firstLine="0"/>
        <w:jc w:val="both"/>
        <w:rPr>
          <w:sz w:val="24"/>
        </w:rPr>
      </w:pPr>
      <w:r>
        <w:rPr>
          <w:sz w:val="24"/>
        </w:rPr>
        <w:t>López M G, Mancilla-Margalli N A, Mendoza-Díaz G. 2003. Molecular structures of fructans from </w:t>
      </w:r>
      <w:r>
        <w:rPr>
          <w:i/>
          <w:sz w:val="24"/>
        </w:rPr>
        <w:t>Agave tequilana </w:t>
      </w:r>
      <w:r>
        <w:rPr>
          <w:sz w:val="24"/>
        </w:rPr>
        <w:t>Weber var. azul. J. Agric. Food Chem. 51:7835-7840.</w:t>
      </w:r>
    </w:p>
    <w:p>
      <w:pPr>
        <w:spacing w:line="480" w:lineRule="auto" w:before="168"/>
        <w:ind w:left="102" w:right="117" w:firstLine="0"/>
        <w:jc w:val="both"/>
        <w:rPr>
          <w:sz w:val="24"/>
        </w:rPr>
      </w:pPr>
      <w:r>
        <w:rPr>
          <w:sz w:val="24"/>
        </w:rPr>
        <w:t>Mancilla-Margalli N A, López M G. 2006. Water-soluble carbohydrates and fructan structures patterns from </w:t>
      </w:r>
      <w:r>
        <w:rPr>
          <w:i/>
          <w:sz w:val="24"/>
        </w:rPr>
        <w:t>Agave </w:t>
      </w:r>
      <w:r>
        <w:rPr>
          <w:sz w:val="24"/>
        </w:rPr>
        <w:t>and </w:t>
      </w:r>
      <w:r>
        <w:rPr>
          <w:i/>
          <w:sz w:val="24"/>
        </w:rPr>
        <w:t>Dasylirion </w:t>
      </w:r>
      <w:r>
        <w:rPr>
          <w:sz w:val="24"/>
        </w:rPr>
        <w:t>species. J. Agric. Food Chem. 54:7832-7839.</w:t>
      </w:r>
    </w:p>
    <w:p>
      <w:pPr>
        <w:spacing w:line="480" w:lineRule="auto" w:before="171"/>
        <w:ind w:left="102" w:right="114" w:firstLine="0"/>
        <w:jc w:val="both"/>
        <w:rPr>
          <w:sz w:val="24"/>
        </w:rPr>
      </w:pPr>
      <w:r>
        <w:rPr>
          <w:sz w:val="24"/>
        </w:rPr>
        <w:t>Márquez-Araque A T, Mendoza M G D, González M S S, Buntinx D S E, Loera C O. 2007. Actividad fibrolítica de enzimas producidas por </w:t>
      </w:r>
      <w:r>
        <w:rPr>
          <w:i/>
          <w:sz w:val="24"/>
        </w:rPr>
        <w:t>Trametes </w:t>
      </w:r>
      <w:r>
        <w:rPr>
          <w:sz w:val="24"/>
        </w:rPr>
        <w:t>sp. EUM1, </w:t>
      </w:r>
      <w:r>
        <w:rPr>
          <w:i/>
          <w:sz w:val="24"/>
        </w:rPr>
        <w:t>Pleurotus ostreatus </w:t>
      </w:r>
      <w:r>
        <w:rPr>
          <w:sz w:val="24"/>
        </w:rPr>
        <w:t>IE8  y </w:t>
      </w:r>
      <w:r>
        <w:rPr>
          <w:i/>
          <w:sz w:val="24"/>
        </w:rPr>
        <w:t>Aspergillus niger </w:t>
      </w:r>
      <w:r>
        <w:rPr>
          <w:sz w:val="24"/>
        </w:rPr>
        <w:t>AD96.4 en fermentación sólida. Interciencia</w:t>
      </w:r>
      <w:r>
        <w:rPr>
          <w:spacing w:val="-13"/>
          <w:sz w:val="24"/>
        </w:rPr>
        <w:t> </w:t>
      </w:r>
      <w:r>
        <w:rPr>
          <w:sz w:val="24"/>
        </w:rPr>
        <w:t>32(11):780-785.</w:t>
      </w:r>
    </w:p>
    <w:p>
      <w:pPr>
        <w:spacing w:line="480" w:lineRule="auto" w:before="171"/>
        <w:ind w:left="102" w:right="111" w:firstLine="0"/>
        <w:jc w:val="both"/>
        <w:rPr>
          <w:sz w:val="24"/>
        </w:rPr>
      </w:pPr>
      <w:r>
        <w:rPr>
          <w:sz w:val="24"/>
        </w:rPr>
        <w:t>Martins A S, Vieira P F, Berchielli T T, Prado I N, Moletta J L. 2006. Consumo e digestibilidade aparente total em bovinos sob suplementação com enzimas fibrolíticas. Revista Brasileira de Zootecnia 35:2118-2124.</w:t>
      </w:r>
    </w:p>
    <w:p>
      <w:pPr>
        <w:spacing w:line="480" w:lineRule="auto" w:before="168"/>
        <w:ind w:left="102" w:right="114" w:firstLine="0"/>
        <w:jc w:val="both"/>
        <w:rPr>
          <w:sz w:val="24"/>
        </w:rPr>
      </w:pPr>
      <w:r>
        <w:rPr>
          <w:sz w:val="24"/>
        </w:rPr>
        <w:t>McAllister A T, Hristov A N, Beauchemin K A, Rode L M, Cheng K J. 2001. Enzymes in ruminant diets </w:t>
      </w:r>
      <w:r>
        <w:rPr>
          <w:i/>
          <w:sz w:val="24"/>
        </w:rPr>
        <w:t>In</w:t>
      </w:r>
      <w:r>
        <w:rPr>
          <w:sz w:val="24"/>
        </w:rPr>
        <w:t>: Enzymes in Farm Animal Nutrition. M. R. Bedford, G. G. Partridge. CABI Publishing (Ed.), UK. 145-160pp.</w:t>
      </w:r>
    </w:p>
    <w:p>
      <w:pPr>
        <w:spacing w:line="480" w:lineRule="auto" w:before="171"/>
        <w:ind w:left="102" w:right="113" w:firstLine="0"/>
        <w:jc w:val="both"/>
        <w:rPr>
          <w:sz w:val="24"/>
        </w:rPr>
      </w:pPr>
      <w:r>
        <w:rPr>
          <w:sz w:val="24"/>
        </w:rPr>
        <w:t>Meraz-Romero E, Loera-Corral O, Mendoza-Martínez G D, Meneses-Mayo M, Cobos-Peralta M A, Hernández-Sánchez D, Angeles-Campos S C, Melgarejo-VelasquezL G, Pinos- Rodríguez J M. 2012. Efecto del pH y del líquido ruminal clarificado en la estabilidad de un producto enzimático fibrolítico. Agrociencia 46(4):347-358.</w:t>
      </w:r>
    </w:p>
    <w:p>
      <w:pPr>
        <w:spacing w:line="480" w:lineRule="auto" w:before="168"/>
        <w:ind w:left="102" w:right="118" w:firstLine="0"/>
        <w:jc w:val="both"/>
        <w:rPr>
          <w:sz w:val="24"/>
        </w:rPr>
      </w:pPr>
      <w:r>
        <w:rPr>
          <w:sz w:val="24"/>
        </w:rPr>
        <w:t>Mercer K L, Perales H R. 2010. Evolutionary response of landraces to climate change in centers of crop diversity. Evol. Appl. 71:480-493.</w:t>
      </w:r>
    </w:p>
    <w:p>
      <w:pPr>
        <w:spacing w:line="480" w:lineRule="auto" w:before="171"/>
        <w:ind w:left="102" w:right="115" w:firstLine="0"/>
        <w:jc w:val="both"/>
        <w:rPr>
          <w:sz w:val="24"/>
        </w:rPr>
      </w:pPr>
      <w:r>
        <w:rPr>
          <w:sz w:val="24"/>
        </w:rPr>
        <w:t>Mijangos-Cortés J O, Corona-Torres T, Espinosa-Victoria D, Muñoz-Orozco A, Romero- Peñaloza J, Santacruz-Varela A. 2007. Differentiation among maize (</w:t>
      </w:r>
      <w:r>
        <w:rPr>
          <w:i/>
          <w:sz w:val="24"/>
        </w:rPr>
        <w:t>Zea mays    </w:t>
      </w:r>
      <w:r>
        <w:rPr>
          <w:sz w:val="24"/>
        </w:rPr>
        <w:t>L.) landraces</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3" w:firstLine="0"/>
        <w:jc w:val="both"/>
        <w:rPr>
          <w:sz w:val="24"/>
        </w:rPr>
      </w:pPr>
      <w:r>
        <w:rPr>
          <w:sz w:val="24"/>
        </w:rPr>
        <w:t>from the Tarasca Mountain Chain, Mexico and the Chalqueño complex. Genetic Resources and Crop Evolution</w:t>
      </w:r>
      <w:r>
        <w:rPr>
          <w:spacing w:val="-3"/>
          <w:sz w:val="24"/>
        </w:rPr>
        <w:t> </w:t>
      </w:r>
      <w:r>
        <w:rPr>
          <w:sz w:val="24"/>
        </w:rPr>
        <w:t>54:309-325.</w:t>
      </w:r>
    </w:p>
    <w:p>
      <w:pPr>
        <w:spacing w:line="480" w:lineRule="auto" w:before="168"/>
        <w:ind w:left="102" w:right="116" w:firstLine="0"/>
        <w:jc w:val="both"/>
        <w:rPr>
          <w:sz w:val="24"/>
        </w:rPr>
      </w:pPr>
      <w:r>
        <w:rPr>
          <w:sz w:val="24"/>
        </w:rPr>
        <w:t>Miranda C S. 1996. La agroastronomía. En: J A Cuevas S, E Cedillo P, a Muñoz O, P Vera C (eds). Lecturas en Etnobotánica. Universidad Autónoma de Chapingo. Chapingo, México. 381-387pp.</w:t>
      </w:r>
    </w:p>
    <w:p>
      <w:pPr>
        <w:spacing w:line="480" w:lineRule="auto" w:before="171"/>
        <w:ind w:left="102" w:right="116" w:firstLine="0"/>
        <w:jc w:val="both"/>
        <w:rPr>
          <w:sz w:val="24"/>
        </w:rPr>
      </w:pPr>
      <w:r>
        <w:rPr>
          <w:sz w:val="24"/>
        </w:rPr>
        <w:t>Miranda C S. 1998. El mejoramiento genético del maíz en la época prehispánica. En: J A Cuevas S, E Cedillo P, A Muñoz O, P Vera C (eds). Lecturas en Etnobotánica. Universidad Autónoma de Chapingo. Chapingo, México. 267-282pp.</w:t>
      </w:r>
    </w:p>
    <w:p>
      <w:pPr>
        <w:spacing w:line="480" w:lineRule="auto" w:before="171"/>
        <w:ind w:left="102" w:right="111" w:firstLine="0"/>
        <w:jc w:val="both"/>
        <w:rPr>
          <w:sz w:val="24"/>
        </w:rPr>
      </w:pPr>
      <w:r>
        <w:rPr>
          <w:sz w:val="24"/>
        </w:rPr>
        <w:t>Montes-Hernández L A, Hernández-Guzmán J A, López-Sánchez H, Santacruz-Varela A, Vaquera-Huerta H, Valdivia-Bernal R. 2014. Expresión fenotípica </w:t>
      </w:r>
      <w:r>
        <w:rPr>
          <w:i/>
          <w:sz w:val="24"/>
        </w:rPr>
        <w:t>in situ </w:t>
      </w:r>
      <w:r>
        <w:rPr>
          <w:sz w:val="24"/>
        </w:rPr>
        <w:t>de características agronómicas y morfológicas en poblaciones del maíz Raza Jala. Rev. Fitotec. Mex. 37(4):363- 372.</w:t>
      </w:r>
    </w:p>
    <w:p>
      <w:pPr>
        <w:spacing w:line="480" w:lineRule="auto" w:before="168"/>
        <w:ind w:left="102" w:right="115" w:firstLine="0"/>
        <w:jc w:val="both"/>
        <w:rPr>
          <w:sz w:val="24"/>
        </w:rPr>
      </w:pPr>
      <w:r>
        <w:rPr>
          <w:sz w:val="24"/>
        </w:rPr>
        <w:t>Morgavi D P, Beauchemin K A, Nsereko V I, Rode L M, McAllister T A, Iwaasa A D, Wang Y, Yang W Z. 2001. Resistance of feed enzymes to proteolytic inactivation by rumen micro organisms and gastrointestinal proteases. J. Anim. Sci. 79:1621-1630.</w:t>
      </w:r>
    </w:p>
    <w:p>
      <w:pPr>
        <w:spacing w:line="480" w:lineRule="auto" w:before="171"/>
        <w:ind w:left="102" w:right="112" w:firstLine="0"/>
        <w:jc w:val="both"/>
        <w:rPr>
          <w:sz w:val="24"/>
        </w:rPr>
      </w:pPr>
      <w:r>
        <w:rPr>
          <w:sz w:val="24"/>
        </w:rPr>
        <w:t>Muttoni G, Palacios-Rojas N, Galicia L, Rosales A, Pixley K V, Leon N. 2013. Cell wall composition and biomass digestibility diversity in Mexican maize (</w:t>
      </w:r>
      <w:r>
        <w:rPr>
          <w:i/>
          <w:sz w:val="24"/>
        </w:rPr>
        <w:t>Zea mays </w:t>
      </w:r>
      <w:r>
        <w:rPr>
          <w:sz w:val="24"/>
        </w:rPr>
        <w:t>L) landraces and CIMMYT inbred lines. Maydica 58:21-33.</w:t>
      </w:r>
    </w:p>
    <w:p>
      <w:pPr>
        <w:spacing w:line="480" w:lineRule="auto" w:before="168"/>
        <w:ind w:left="102" w:right="112" w:firstLine="0"/>
        <w:jc w:val="both"/>
        <w:rPr>
          <w:i/>
          <w:sz w:val="24"/>
        </w:rPr>
      </w:pPr>
      <w:r>
        <w:rPr>
          <w:sz w:val="24"/>
        </w:rPr>
        <w:t>Muzakhar K, Hayashii H, Kawaguchi T, Sumitani </w:t>
      </w:r>
      <w:r>
        <w:rPr>
          <w:spacing w:val="3"/>
          <w:sz w:val="24"/>
        </w:rPr>
        <w:t>J, </w:t>
      </w:r>
      <w:r>
        <w:rPr>
          <w:sz w:val="24"/>
        </w:rPr>
        <w:t>Arai M. 1998. Purification  and  properties of21 α-L-arabinofuranosidase and endo-β-D-1,4-galactanase from </w:t>
      </w:r>
      <w:r>
        <w:rPr>
          <w:i/>
          <w:sz w:val="24"/>
        </w:rPr>
        <w:t>Aspergillus</w:t>
      </w:r>
      <w:r>
        <w:rPr>
          <w:i/>
          <w:spacing w:val="25"/>
          <w:sz w:val="24"/>
        </w:rPr>
        <w:t> </w:t>
      </w:r>
      <w:r>
        <w:rPr>
          <w:i/>
          <w:sz w:val="24"/>
        </w:rPr>
        <w:t>niger</w:t>
      </w:r>
    </w:p>
    <w:p>
      <w:pPr>
        <w:spacing w:after="0" w:line="480" w:lineRule="auto"/>
        <w:jc w:val="both"/>
        <w:rPr>
          <w:sz w:val="24"/>
        </w:rPr>
        <w:sectPr>
          <w:pgSz w:w="12240" w:h="15840"/>
          <w:pgMar w:header="0" w:footer="1003" w:top="1500" w:bottom="1200" w:left="1600" w:right="1300"/>
        </w:sectPr>
      </w:pPr>
    </w:p>
    <w:p>
      <w:pPr>
        <w:pStyle w:val="BodyText"/>
        <w:spacing w:before="9"/>
        <w:rPr>
          <w:i/>
          <w:sz w:val="10"/>
        </w:rPr>
      </w:pPr>
    </w:p>
    <w:p>
      <w:pPr>
        <w:spacing w:line="480" w:lineRule="auto" w:before="70"/>
        <w:ind w:left="102" w:right="121" w:firstLine="0"/>
        <w:jc w:val="both"/>
        <w:rPr>
          <w:sz w:val="24"/>
        </w:rPr>
      </w:pPr>
      <w:r>
        <w:rPr>
          <w:sz w:val="24"/>
        </w:rPr>
        <w:t>KF-267 which liquefied the 22 okara. MIE Bioforum, Genetics, Biochemistry and Ecology of Cellulose Degradation. Suzuka, Japan. 23-133pp.</w:t>
      </w:r>
    </w:p>
    <w:p>
      <w:pPr>
        <w:spacing w:line="480" w:lineRule="auto" w:before="168"/>
        <w:ind w:left="102" w:right="118" w:firstLine="0"/>
        <w:jc w:val="both"/>
        <w:rPr>
          <w:sz w:val="24"/>
        </w:rPr>
      </w:pPr>
      <w:r>
        <w:rPr>
          <w:sz w:val="24"/>
        </w:rPr>
        <w:t>Nava P F, Mejía C J A. 2002. Evaluación de maíces precoces e intermedios en Valles Altos Centrales de México. II. Divergencia Genética. Rev. Fitotec. Mex. 25(2)187-192.</w:t>
      </w:r>
    </w:p>
    <w:p>
      <w:pPr>
        <w:spacing w:before="171"/>
        <w:ind w:left="102" w:right="0" w:firstLine="0"/>
        <w:jc w:val="both"/>
        <w:rPr>
          <w:sz w:val="24"/>
        </w:rPr>
      </w:pPr>
      <w:r>
        <w:rPr>
          <w:sz w:val="24"/>
        </w:rPr>
        <w:t>Nobel P S. 1998. Los Incomparables Agaves y Cactus. Ed. Trillas. México. (In Spanish).</w:t>
      </w:r>
    </w:p>
    <w:p>
      <w:pPr>
        <w:pStyle w:val="BodyText"/>
        <w:rPr>
          <w:sz w:val="24"/>
        </w:rPr>
      </w:pPr>
    </w:p>
    <w:p>
      <w:pPr>
        <w:spacing w:line="480" w:lineRule="auto" w:before="161"/>
        <w:ind w:left="102" w:right="112" w:firstLine="0"/>
        <w:jc w:val="both"/>
        <w:rPr>
          <w:sz w:val="24"/>
        </w:rPr>
      </w:pPr>
      <w:r>
        <w:rPr>
          <w:sz w:val="24"/>
        </w:rPr>
        <w:t>Nsereko VL, Beauchemin K A, Morgavi D P, Rode L M, Furtado A F, McAllister T A,  Iwaasa A D, Yang W Z, Wang Y. 2002. Effect of a fibrolytic enzyme preparation from Trichoderma longibrachiatum on the rumen microbial population of dairy cows. Can. J. Microbiol, 48,</w:t>
      </w:r>
      <w:r>
        <w:rPr>
          <w:spacing w:val="-1"/>
          <w:sz w:val="24"/>
        </w:rPr>
        <w:t> </w:t>
      </w:r>
      <w:r>
        <w:rPr>
          <w:sz w:val="24"/>
        </w:rPr>
        <w:t>14–20.</w:t>
      </w:r>
    </w:p>
    <w:p>
      <w:pPr>
        <w:spacing w:line="480" w:lineRule="auto" w:before="168"/>
        <w:ind w:left="102" w:right="115" w:firstLine="0"/>
        <w:jc w:val="both"/>
        <w:rPr>
          <w:sz w:val="24"/>
        </w:rPr>
      </w:pPr>
      <w:r>
        <w:rPr>
          <w:sz w:val="24"/>
        </w:rPr>
        <w:t>Núñez H G, Faz C R, Tovar G M R, Zavala G A. 2001. Híbridos de maíz para la producción de forraje con alta digestibilidad en el norte de México. Tec Pecu Mex 39:77-88. [In</w:t>
      </w:r>
      <w:r>
        <w:rPr>
          <w:spacing w:val="-12"/>
          <w:sz w:val="24"/>
        </w:rPr>
        <w:t> </w:t>
      </w:r>
      <w:r>
        <w:rPr>
          <w:sz w:val="24"/>
        </w:rPr>
        <w:t>Spanish].</w:t>
      </w:r>
    </w:p>
    <w:p>
      <w:pPr>
        <w:spacing w:line="480" w:lineRule="auto" w:before="171"/>
        <w:ind w:left="102" w:right="115" w:firstLine="0"/>
        <w:jc w:val="both"/>
        <w:rPr>
          <w:sz w:val="24"/>
        </w:rPr>
      </w:pPr>
      <w:r>
        <w:rPr>
          <w:sz w:val="24"/>
        </w:rPr>
        <w:t>Onsori H, Raza Zamani M, Motalebi M, Zarghami N. 2005. Identification of over producer strain of endo-1,4-gluconase in </w:t>
      </w:r>
      <w:r>
        <w:rPr>
          <w:i/>
          <w:sz w:val="24"/>
        </w:rPr>
        <w:t>Aspergillus species</w:t>
      </w:r>
      <w:r>
        <w:rPr>
          <w:sz w:val="24"/>
        </w:rPr>
        <w:t>: Characterization of crude carboxymethyl cellulose. African Journal Bitechnology 4:26-30.</w:t>
      </w:r>
    </w:p>
    <w:p>
      <w:pPr>
        <w:spacing w:line="480" w:lineRule="auto" w:before="168"/>
        <w:ind w:left="102" w:right="116" w:firstLine="0"/>
        <w:jc w:val="both"/>
        <w:rPr>
          <w:sz w:val="24"/>
        </w:rPr>
      </w:pPr>
      <w:r>
        <w:rPr>
          <w:sz w:val="24"/>
        </w:rPr>
        <w:t>Omar H A A, Abdel-Rahman H H, Fatma M, Salman S S, Abdel-Magid, Mohamed M I, Awadalla I M. 2009. Response of growing calves to diets containing different levels of exogenous enzymes mixture. Egypt J. Nutr. Feeds 12(3):385-401.</w:t>
      </w:r>
    </w:p>
    <w:p>
      <w:pPr>
        <w:spacing w:line="480" w:lineRule="auto" w:before="171"/>
        <w:ind w:left="102" w:right="113" w:firstLine="0"/>
        <w:jc w:val="both"/>
        <w:rPr>
          <w:sz w:val="24"/>
        </w:rPr>
      </w:pPr>
      <w:r>
        <w:rPr>
          <w:sz w:val="24"/>
        </w:rPr>
        <w:t>Park Y S, Kang S W, Lee J S, Hong S I, Kim S W. 2002. Xilanase production in solid state fermentation by </w:t>
      </w:r>
      <w:r>
        <w:rPr>
          <w:i/>
          <w:sz w:val="24"/>
        </w:rPr>
        <w:t>Aspergillus niger </w:t>
      </w:r>
      <w:r>
        <w:rPr>
          <w:sz w:val="24"/>
        </w:rPr>
        <w:t>mutant using statistical experimental designs. Appl. Microbiol. Biotechnol. 58:762-766.</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6" w:firstLine="0"/>
        <w:jc w:val="both"/>
        <w:rPr>
          <w:sz w:val="24"/>
        </w:rPr>
      </w:pPr>
      <w:r>
        <w:rPr>
          <w:sz w:val="24"/>
        </w:rPr>
        <w:t>Paulson J, Jung H, Raeth-Knight M, Linn J. 2008. Grass </w:t>
      </w:r>
      <w:r>
        <w:rPr>
          <w:i/>
          <w:sz w:val="24"/>
        </w:rPr>
        <w:t>vs</w:t>
      </w:r>
      <w:r>
        <w:rPr>
          <w:sz w:val="24"/>
        </w:rPr>
        <w:t>. legume forages for dairy cattle. Minnesota Nutrition Conference, USA. 1-3pp.</w:t>
      </w:r>
    </w:p>
    <w:p>
      <w:pPr>
        <w:spacing w:line="480" w:lineRule="auto" w:before="168"/>
        <w:ind w:left="102" w:right="123" w:firstLine="0"/>
        <w:jc w:val="both"/>
        <w:rPr>
          <w:sz w:val="24"/>
        </w:rPr>
      </w:pPr>
      <w:r>
        <w:rPr>
          <w:sz w:val="24"/>
        </w:rPr>
        <w:t>Peña R A, González C F, Núñez H G, Jiménez G C. 2004. Aptitud combinatoria de líneas de maíz para alta producción y calidad forrajera. Rev. Fitotec. Mex. 27:1-6.</w:t>
      </w:r>
    </w:p>
    <w:p>
      <w:pPr>
        <w:spacing w:line="480" w:lineRule="auto" w:before="171"/>
        <w:ind w:left="102" w:right="116" w:firstLine="0"/>
        <w:jc w:val="both"/>
        <w:rPr>
          <w:sz w:val="24"/>
        </w:rPr>
      </w:pPr>
      <w:r>
        <w:rPr>
          <w:sz w:val="24"/>
        </w:rPr>
        <w:t>Peña, R. A.; González, C. F. y Robles, E. F. J. 2010. Manejo agronómico para incrementar el rendimiento de grano y forraje en híbridos tardíos de maíz. Rev. Mex. Cienc. Agríc. 1(1):27- 35.</w:t>
      </w:r>
    </w:p>
    <w:p>
      <w:pPr>
        <w:spacing w:line="480" w:lineRule="auto" w:before="171"/>
        <w:ind w:left="102" w:right="115" w:firstLine="0"/>
        <w:jc w:val="both"/>
        <w:rPr>
          <w:sz w:val="24"/>
        </w:rPr>
      </w:pPr>
      <w:r>
        <w:rPr>
          <w:sz w:val="24"/>
        </w:rPr>
        <w:t>Peña R A, González C F, Núñez H G, Tovar G M R, Vidal M V A, Ramírez D J L. 2012. Heterosis y aptitud combinatoria para producción y calidad de forraje en seis poblaciones de maíz. Rev. Mex. Cienc. Pecu. 3(3):389-406.</w:t>
      </w:r>
    </w:p>
    <w:p>
      <w:pPr>
        <w:spacing w:line="480" w:lineRule="auto" w:before="168"/>
        <w:ind w:left="102" w:right="116" w:firstLine="0"/>
        <w:jc w:val="both"/>
        <w:rPr>
          <w:sz w:val="24"/>
        </w:rPr>
      </w:pPr>
      <w:r>
        <w:rPr>
          <w:sz w:val="24"/>
        </w:rPr>
        <w:t>Percival Zhang Y H, Himmel M E, Mielenz J R. 2006. Outlook for cellulase improvement: screening and selection strategies. Biotechnology Advances 24(5):452-481.</w:t>
      </w:r>
    </w:p>
    <w:p>
      <w:pPr>
        <w:spacing w:line="480" w:lineRule="auto" w:before="171"/>
        <w:ind w:left="102" w:right="121" w:firstLine="0"/>
        <w:jc w:val="both"/>
        <w:rPr>
          <w:sz w:val="24"/>
        </w:rPr>
      </w:pPr>
      <w:r>
        <w:rPr>
          <w:sz w:val="24"/>
        </w:rPr>
        <w:t>Polanco J A, Flores M T. 2008. Bases para una política de I&amp;D en innovación de la cadena de valor del maíz. Foro Consultivo Científico y Tecnológico. México, D. F. 244 p.</w:t>
      </w:r>
    </w:p>
    <w:p>
      <w:pPr>
        <w:spacing w:line="480" w:lineRule="auto" w:before="168"/>
        <w:ind w:left="102" w:right="115" w:firstLine="0"/>
        <w:jc w:val="both"/>
        <w:rPr>
          <w:sz w:val="24"/>
        </w:rPr>
      </w:pPr>
      <w:r>
        <w:rPr>
          <w:sz w:val="24"/>
        </w:rPr>
        <w:t>Polizeli M L, Rizzatti A C, Monti R, Terenzi H F, Jorge J A, Amorín D S. 2005. Xylanases from fungi: properties and industrial application. Appl. Microbiol. Biotechnol. 67:577-591.</w:t>
      </w:r>
    </w:p>
    <w:p>
      <w:pPr>
        <w:spacing w:line="480" w:lineRule="auto" w:before="171"/>
        <w:ind w:left="102" w:right="113" w:firstLine="0"/>
        <w:jc w:val="both"/>
        <w:rPr>
          <w:sz w:val="24"/>
        </w:rPr>
      </w:pPr>
      <w:r>
        <w:rPr>
          <w:sz w:val="24"/>
        </w:rPr>
        <w:t>Reynoso Q C A, González H A, Pérez L D J, Franco M O, Torres F J </w:t>
      </w:r>
      <w:r>
        <w:rPr>
          <w:spacing w:val="-3"/>
          <w:sz w:val="24"/>
        </w:rPr>
        <w:t>L, </w:t>
      </w:r>
      <w:r>
        <w:rPr>
          <w:sz w:val="24"/>
        </w:rPr>
        <w:t>Velázquez C G A, Breton L C, Balbuena M A, Mercado V O. 2014. Análisis de 17 híbridos de maíz sembrados en 17 ambientes de los Valles Altos del centro de México. Rev. Mex. Cienc. Agríc. 5(5):871- 882.</w:t>
      </w:r>
    </w:p>
    <w:p>
      <w:pPr>
        <w:spacing w:after="0" w:line="480" w:lineRule="auto"/>
        <w:jc w:val="both"/>
        <w:rPr>
          <w:sz w:val="24"/>
        </w:rPr>
        <w:sectPr>
          <w:pgSz w:w="12240" w:h="15840"/>
          <w:pgMar w:header="0" w:footer="1003" w:top="1500" w:bottom="1200" w:left="1600" w:right="1300"/>
        </w:sectPr>
      </w:pPr>
    </w:p>
    <w:p>
      <w:pPr>
        <w:pStyle w:val="BodyText"/>
        <w:spacing w:before="9"/>
        <w:rPr>
          <w:sz w:val="10"/>
        </w:rPr>
      </w:pPr>
    </w:p>
    <w:p>
      <w:pPr>
        <w:spacing w:line="480" w:lineRule="auto" w:before="70"/>
        <w:ind w:left="102" w:right="113" w:firstLine="0"/>
        <w:jc w:val="both"/>
        <w:rPr>
          <w:sz w:val="24"/>
        </w:rPr>
      </w:pPr>
      <w:r>
        <w:rPr>
          <w:sz w:val="24"/>
        </w:rPr>
        <w:t>Rocandio-Rodríguez M, Santacruz-Varela A, Córdova-Téllez L, López-Sánchez H, Castillo- González F, Lobato-Ortiz R, García-Zavala J, Ortega-Paczka R. 2014. Caracterización morfológica y agronómica de siete razas de maíz de los Valles Altos de México. Rev. Fitotec. Mex. 37(4):351-361.</w:t>
      </w:r>
    </w:p>
    <w:p>
      <w:pPr>
        <w:spacing w:line="480" w:lineRule="auto" w:before="168"/>
        <w:ind w:left="102" w:right="114" w:firstLine="0"/>
        <w:jc w:val="both"/>
        <w:rPr>
          <w:sz w:val="24"/>
        </w:rPr>
      </w:pPr>
      <w:r>
        <w:rPr>
          <w:sz w:val="24"/>
        </w:rPr>
        <w:t>Rojo R, Kholif A E, Salem A Z M, Elghandour M M Y, Odongo N E, Montes de Oca R, Rivero N, Alonso M U. 2015. Influence of cellulase addition to dairy goat diets on digestión and fermentation, milk production and fatty acid content. Journal of Agricultural Science, Cambridge, doi:10.1017/S0021859615000775. </w:t>
      </w:r>
      <w:hyperlink r:id="rId46">
        <w:r>
          <w:rPr>
            <w:color w:val="0462C1"/>
            <w:sz w:val="24"/>
            <w:u w:val="single" w:color="0462C1"/>
          </w:rPr>
          <w:t>www.researchgate.net/publication/281273665</w:t>
        </w:r>
      </w:hyperlink>
    </w:p>
    <w:p>
      <w:pPr>
        <w:pStyle w:val="BodyText"/>
        <w:spacing w:before="10"/>
        <w:rPr>
          <w:sz w:val="8"/>
        </w:rPr>
      </w:pPr>
    </w:p>
    <w:p>
      <w:pPr>
        <w:spacing w:line="480" w:lineRule="auto" w:before="69"/>
        <w:ind w:left="102" w:right="116" w:firstLine="0"/>
        <w:jc w:val="both"/>
        <w:rPr>
          <w:sz w:val="24"/>
        </w:rPr>
      </w:pPr>
      <w:r>
        <w:rPr>
          <w:sz w:val="24"/>
        </w:rPr>
        <w:t>Romero P J, Castillo G F, Ortega P R. 2002. Cruzas de poblaciones nativas de la Raza Chalqueño: II. Grupos genéticos, divergencia genética y heterosis. Rev. Fitotec. Mex. 25(1):107-115.</w:t>
      </w:r>
    </w:p>
    <w:p>
      <w:pPr>
        <w:spacing w:line="480" w:lineRule="auto" w:before="171"/>
        <w:ind w:left="102" w:right="113" w:firstLine="0"/>
        <w:jc w:val="both"/>
        <w:rPr>
          <w:sz w:val="24"/>
        </w:rPr>
      </w:pPr>
      <w:r>
        <w:rPr>
          <w:sz w:val="24"/>
        </w:rPr>
        <w:t>Ruiz C J A, Sánchez G J J, Hernández C J M, Willcox M C, Ramírez O G, Ramírez D J L y González E D R. 2013. Identificación de razas mexicanas de maíz adaptadas a condiciones deficientes de humedad mediante datos biogeográficos. Rev. Mex. Cienc. Agríc. 4(6): 829- 842.</w:t>
      </w:r>
    </w:p>
    <w:p>
      <w:pPr>
        <w:spacing w:line="480" w:lineRule="auto" w:before="171"/>
        <w:ind w:left="102" w:right="115" w:firstLine="0"/>
        <w:jc w:val="both"/>
        <w:rPr>
          <w:sz w:val="24"/>
        </w:rPr>
      </w:pPr>
      <w:r>
        <w:rPr>
          <w:sz w:val="24"/>
        </w:rPr>
        <w:t>Rzedowski R J, Calderón R G. 1990. Flora Fanerogámica del Valle de México. Instituto de Ecología. Michoacán, México. 394 p. (In Spanish).</w:t>
      </w:r>
    </w:p>
    <w:p>
      <w:pPr>
        <w:spacing w:line="480" w:lineRule="auto" w:before="171"/>
        <w:ind w:left="102" w:right="115" w:firstLine="0"/>
        <w:jc w:val="both"/>
        <w:rPr>
          <w:sz w:val="24"/>
        </w:rPr>
      </w:pPr>
      <w:r>
        <w:rPr>
          <w:sz w:val="24"/>
        </w:rPr>
        <w:t>Salem A Z M, Kholif A E, Elghandour M M Y, Buendía G, Mariezcurrena M D, Hernandez S R, Camacho L M. 2014. Influence of oral administration of Salix babylonica extract on milk production and composition in dairy cows. Italian Journal of Animal Science 13: 10 –14.</w:t>
      </w:r>
    </w:p>
    <w:p>
      <w:pPr>
        <w:spacing w:after="0" w:line="480" w:lineRule="auto"/>
        <w:jc w:val="both"/>
        <w:rPr>
          <w:sz w:val="24"/>
        </w:rPr>
        <w:sectPr>
          <w:footerReference w:type="default" r:id="rId45"/>
          <w:pgSz w:w="12240" w:h="15840"/>
          <w:pgMar w:footer="1003" w:header="0" w:top="1500" w:bottom="1200" w:left="1600" w:right="1300"/>
        </w:sectPr>
      </w:pPr>
    </w:p>
    <w:p>
      <w:pPr>
        <w:pStyle w:val="BodyText"/>
        <w:spacing w:before="9"/>
        <w:rPr>
          <w:sz w:val="10"/>
        </w:rPr>
      </w:pPr>
    </w:p>
    <w:p>
      <w:pPr>
        <w:spacing w:line="480" w:lineRule="auto" w:before="70"/>
        <w:ind w:left="102" w:right="115" w:firstLine="0"/>
        <w:jc w:val="both"/>
        <w:rPr>
          <w:sz w:val="24"/>
        </w:rPr>
      </w:pPr>
      <w:r>
        <w:rPr>
          <w:sz w:val="24"/>
        </w:rPr>
        <w:t>Salem A Z M, Alsersy H, Camacho L M, El-Adawy M M, Elghandour M M Y, Kholif A E, Rivero N, Alonso M U and Zaragoza A. 2015. Feed intake, nutrient digestibility, nitrogen utilization and ruminal fermentation activities of sheep fed </w:t>
      </w:r>
      <w:r>
        <w:rPr>
          <w:i/>
          <w:sz w:val="24"/>
        </w:rPr>
        <w:t>Atriplex halimus </w:t>
      </w:r>
      <w:r>
        <w:rPr>
          <w:sz w:val="24"/>
        </w:rPr>
        <w:t>ensiled with three developed enzyme cocktails. </w:t>
      </w:r>
      <w:r>
        <w:rPr>
          <w:i/>
          <w:sz w:val="24"/>
        </w:rPr>
        <w:t>Czech Journal of Animal Science </w:t>
      </w:r>
      <w:r>
        <w:rPr>
          <w:b/>
          <w:sz w:val="24"/>
        </w:rPr>
        <w:t>60</w:t>
      </w:r>
      <w:r>
        <w:rPr>
          <w:sz w:val="24"/>
        </w:rPr>
        <w:t>:185–94.</w:t>
      </w:r>
    </w:p>
    <w:p>
      <w:pPr>
        <w:spacing w:line="480" w:lineRule="auto" w:before="168"/>
        <w:ind w:left="102" w:right="114" w:firstLine="0"/>
        <w:jc w:val="both"/>
        <w:rPr>
          <w:sz w:val="24"/>
        </w:rPr>
      </w:pPr>
      <w:r>
        <w:rPr>
          <w:sz w:val="24"/>
        </w:rPr>
        <w:t>Sánchez G J J, Goodman M M. 1992a. Relationships among Mexican and some North American and South American races of maize. Maydica 37:41-51.</w:t>
      </w:r>
    </w:p>
    <w:p>
      <w:pPr>
        <w:spacing w:line="480" w:lineRule="auto" w:before="171"/>
        <w:ind w:left="102" w:right="122" w:firstLine="0"/>
        <w:jc w:val="both"/>
        <w:rPr>
          <w:sz w:val="24"/>
        </w:rPr>
      </w:pPr>
      <w:r>
        <w:rPr>
          <w:sz w:val="24"/>
        </w:rPr>
        <w:t>Sánchez G J J, Goodman M M. 1992b. Relationships among the Mexican races of maize. Econ. Bot. 46(1):72-85.</w:t>
      </w:r>
    </w:p>
    <w:p>
      <w:pPr>
        <w:spacing w:line="480" w:lineRule="auto" w:before="171"/>
        <w:ind w:left="102" w:right="115" w:firstLine="0"/>
        <w:jc w:val="both"/>
        <w:rPr>
          <w:sz w:val="24"/>
        </w:rPr>
      </w:pPr>
      <w:r>
        <w:rPr>
          <w:sz w:val="24"/>
        </w:rPr>
        <w:t>Sánchez G J J, Goodman M M, Stuber Ch W. 2000. Isozymatic and morphological diversity in the races of maize of Mexico. Econ. Bot. 54:43-59.</w:t>
      </w:r>
    </w:p>
    <w:p>
      <w:pPr>
        <w:spacing w:before="168"/>
        <w:ind w:left="102" w:right="0" w:firstLine="0"/>
        <w:jc w:val="both"/>
        <w:rPr>
          <w:i/>
          <w:sz w:val="24"/>
        </w:rPr>
      </w:pPr>
      <w:r>
        <w:rPr>
          <w:sz w:val="24"/>
        </w:rPr>
        <w:t>Sang-Mok L, Koo Y M. 2001. Pilot-scale production of cellulose using </w:t>
      </w:r>
      <w:r>
        <w:rPr>
          <w:i/>
          <w:sz w:val="24"/>
        </w:rPr>
        <w:t>Trichoderma ressei</w:t>
      </w:r>
    </w:p>
    <w:p>
      <w:pPr>
        <w:pStyle w:val="BodyText"/>
        <w:rPr>
          <w:i/>
          <w:sz w:val="24"/>
        </w:rPr>
      </w:pPr>
    </w:p>
    <w:p>
      <w:pPr>
        <w:spacing w:before="0"/>
        <w:ind w:left="102" w:right="0" w:firstLine="0"/>
        <w:jc w:val="both"/>
        <w:rPr>
          <w:sz w:val="24"/>
        </w:rPr>
      </w:pPr>
      <w:r>
        <w:rPr>
          <w:sz w:val="24"/>
        </w:rPr>
        <w:t>Rut C-30 in fed-batch mode. Journal of Microbiology and Biotechnology 11(2):229-233.</w:t>
      </w:r>
    </w:p>
    <w:p>
      <w:pPr>
        <w:pStyle w:val="BodyText"/>
        <w:rPr>
          <w:sz w:val="24"/>
        </w:rPr>
      </w:pPr>
    </w:p>
    <w:p>
      <w:pPr>
        <w:spacing w:line="480" w:lineRule="auto" w:before="161"/>
        <w:ind w:left="102" w:right="110" w:firstLine="0"/>
        <w:jc w:val="both"/>
        <w:rPr>
          <w:sz w:val="24"/>
        </w:rPr>
      </w:pPr>
      <w:r>
        <w:rPr>
          <w:sz w:val="24"/>
        </w:rPr>
        <w:t>Settimi C C S, Nassar F R, Ayres O M, Oliveira F A, Arnhold E, Ulhoa C J. 2013. Production, characterization and evaluation of fibrolytic enzymes on digestibility of forage maize. Cienc Anim Bras Goiania 14(4):426-435.</w:t>
      </w:r>
    </w:p>
    <w:p>
      <w:pPr>
        <w:spacing w:line="480" w:lineRule="auto" w:before="168"/>
        <w:ind w:left="102" w:right="113" w:firstLine="0"/>
        <w:jc w:val="both"/>
        <w:rPr>
          <w:sz w:val="24"/>
        </w:rPr>
      </w:pPr>
      <w:r>
        <w:rPr>
          <w:sz w:val="24"/>
        </w:rPr>
        <w:t>Smith M E, Castillo G F, Gómez F. 2001. Participatory plant breeding with maize in México and Honduras. Euphytica 122:551-565.</w:t>
      </w:r>
    </w:p>
    <w:p>
      <w:pPr>
        <w:spacing w:line="480" w:lineRule="auto" w:before="171"/>
        <w:ind w:left="102" w:right="124" w:firstLine="0"/>
        <w:jc w:val="both"/>
        <w:rPr>
          <w:sz w:val="24"/>
        </w:rPr>
      </w:pPr>
      <w:r>
        <w:rPr>
          <w:sz w:val="24"/>
        </w:rPr>
        <w:t>Staples C R. 2003. Corn silage for dairy cows. Institute of Food and Agricultural Sciences. University of Florida. 7p.</w:t>
      </w:r>
    </w:p>
    <w:p>
      <w:pPr>
        <w:spacing w:after="0" w:line="480" w:lineRule="auto"/>
        <w:jc w:val="both"/>
        <w:rPr>
          <w:sz w:val="24"/>
        </w:rPr>
        <w:sectPr>
          <w:footerReference w:type="default" r:id="rId47"/>
          <w:pgSz w:w="12240" w:h="15840"/>
          <w:pgMar w:footer="943" w:header="0" w:top="1500" w:bottom="1140" w:left="1600" w:right="1300"/>
          <w:pgNumType w:start="81"/>
        </w:sectPr>
      </w:pPr>
    </w:p>
    <w:p>
      <w:pPr>
        <w:pStyle w:val="BodyText"/>
        <w:spacing w:before="9"/>
        <w:rPr>
          <w:sz w:val="10"/>
        </w:rPr>
      </w:pPr>
    </w:p>
    <w:p>
      <w:pPr>
        <w:spacing w:line="480" w:lineRule="auto" w:before="70"/>
        <w:ind w:left="102" w:right="124" w:firstLine="0"/>
        <w:jc w:val="both"/>
        <w:rPr>
          <w:sz w:val="24"/>
        </w:rPr>
      </w:pPr>
      <w:r>
        <w:rPr>
          <w:sz w:val="24"/>
        </w:rPr>
        <w:t>Sun Y, Cheng J. 2002. Hydrolysis of lignocellulosic materials for ethanol production: a review. Bioresource Technology</w:t>
      </w:r>
      <w:r>
        <w:rPr>
          <w:spacing w:val="-8"/>
          <w:sz w:val="24"/>
        </w:rPr>
        <w:t> </w:t>
      </w:r>
      <w:r>
        <w:rPr>
          <w:sz w:val="24"/>
        </w:rPr>
        <w:t>83(1):1-11.</w:t>
      </w:r>
    </w:p>
    <w:p>
      <w:pPr>
        <w:spacing w:before="168"/>
        <w:ind w:left="102" w:right="0" w:firstLine="0"/>
        <w:jc w:val="both"/>
        <w:rPr>
          <w:sz w:val="24"/>
        </w:rPr>
      </w:pPr>
      <w:r>
        <w:rPr>
          <w:sz w:val="24"/>
        </w:rPr>
        <w:t>Sun Z H, Liu S M, Tayo G O, Tang S X, Tan Z L, Lin B, He Z X, Hang X F, Zhou Z S, Wang</w:t>
      </w:r>
    </w:p>
    <w:p>
      <w:pPr>
        <w:pStyle w:val="BodyText"/>
        <w:rPr>
          <w:sz w:val="24"/>
        </w:rPr>
      </w:pPr>
    </w:p>
    <w:p>
      <w:pPr>
        <w:spacing w:line="480" w:lineRule="auto" w:before="0"/>
        <w:ind w:left="102" w:right="116" w:firstLine="0"/>
        <w:jc w:val="both"/>
        <w:rPr>
          <w:sz w:val="24"/>
        </w:rPr>
      </w:pPr>
      <w:r>
        <w:rPr>
          <w:sz w:val="24"/>
        </w:rPr>
        <w:t>M. 2009. Effects of cellulase or lactic acid bacteria on silage fermentation and in vitro gas production of several morphological fractions of maize stover. Anim. Feed Sci. Techn. 152: 219-231</w:t>
      </w:r>
    </w:p>
    <w:p>
      <w:pPr>
        <w:spacing w:line="480" w:lineRule="auto" w:before="171"/>
        <w:ind w:left="102" w:right="114" w:firstLine="0"/>
        <w:jc w:val="both"/>
        <w:rPr>
          <w:sz w:val="24"/>
        </w:rPr>
      </w:pPr>
      <w:r>
        <w:rPr>
          <w:sz w:val="24"/>
        </w:rPr>
        <w:t>Sung H G, Kobayashi Y, Chang J, Ha A, Hwang I H, Ha J K. 2007. Low ruminal pH reduces dietary fiber digestion via reduced microbial attachment. AsianAustralasian Journal of Animal Science 20:200–207.</w:t>
      </w:r>
    </w:p>
    <w:p>
      <w:pPr>
        <w:spacing w:line="480" w:lineRule="auto" w:before="171"/>
        <w:ind w:left="102" w:right="114" w:firstLine="0"/>
        <w:jc w:val="both"/>
        <w:rPr>
          <w:sz w:val="24"/>
        </w:rPr>
      </w:pPr>
      <w:r>
        <w:rPr>
          <w:sz w:val="24"/>
        </w:rPr>
        <w:t>Tajima K, Aminov R I, Nagamine T, Matsui H, Nakamura M, Benno Y. 2001. Diet-dependent shifts in the bacterial population of the rumen revealed with real-time PCR. Applied and Environmental Microbiology 67:2766–2774.</w:t>
      </w:r>
    </w:p>
    <w:p>
      <w:pPr>
        <w:spacing w:line="480" w:lineRule="auto" w:before="168"/>
        <w:ind w:left="102" w:right="113" w:firstLine="0"/>
        <w:jc w:val="both"/>
        <w:rPr>
          <w:sz w:val="24"/>
        </w:rPr>
      </w:pPr>
      <w:r>
        <w:rPr>
          <w:sz w:val="24"/>
        </w:rPr>
        <w:t>Tang S, Tan Z, Zhou C, Jiang H, Jiang Y, Sheng L. 2006. A comparison of in vitro fermentation characteristics of different botanical fractions of mature maize stover. J. Anim. Feed Sci. 15: 505-515</w:t>
      </w:r>
    </w:p>
    <w:p>
      <w:pPr>
        <w:spacing w:line="480" w:lineRule="auto" w:before="171"/>
        <w:ind w:left="102" w:right="112" w:firstLine="0"/>
        <w:jc w:val="both"/>
        <w:rPr>
          <w:sz w:val="24"/>
        </w:rPr>
      </w:pPr>
      <w:r>
        <w:rPr>
          <w:sz w:val="24"/>
        </w:rPr>
        <w:t>Thomas E D, Mandebvu P, Ballard C S, Sniffen C J, Carter M P, Beck J. 2001. Comparison of corn silage hybrids for yield, nutrient composition, in vitro digestibility, and milk yield by dairy cows. J. Dairy Sci. 84: 2217-2226</w:t>
      </w:r>
    </w:p>
    <w:p>
      <w:pPr>
        <w:spacing w:line="480" w:lineRule="auto" w:before="168"/>
        <w:ind w:left="102" w:right="117" w:firstLine="0"/>
        <w:jc w:val="both"/>
        <w:rPr>
          <w:sz w:val="24"/>
        </w:rPr>
      </w:pPr>
      <w:r>
        <w:rPr>
          <w:sz w:val="24"/>
        </w:rPr>
        <w:t>Togtokhbayar N, Cerrillo, M A, Rodríguez G B, Elghandour M M Y, Salem A Z M, Urankhaich C, Jigjidpurev S, Odongo N E, Kholif A E. 2015. Effect of exogenous xylanase on</w:t>
      </w:r>
    </w:p>
    <w:p>
      <w:pPr>
        <w:spacing w:after="0" w:line="480" w:lineRule="auto"/>
        <w:jc w:val="both"/>
        <w:rPr>
          <w:sz w:val="24"/>
        </w:rPr>
        <w:sectPr>
          <w:pgSz w:w="12240" w:h="15840"/>
          <w:pgMar w:header="0" w:footer="943" w:top="1500" w:bottom="1200" w:left="1600" w:right="1300"/>
        </w:sectPr>
      </w:pPr>
    </w:p>
    <w:p>
      <w:pPr>
        <w:pStyle w:val="BodyText"/>
        <w:spacing w:before="9"/>
        <w:rPr>
          <w:sz w:val="10"/>
        </w:rPr>
      </w:pPr>
    </w:p>
    <w:p>
      <w:pPr>
        <w:spacing w:line="480" w:lineRule="auto" w:before="70"/>
        <w:ind w:left="102" w:right="114" w:firstLine="0"/>
        <w:jc w:val="both"/>
        <w:rPr>
          <w:sz w:val="24"/>
        </w:rPr>
      </w:pPr>
      <w:r>
        <w:rPr>
          <w:sz w:val="24"/>
        </w:rPr>
        <w:t>rumen in vitro gas production and degradability of wheat straw. Animal Science Journal 86:765-771.</w:t>
      </w:r>
    </w:p>
    <w:p>
      <w:pPr>
        <w:spacing w:line="480" w:lineRule="auto" w:before="168"/>
        <w:ind w:left="102" w:right="113" w:firstLine="0"/>
        <w:jc w:val="both"/>
        <w:rPr>
          <w:sz w:val="24"/>
        </w:rPr>
      </w:pPr>
      <w:r>
        <w:rPr>
          <w:sz w:val="24"/>
        </w:rPr>
        <w:t>Turrent A, Wise T, Garvey E. 2012. Factibilidad de alcanzar el potencial productive de maíz en México. Woodrow Wilson International Center for Scholars. Mexican Rural Development Research       Reports.       Reporte       24.36,       en:       </w:t>
      </w:r>
      <w:r>
        <w:rPr>
          <w:spacing w:val="47"/>
          <w:sz w:val="24"/>
        </w:rPr>
        <w:t> </w:t>
      </w:r>
      <w:hyperlink r:id="rId48">
        <w:r>
          <w:rPr>
            <w:color w:val="0462C1"/>
            <w:sz w:val="24"/>
            <w:u w:val="single" w:color="0462C1"/>
          </w:rPr>
          <w:t>www.ase.tufts.edu/gdae/pubs/wp/12-</w:t>
        </w:r>
      </w:hyperlink>
    </w:p>
    <w:p>
      <w:pPr>
        <w:spacing w:before="10"/>
        <w:ind w:left="102" w:right="19" w:firstLine="0"/>
        <w:jc w:val="left"/>
        <w:rPr>
          <w:sz w:val="24"/>
        </w:rPr>
      </w:pPr>
      <w:hyperlink r:id="rId48">
        <w:r>
          <w:rPr>
            <w:color w:val="0462C1"/>
            <w:sz w:val="24"/>
            <w:u w:val="single" w:color="0462C1"/>
          </w:rPr>
          <w:t>03TurrentMexMaize.pdf</w:t>
        </w:r>
      </w:hyperlink>
      <w:r>
        <w:rPr>
          <w:sz w:val="24"/>
        </w:rPr>
        <w:t>. Consultado en marzo 2014.</w:t>
      </w:r>
    </w:p>
    <w:p>
      <w:pPr>
        <w:pStyle w:val="BodyText"/>
        <w:rPr>
          <w:sz w:val="20"/>
        </w:rPr>
      </w:pPr>
    </w:p>
    <w:p>
      <w:pPr>
        <w:spacing w:line="480" w:lineRule="auto" w:before="207"/>
        <w:ind w:left="102" w:right="116" w:firstLine="0"/>
        <w:jc w:val="both"/>
        <w:rPr>
          <w:sz w:val="24"/>
        </w:rPr>
      </w:pPr>
      <w:r>
        <w:rPr>
          <w:sz w:val="24"/>
        </w:rPr>
        <w:t>Turrent F A, Espinosa C A, Cortés F J I, Mejía A H. 2014. Análisis de la estrategia MasAgro- maíz. Rev. Mex. Cienc. Agríc. 5(8):1531-1547.</w:t>
      </w:r>
    </w:p>
    <w:p>
      <w:pPr>
        <w:spacing w:line="480" w:lineRule="auto" w:before="171"/>
        <w:ind w:left="102" w:right="111" w:firstLine="0"/>
        <w:jc w:val="both"/>
        <w:rPr>
          <w:sz w:val="24"/>
        </w:rPr>
      </w:pPr>
      <w:r>
        <w:rPr>
          <w:sz w:val="24"/>
        </w:rPr>
        <w:t>Valdes K I, Salem A Z M, Lopez S, Alonso M U, Rivero N, Elghandour M M Y, Domínguez I A, Ronquillo M G, Kholif A E. 2015. Influence of exogenous enzymes in presence of Salix babylonica extract on digestibility, microbial protein synthesis and performance of lambs fed maize silage. Cambridge Journal of Agriculture Science 153:732–742.</w:t>
      </w:r>
    </w:p>
    <w:p>
      <w:pPr>
        <w:spacing w:before="168"/>
        <w:ind w:left="102" w:right="0" w:firstLine="0"/>
        <w:jc w:val="both"/>
        <w:rPr>
          <w:sz w:val="24"/>
        </w:rPr>
      </w:pPr>
      <w:r>
        <w:rPr>
          <w:sz w:val="24"/>
        </w:rPr>
        <w:t>Van Soest P J. 1982. Nutritional Ecology of the Ruminant. Cornell University Press, Ithaca,</w:t>
      </w:r>
    </w:p>
    <w:p>
      <w:pPr>
        <w:pStyle w:val="BodyText"/>
        <w:rPr>
          <w:sz w:val="24"/>
        </w:rPr>
      </w:pPr>
    </w:p>
    <w:p>
      <w:pPr>
        <w:spacing w:before="0"/>
        <w:ind w:left="102" w:right="0" w:firstLine="0"/>
        <w:jc w:val="both"/>
        <w:rPr>
          <w:sz w:val="24"/>
        </w:rPr>
      </w:pPr>
      <w:r>
        <w:rPr>
          <w:sz w:val="24"/>
        </w:rPr>
        <w:t>N.Y. USA. p 374.</w:t>
      </w:r>
    </w:p>
    <w:p>
      <w:pPr>
        <w:pStyle w:val="BodyText"/>
        <w:rPr>
          <w:sz w:val="24"/>
        </w:rPr>
      </w:pPr>
    </w:p>
    <w:p>
      <w:pPr>
        <w:spacing w:line="480" w:lineRule="auto" w:before="161"/>
        <w:ind w:left="102" w:right="116" w:firstLine="0"/>
        <w:jc w:val="both"/>
        <w:rPr>
          <w:sz w:val="24"/>
        </w:rPr>
      </w:pPr>
      <w:r>
        <w:rPr>
          <w:sz w:val="24"/>
        </w:rPr>
        <w:t>Van Soest P J. 1994. Nutritional ecology of the ruminant. Cornell University. Press, Ithaca, NY. p 375.</w:t>
      </w:r>
    </w:p>
    <w:p>
      <w:pPr>
        <w:spacing w:line="480" w:lineRule="auto" w:before="169"/>
        <w:ind w:left="102" w:right="112" w:firstLine="0"/>
        <w:jc w:val="both"/>
        <w:rPr>
          <w:sz w:val="24"/>
        </w:rPr>
      </w:pPr>
      <w:r>
        <w:rPr>
          <w:sz w:val="24"/>
        </w:rPr>
        <w:t>Vallejo L H, Salem A Z M, Kholif A E, Elghangour M M Y, Fajardo R C, Rivero N, Bastida A Z, Mariezcurrena M D. 2016. Influence of cellulase or xylanase on the </w:t>
      </w:r>
      <w:r>
        <w:rPr>
          <w:i/>
          <w:sz w:val="24"/>
        </w:rPr>
        <w:t>in vitro </w:t>
      </w:r>
      <w:r>
        <w:rPr>
          <w:sz w:val="24"/>
        </w:rPr>
        <w:t>rumen gas production and fermentation of corn stover. Indian J. Anim. Sci.</w:t>
      </w:r>
      <w:r>
        <w:rPr>
          <w:spacing w:val="-8"/>
          <w:sz w:val="24"/>
        </w:rPr>
        <w:t> </w:t>
      </w:r>
      <w:r>
        <w:rPr>
          <w:sz w:val="24"/>
        </w:rPr>
        <w:t>86(1):70-74.</w:t>
      </w:r>
    </w:p>
    <w:p>
      <w:pPr>
        <w:spacing w:after="0" w:line="480" w:lineRule="auto"/>
        <w:jc w:val="both"/>
        <w:rPr>
          <w:sz w:val="24"/>
        </w:rPr>
        <w:sectPr>
          <w:pgSz w:w="12240" w:h="15840"/>
          <w:pgMar w:header="0" w:footer="943" w:top="1500" w:bottom="1200" w:left="1600" w:right="1300"/>
        </w:sectPr>
      </w:pPr>
    </w:p>
    <w:p>
      <w:pPr>
        <w:pStyle w:val="BodyText"/>
        <w:spacing w:before="9"/>
        <w:rPr>
          <w:sz w:val="10"/>
        </w:rPr>
      </w:pPr>
    </w:p>
    <w:p>
      <w:pPr>
        <w:spacing w:line="480" w:lineRule="auto" w:before="70"/>
        <w:ind w:left="102" w:right="119" w:firstLine="0"/>
        <w:jc w:val="both"/>
        <w:rPr>
          <w:sz w:val="24"/>
        </w:rPr>
      </w:pPr>
      <w:r>
        <w:rPr>
          <w:sz w:val="24"/>
        </w:rPr>
        <w:t>Wallace R J, Wallace S J A, McKain N, Nsereko V L, Hartnell G F. 2001. Influence of supplementary fibrolytic enzymes on the fermentation of corn and grass silages by mixed ruminal microorganisms in vitro. J. Anim. Sci. 79:1905-1916.</w:t>
      </w:r>
    </w:p>
    <w:p>
      <w:pPr>
        <w:spacing w:line="480" w:lineRule="auto" w:before="168"/>
        <w:ind w:left="102" w:right="115" w:firstLine="0"/>
        <w:jc w:val="both"/>
        <w:rPr>
          <w:sz w:val="24"/>
        </w:rPr>
      </w:pPr>
      <w:r>
        <w:rPr>
          <w:sz w:val="24"/>
        </w:rPr>
        <w:t>Wellhausen E J, Roberts L M, Hernández X E. 1951. Razas de maíz en México, su origen, características y distribución. Oficina de Estudios Especiales. Secretaria de Agricultura y Ganadería. México, D. F. Folleto Técnico No. 5. 237 p.</w:t>
      </w:r>
    </w:p>
    <w:p>
      <w:pPr>
        <w:spacing w:line="480" w:lineRule="auto" w:before="171"/>
        <w:ind w:left="102" w:right="115" w:firstLine="0"/>
        <w:jc w:val="both"/>
        <w:rPr>
          <w:sz w:val="24"/>
        </w:rPr>
      </w:pPr>
      <w:r>
        <w:rPr>
          <w:sz w:val="24"/>
        </w:rPr>
        <w:t>Wong K, Tan L, Saddler J. 1988. Multiplicity of β-xylanase in microorganism functions and applications. Microbiol. Rew. 52:305-317.</w:t>
      </w:r>
    </w:p>
    <w:p>
      <w:pPr>
        <w:spacing w:line="480" w:lineRule="auto" w:before="171"/>
        <w:ind w:left="102" w:right="112" w:firstLine="0"/>
        <w:jc w:val="both"/>
        <w:rPr>
          <w:sz w:val="24"/>
        </w:rPr>
      </w:pPr>
      <w:r>
        <w:rPr>
          <w:sz w:val="24"/>
        </w:rPr>
        <w:t>Wu M, Shi Chang L, Jian Ming Y, Ren Rui P, Zeng Liang Y. 2005. Mutant of a xylanase producing strain of </w:t>
      </w:r>
      <w:r>
        <w:rPr>
          <w:i/>
          <w:sz w:val="24"/>
        </w:rPr>
        <w:t>Aspergillus niger </w:t>
      </w:r>
      <w:r>
        <w:rPr>
          <w:sz w:val="24"/>
        </w:rPr>
        <w:t>in solid state fermentation by low energy ion implantation. World J. Microbiol. Biotechnol. 21:1045-1049.</w:t>
      </w:r>
    </w:p>
    <w:p>
      <w:pPr>
        <w:spacing w:line="480" w:lineRule="auto" w:before="169"/>
        <w:ind w:left="102" w:right="117" w:firstLine="0"/>
        <w:jc w:val="both"/>
        <w:rPr>
          <w:sz w:val="24"/>
        </w:rPr>
      </w:pPr>
      <w:r>
        <w:rPr>
          <w:sz w:val="24"/>
        </w:rPr>
        <w:t>Yang W Z, Beauchemin K A, Rode L M. 2000. A comparison of methods of adding fibrolytic enzymes to lactating cow diets. J. Dairy Sci. 83:2512-2520.</w:t>
      </w:r>
    </w:p>
    <w:p>
      <w:pPr>
        <w:spacing w:line="480" w:lineRule="auto" w:before="171"/>
        <w:ind w:left="102" w:right="111" w:firstLine="0"/>
        <w:jc w:val="both"/>
        <w:rPr>
          <w:sz w:val="24"/>
        </w:rPr>
      </w:pPr>
      <w:r>
        <w:rPr>
          <w:sz w:val="24"/>
        </w:rPr>
        <w:t>Yescas-Yescas R, Barcena-Gama G, Mendoza-Martínez S, González-Muñoz M, Cobos- Peralta M, Ortega M. 2004. </w:t>
      </w:r>
      <w:r>
        <w:rPr>
          <w:i/>
          <w:sz w:val="24"/>
        </w:rPr>
        <w:t>In situ </w:t>
      </w:r>
      <w:r>
        <w:rPr>
          <w:sz w:val="24"/>
        </w:rPr>
        <w:t>digestibility of corn stover oro at Straw diets with fibrolytic enzimes. Agrociencia 38:23-31.</w:t>
      </w:r>
    </w:p>
    <w:p>
      <w:pPr>
        <w:spacing w:line="480" w:lineRule="auto" w:before="169"/>
        <w:ind w:left="102" w:right="113" w:firstLine="0"/>
        <w:jc w:val="both"/>
        <w:rPr>
          <w:sz w:val="24"/>
        </w:rPr>
      </w:pPr>
      <w:r>
        <w:rPr>
          <w:sz w:val="24"/>
        </w:rPr>
        <w:t>Zsubori Z T, Pinter J, Spitko T, Hegyi Z, Marton C L. 2013. Yield and chemical composition of plant parts of silage maize (</w:t>
      </w:r>
      <w:r>
        <w:rPr>
          <w:i/>
          <w:sz w:val="24"/>
        </w:rPr>
        <w:t>Zea mays </w:t>
      </w:r>
      <w:r>
        <w:rPr>
          <w:sz w:val="24"/>
        </w:rPr>
        <w:t>L.) hybrids and their interest for biogas production. Maydica 58:34-41.</w:t>
      </w:r>
    </w:p>
    <w:p>
      <w:pPr>
        <w:spacing w:after="0" w:line="480" w:lineRule="auto"/>
        <w:jc w:val="both"/>
        <w:rPr>
          <w:sz w:val="24"/>
        </w:rPr>
        <w:sectPr>
          <w:pgSz w:w="12240" w:h="15840"/>
          <w:pgMar w:header="0" w:footer="943" w:top="1500" w:bottom="1200" w:left="1600" w:right="1300"/>
        </w:sectPr>
      </w:pPr>
    </w:p>
    <w:p>
      <w:pPr>
        <w:pStyle w:val="BodyText"/>
        <w:spacing w:before="4"/>
        <w:rPr>
          <w:sz w:val="17"/>
        </w:rPr>
      </w:pPr>
    </w:p>
    <w:sectPr>
      <w:pgSz w:w="12240" w:h="15840"/>
      <w:pgMar w:header="0" w:footer="943" w:top="1500" w:bottom="1140" w:left="172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type id="_x0000_t202" o:spt="202" coordsize="21600,21600" path="m,l,21600r21600,l21600,xe">
          <v:stroke joinstyle="miter"/>
          <v:path gradientshapeok="t" o:connecttype="rect"/>
        </v:shapetype>
        <v:shape style="position:absolute;margin-left:303.089996pt;margin-top:676.083923pt;width:20.05pt;height:18.7pt;mso-position-horizontal-relative:page;mso-position-vertical-relative:page;z-index:-143320" type="#_x0000_t202" filled="false" stroked="false">
          <v:textbox inset="0,0,0,0">
            <w:txbxContent>
              <w:p>
                <w:pPr>
                  <w:spacing w:before="82"/>
                  <w:ind w:left="40" w:right="0" w:firstLine="0"/>
                  <w:jc w:val="left"/>
                  <w:rPr>
                    <w:b/>
                    <w:sz w:val="24"/>
                  </w:rPr>
                </w:pPr>
                <w:r>
                  <w:rPr/>
                  <w:fldChar w:fldCharType="begin"/>
                </w:r>
                <w:r>
                  <w:rPr>
                    <w:b/>
                    <w:sz w:val="24"/>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431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3104" type="#_x0000_t202" filled="false" stroked="false">
          <v:textbox inset="0,0,0,0">
            <w:txbxContent>
              <w:p>
                <w:pPr>
                  <w:pStyle w:val="BodyText"/>
                  <w:spacing w:line="245" w:lineRule="exact"/>
                  <w:ind w:left="20"/>
                  <w:rPr>
                    <w:rFonts w:ascii="Calibri"/>
                  </w:rPr>
                </w:pPr>
                <w:r>
                  <w:rPr>
                    <w:rFonts w:ascii="Calibri"/>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30.856018pt;width:15.3pt;height:13.05pt;mso-position-horizontal-relative:page;mso-position-vertical-relative:page;z-index:-1430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49</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3056" type="#_x0000_t202" filled="false" stroked="false">
          <v:textbox inset="0,0,0,0">
            <w:txbxContent>
              <w:p>
                <w:pPr>
                  <w:pStyle w:val="BodyText"/>
                  <w:spacing w:line="245" w:lineRule="exact"/>
                  <w:ind w:left="20"/>
                  <w:rPr>
                    <w:rFonts w:ascii="Calibri"/>
                  </w:rPr>
                </w:pPr>
                <w:r>
                  <w:rPr>
                    <w:rFonts w:ascii="Calibri"/>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430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3008" type="#_x0000_t202" filled="false" stroked="false">
          <v:textbox inset="0,0,0,0">
            <w:txbxContent>
              <w:p>
                <w:pPr>
                  <w:pStyle w:val="BodyText"/>
                  <w:spacing w:line="245" w:lineRule="exact"/>
                  <w:ind w:left="20"/>
                  <w:rPr>
                    <w:rFonts w:ascii="Calibri"/>
                  </w:rPr>
                </w:pPr>
                <w:r>
                  <w:rPr>
                    <w:rFonts w:ascii="Calibri"/>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429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3.859985pt;margin-top:550.856018pt;width:15.3pt;height:13.05pt;mso-position-horizontal-relative:page;mso-position-vertical-relative:page;z-index:-1429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4.3pt;height:13.05pt;mso-position-horizontal-relative:page;mso-position-vertical-relative:page;z-index:-1429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w:t>
                </w:r>
                <w:r>
                  <w:rPr/>
                  <w:fldChar w:fldCharType="end"/>
                </w:r>
                <w:r>
                  <w:rPr>
                    <w:rFonts w:ascii="Calibri"/>
                  </w:rPr>
                  <w:t>9</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429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50012pt;margin-top:686.759888pt;width:13.4pt;height:15.1pt;mso-position-horizontal-relative:page;mso-position-vertical-relative:page;z-index:-143296" type="#_x0000_t202" filled="false" stroked="false">
          <v:textbox inset="0,0,0,0">
            <w:txbxContent>
              <w:p>
                <w:pPr>
                  <w:spacing w:before="10"/>
                  <w:ind w:left="73" w:right="0" w:firstLine="0"/>
                  <w:jc w:val="left"/>
                  <w:rPr>
                    <w:b/>
                    <w:sz w:val="24"/>
                  </w:rPr>
                </w:pPr>
                <w:r>
                  <w:rPr/>
                  <w:fldChar w:fldCharType="begin"/>
                </w:r>
                <w:r>
                  <w:rPr>
                    <w:b/>
                    <w:sz w:val="24"/>
                  </w:rPr>
                  <w:instrText> PAGE  \* roman </w:instrText>
                </w:r>
                <w:r>
                  <w:rPr/>
                  <w:fldChar w:fldCharType="separate"/>
                </w:r>
                <w:r>
                  <w:rPr/>
                  <w:t>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2888" type="#_x0000_t202" filled="false" stroked="false">
          <v:textbox inset="0,0,0,0">
            <w:txbxContent>
              <w:p>
                <w:pPr>
                  <w:pStyle w:val="BodyText"/>
                  <w:spacing w:line="245" w:lineRule="exact"/>
                  <w:ind w:left="20"/>
                  <w:rPr>
                    <w:rFonts w:ascii="Calibri"/>
                  </w:rPr>
                </w:pPr>
                <w:r>
                  <w:rPr>
                    <w:rFonts w:ascii="Calibri"/>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30.856018pt;width:15.3pt;height:13.05pt;mso-position-horizontal-relative:page;mso-position-vertical-relative:page;z-index:-1428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659973pt;margin-top:730.856018pt;width:9.6pt;height:13.05pt;mso-position-horizontal-relative:page;mso-position-vertical-relative:page;z-index:-143272"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3248"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1432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3200" type="#_x0000_t202" filled="false" stroked="false">
          <v:textbox inset="0,0,0,0">
            <w:txbxContent>
              <w:p>
                <w:pPr>
                  <w:pStyle w:val="BodyText"/>
                  <w:spacing w:line="245" w:lineRule="exact"/>
                  <w:ind w:left="20"/>
                  <w:rPr>
                    <w:rFonts w:ascii="Calibri"/>
                  </w:rPr>
                </w:pPr>
                <w:r>
                  <w:rPr>
                    <w:rFonts w:ascii="Calibri"/>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30.856018pt;width:15.3pt;height:13.05pt;mso-position-horizontal-relative:page;mso-position-vertical-relative:page;z-index:-1431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143152" type="#_x0000_t202" filled="false" stroked="false">
          <v:textbox inset="0,0,0,0">
            <w:txbxContent>
              <w:p>
                <w:pPr>
                  <w:pStyle w:val="BodyText"/>
                  <w:spacing w:line="245" w:lineRule="exact"/>
                  <w:ind w:left="20"/>
                  <w:rPr>
                    <w:rFonts w:ascii="Calibri"/>
                  </w:rPr>
                </w:pPr>
                <w:r>
                  <w:rPr>
                    <w:rFonts w:ascii="Calibri"/>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88"/>
      <w:numFmt w:val="decimal"/>
      <w:lvlText w:val="%1"/>
      <w:lvlJc w:val="left"/>
      <w:pPr>
        <w:ind w:left="102" w:hanging="552"/>
        <w:jc w:val="left"/>
      </w:pPr>
      <w:rPr>
        <w:rFonts w:hint="default"/>
      </w:rPr>
    </w:lvl>
    <w:lvl w:ilvl="1">
      <w:start w:val="28"/>
      <w:numFmt w:val="decimal"/>
      <w:lvlText w:val="%1.%2"/>
      <w:lvlJc w:val="left"/>
      <w:pPr>
        <w:ind w:left="102" w:hanging="552"/>
        <w:jc w:val="left"/>
      </w:pPr>
      <w:rPr>
        <w:rFonts w:hint="default" w:ascii="Times New Roman" w:hAnsi="Times New Roman" w:eastAsia="Times New Roman" w:cs="Times New Roman"/>
        <w:w w:val="100"/>
        <w:sz w:val="22"/>
        <w:szCs w:val="22"/>
      </w:rPr>
    </w:lvl>
    <w:lvl w:ilvl="2">
      <w:start w:val="1"/>
      <w:numFmt w:val="upperLetter"/>
      <w:lvlText w:val="%3."/>
      <w:lvlJc w:val="left"/>
      <w:pPr>
        <w:ind w:left="810" w:hanging="312"/>
        <w:jc w:val="left"/>
      </w:pPr>
      <w:rPr>
        <w:rFonts w:hint="default" w:ascii="Times New Roman" w:hAnsi="Times New Roman" w:eastAsia="Times New Roman" w:cs="Times New Roman"/>
        <w:spacing w:val="-2"/>
        <w:w w:val="100"/>
        <w:sz w:val="22"/>
        <w:szCs w:val="22"/>
      </w:rPr>
    </w:lvl>
    <w:lvl w:ilvl="3">
      <w:start w:val="1"/>
      <w:numFmt w:val="bullet"/>
      <w:lvlText w:val="•"/>
      <w:lvlJc w:val="left"/>
      <w:pPr>
        <w:ind w:left="2713" w:hanging="312"/>
      </w:pPr>
      <w:rPr>
        <w:rFonts w:hint="default"/>
      </w:rPr>
    </w:lvl>
    <w:lvl w:ilvl="4">
      <w:start w:val="1"/>
      <w:numFmt w:val="bullet"/>
      <w:lvlText w:val="•"/>
      <w:lvlJc w:val="left"/>
      <w:pPr>
        <w:ind w:left="3660" w:hanging="312"/>
      </w:pPr>
      <w:rPr>
        <w:rFonts w:hint="default"/>
      </w:rPr>
    </w:lvl>
    <w:lvl w:ilvl="5">
      <w:start w:val="1"/>
      <w:numFmt w:val="bullet"/>
      <w:lvlText w:val="•"/>
      <w:lvlJc w:val="left"/>
      <w:pPr>
        <w:ind w:left="4606" w:hanging="312"/>
      </w:pPr>
      <w:rPr>
        <w:rFonts w:hint="default"/>
      </w:rPr>
    </w:lvl>
    <w:lvl w:ilvl="6">
      <w:start w:val="1"/>
      <w:numFmt w:val="bullet"/>
      <w:lvlText w:val="•"/>
      <w:lvlJc w:val="left"/>
      <w:pPr>
        <w:ind w:left="5553" w:hanging="312"/>
      </w:pPr>
      <w:rPr>
        <w:rFonts w:hint="default"/>
      </w:rPr>
    </w:lvl>
    <w:lvl w:ilvl="7">
      <w:start w:val="1"/>
      <w:numFmt w:val="bullet"/>
      <w:lvlText w:val="•"/>
      <w:lvlJc w:val="left"/>
      <w:pPr>
        <w:ind w:left="6500" w:hanging="312"/>
      </w:pPr>
      <w:rPr>
        <w:rFonts w:hint="default"/>
      </w:rPr>
    </w:lvl>
    <w:lvl w:ilvl="8">
      <w:start w:val="1"/>
      <w:numFmt w:val="bullet"/>
      <w:lvlText w:val="•"/>
      <w:lvlJc w:val="left"/>
      <w:pPr>
        <w:ind w:left="7446" w:hanging="312"/>
      </w:pPr>
      <w:rPr>
        <w:rFonts w:hint="default"/>
      </w:rPr>
    </w:lvl>
  </w:abstractNum>
  <w:abstractNum w:abstractNumId="7">
    <w:multiLevelType w:val="hybridMultilevel"/>
    <w:lvl w:ilvl="0">
      <w:start w:val="3"/>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620" w:hanging="600"/>
      </w:pPr>
      <w:rPr>
        <w:rFonts w:hint="default"/>
      </w:rPr>
    </w:lvl>
    <w:lvl w:ilvl="4">
      <w:start w:val="1"/>
      <w:numFmt w:val="bullet"/>
      <w:lvlText w:val="•"/>
      <w:lvlJc w:val="left"/>
      <w:pPr>
        <w:ind w:left="3580" w:hanging="600"/>
      </w:pPr>
      <w:rPr>
        <w:rFonts w:hint="default"/>
      </w:rPr>
    </w:lvl>
    <w:lvl w:ilvl="5">
      <w:start w:val="1"/>
      <w:numFmt w:val="bullet"/>
      <w:lvlText w:val="•"/>
      <w:lvlJc w:val="left"/>
      <w:pPr>
        <w:ind w:left="4540" w:hanging="600"/>
      </w:pPr>
      <w:rPr>
        <w:rFonts w:hint="default"/>
      </w:rPr>
    </w:lvl>
    <w:lvl w:ilvl="6">
      <w:start w:val="1"/>
      <w:numFmt w:val="bullet"/>
      <w:lvlText w:val="•"/>
      <w:lvlJc w:val="left"/>
      <w:pPr>
        <w:ind w:left="5500" w:hanging="600"/>
      </w:pPr>
      <w:rPr>
        <w:rFonts w:hint="default"/>
      </w:rPr>
    </w:lvl>
    <w:lvl w:ilvl="7">
      <w:start w:val="1"/>
      <w:numFmt w:val="bullet"/>
      <w:lvlText w:val="•"/>
      <w:lvlJc w:val="left"/>
      <w:pPr>
        <w:ind w:left="6460" w:hanging="600"/>
      </w:pPr>
      <w:rPr>
        <w:rFonts w:hint="default"/>
      </w:rPr>
    </w:lvl>
    <w:lvl w:ilvl="8">
      <w:start w:val="1"/>
      <w:numFmt w:val="bullet"/>
      <w:lvlText w:val="•"/>
      <w:lvlJc w:val="left"/>
      <w:pPr>
        <w:ind w:left="7420" w:hanging="600"/>
      </w:pPr>
      <w:rPr>
        <w:rFonts w:hint="default"/>
      </w:rPr>
    </w:lvl>
  </w:abstractNum>
  <w:abstractNum w:abstractNumId="6">
    <w:multiLevelType w:val="hybridMultilevel"/>
    <w:lvl w:ilvl="0">
      <w:start w:val="2"/>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284" w:hanging="420"/>
      </w:pPr>
      <w:rPr>
        <w:rFonts w:hint="default"/>
      </w:rPr>
    </w:lvl>
    <w:lvl w:ilvl="3">
      <w:start w:val="1"/>
      <w:numFmt w:val="bullet"/>
      <w:lvlText w:val="•"/>
      <w:lvlJc w:val="left"/>
      <w:pPr>
        <w:ind w:left="3166" w:hanging="420"/>
      </w:pPr>
      <w:rPr>
        <w:rFonts w:hint="default"/>
      </w:rPr>
    </w:lvl>
    <w:lvl w:ilvl="4">
      <w:start w:val="1"/>
      <w:numFmt w:val="bullet"/>
      <w:lvlText w:val="•"/>
      <w:lvlJc w:val="left"/>
      <w:pPr>
        <w:ind w:left="4048" w:hanging="420"/>
      </w:pPr>
      <w:rPr>
        <w:rFonts w:hint="default"/>
      </w:rPr>
    </w:lvl>
    <w:lvl w:ilvl="5">
      <w:start w:val="1"/>
      <w:numFmt w:val="bullet"/>
      <w:lvlText w:val="•"/>
      <w:lvlJc w:val="left"/>
      <w:pPr>
        <w:ind w:left="4930" w:hanging="420"/>
      </w:pPr>
      <w:rPr>
        <w:rFonts w:hint="default"/>
      </w:rPr>
    </w:lvl>
    <w:lvl w:ilvl="6">
      <w:start w:val="1"/>
      <w:numFmt w:val="bullet"/>
      <w:lvlText w:val="•"/>
      <w:lvlJc w:val="left"/>
      <w:pPr>
        <w:ind w:left="5812" w:hanging="420"/>
      </w:pPr>
      <w:rPr>
        <w:rFonts w:hint="default"/>
      </w:rPr>
    </w:lvl>
    <w:lvl w:ilvl="7">
      <w:start w:val="1"/>
      <w:numFmt w:val="bullet"/>
      <w:lvlText w:val="•"/>
      <w:lvlJc w:val="left"/>
      <w:pPr>
        <w:ind w:left="6694" w:hanging="420"/>
      </w:pPr>
      <w:rPr>
        <w:rFonts w:hint="default"/>
      </w:rPr>
    </w:lvl>
    <w:lvl w:ilvl="8">
      <w:start w:val="1"/>
      <w:numFmt w:val="bullet"/>
      <w:lvlText w:val="•"/>
      <w:lvlJc w:val="left"/>
      <w:pPr>
        <w:ind w:left="7576" w:hanging="420"/>
      </w:pPr>
      <w:rPr>
        <w:rFonts w:hint="default"/>
      </w:rPr>
    </w:lvl>
  </w:abstractNum>
  <w:abstractNum w:abstractNumId="5">
    <w:multiLevelType w:val="hybridMultilevel"/>
    <w:lvl w:ilvl="0">
      <w:start w:val="2"/>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2620" w:hanging="600"/>
      </w:pPr>
      <w:rPr>
        <w:rFonts w:hint="default"/>
      </w:rPr>
    </w:lvl>
    <w:lvl w:ilvl="4">
      <w:start w:val="1"/>
      <w:numFmt w:val="bullet"/>
      <w:lvlText w:val="•"/>
      <w:lvlJc w:val="left"/>
      <w:pPr>
        <w:ind w:left="3580" w:hanging="600"/>
      </w:pPr>
      <w:rPr>
        <w:rFonts w:hint="default"/>
      </w:rPr>
    </w:lvl>
    <w:lvl w:ilvl="5">
      <w:start w:val="1"/>
      <w:numFmt w:val="bullet"/>
      <w:lvlText w:val="•"/>
      <w:lvlJc w:val="left"/>
      <w:pPr>
        <w:ind w:left="4540" w:hanging="600"/>
      </w:pPr>
      <w:rPr>
        <w:rFonts w:hint="default"/>
      </w:rPr>
    </w:lvl>
    <w:lvl w:ilvl="6">
      <w:start w:val="1"/>
      <w:numFmt w:val="bullet"/>
      <w:lvlText w:val="•"/>
      <w:lvlJc w:val="left"/>
      <w:pPr>
        <w:ind w:left="5500" w:hanging="600"/>
      </w:pPr>
      <w:rPr>
        <w:rFonts w:hint="default"/>
      </w:rPr>
    </w:lvl>
    <w:lvl w:ilvl="7">
      <w:start w:val="1"/>
      <w:numFmt w:val="bullet"/>
      <w:lvlText w:val="•"/>
      <w:lvlJc w:val="left"/>
      <w:pPr>
        <w:ind w:left="6460" w:hanging="600"/>
      </w:pPr>
      <w:rPr>
        <w:rFonts w:hint="default"/>
      </w:rPr>
    </w:lvl>
    <w:lvl w:ilvl="8">
      <w:start w:val="1"/>
      <w:numFmt w:val="bullet"/>
      <w:lvlText w:val="•"/>
      <w:lvlJc w:val="left"/>
      <w:pPr>
        <w:ind w:left="7420" w:hanging="600"/>
      </w:pPr>
      <w:rPr>
        <w:rFonts w:hint="default"/>
      </w:rPr>
    </w:lvl>
  </w:abstractNum>
  <w:abstractNum w:abstractNumId="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3">
    <w:multiLevelType w:val="hybridMultilevel"/>
    <w:lvl w:ilvl="0">
      <w:start w:val="3"/>
      <w:numFmt w:val="decimal"/>
      <w:lvlText w:val="%1"/>
      <w:lvlJc w:val="left"/>
      <w:pPr>
        <w:ind w:left="524" w:hanging="423"/>
        <w:jc w:val="left"/>
      </w:pPr>
      <w:rPr>
        <w:rFonts w:hint="default"/>
      </w:rPr>
    </w:lvl>
    <w:lvl w:ilvl="1">
      <w:start w:val="1"/>
      <w:numFmt w:val="decimal"/>
      <w:lvlText w:val="%1.%2."/>
      <w:lvlJc w:val="left"/>
      <w:pPr>
        <w:ind w:left="524" w:hanging="423"/>
        <w:jc w:val="left"/>
      </w:pPr>
      <w:rPr>
        <w:rFonts w:hint="default" w:ascii="Times New Roman" w:hAnsi="Times New Roman" w:eastAsia="Times New Roman" w:cs="Times New Roman"/>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2620" w:hanging="600"/>
      </w:pPr>
      <w:rPr>
        <w:rFonts w:hint="default"/>
      </w:rPr>
    </w:lvl>
    <w:lvl w:ilvl="4">
      <w:start w:val="1"/>
      <w:numFmt w:val="bullet"/>
      <w:lvlText w:val="•"/>
      <w:lvlJc w:val="left"/>
      <w:pPr>
        <w:ind w:left="3580" w:hanging="600"/>
      </w:pPr>
      <w:rPr>
        <w:rFonts w:hint="default"/>
      </w:rPr>
    </w:lvl>
    <w:lvl w:ilvl="5">
      <w:start w:val="1"/>
      <w:numFmt w:val="bullet"/>
      <w:lvlText w:val="•"/>
      <w:lvlJc w:val="left"/>
      <w:pPr>
        <w:ind w:left="4540" w:hanging="600"/>
      </w:pPr>
      <w:rPr>
        <w:rFonts w:hint="default"/>
      </w:rPr>
    </w:lvl>
    <w:lvl w:ilvl="6">
      <w:start w:val="1"/>
      <w:numFmt w:val="bullet"/>
      <w:lvlText w:val="•"/>
      <w:lvlJc w:val="left"/>
      <w:pPr>
        <w:ind w:left="5500" w:hanging="600"/>
      </w:pPr>
      <w:rPr>
        <w:rFonts w:hint="default"/>
      </w:rPr>
    </w:lvl>
    <w:lvl w:ilvl="7">
      <w:start w:val="1"/>
      <w:numFmt w:val="bullet"/>
      <w:lvlText w:val="•"/>
      <w:lvlJc w:val="left"/>
      <w:pPr>
        <w:ind w:left="6460" w:hanging="600"/>
      </w:pPr>
      <w:rPr>
        <w:rFonts w:hint="default"/>
      </w:rPr>
    </w:lvl>
    <w:lvl w:ilvl="8">
      <w:start w:val="1"/>
      <w:numFmt w:val="bullet"/>
      <w:lvlText w:val="•"/>
      <w:lvlJc w:val="left"/>
      <w:pPr>
        <w:ind w:left="7420" w:hanging="600"/>
      </w:pPr>
      <w:rPr>
        <w:rFonts w:hint="default"/>
      </w:rPr>
    </w:lvl>
  </w:abstractNum>
  <w:abstractNum w:abstractNumId="2">
    <w:multiLevelType w:val="hybridMultilevel"/>
    <w:lvl w:ilvl="0">
      <w:start w:val="2"/>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284" w:hanging="420"/>
      </w:pPr>
      <w:rPr>
        <w:rFonts w:hint="default"/>
      </w:rPr>
    </w:lvl>
    <w:lvl w:ilvl="3">
      <w:start w:val="1"/>
      <w:numFmt w:val="bullet"/>
      <w:lvlText w:val="•"/>
      <w:lvlJc w:val="left"/>
      <w:pPr>
        <w:ind w:left="3166" w:hanging="420"/>
      </w:pPr>
      <w:rPr>
        <w:rFonts w:hint="default"/>
      </w:rPr>
    </w:lvl>
    <w:lvl w:ilvl="4">
      <w:start w:val="1"/>
      <w:numFmt w:val="bullet"/>
      <w:lvlText w:val="•"/>
      <w:lvlJc w:val="left"/>
      <w:pPr>
        <w:ind w:left="4048" w:hanging="420"/>
      </w:pPr>
      <w:rPr>
        <w:rFonts w:hint="default"/>
      </w:rPr>
    </w:lvl>
    <w:lvl w:ilvl="5">
      <w:start w:val="1"/>
      <w:numFmt w:val="bullet"/>
      <w:lvlText w:val="•"/>
      <w:lvlJc w:val="left"/>
      <w:pPr>
        <w:ind w:left="4930" w:hanging="420"/>
      </w:pPr>
      <w:rPr>
        <w:rFonts w:hint="default"/>
      </w:rPr>
    </w:lvl>
    <w:lvl w:ilvl="6">
      <w:start w:val="1"/>
      <w:numFmt w:val="bullet"/>
      <w:lvlText w:val="•"/>
      <w:lvlJc w:val="left"/>
      <w:pPr>
        <w:ind w:left="5812" w:hanging="420"/>
      </w:pPr>
      <w:rPr>
        <w:rFonts w:hint="default"/>
      </w:rPr>
    </w:lvl>
    <w:lvl w:ilvl="7">
      <w:start w:val="1"/>
      <w:numFmt w:val="bullet"/>
      <w:lvlText w:val="•"/>
      <w:lvlJc w:val="left"/>
      <w:pPr>
        <w:ind w:left="6694" w:hanging="420"/>
      </w:pPr>
      <w:rPr>
        <w:rFonts w:hint="default"/>
      </w:rPr>
    </w:lvl>
    <w:lvl w:ilvl="8">
      <w:start w:val="1"/>
      <w:numFmt w:val="bullet"/>
      <w:lvlText w:val="•"/>
      <w:lvlJc w:val="left"/>
      <w:pPr>
        <w:ind w:left="7576" w:hanging="420"/>
      </w:pPr>
      <w:rPr>
        <w:rFonts w:hint="default"/>
      </w:rPr>
    </w:lvl>
  </w:abstractNum>
  <w:abstractNum w:abstractNumId="1">
    <w:multiLevelType w:val="hybridMultilevel"/>
    <w:lvl w:ilvl="0">
      <w:start w:val="2"/>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2620" w:hanging="600"/>
      </w:pPr>
      <w:rPr>
        <w:rFonts w:hint="default"/>
      </w:rPr>
    </w:lvl>
    <w:lvl w:ilvl="4">
      <w:start w:val="1"/>
      <w:numFmt w:val="bullet"/>
      <w:lvlText w:val="•"/>
      <w:lvlJc w:val="left"/>
      <w:pPr>
        <w:ind w:left="3580" w:hanging="600"/>
      </w:pPr>
      <w:rPr>
        <w:rFonts w:hint="default"/>
      </w:rPr>
    </w:lvl>
    <w:lvl w:ilvl="5">
      <w:start w:val="1"/>
      <w:numFmt w:val="bullet"/>
      <w:lvlText w:val="•"/>
      <w:lvlJc w:val="left"/>
      <w:pPr>
        <w:ind w:left="4540" w:hanging="600"/>
      </w:pPr>
      <w:rPr>
        <w:rFonts w:hint="default"/>
      </w:rPr>
    </w:lvl>
    <w:lvl w:ilvl="6">
      <w:start w:val="1"/>
      <w:numFmt w:val="bullet"/>
      <w:lvlText w:val="•"/>
      <w:lvlJc w:val="left"/>
      <w:pPr>
        <w:ind w:left="5500" w:hanging="600"/>
      </w:pPr>
      <w:rPr>
        <w:rFonts w:hint="default"/>
      </w:rPr>
    </w:lvl>
    <w:lvl w:ilvl="7">
      <w:start w:val="1"/>
      <w:numFmt w:val="bullet"/>
      <w:lvlText w:val="•"/>
      <w:lvlJc w:val="left"/>
      <w:pPr>
        <w:ind w:left="6460" w:hanging="600"/>
      </w:pPr>
      <w:rPr>
        <w:rFonts w:hint="default"/>
      </w:rPr>
    </w:lvl>
    <w:lvl w:ilvl="8">
      <w:start w:val="1"/>
      <w:numFmt w:val="bullet"/>
      <w:lvlText w:val="•"/>
      <w:lvlJc w:val="left"/>
      <w:pPr>
        <w:ind w:left="7420" w:hanging="600"/>
      </w:pPr>
      <w:rPr>
        <w:rFonts w:hint="default"/>
      </w:rPr>
    </w:lvl>
  </w:abstractNum>
  <w:abstractNum w:abstractNumId="0">
    <w:multiLevelType w:val="hybridMultilevel"/>
    <w:lvl w:ilvl="0">
      <w:start w:val="1"/>
      <w:numFmt w:val="upperRoman"/>
      <w:lvlText w:val="%1."/>
      <w:lvlJc w:val="left"/>
      <w:pPr>
        <w:ind w:left="315" w:hanging="214"/>
        <w:jc w:val="left"/>
      </w:pPr>
      <w:rPr>
        <w:rFonts w:hint="default" w:ascii="Times New Roman" w:hAnsi="Times New Roman" w:eastAsia="Times New Roman" w:cs="Times New Roman"/>
        <w:b/>
        <w:bCs/>
        <w:w w:val="99"/>
        <w:sz w:val="24"/>
        <w:szCs w:val="24"/>
      </w:rPr>
    </w:lvl>
    <w:lvl w:ilvl="1">
      <w:start w:val="1"/>
      <w:numFmt w:val="upperRoman"/>
      <w:lvlText w:val="%2."/>
      <w:lvlJc w:val="left"/>
      <w:pPr>
        <w:ind w:left="3801" w:hanging="214"/>
        <w:jc w:val="right"/>
      </w:pPr>
      <w:rPr>
        <w:rFonts w:hint="default"/>
        <w:b/>
        <w:bCs/>
        <w:w w:val="99"/>
      </w:rPr>
    </w:lvl>
    <w:lvl w:ilvl="2">
      <w:start w:val="1"/>
      <w:numFmt w:val="bullet"/>
      <w:lvlText w:val="•"/>
      <w:lvlJc w:val="left"/>
      <w:pPr>
        <w:ind w:left="4415" w:hanging="214"/>
      </w:pPr>
      <w:rPr>
        <w:rFonts w:hint="default"/>
      </w:rPr>
    </w:lvl>
    <w:lvl w:ilvl="3">
      <w:start w:val="1"/>
      <w:numFmt w:val="bullet"/>
      <w:lvlText w:val="•"/>
      <w:lvlJc w:val="left"/>
      <w:pPr>
        <w:ind w:left="5031" w:hanging="214"/>
      </w:pPr>
      <w:rPr>
        <w:rFonts w:hint="default"/>
      </w:rPr>
    </w:lvl>
    <w:lvl w:ilvl="4">
      <w:start w:val="1"/>
      <w:numFmt w:val="bullet"/>
      <w:lvlText w:val="•"/>
      <w:lvlJc w:val="left"/>
      <w:pPr>
        <w:ind w:left="5646" w:hanging="214"/>
      </w:pPr>
      <w:rPr>
        <w:rFonts w:hint="default"/>
      </w:rPr>
    </w:lvl>
    <w:lvl w:ilvl="5">
      <w:start w:val="1"/>
      <w:numFmt w:val="bullet"/>
      <w:lvlText w:val="•"/>
      <w:lvlJc w:val="left"/>
      <w:pPr>
        <w:ind w:left="6262" w:hanging="214"/>
      </w:pPr>
      <w:rPr>
        <w:rFonts w:hint="default"/>
      </w:rPr>
    </w:lvl>
    <w:lvl w:ilvl="6">
      <w:start w:val="1"/>
      <w:numFmt w:val="bullet"/>
      <w:lvlText w:val="•"/>
      <w:lvlJc w:val="left"/>
      <w:pPr>
        <w:ind w:left="6877" w:hanging="214"/>
      </w:pPr>
      <w:rPr>
        <w:rFonts w:hint="default"/>
      </w:rPr>
    </w:lvl>
    <w:lvl w:ilvl="7">
      <w:start w:val="1"/>
      <w:numFmt w:val="bullet"/>
      <w:lvlText w:val="•"/>
      <w:lvlJc w:val="left"/>
      <w:pPr>
        <w:ind w:left="7493" w:hanging="214"/>
      </w:pPr>
      <w:rPr>
        <w:rFonts w:hint="default"/>
      </w:rPr>
    </w:lvl>
    <w:lvl w:ilvl="8">
      <w:start w:val="1"/>
      <w:numFmt w:val="bullet"/>
      <w:lvlText w:val="•"/>
      <w:lvlJc w:val="left"/>
      <w:pPr>
        <w:ind w:left="8108" w:hanging="214"/>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79"/>
      <w:ind w:left="102"/>
    </w:pPr>
    <w:rPr>
      <w:rFonts w:ascii="Times New Roman" w:hAnsi="Times New Roman" w:eastAsia="Times New Roman" w:cs="Times New Roman"/>
      <w:b/>
      <w:bCs/>
      <w:sz w:val="24"/>
      <w:szCs w:val="24"/>
    </w:rPr>
  </w:style>
  <w:style w:styleId="TOC2" w:type="paragraph">
    <w:name w:val="TOC 2"/>
    <w:basedOn w:val="Normal"/>
    <w:uiPriority w:val="1"/>
    <w:qFormat/>
    <w:pPr>
      <w:spacing w:before="79"/>
      <w:ind w:left="702" w:hanging="600"/>
    </w:pPr>
    <w:rPr>
      <w:rFonts w:ascii="Times New Roman" w:hAnsi="Times New Roman" w:eastAsia="Times New Roman" w:cs="Times New Roman"/>
      <w:sz w:val="24"/>
      <w:szCs w:val="24"/>
    </w:rPr>
  </w:style>
  <w:style w:styleId="TOC3" w:type="paragraph">
    <w:name w:val="TOC 3"/>
    <w:basedOn w:val="Normal"/>
    <w:uiPriority w:val="1"/>
    <w:qFormat/>
    <w:pPr>
      <w:spacing w:before="79"/>
      <w:ind w:left="702" w:hanging="60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702"/>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73"/>
      <w:ind w:left="102"/>
      <w:jc w:val="both"/>
      <w:outlineLvl w:val="2"/>
    </w:pPr>
    <w:rPr>
      <w:rFonts w:ascii="Times New Roman" w:hAnsi="Times New Roman" w:eastAsia="Times New Roman" w:cs="Times New Roman"/>
      <w:b/>
      <w:bCs/>
      <w:sz w:val="22"/>
      <w:szCs w:val="22"/>
    </w:rPr>
  </w:style>
  <w:style w:styleId="Heading3" w:type="paragraph">
    <w:name w:val="Heading 3"/>
    <w:basedOn w:val="Normal"/>
    <w:uiPriority w:val="1"/>
    <w:qFormat/>
    <w:pPr>
      <w:spacing w:before="73"/>
      <w:ind w:left="102"/>
      <w:jc w:val="both"/>
      <w:outlineLvl w:val="3"/>
    </w:pPr>
    <w:rPr>
      <w:rFonts w:ascii="Times New Roman" w:hAnsi="Times New Roman" w:eastAsia="Times New Roman" w:cs="Times New Roman"/>
      <w:b/>
      <w:bCs/>
      <w:i/>
      <w:sz w:val="22"/>
      <w:szCs w:val="22"/>
    </w:rPr>
  </w:style>
  <w:style w:styleId="ListParagraph" w:type="paragraph">
    <w:name w:val="List Paragraph"/>
    <w:basedOn w:val="Normal"/>
    <w:uiPriority w:val="1"/>
    <w:qFormat/>
    <w:pPr>
      <w:ind w:left="702" w:hanging="60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image" Target="media/image2.jpeg"/><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image" Target="media/image3.jpeg"/><Relationship Id="rId16" Type="http://schemas.openxmlformats.org/officeDocument/2006/relationships/hyperlink" Target="mailto:jrfrancom@uaemex.mx" TargetMode="External"/><Relationship Id="rId17" Type="http://schemas.openxmlformats.org/officeDocument/2006/relationships/hyperlink" Target="mailto:djperezl@uaemex.mx" TargetMode="External"/><Relationship Id="rId18" Type="http://schemas.openxmlformats.org/officeDocument/2006/relationships/hyperlink" Target="mailto:mrg@uaemex.mx" TargetMode="External"/><Relationship Id="rId19" Type="http://schemas.openxmlformats.org/officeDocument/2006/relationships/hyperlink" Target="mailto:agonzalezh@uaemex.mx" TargetMode="Externa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image" Target="media/image4.png"/><Relationship Id="rId23" Type="http://schemas.openxmlformats.org/officeDocument/2006/relationships/image" Target="media/image5.png"/><Relationship Id="rId24" Type="http://schemas.openxmlformats.org/officeDocument/2006/relationships/image" Target="media/image6.png"/><Relationship Id="rId25" Type="http://schemas.openxmlformats.org/officeDocument/2006/relationships/image" Target="media/image7.png"/><Relationship Id="rId26" Type="http://schemas.openxmlformats.org/officeDocument/2006/relationships/image" Target="media/image8.png"/><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image" Target="media/image11.png"/><Relationship Id="rId30" Type="http://schemas.openxmlformats.org/officeDocument/2006/relationships/footer" Target="footer11.xml"/><Relationship Id="rId31" Type="http://schemas.openxmlformats.org/officeDocument/2006/relationships/image" Target="media/image12.png"/><Relationship Id="rId32" Type="http://schemas.openxmlformats.org/officeDocument/2006/relationships/footer" Target="footer12.xml"/><Relationship Id="rId33" Type="http://schemas.openxmlformats.org/officeDocument/2006/relationships/hyperlink" Target="http://www.siap.gob.mx/" TargetMode="External"/><Relationship Id="rId34" Type="http://schemas.openxmlformats.org/officeDocument/2006/relationships/image" Target="media/image13.png"/><Relationship Id="rId35" Type="http://schemas.openxmlformats.org/officeDocument/2006/relationships/footer" Target="footer13.xml"/><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footer" Target="footer18.xml"/><Relationship Id="rId41" Type="http://schemas.openxmlformats.org/officeDocument/2006/relationships/footer" Target="footer19.xml"/><Relationship Id="rId42" Type="http://schemas.openxmlformats.org/officeDocument/2006/relationships/hyperlink" Target="http://www.engormix.com/Articles/View.aspxid%3D695" TargetMode="External"/><Relationship Id="rId43" Type="http://schemas.openxmlformats.org/officeDocument/2006/relationships/hyperlink" Target="http://www.faostat.fao.org/" TargetMode="External"/><Relationship Id="rId44" Type="http://schemas.openxmlformats.org/officeDocument/2006/relationships/hyperlink" Target="http://www.somas.org.mx/pdf/pdfs_libros/agriculturasostenible6/61/42.pdf" TargetMode="External"/><Relationship Id="rId45" Type="http://schemas.openxmlformats.org/officeDocument/2006/relationships/footer" Target="footer20.xml"/><Relationship Id="rId46" Type="http://schemas.openxmlformats.org/officeDocument/2006/relationships/hyperlink" Target="http://www.researchgate.net/publication/281273665" TargetMode="External"/><Relationship Id="rId47" Type="http://schemas.openxmlformats.org/officeDocument/2006/relationships/footer" Target="footer21.xml"/><Relationship Id="rId48" Type="http://schemas.openxmlformats.org/officeDocument/2006/relationships/hyperlink" Target="http://www.ase.tufts.edu/gdae/pubs/wp/12-03TurrentMexMaize.pdf" TargetMode="External"/><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2017-05-24T01:39:44Z</dcterms:created>
  <dcterms:modified xsi:type="dcterms:W3CDTF">2017-05-24T01:39:44Z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