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b w:val="0"/>
          <w:sz w:val="17"/>
        </w:rPr>
      </w:pPr>
      <w:r>
        <w:rPr/>
        <w:drawing>
          <wp:anchor distT="0" distB="0" distL="0" distR="0" allowOverlap="1" layoutInCell="1" locked="0" behindDoc="1" simplePos="0" relativeHeight="268428359">
            <wp:simplePos x="0" y="0"/>
            <wp:positionH relativeFrom="page">
              <wp:posOffset>0</wp:posOffset>
            </wp:positionH>
            <wp:positionV relativeFrom="page">
              <wp:posOffset>0</wp:posOffset>
            </wp:positionV>
            <wp:extent cx="6121240" cy="8643366"/>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121240" cy="8643366"/>
                    </a:xfrm>
                    <a:prstGeom prst="rect">
                      <a:avLst/>
                    </a:prstGeom>
                  </pic:spPr>
                </pic:pic>
              </a:graphicData>
            </a:graphic>
          </wp:anchor>
        </w:drawing>
      </w:r>
    </w:p>
    <w:p>
      <w:pPr>
        <w:spacing w:after="0"/>
        <w:rPr>
          <w:sz w:val="17"/>
        </w:rPr>
        <w:sectPr>
          <w:type w:val="continuous"/>
          <w:pgSz w:w="9640" w:h="13610"/>
          <w:pgMar w:top="0" w:bottom="0" w:left="0" w:right="0"/>
        </w:sectPr>
      </w:pPr>
    </w:p>
    <w:p>
      <w:pPr>
        <w:pStyle w:val="Heading1"/>
        <w:ind w:left="3040" w:right="3044"/>
      </w:pPr>
      <w:r>
        <w:rPr>
          <w:color w:val="231F20"/>
          <w:w w:val="105"/>
        </w:rPr>
        <w:t>ÍNDICE</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8"/>
        <w:rPr>
          <w:sz w:val="21"/>
        </w:rPr>
      </w:pPr>
    </w:p>
    <w:p>
      <w:pPr>
        <w:pStyle w:val="BodyText"/>
        <w:ind w:left="123" w:right="177"/>
      </w:pPr>
      <w:r>
        <w:rPr>
          <w:color w:val="231F20"/>
        </w:rPr>
        <w:t>Introducción</w:t>
      </w:r>
    </w:p>
    <w:p>
      <w:pPr>
        <w:spacing w:before="2"/>
        <w:ind w:left="123" w:right="177" w:firstLine="0"/>
        <w:jc w:val="left"/>
        <w:rPr>
          <w:sz w:val="19"/>
        </w:rPr>
      </w:pPr>
      <w:r>
        <w:rPr>
          <w:color w:val="231F20"/>
          <w:sz w:val="19"/>
        </w:rPr>
        <w:t>Luis Alfonso Guadarrama Rico ; Juan Carlos Suárez  Villegas</w:t>
      </w:r>
    </w:p>
    <w:p>
      <w:pPr>
        <w:pStyle w:val="BodyText"/>
        <w:spacing w:before="11"/>
        <w:rPr>
          <w:b w:val="0"/>
        </w:rPr>
      </w:pPr>
    </w:p>
    <w:p>
      <w:pPr>
        <w:pStyle w:val="BodyText"/>
        <w:ind w:left="123" w:right="177"/>
      </w:pPr>
      <w:r>
        <w:rPr>
          <w:color w:val="231F20"/>
        </w:rPr>
        <w:t>Democracia y medios globales: nuevas fronteras para la   ética</w:t>
      </w:r>
    </w:p>
    <w:p>
      <w:pPr>
        <w:spacing w:before="2"/>
        <w:ind w:left="123" w:right="177" w:firstLine="0"/>
        <w:jc w:val="left"/>
        <w:rPr>
          <w:sz w:val="19"/>
        </w:rPr>
      </w:pPr>
      <w:r>
        <w:rPr>
          <w:color w:val="231F20"/>
          <w:sz w:val="19"/>
        </w:rPr>
        <w:t>Montoya Martín del Campo,  Alberto</w:t>
      </w:r>
    </w:p>
    <w:p>
      <w:pPr>
        <w:pStyle w:val="BodyText"/>
        <w:spacing w:before="11"/>
        <w:rPr>
          <w:b w:val="0"/>
        </w:rPr>
      </w:pPr>
    </w:p>
    <w:p>
      <w:pPr>
        <w:pStyle w:val="BodyText"/>
        <w:ind w:left="123" w:right="177"/>
      </w:pPr>
      <w:r>
        <w:rPr>
          <w:color w:val="231F20"/>
        </w:rPr>
        <w:t>Breves notas en torno a la deontología de la   comunicación</w:t>
      </w:r>
    </w:p>
    <w:p>
      <w:pPr>
        <w:spacing w:before="2"/>
        <w:ind w:left="123" w:right="177" w:firstLine="0"/>
        <w:jc w:val="left"/>
        <w:rPr>
          <w:sz w:val="19"/>
        </w:rPr>
      </w:pPr>
      <w:r>
        <w:rPr>
          <w:color w:val="231F20"/>
          <w:sz w:val="19"/>
        </w:rPr>
        <w:t>Luis Alfonso Guadarrama Rico y Juan Carlos Suárez  Villegas</w:t>
      </w:r>
    </w:p>
    <w:p>
      <w:pPr>
        <w:pStyle w:val="BodyText"/>
        <w:spacing w:before="11"/>
        <w:rPr>
          <w:b w:val="0"/>
        </w:rPr>
      </w:pPr>
    </w:p>
    <w:p>
      <w:pPr>
        <w:pStyle w:val="BodyText"/>
        <w:spacing w:line="244" w:lineRule="auto"/>
        <w:ind w:left="123" w:right="177"/>
      </w:pPr>
      <w:r>
        <w:rPr>
          <w:color w:val="231F20"/>
        </w:rPr>
        <w:t>Libertad de expresión </w:t>
      </w:r>
      <w:r>
        <w:rPr>
          <w:i/>
          <w:color w:val="231F20"/>
        </w:rPr>
        <w:t>versus </w:t>
      </w:r>
      <w:r>
        <w:rPr>
          <w:color w:val="231F20"/>
        </w:rPr>
        <w:t>apología del terrorismo. aspectos y límites constitucionales</w:t>
      </w:r>
    </w:p>
    <w:p>
      <w:pPr>
        <w:spacing w:line="217" w:lineRule="exact" w:before="0"/>
        <w:ind w:left="123" w:right="177" w:firstLine="0"/>
        <w:jc w:val="left"/>
        <w:rPr>
          <w:sz w:val="19"/>
        </w:rPr>
      </w:pPr>
      <w:r>
        <w:rPr>
          <w:color w:val="231F20"/>
          <w:sz w:val="19"/>
        </w:rPr>
        <w:t>Macías Jara, María</w:t>
      </w:r>
    </w:p>
    <w:p>
      <w:pPr>
        <w:pStyle w:val="BodyText"/>
        <w:spacing w:before="11"/>
        <w:rPr>
          <w:b w:val="0"/>
        </w:rPr>
      </w:pPr>
    </w:p>
    <w:p>
      <w:pPr>
        <w:pStyle w:val="BodyText"/>
        <w:ind w:left="123" w:right="177"/>
      </w:pPr>
      <w:r>
        <w:rPr>
          <w:color w:val="231F20"/>
        </w:rPr>
        <w:t>Cine y África: imágenes para la  interculturalidad</w:t>
      </w:r>
    </w:p>
    <w:p>
      <w:pPr>
        <w:spacing w:before="2"/>
        <w:ind w:left="123" w:right="177" w:firstLine="0"/>
        <w:jc w:val="left"/>
        <w:rPr>
          <w:sz w:val="19"/>
        </w:rPr>
      </w:pPr>
      <w:r>
        <w:rPr>
          <w:color w:val="231F20"/>
          <w:sz w:val="19"/>
        </w:rPr>
        <w:t>Olivieri, Federico</w:t>
      </w:r>
    </w:p>
    <w:p>
      <w:pPr>
        <w:pStyle w:val="BodyText"/>
        <w:spacing w:before="11"/>
        <w:rPr>
          <w:b w:val="0"/>
        </w:rPr>
      </w:pPr>
    </w:p>
    <w:p>
      <w:pPr>
        <w:pStyle w:val="BodyText"/>
        <w:ind w:left="123" w:right="177"/>
      </w:pPr>
      <w:r>
        <w:rPr>
          <w:color w:val="231F20"/>
        </w:rPr>
        <w:t>El rumor como base de la noticia en los medios  digitales</w:t>
      </w:r>
    </w:p>
    <w:p>
      <w:pPr>
        <w:spacing w:before="2"/>
        <w:ind w:left="123" w:right="177" w:firstLine="0"/>
        <w:jc w:val="left"/>
        <w:rPr>
          <w:sz w:val="19"/>
        </w:rPr>
      </w:pPr>
      <w:r>
        <w:rPr>
          <w:color w:val="231F20"/>
          <w:sz w:val="19"/>
        </w:rPr>
        <w:t>Ufarte Ruiz, María José</w:t>
      </w:r>
    </w:p>
    <w:p>
      <w:pPr>
        <w:pStyle w:val="BodyText"/>
        <w:spacing w:before="11"/>
        <w:rPr>
          <w:b w:val="0"/>
        </w:rPr>
      </w:pPr>
    </w:p>
    <w:p>
      <w:pPr>
        <w:pStyle w:val="BodyText"/>
        <w:ind w:left="123" w:right="177"/>
      </w:pPr>
      <w:r>
        <w:rPr>
          <w:color w:val="231F20"/>
        </w:rPr>
        <w:t>Índice de transparencia mediática. Una propuesta   metodológica</w:t>
      </w:r>
    </w:p>
    <w:p>
      <w:pPr>
        <w:spacing w:before="2"/>
        <w:ind w:left="123" w:right="177" w:firstLine="0"/>
        <w:jc w:val="left"/>
        <w:rPr>
          <w:sz w:val="19"/>
        </w:rPr>
      </w:pPr>
      <w:r>
        <w:rPr>
          <w:color w:val="231F20"/>
          <w:sz w:val="19"/>
        </w:rPr>
        <w:t>Redondo García, Marta; Campos-Domínguez,  Eva</w:t>
      </w:r>
    </w:p>
    <w:p>
      <w:pPr>
        <w:pStyle w:val="BodyText"/>
        <w:spacing w:before="10"/>
        <w:rPr>
          <w:b w:val="0"/>
        </w:rPr>
      </w:pPr>
    </w:p>
    <w:p>
      <w:pPr>
        <w:pStyle w:val="BodyText"/>
        <w:ind w:left="123" w:right="177"/>
      </w:pPr>
      <w:r>
        <w:rPr>
          <w:color w:val="231F20"/>
        </w:rPr>
        <w:t>Ética y docencia en al ámbito  digital</w:t>
      </w:r>
    </w:p>
    <w:p>
      <w:pPr>
        <w:spacing w:before="2"/>
        <w:ind w:left="123" w:right="177" w:firstLine="0"/>
        <w:jc w:val="left"/>
        <w:rPr>
          <w:sz w:val="19"/>
        </w:rPr>
      </w:pPr>
      <w:r>
        <w:rPr>
          <w:color w:val="231F20"/>
          <w:sz w:val="19"/>
        </w:rPr>
        <w:t>Fernández Guerrero, Marta Mercedes; Chico Ruiz, Marco   Antonio</w:t>
      </w:r>
    </w:p>
    <w:p>
      <w:pPr>
        <w:pStyle w:val="BodyText"/>
        <w:spacing w:before="11"/>
        <w:rPr>
          <w:b w:val="0"/>
        </w:rPr>
      </w:pPr>
    </w:p>
    <w:p>
      <w:pPr>
        <w:pStyle w:val="BodyText"/>
        <w:spacing w:line="244" w:lineRule="auto"/>
        <w:ind w:left="123" w:right="177"/>
      </w:pPr>
      <w:r>
        <w:rPr>
          <w:color w:val="231F20"/>
        </w:rPr>
        <w:t>Estudios de comportamiento y ética en el ámbito digital: definición de un método de análisis de las relaciones  interpersonales</w:t>
      </w:r>
    </w:p>
    <w:p>
      <w:pPr>
        <w:spacing w:line="217" w:lineRule="exact" w:before="0"/>
        <w:ind w:left="123" w:right="177" w:firstLine="0"/>
        <w:jc w:val="left"/>
        <w:rPr>
          <w:sz w:val="19"/>
        </w:rPr>
      </w:pPr>
      <w:r>
        <w:rPr>
          <w:color w:val="231F20"/>
          <w:sz w:val="19"/>
        </w:rPr>
        <w:t>Mellot, Sandra</w:t>
      </w:r>
    </w:p>
    <w:p>
      <w:pPr>
        <w:pStyle w:val="BodyText"/>
        <w:spacing w:before="11"/>
        <w:rPr>
          <w:b w:val="0"/>
        </w:rPr>
      </w:pPr>
    </w:p>
    <w:p>
      <w:pPr>
        <w:pStyle w:val="BodyText"/>
        <w:spacing w:line="244" w:lineRule="auto"/>
        <w:ind w:left="123" w:right="177"/>
      </w:pPr>
      <w:r>
        <w:rPr>
          <w:color w:val="231F20"/>
        </w:rPr>
        <w:t>La ética y la comunicación, principios fundamentales en la atención policial con menores</w:t>
      </w:r>
    </w:p>
    <w:p>
      <w:pPr>
        <w:spacing w:line="217" w:lineRule="exact" w:before="0"/>
        <w:ind w:left="123" w:right="177" w:firstLine="0"/>
        <w:jc w:val="left"/>
        <w:rPr>
          <w:sz w:val="19"/>
        </w:rPr>
      </w:pPr>
      <w:r>
        <w:rPr>
          <w:color w:val="231F20"/>
          <w:sz w:val="19"/>
        </w:rPr>
        <w:t>Yugueros García, Antonio  Jesús</w:t>
      </w:r>
    </w:p>
    <w:p>
      <w:pPr>
        <w:pStyle w:val="BodyText"/>
        <w:spacing w:before="11"/>
        <w:rPr>
          <w:b w:val="0"/>
        </w:rPr>
      </w:pPr>
    </w:p>
    <w:p>
      <w:pPr>
        <w:pStyle w:val="BodyText"/>
        <w:spacing w:line="244" w:lineRule="auto"/>
        <w:ind w:left="123" w:right="177"/>
      </w:pPr>
      <w:r>
        <w:rPr>
          <w:color w:val="231F20"/>
        </w:rPr>
        <w:t>Qué es y cómo afecta el ‘Índice H’ en comunicación. Uso ético de los perfiles en GSM</w:t>
      </w:r>
    </w:p>
    <w:p>
      <w:pPr>
        <w:spacing w:line="217" w:lineRule="exact" w:before="0"/>
        <w:ind w:left="123" w:right="177" w:firstLine="0"/>
        <w:jc w:val="left"/>
        <w:rPr>
          <w:sz w:val="19"/>
        </w:rPr>
      </w:pPr>
      <w:r>
        <w:rPr>
          <w:color w:val="231F20"/>
          <w:sz w:val="19"/>
        </w:rPr>
        <w:t>de Pablos, José Manuel; Túñez López,  Miguel</w:t>
      </w:r>
    </w:p>
    <w:p>
      <w:pPr>
        <w:pStyle w:val="BodyText"/>
        <w:spacing w:before="11"/>
        <w:rPr>
          <w:b w:val="0"/>
        </w:rPr>
      </w:pPr>
    </w:p>
    <w:p>
      <w:pPr>
        <w:pStyle w:val="BodyText"/>
        <w:spacing w:line="244" w:lineRule="auto"/>
        <w:ind w:left="123" w:right="177"/>
      </w:pPr>
      <w:r>
        <w:rPr>
          <w:color w:val="231F20"/>
        </w:rPr>
        <w:t>El sexenio que estamos viviendo en peligro: la ética periodística en una época de velado autoritarismo</w:t>
      </w:r>
    </w:p>
    <w:p>
      <w:pPr>
        <w:spacing w:line="217" w:lineRule="exact" w:before="0"/>
        <w:ind w:left="123" w:right="177" w:firstLine="0"/>
        <w:jc w:val="left"/>
        <w:rPr>
          <w:sz w:val="19"/>
        </w:rPr>
      </w:pPr>
      <w:r>
        <w:rPr>
          <w:color w:val="231F20"/>
          <w:sz w:val="19"/>
        </w:rPr>
        <w:t>Calles Santillana, Jorge Alberto</w:t>
      </w:r>
    </w:p>
    <w:p>
      <w:pPr>
        <w:pStyle w:val="BodyText"/>
        <w:spacing w:before="11"/>
        <w:rPr>
          <w:b w:val="0"/>
        </w:rPr>
      </w:pPr>
    </w:p>
    <w:p>
      <w:pPr>
        <w:pStyle w:val="BodyText"/>
        <w:ind w:left="123" w:right="177"/>
      </w:pPr>
      <w:r>
        <w:rPr>
          <w:color w:val="231F20"/>
        </w:rPr>
        <w:t>El concepto de la ética en la obra de Gabriel García   Márquez</w:t>
      </w:r>
    </w:p>
    <w:p>
      <w:pPr>
        <w:spacing w:before="2"/>
        <w:ind w:left="123" w:right="177" w:firstLine="0"/>
        <w:jc w:val="left"/>
        <w:rPr>
          <w:sz w:val="19"/>
        </w:rPr>
      </w:pPr>
      <w:r>
        <w:rPr>
          <w:color w:val="231F20"/>
          <w:sz w:val="19"/>
        </w:rPr>
        <w:t>Bozzi, Anderson, Sara Marcela; Pinzón, Sinuco,  Andrés</w:t>
      </w:r>
    </w:p>
    <w:p>
      <w:pPr>
        <w:pStyle w:val="BodyText"/>
        <w:spacing w:before="11"/>
        <w:rPr>
          <w:b w:val="0"/>
        </w:rPr>
      </w:pPr>
    </w:p>
    <w:p>
      <w:pPr>
        <w:spacing w:before="0"/>
        <w:ind w:left="123" w:right="177" w:firstLine="0"/>
        <w:jc w:val="left"/>
        <w:rPr>
          <w:b/>
          <w:i/>
          <w:sz w:val="19"/>
        </w:rPr>
      </w:pPr>
      <w:r>
        <w:rPr>
          <w:b/>
          <w:color w:val="231F20"/>
          <w:sz w:val="19"/>
        </w:rPr>
        <w:t>Humor y libertad de expresión: </w:t>
      </w:r>
      <w:r>
        <w:rPr>
          <w:b/>
          <w:i/>
          <w:color w:val="231F20"/>
          <w:sz w:val="19"/>
        </w:rPr>
        <w:t>Charlie Hebdo </w:t>
      </w:r>
      <w:r>
        <w:rPr>
          <w:b/>
          <w:color w:val="231F20"/>
          <w:sz w:val="19"/>
        </w:rPr>
        <w:t>y </w:t>
      </w:r>
      <w:r>
        <w:rPr>
          <w:b/>
          <w:i/>
          <w:color w:val="231F20"/>
          <w:sz w:val="19"/>
        </w:rPr>
        <w:t>Je ne suis pas   Charlie.</w:t>
      </w:r>
    </w:p>
    <w:p>
      <w:pPr>
        <w:spacing w:before="2"/>
        <w:ind w:left="123" w:right="177" w:firstLine="0"/>
        <w:jc w:val="left"/>
        <w:rPr>
          <w:sz w:val="19"/>
        </w:rPr>
      </w:pPr>
      <w:r>
        <w:rPr>
          <w:color w:val="231F20"/>
          <w:sz w:val="19"/>
        </w:rPr>
        <w:t>Rodríguez García, María</w:t>
      </w:r>
    </w:p>
    <w:p>
      <w:pPr>
        <w:spacing w:after="0"/>
        <w:jc w:val="left"/>
        <w:rPr>
          <w:sz w:val="19"/>
        </w:rPr>
        <w:sectPr>
          <w:pgSz w:w="9640" w:h="13600"/>
          <w:pgMar w:top="600" w:bottom="280" w:left="1340" w:right="1340"/>
        </w:sectPr>
      </w:pPr>
    </w:p>
    <w:p>
      <w:pPr>
        <w:pStyle w:val="BodyText"/>
        <w:spacing w:line="244" w:lineRule="auto" w:before="103"/>
        <w:ind w:left="123" w:right="127"/>
        <w:jc w:val="both"/>
      </w:pPr>
      <w:r>
        <w:rPr>
          <w:color w:val="231F20"/>
        </w:rPr>
        <w:t>Los periodistas españoles ante el ombudsman de la  prensa:  retos  y  oportunidades</w:t>
      </w:r>
    </w:p>
    <w:p>
      <w:pPr>
        <w:spacing w:line="217" w:lineRule="exact" w:before="0"/>
        <w:ind w:left="123" w:right="0" w:firstLine="0"/>
        <w:jc w:val="both"/>
        <w:rPr>
          <w:sz w:val="19"/>
        </w:rPr>
      </w:pPr>
      <w:r>
        <w:rPr>
          <w:color w:val="231F20"/>
          <w:sz w:val="19"/>
        </w:rPr>
        <w:t>Maciá-Barber, Carlos</w:t>
      </w:r>
    </w:p>
    <w:p>
      <w:pPr>
        <w:pStyle w:val="BodyText"/>
        <w:spacing w:before="11"/>
        <w:rPr>
          <w:b w:val="0"/>
        </w:rPr>
      </w:pPr>
    </w:p>
    <w:p>
      <w:pPr>
        <w:pStyle w:val="BodyText"/>
        <w:spacing w:line="244" w:lineRule="auto"/>
        <w:ind w:left="123" w:right="128"/>
        <w:jc w:val="both"/>
      </w:pPr>
      <w:r>
        <w:rPr>
          <w:color w:val="231F20"/>
        </w:rPr>
        <w:t>Ética y profesión periodística. El papel socioeducativo de los  personajes  de  </w:t>
      </w:r>
      <w:r>
        <w:rPr>
          <w:i/>
          <w:color w:val="231F20"/>
        </w:rPr>
        <w:t>Buenas noches, y buena suerte </w:t>
      </w:r>
      <w:r>
        <w:rPr>
          <w:color w:val="231F20"/>
        </w:rPr>
        <w:t>(Good Night, And Good Luck, George Clooney, 2005)</w:t>
      </w:r>
    </w:p>
    <w:p>
      <w:pPr>
        <w:spacing w:line="217" w:lineRule="exact" w:before="0"/>
        <w:ind w:left="123" w:right="0" w:firstLine="0"/>
        <w:jc w:val="both"/>
        <w:rPr>
          <w:sz w:val="19"/>
        </w:rPr>
      </w:pPr>
      <w:r>
        <w:rPr>
          <w:color w:val="231F20"/>
          <w:sz w:val="19"/>
        </w:rPr>
        <w:t>Cartes Barroso, Manuel Jesús; Durán Manso,  Valeriano</w:t>
      </w:r>
    </w:p>
    <w:p>
      <w:pPr>
        <w:pStyle w:val="BodyText"/>
        <w:spacing w:before="11"/>
        <w:rPr>
          <w:b w:val="0"/>
        </w:rPr>
      </w:pPr>
    </w:p>
    <w:p>
      <w:pPr>
        <w:pStyle w:val="BodyText"/>
        <w:spacing w:line="244" w:lineRule="auto"/>
        <w:ind w:left="123" w:right="128"/>
        <w:jc w:val="both"/>
      </w:pPr>
      <w:r>
        <w:rPr>
          <w:color w:val="231F20"/>
        </w:rPr>
        <w:t>Derecho a la información y protección de la infancia y la juventud: el uso de la imagen del menor de edad en la cobertura informativa del  accidente  ferroroviario de Angrois (2013), por el diario </w:t>
      </w:r>
      <w:r>
        <w:rPr>
          <w:i/>
          <w:color w:val="231F20"/>
        </w:rPr>
        <w:t>La voz de  </w:t>
      </w:r>
      <w:r>
        <w:rPr>
          <w:i/>
          <w:color w:val="231F20"/>
          <w:spacing w:val="3"/>
        </w:rPr>
        <w:t> </w:t>
      </w:r>
      <w:r>
        <w:rPr>
          <w:i/>
          <w:color w:val="231F20"/>
        </w:rPr>
        <w:t>Galicia</w:t>
      </w:r>
      <w:r>
        <w:rPr>
          <w:color w:val="231F20"/>
        </w:rPr>
        <w:t>.</w:t>
      </w:r>
    </w:p>
    <w:p>
      <w:pPr>
        <w:spacing w:line="217" w:lineRule="exact" w:before="0"/>
        <w:ind w:left="123" w:right="0" w:firstLine="0"/>
        <w:jc w:val="both"/>
        <w:rPr>
          <w:sz w:val="19"/>
        </w:rPr>
      </w:pPr>
      <w:r>
        <w:rPr>
          <w:color w:val="231F20"/>
          <w:sz w:val="19"/>
        </w:rPr>
        <w:t>Rodríguez Pardo, Julián; Durán Pila,  Gloria</w:t>
      </w:r>
    </w:p>
    <w:p>
      <w:pPr>
        <w:pStyle w:val="BodyText"/>
        <w:spacing w:before="11"/>
        <w:rPr>
          <w:b w:val="0"/>
        </w:rPr>
      </w:pPr>
    </w:p>
    <w:p>
      <w:pPr>
        <w:pStyle w:val="BodyText"/>
        <w:spacing w:line="244" w:lineRule="auto"/>
        <w:ind w:left="123" w:right="126"/>
        <w:jc w:val="both"/>
        <w:rPr>
          <w:i/>
        </w:rPr>
      </w:pPr>
      <w:r>
        <w:rPr>
          <w:color w:val="231F20"/>
        </w:rPr>
        <w:t>Aspectos éticos de la fotografía de prensa: aproximación general al análisis de la cobertura gráfica del accidente ferroviario de Angrois (2013) en el diario </w:t>
      </w:r>
      <w:r>
        <w:rPr>
          <w:i/>
          <w:color w:val="231F20"/>
        </w:rPr>
        <w:t>La voz   </w:t>
      </w:r>
      <w:r>
        <w:rPr>
          <w:i/>
          <w:color w:val="231F20"/>
        </w:rPr>
        <w:t>de</w:t>
      </w:r>
      <w:r>
        <w:rPr>
          <w:i/>
          <w:color w:val="231F20"/>
          <w:spacing w:val="17"/>
        </w:rPr>
        <w:t> </w:t>
      </w:r>
      <w:r>
        <w:rPr>
          <w:i/>
          <w:color w:val="231F20"/>
        </w:rPr>
        <w:t>Galicia.</w:t>
      </w:r>
    </w:p>
    <w:p>
      <w:pPr>
        <w:spacing w:line="217" w:lineRule="exact" w:before="0"/>
        <w:ind w:left="123" w:right="0" w:firstLine="0"/>
        <w:jc w:val="both"/>
        <w:rPr>
          <w:sz w:val="19"/>
        </w:rPr>
      </w:pPr>
      <w:r>
        <w:rPr>
          <w:color w:val="231F20"/>
          <w:sz w:val="19"/>
        </w:rPr>
        <w:t>Durán Pila, Gloria.</w:t>
      </w:r>
    </w:p>
    <w:p>
      <w:pPr>
        <w:pStyle w:val="BodyText"/>
        <w:spacing w:before="11"/>
        <w:rPr>
          <w:b w:val="0"/>
        </w:rPr>
      </w:pPr>
    </w:p>
    <w:p>
      <w:pPr>
        <w:pStyle w:val="BodyText"/>
        <w:spacing w:line="244" w:lineRule="auto"/>
        <w:ind w:left="123" w:right="127"/>
        <w:jc w:val="both"/>
      </w:pPr>
      <w:r>
        <w:rPr>
          <w:color w:val="231F20"/>
        </w:rPr>
        <w:t>Los límites éticos de la persuasión publicitaria: análisis de los estereotipos de género en el discurso  publicitario</w:t>
      </w:r>
    </w:p>
    <w:p>
      <w:pPr>
        <w:spacing w:line="217" w:lineRule="exact" w:before="0"/>
        <w:ind w:left="123" w:right="0" w:firstLine="0"/>
        <w:jc w:val="both"/>
        <w:rPr>
          <w:sz w:val="19"/>
        </w:rPr>
      </w:pPr>
      <w:r>
        <w:rPr>
          <w:color w:val="231F20"/>
          <w:sz w:val="19"/>
        </w:rPr>
        <w:t>Racionero Siles, Flora; Luna Crespo,  Rosario</w:t>
      </w:r>
    </w:p>
    <w:p>
      <w:pPr>
        <w:pStyle w:val="BodyText"/>
        <w:spacing w:before="11"/>
        <w:rPr>
          <w:b w:val="0"/>
        </w:rPr>
      </w:pPr>
    </w:p>
    <w:p>
      <w:pPr>
        <w:pStyle w:val="BodyText"/>
        <w:spacing w:line="244" w:lineRule="auto"/>
        <w:ind w:left="123" w:right="126"/>
        <w:jc w:val="both"/>
      </w:pPr>
      <w:r>
        <w:rPr>
          <w:color w:val="231F20"/>
        </w:rPr>
        <w:t>El desarrollo y enfoque de los códigos de ética periodística en Ecuador a partir    de la Ley orgánica de </w:t>
      </w:r>
      <w:r>
        <w:rPr>
          <w:color w:val="231F20"/>
          <w:spacing w:val="7"/>
        </w:rPr>
        <w:t> </w:t>
      </w:r>
      <w:r>
        <w:rPr>
          <w:color w:val="231F20"/>
        </w:rPr>
        <w:t>comunicación</w:t>
      </w:r>
    </w:p>
    <w:p>
      <w:pPr>
        <w:spacing w:line="216" w:lineRule="exact" w:before="0"/>
        <w:ind w:left="123" w:right="0" w:firstLine="0"/>
        <w:jc w:val="both"/>
        <w:rPr>
          <w:sz w:val="19"/>
        </w:rPr>
      </w:pPr>
      <w:r>
        <w:rPr>
          <w:color w:val="231F20"/>
          <w:sz w:val="19"/>
        </w:rPr>
        <w:t>González Portela, María Luján</w:t>
      </w:r>
    </w:p>
    <w:p>
      <w:pPr>
        <w:pStyle w:val="BodyText"/>
        <w:spacing w:before="11"/>
        <w:rPr>
          <w:b w:val="0"/>
        </w:rPr>
      </w:pPr>
    </w:p>
    <w:p>
      <w:pPr>
        <w:pStyle w:val="BodyText"/>
        <w:spacing w:line="244" w:lineRule="auto"/>
        <w:ind w:left="123" w:right="128"/>
        <w:jc w:val="both"/>
      </w:pPr>
      <w:r>
        <w:rPr>
          <w:color w:val="231F20"/>
        </w:rPr>
        <w:t>Entre “personas panqueques” y ciudadanos emancipados: la responsabilidad social de los medios de </w:t>
      </w:r>
      <w:r>
        <w:rPr>
          <w:color w:val="231F20"/>
          <w:spacing w:val="9"/>
        </w:rPr>
        <w:t> </w:t>
      </w:r>
      <w:r>
        <w:rPr>
          <w:color w:val="231F20"/>
        </w:rPr>
        <w:t>comunicación</w:t>
      </w:r>
    </w:p>
    <w:p>
      <w:pPr>
        <w:spacing w:line="217" w:lineRule="exact" w:before="0"/>
        <w:ind w:left="123" w:right="0" w:firstLine="0"/>
        <w:jc w:val="both"/>
        <w:rPr>
          <w:sz w:val="19"/>
        </w:rPr>
      </w:pPr>
      <w:r>
        <w:rPr>
          <w:color w:val="231F20"/>
          <w:sz w:val="19"/>
        </w:rPr>
        <w:t>Santos Morais, Ana Leonor</w:t>
      </w:r>
    </w:p>
    <w:p>
      <w:pPr>
        <w:pStyle w:val="BodyText"/>
        <w:spacing w:before="11"/>
        <w:rPr>
          <w:b w:val="0"/>
        </w:rPr>
      </w:pPr>
    </w:p>
    <w:p>
      <w:pPr>
        <w:pStyle w:val="BodyText"/>
        <w:spacing w:line="244" w:lineRule="auto"/>
        <w:ind w:left="123" w:right="127"/>
        <w:jc w:val="both"/>
      </w:pPr>
      <w:r>
        <w:rPr>
          <w:color w:val="231F20"/>
        </w:rPr>
        <w:t>La imagen del enfermo mental en los medios de comunicación: análisis de los informativos de </w:t>
      </w:r>
      <w:r>
        <w:rPr>
          <w:i/>
          <w:color w:val="231F20"/>
        </w:rPr>
        <w:t>Canal Sur Televisión </w:t>
      </w:r>
      <w:r>
        <w:rPr>
          <w:color w:val="231F20"/>
        </w:rPr>
        <w:t>y la actividad de los gabinetes de prensa de asociaciones de enfermos  mentales.</w:t>
      </w:r>
    </w:p>
    <w:p>
      <w:pPr>
        <w:spacing w:line="217" w:lineRule="exact" w:before="0"/>
        <w:ind w:left="123" w:right="0" w:firstLine="0"/>
        <w:jc w:val="both"/>
        <w:rPr>
          <w:sz w:val="19"/>
        </w:rPr>
      </w:pPr>
      <w:r>
        <w:rPr>
          <w:color w:val="231F20"/>
          <w:sz w:val="19"/>
        </w:rPr>
        <w:t>Navarro Moreno, José Antonio; Olmo López,  Agustín</w:t>
      </w:r>
    </w:p>
    <w:p>
      <w:pPr>
        <w:pStyle w:val="BodyText"/>
        <w:spacing w:before="11"/>
        <w:rPr>
          <w:b w:val="0"/>
        </w:rPr>
      </w:pPr>
    </w:p>
    <w:p>
      <w:pPr>
        <w:pStyle w:val="BodyText"/>
        <w:spacing w:line="244" w:lineRule="auto"/>
        <w:ind w:left="123" w:right="127"/>
        <w:jc w:val="both"/>
      </w:pPr>
      <w:r>
        <w:rPr>
          <w:color w:val="231F20"/>
        </w:rPr>
        <w:t>Televisión y enfermedades poco frecuentes. Reflexiones sobre la telemendicidad   en</w:t>
      </w:r>
      <w:r>
        <w:rPr>
          <w:color w:val="231F20"/>
          <w:spacing w:val="17"/>
        </w:rPr>
        <w:t> </w:t>
      </w:r>
      <w:r>
        <w:rPr>
          <w:color w:val="231F20"/>
        </w:rPr>
        <w:t>España</w:t>
      </w:r>
    </w:p>
    <w:p>
      <w:pPr>
        <w:spacing w:line="217" w:lineRule="exact" w:before="0"/>
        <w:ind w:left="123" w:right="0" w:firstLine="0"/>
        <w:jc w:val="both"/>
        <w:rPr>
          <w:sz w:val="19"/>
        </w:rPr>
      </w:pPr>
      <w:r>
        <w:rPr>
          <w:color w:val="231F20"/>
          <w:sz w:val="19"/>
        </w:rPr>
        <w:t>Sánchez Castillo, Sebastián; Figueroa Ramírez, Mª  Verónica.</w:t>
      </w:r>
    </w:p>
    <w:p>
      <w:pPr>
        <w:pStyle w:val="BodyText"/>
        <w:spacing w:before="11"/>
        <w:rPr>
          <w:b w:val="0"/>
        </w:rPr>
      </w:pPr>
    </w:p>
    <w:p>
      <w:pPr>
        <w:pStyle w:val="BodyText"/>
        <w:spacing w:line="244" w:lineRule="auto"/>
        <w:ind w:left="123" w:right="126"/>
        <w:jc w:val="both"/>
      </w:pPr>
      <w:r>
        <w:rPr>
          <w:color w:val="231F20"/>
        </w:rPr>
        <w:t>El otro ausente. Análisis de la representación de los inmigrantes en la prensa española</w:t>
      </w:r>
    </w:p>
    <w:p>
      <w:pPr>
        <w:spacing w:line="244" w:lineRule="auto" w:before="0"/>
        <w:ind w:left="123" w:right="128" w:firstLine="0"/>
        <w:jc w:val="both"/>
        <w:rPr>
          <w:sz w:val="19"/>
        </w:rPr>
      </w:pPr>
      <w:r>
        <w:rPr>
          <w:color w:val="231F20"/>
          <w:sz w:val="19"/>
        </w:rPr>
        <w:t>Franquet dos Santos Silva, Miguel; Real Rodríguez, Elena; López Talavera, María del Mar; Beriain Bañares, Ana</w:t>
      </w:r>
    </w:p>
    <w:p>
      <w:pPr>
        <w:pStyle w:val="BodyText"/>
        <w:spacing w:before="6"/>
        <w:rPr>
          <w:b w:val="0"/>
        </w:rPr>
      </w:pPr>
    </w:p>
    <w:p>
      <w:pPr>
        <w:pStyle w:val="BodyText"/>
        <w:spacing w:line="244" w:lineRule="auto"/>
        <w:ind w:left="123" w:right="126"/>
        <w:jc w:val="both"/>
      </w:pPr>
      <w:r>
        <w:rPr>
          <w:color w:val="231F20"/>
        </w:rPr>
        <w:t>Medios de comunicación árabes. Crecientes casos de islamización mediática tras   la primavera</w:t>
      </w:r>
      <w:r>
        <w:rPr>
          <w:color w:val="231F20"/>
          <w:spacing w:val="32"/>
        </w:rPr>
        <w:t> </w:t>
      </w:r>
      <w:r>
        <w:rPr>
          <w:color w:val="231F20"/>
        </w:rPr>
        <w:t>árabe</w:t>
      </w:r>
    </w:p>
    <w:p>
      <w:pPr>
        <w:spacing w:line="217" w:lineRule="exact" w:before="0"/>
        <w:ind w:left="123" w:right="0" w:firstLine="0"/>
        <w:jc w:val="both"/>
        <w:rPr>
          <w:sz w:val="19"/>
        </w:rPr>
      </w:pPr>
      <w:r>
        <w:rPr>
          <w:color w:val="231F20"/>
          <w:sz w:val="19"/>
        </w:rPr>
        <w:t>Ortega Pérez, Ana María</w:t>
      </w:r>
    </w:p>
    <w:p>
      <w:pPr>
        <w:spacing w:after="0" w:line="217" w:lineRule="exact"/>
        <w:jc w:val="both"/>
        <w:rPr>
          <w:sz w:val="19"/>
        </w:rPr>
        <w:sectPr>
          <w:pgSz w:w="9640" w:h="13600"/>
          <w:pgMar w:top="1280" w:bottom="280" w:left="1340" w:right="1340"/>
        </w:sectPr>
      </w:pPr>
    </w:p>
    <w:p>
      <w:pPr>
        <w:pStyle w:val="BodyText"/>
        <w:spacing w:line="244" w:lineRule="auto" w:before="60"/>
        <w:ind w:left="123" w:right="177"/>
      </w:pPr>
      <w:r>
        <w:rPr>
          <w:color w:val="231F20"/>
        </w:rPr>
        <w:t>La RSC como garante de la accesibilidad de colectivos vulnerables en las radiotelevisiones  públicas europeas</w:t>
      </w:r>
    </w:p>
    <w:p>
      <w:pPr>
        <w:spacing w:line="217" w:lineRule="exact" w:before="0"/>
        <w:ind w:left="123" w:right="0" w:firstLine="0"/>
        <w:jc w:val="both"/>
        <w:rPr>
          <w:sz w:val="19"/>
        </w:rPr>
      </w:pPr>
      <w:r>
        <w:rPr>
          <w:color w:val="231F20"/>
          <w:sz w:val="19"/>
        </w:rPr>
        <w:t>Fernández Lombao, Tania</w:t>
      </w:r>
    </w:p>
    <w:p>
      <w:pPr>
        <w:pStyle w:val="BodyText"/>
        <w:spacing w:before="11"/>
        <w:rPr>
          <w:b w:val="0"/>
        </w:rPr>
      </w:pPr>
    </w:p>
    <w:p>
      <w:pPr>
        <w:pStyle w:val="BodyText"/>
        <w:ind w:left="123"/>
        <w:jc w:val="both"/>
      </w:pPr>
      <w:r>
        <w:rPr>
          <w:color w:val="231F20"/>
        </w:rPr>
        <w:t>La RSC y los medios. El caso de Canal  Extremadura</w:t>
      </w:r>
    </w:p>
    <w:p>
      <w:pPr>
        <w:spacing w:before="2"/>
        <w:ind w:left="123" w:right="0" w:firstLine="0"/>
        <w:jc w:val="both"/>
        <w:rPr>
          <w:sz w:val="19"/>
        </w:rPr>
      </w:pPr>
      <w:r>
        <w:rPr>
          <w:color w:val="231F20"/>
          <w:sz w:val="19"/>
        </w:rPr>
        <w:t>Sanabria Lagar, Cristina; Carrillo Durán, María Victoria; Castillo Díaz,   Ana</w:t>
      </w:r>
    </w:p>
    <w:p>
      <w:pPr>
        <w:pStyle w:val="BodyText"/>
        <w:spacing w:before="11"/>
        <w:rPr>
          <w:b w:val="0"/>
        </w:rPr>
      </w:pPr>
    </w:p>
    <w:p>
      <w:pPr>
        <w:pStyle w:val="BodyText"/>
        <w:ind w:left="123"/>
        <w:jc w:val="both"/>
      </w:pPr>
      <w:r>
        <w:rPr>
          <w:color w:val="231F20"/>
        </w:rPr>
        <w:t>Aborto en España y Brasil: uso político y  mediático</w:t>
      </w:r>
    </w:p>
    <w:p>
      <w:pPr>
        <w:spacing w:before="2"/>
        <w:ind w:left="123" w:right="0" w:firstLine="0"/>
        <w:jc w:val="both"/>
        <w:rPr>
          <w:sz w:val="19"/>
        </w:rPr>
      </w:pPr>
      <w:r>
        <w:rPr>
          <w:color w:val="231F20"/>
          <w:sz w:val="19"/>
        </w:rPr>
        <w:t>Gutiérrez Iglesias, Francisco Hugo; Freitas Praxedes,  Alina</w:t>
      </w:r>
    </w:p>
    <w:p>
      <w:pPr>
        <w:pStyle w:val="BodyText"/>
        <w:spacing w:before="11"/>
        <w:rPr>
          <w:b w:val="0"/>
        </w:rPr>
      </w:pPr>
    </w:p>
    <w:p>
      <w:pPr>
        <w:pStyle w:val="BodyText"/>
        <w:spacing w:line="244" w:lineRule="auto"/>
        <w:ind w:left="123" w:right="177"/>
      </w:pPr>
      <w:r>
        <w:rPr>
          <w:color w:val="231F20"/>
        </w:rPr>
        <w:t>Contribuyendo a la autodeterminación a través de la fotografía participativa en adultos con enfermedad  mental</w:t>
      </w:r>
    </w:p>
    <w:p>
      <w:pPr>
        <w:spacing w:line="217" w:lineRule="exact" w:before="0"/>
        <w:ind w:left="123" w:right="0" w:firstLine="0"/>
        <w:jc w:val="both"/>
        <w:rPr>
          <w:sz w:val="19"/>
        </w:rPr>
      </w:pPr>
      <w:r>
        <w:rPr>
          <w:color w:val="231F20"/>
          <w:sz w:val="19"/>
        </w:rPr>
        <w:t>Rabadán Crespo, Ángel V.</w:t>
      </w:r>
    </w:p>
    <w:p>
      <w:pPr>
        <w:pStyle w:val="BodyText"/>
        <w:spacing w:before="11"/>
        <w:rPr>
          <w:b w:val="0"/>
        </w:rPr>
      </w:pPr>
    </w:p>
    <w:p>
      <w:pPr>
        <w:spacing w:before="0"/>
        <w:ind w:left="123" w:right="0" w:firstLine="0"/>
        <w:jc w:val="both"/>
        <w:rPr>
          <w:b/>
          <w:sz w:val="19"/>
        </w:rPr>
      </w:pPr>
      <w:r>
        <w:rPr>
          <w:b/>
          <w:color w:val="231F20"/>
          <w:sz w:val="19"/>
        </w:rPr>
        <w:t>Angela Merkel en </w:t>
      </w:r>
      <w:r>
        <w:rPr>
          <w:b/>
          <w:i/>
          <w:color w:val="231F20"/>
          <w:sz w:val="19"/>
        </w:rPr>
        <w:t>El País </w:t>
      </w:r>
      <w:r>
        <w:rPr>
          <w:b/>
          <w:color w:val="231F20"/>
          <w:sz w:val="19"/>
        </w:rPr>
        <w:t>y </w:t>
      </w:r>
      <w:r>
        <w:rPr>
          <w:b/>
          <w:i/>
          <w:color w:val="231F20"/>
          <w:sz w:val="19"/>
        </w:rPr>
        <w:t>El Mundo</w:t>
      </w:r>
      <w:r>
        <w:rPr>
          <w:b/>
          <w:color w:val="231F20"/>
          <w:sz w:val="19"/>
        </w:rPr>
        <w:t>: un pluralismo mediático   ficticio</w:t>
      </w:r>
    </w:p>
    <w:p>
      <w:pPr>
        <w:spacing w:before="2"/>
        <w:ind w:left="123" w:right="0" w:firstLine="0"/>
        <w:jc w:val="both"/>
        <w:rPr>
          <w:sz w:val="19"/>
        </w:rPr>
      </w:pPr>
      <w:r>
        <w:rPr>
          <w:color w:val="231F20"/>
          <w:sz w:val="19"/>
        </w:rPr>
        <w:t>Suárez Romero, Miriam</w:t>
      </w:r>
    </w:p>
    <w:p>
      <w:pPr>
        <w:pStyle w:val="BodyText"/>
        <w:spacing w:before="11"/>
        <w:rPr>
          <w:b w:val="0"/>
        </w:rPr>
      </w:pPr>
    </w:p>
    <w:p>
      <w:pPr>
        <w:pStyle w:val="BodyText"/>
        <w:spacing w:line="244" w:lineRule="auto"/>
        <w:ind w:left="123" w:right="128"/>
        <w:jc w:val="both"/>
      </w:pPr>
      <w:r>
        <w:rPr>
          <w:color w:val="231F20"/>
        </w:rPr>
        <w:t>El pluralismo informativo y responsabilidad: la restricción de Vladimir Putin en </w:t>
      </w:r>
      <w:r>
        <w:rPr>
          <w:i/>
          <w:color w:val="231F20"/>
        </w:rPr>
        <w:t>El País</w:t>
      </w:r>
      <w:r>
        <w:rPr>
          <w:color w:val="231F20"/>
        </w:rPr>
        <w:t>. Análisis de las metáforas empleadas para representar las elecciones presidenciales en Rusia en marzo de </w:t>
      </w:r>
      <w:r>
        <w:rPr>
          <w:color w:val="231F20"/>
          <w:spacing w:val="19"/>
        </w:rPr>
        <w:t> </w:t>
      </w:r>
      <w:r>
        <w:rPr>
          <w:color w:val="231F20"/>
        </w:rPr>
        <w:t>2012</w:t>
      </w:r>
    </w:p>
    <w:p>
      <w:pPr>
        <w:spacing w:line="217" w:lineRule="exact" w:before="0"/>
        <w:ind w:left="123" w:right="0" w:firstLine="0"/>
        <w:jc w:val="both"/>
        <w:rPr>
          <w:sz w:val="19"/>
        </w:rPr>
      </w:pPr>
      <w:r>
        <w:rPr>
          <w:color w:val="231F20"/>
          <w:sz w:val="19"/>
        </w:rPr>
        <w:t>Mukhortikova, Tatiana</w:t>
      </w:r>
    </w:p>
    <w:p>
      <w:pPr>
        <w:pStyle w:val="BodyText"/>
        <w:spacing w:before="11"/>
        <w:rPr>
          <w:b w:val="0"/>
        </w:rPr>
      </w:pPr>
    </w:p>
    <w:p>
      <w:pPr>
        <w:pStyle w:val="BodyText"/>
        <w:ind w:left="123"/>
        <w:jc w:val="both"/>
        <w:rPr>
          <w:i/>
        </w:rPr>
      </w:pPr>
      <w:r>
        <w:rPr>
          <w:color w:val="231F20"/>
        </w:rPr>
        <w:t>La mujer como creadora de opinión: el caso de </w:t>
      </w:r>
      <w:r>
        <w:rPr>
          <w:i/>
          <w:color w:val="231F20"/>
        </w:rPr>
        <w:t>El  País</w:t>
      </w:r>
    </w:p>
    <w:p>
      <w:pPr>
        <w:spacing w:before="2"/>
        <w:ind w:left="123" w:right="0" w:firstLine="0"/>
        <w:jc w:val="both"/>
        <w:rPr>
          <w:sz w:val="19"/>
        </w:rPr>
      </w:pPr>
      <w:r>
        <w:rPr>
          <w:color w:val="231F20"/>
          <w:sz w:val="19"/>
        </w:rPr>
        <w:t>Ortega Pérez, Ana María; Suárez Romero,  Miriam</w:t>
      </w:r>
    </w:p>
    <w:p>
      <w:pPr>
        <w:pStyle w:val="BodyText"/>
        <w:spacing w:before="11"/>
        <w:rPr>
          <w:b w:val="0"/>
        </w:rPr>
      </w:pPr>
    </w:p>
    <w:p>
      <w:pPr>
        <w:spacing w:line="244" w:lineRule="auto" w:before="0"/>
        <w:ind w:left="123" w:right="177" w:firstLine="0"/>
        <w:jc w:val="left"/>
        <w:rPr>
          <w:b/>
          <w:i/>
          <w:sz w:val="19"/>
        </w:rPr>
      </w:pPr>
      <w:r>
        <w:rPr>
          <w:b/>
          <w:color w:val="231F20"/>
          <w:sz w:val="19"/>
        </w:rPr>
        <w:t>Machismo televisivo: insultos hacia la mujer en el programa de </w:t>
      </w:r>
      <w:r>
        <w:rPr>
          <w:b/>
          <w:i/>
          <w:color w:val="231F20"/>
          <w:sz w:val="19"/>
        </w:rPr>
        <w:t>Mujeres  y  </w:t>
      </w:r>
      <w:r>
        <w:rPr>
          <w:b/>
          <w:i/>
          <w:color w:val="231F20"/>
          <w:sz w:val="19"/>
        </w:rPr>
        <w:t>hombres y viceversa </w:t>
      </w:r>
      <w:r>
        <w:rPr>
          <w:b/>
          <w:color w:val="231F20"/>
          <w:sz w:val="19"/>
        </w:rPr>
        <w:t>de </w:t>
      </w:r>
      <w:r>
        <w:rPr>
          <w:b/>
          <w:color w:val="231F20"/>
          <w:spacing w:val="3"/>
          <w:sz w:val="19"/>
        </w:rPr>
        <w:t> </w:t>
      </w:r>
      <w:r>
        <w:rPr>
          <w:b/>
          <w:i/>
          <w:color w:val="231F20"/>
          <w:sz w:val="19"/>
        </w:rPr>
        <w:t>Telecinco</w:t>
      </w:r>
    </w:p>
    <w:p>
      <w:pPr>
        <w:spacing w:line="217" w:lineRule="exact" w:before="0"/>
        <w:ind w:left="123" w:right="0" w:firstLine="0"/>
        <w:jc w:val="both"/>
        <w:rPr>
          <w:sz w:val="19"/>
        </w:rPr>
      </w:pPr>
      <w:r>
        <w:rPr>
          <w:color w:val="231F20"/>
          <w:sz w:val="19"/>
        </w:rPr>
        <w:t>Irigoyen García, Carmen</w:t>
      </w:r>
    </w:p>
    <w:p>
      <w:pPr>
        <w:pStyle w:val="BodyText"/>
        <w:spacing w:before="11"/>
        <w:rPr>
          <w:b w:val="0"/>
        </w:rPr>
      </w:pPr>
    </w:p>
    <w:p>
      <w:pPr>
        <w:pStyle w:val="BodyText"/>
        <w:spacing w:line="244" w:lineRule="auto"/>
        <w:ind w:left="123" w:right="177"/>
      </w:pPr>
      <w:r>
        <w:rPr>
          <w:color w:val="231F20"/>
        </w:rPr>
        <w:t>La representación de género en la publicidad de juguetes a través de Facebook. Análisis de la campaña de navidad  2014</w:t>
      </w:r>
    </w:p>
    <w:p>
      <w:pPr>
        <w:spacing w:line="217" w:lineRule="exact" w:before="0"/>
        <w:ind w:left="123" w:right="0" w:firstLine="0"/>
        <w:jc w:val="both"/>
        <w:rPr>
          <w:sz w:val="19"/>
        </w:rPr>
      </w:pPr>
      <w:r>
        <w:rPr>
          <w:color w:val="231F20"/>
          <w:sz w:val="19"/>
        </w:rPr>
        <w:t>Díaz-Campo, Jesús; Fernández-Gómez,  Erika</w:t>
      </w:r>
    </w:p>
    <w:p>
      <w:pPr>
        <w:pStyle w:val="BodyText"/>
        <w:spacing w:before="11"/>
        <w:rPr>
          <w:b w:val="0"/>
        </w:rPr>
      </w:pPr>
    </w:p>
    <w:p>
      <w:pPr>
        <w:pStyle w:val="BodyText"/>
        <w:spacing w:line="244" w:lineRule="auto"/>
        <w:ind w:left="123" w:right="177"/>
      </w:pPr>
      <w:r>
        <w:rPr>
          <w:color w:val="231F20"/>
        </w:rPr>
        <w:t>¿A quién hablo y para qué? Hacia una ética en la identificación de  fines  y  gestores de cuentas de twitter en organizaciones y líderes  </w:t>
      </w:r>
      <w:r>
        <w:rPr>
          <w:color w:val="231F20"/>
          <w:spacing w:val="5"/>
        </w:rPr>
        <w:t> </w:t>
      </w:r>
      <w:r>
        <w:rPr>
          <w:color w:val="231F20"/>
        </w:rPr>
        <w:t>políticos</w:t>
      </w:r>
    </w:p>
    <w:p>
      <w:pPr>
        <w:spacing w:line="217" w:lineRule="exact" w:before="0"/>
        <w:ind w:left="123" w:right="0" w:firstLine="0"/>
        <w:jc w:val="both"/>
        <w:rPr>
          <w:sz w:val="19"/>
        </w:rPr>
      </w:pPr>
      <w:r>
        <w:rPr>
          <w:color w:val="231F20"/>
          <w:sz w:val="19"/>
        </w:rPr>
        <w:t>Ubeda García, Joan Enric</w:t>
      </w:r>
    </w:p>
    <w:p>
      <w:pPr>
        <w:pStyle w:val="BodyText"/>
        <w:spacing w:before="11"/>
        <w:rPr>
          <w:b w:val="0"/>
        </w:rPr>
      </w:pPr>
    </w:p>
    <w:p>
      <w:pPr>
        <w:pStyle w:val="BodyText"/>
        <w:spacing w:line="244" w:lineRule="auto"/>
        <w:ind w:left="123" w:right="177"/>
      </w:pPr>
      <w:r>
        <w:rPr>
          <w:color w:val="231F20"/>
        </w:rPr>
        <w:t>Margen de actuación de </w:t>
      </w:r>
      <w:r>
        <w:rPr>
          <w:i/>
          <w:color w:val="231F20"/>
        </w:rPr>
        <w:t>Facebook </w:t>
      </w:r>
      <w:r>
        <w:rPr>
          <w:color w:val="231F20"/>
        </w:rPr>
        <w:t>y </w:t>
      </w:r>
      <w:r>
        <w:rPr>
          <w:i/>
          <w:color w:val="231F20"/>
        </w:rPr>
        <w:t>Twitter </w:t>
      </w:r>
      <w:r>
        <w:rPr>
          <w:color w:val="231F20"/>
        </w:rPr>
        <w:t>para censurar.  Políticas  de privacidad y derechos del usuario como límite de la libertad de  </w:t>
      </w:r>
      <w:r>
        <w:rPr>
          <w:color w:val="231F20"/>
          <w:spacing w:val="23"/>
        </w:rPr>
        <w:t> </w:t>
      </w:r>
      <w:r>
        <w:rPr>
          <w:color w:val="231F20"/>
        </w:rPr>
        <w:t>expresión.</w:t>
      </w:r>
    </w:p>
    <w:p>
      <w:pPr>
        <w:spacing w:line="217" w:lineRule="exact" w:before="0"/>
        <w:ind w:left="123" w:right="0" w:firstLine="0"/>
        <w:jc w:val="both"/>
        <w:rPr>
          <w:sz w:val="19"/>
        </w:rPr>
      </w:pPr>
      <w:r>
        <w:rPr>
          <w:color w:val="231F20"/>
          <w:sz w:val="19"/>
        </w:rPr>
        <w:t>Cano-Orón, Lorena</w:t>
      </w:r>
    </w:p>
    <w:p>
      <w:pPr>
        <w:pStyle w:val="BodyText"/>
        <w:spacing w:before="11"/>
        <w:rPr>
          <w:b w:val="0"/>
        </w:rPr>
      </w:pPr>
    </w:p>
    <w:p>
      <w:pPr>
        <w:pStyle w:val="BodyText"/>
        <w:ind w:left="123"/>
        <w:jc w:val="both"/>
      </w:pPr>
      <w:r>
        <w:rPr>
          <w:color w:val="231F20"/>
        </w:rPr>
        <w:t>El usuario prosumidor en la promoción social de noticias: estudio etnográfico en</w:t>
      </w:r>
    </w:p>
    <w:p>
      <w:pPr>
        <w:spacing w:before="4"/>
        <w:ind w:left="123" w:right="0" w:firstLine="0"/>
        <w:jc w:val="both"/>
        <w:rPr>
          <w:b/>
          <w:i/>
          <w:sz w:val="19"/>
        </w:rPr>
      </w:pPr>
      <w:r>
        <w:rPr>
          <w:b/>
          <w:i/>
          <w:color w:val="231F20"/>
          <w:sz w:val="19"/>
        </w:rPr>
        <w:t>Menéame</w:t>
      </w:r>
    </w:p>
    <w:p>
      <w:pPr>
        <w:spacing w:before="2"/>
        <w:ind w:left="123" w:right="0" w:firstLine="0"/>
        <w:jc w:val="both"/>
        <w:rPr>
          <w:sz w:val="19"/>
        </w:rPr>
      </w:pPr>
      <w:r>
        <w:rPr>
          <w:color w:val="231F20"/>
          <w:sz w:val="19"/>
        </w:rPr>
        <w:t>Marín, Alba</w:t>
      </w:r>
    </w:p>
    <w:p>
      <w:pPr>
        <w:pStyle w:val="BodyText"/>
        <w:spacing w:before="11"/>
        <w:rPr>
          <w:b w:val="0"/>
        </w:rPr>
      </w:pPr>
    </w:p>
    <w:p>
      <w:pPr>
        <w:pStyle w:val="BodyText"/>
        <w:ind w:left="123"/>
        <w:jc w:val="both"/>
      </w:pPr>
      <w:r>
        <w:rPr>
          <w:color w:val="231F20"/>
        </w:rPr>
        <w:t>Una reflexión sobre la responsabilidad de la ley argentina   digital</w:t>
      </w:r>
    </w:p>
    <w:p>
      <w:pPr>
        <w:spacing w:before="2"/>
        <w:ind w:left="123" w:right="0" w:firstLine="0"/>
        <w:jc w:val="both"/>
        <w:rPr>
          <w:sz w:val="19"/>
        </w:rPr>
      </w:pPr>
      <w:r>
        <w:rPr>
          <w:color w:val="231F20"/>
          <w:sz w:val="19"/>
        </w:rPr>
        <w:t>Bocco Nieto, María Eva</w:t>
      </w:r>
    </w:p>
    <w:p>
      <w:pPr>
        <w:spacing w:after="0"/>
        <w:jc w:val="both"/>
        <w:rPr>
          <w:sz w:val="19"/>
        </w:rPr>
        <w:sectPr>
          <w:pgSz w:w="9640" w:h="13600"/>
          <w:pgMar w:top="1100" w:bottom="280" w:left="1340" w:right="1340"/>
        </w:sectPr>
      </w:pPr>
    </w:p>
    <w:p>
      <w:pPr>
        <w:pStyle w:val="BodyText"/>
        <w:spacing w:line="244" w:lineRule="auto" w:before="60"/>
        <w:ind w:left="123" w:right="127"/>
      </w:pPr>
      <w:r>
        <w:rPr>
          <w:color w:val="231F20"/>
        </w:rPr>
        <w:t>Propuesta de análisis de contenido para textos editoriales siguiendo el modelo empírico-periodístico. Aplicación práctica a la cobertura del   11-M.</w:t>
      </w:r>
    </w:p>
    <w:p>
      <w:pPr>
        <w:spacing w:line="217" w:lineRule="exact" w:before="0"/>
        <w:ind w:left="123" w:right="0" w:firstLine="0"/>
        <w:jc w:val="both"/>
        <w:rPr>
          <w:sz w:val="19"/>
        </w:rPr>
      </w:pPr>
      <w:r>
        <w:rPr>
          <w:color w:val="231F20"/>
          <w:sz w:val="19"/>
        </w:rPr>
        <w:t>Nogales Bocio, Antonia  Isabel</w:t>
      </w:r>
    </w:p>
    <w:p>
      <w:pPr>
        <w:pStyle w:val="BodyText"/>
        <w:spacing w:before="11"/>
        <w:rPr>
          <w:b w:val="0"/>
        </w:rPr>
      </w:pPr>
    </w:p>
    <w:p>
      <w:pPr>
        <w:pStyle w:val="BodyText"/>
        <w:spacing w:line="244" w:lineRule="auto"/>
        <w:ind w:left="123" w:right="287"/>
      </w:pPr>
      <w:r>
        <w:rPr>
          <w:color w:val="231F20"/>
        </w:rPr>
        <w:t>El uso de la identidad y la memoria histórica en la comunicación: estudio del     caso de los discursos de Artur Mas publicados por la Generalitat en  </w:t>
      </w:r>
      <w:r>
        <w:rPr>
          <w:color w:val="231F20"/>
          <w:spacing w:val="23"/>
        </w:rPr>
        <w:t> </w:t>
      </w:r>
      <w:r>
        <w:rPr>
          <w:color w:val="231F20"/>
        </w:rPr>
        <w:t>2014.</w:t>
      </w:r>
    </w:p>
    <w:p>
      <w:pPr>
        <w:spacing w:line="217" w:lineRule="exact" w:before="0"/>
        <w:ind w:left="123" w:right="0" w:firstLine="0"/>
        <w:jc w:val="both"/>
        <w:rPr>
          <w:sz w:val="19"/>
        </w:rPr>
      </w:pPr>
      <w:r>
        <w:rPr>
          <w:color w:val="231F20"/>
          <w:sz w:val="19"/>
        </w:rPr>
        <w:t>González Jiménez, M. Mar</w:t>
      </w:r>
    </w:p>
    <w:p>
      <w:pPr>
        <w:pStyle w:val="BodyText"/>
        <w:spacing w:before="11"/>
        <w:rPr>
          <w:b w:val="0"/>
        </w:rPr>
      </w:pPr>
    </w:p>
    <w:p>
      <w:pPr>
        <w:pStyle w:val="BodyText"/>
        <w:spacing w:line="244" w:lineRule="auto"/>
        <w:ind w:left="123" w:right="177"/>
      </w:pPr>
      <w:r>
        <w:rPr>
          <w:color w:val="231F20"/>
        </w:rPr>
        <w:t>La necesidad de la educación en derechos humanos en el curriculum de las  escuelas de periodismo en las universidades </w:t>
      </w:r>
      <w:r>
        <w:rPr>
          <w:color w:val="231F20"/>
          <w:spacing w:val="37"/>
        </w:rPr>
        <w:t> </w:t>
      </w:r>
      <w:r>
        <w:rPr>
          <w:color w:val="231F20"/>
        </w:rPr>
        <w:t>chilenas</w:t>
      </w:r>
    </w:p>
    <w:p>
      <w:pPr>
        <w:spacing w:line="217" w:lineRule="exact" w:before="0"/>
        <w:ind w:left="123" w:right="0" w:firstLine="0"/>
        <w:jc w:val="both"/>
        <w:rPr>
          <w:sz w:val="19"/>
        </w:rPr>
      </w:pPr>
      <w:r>
        <w:rPr>
          <w:color w:val="231F20"/>
          <w:sz w:val="19"/>
        </w:rPr>
        <w:t>Osiadacz, Rastelli, Aldo; Cocq, Muñoz,  Patricia</w:t>
      </w:r>
    </w:p>
    <w:p>
      <w:pPr>
        <w:pStyle w:val="BodyText"/>
        <w:spacing w:before="11"/>
        <w:rPr>
          <w:b w:val="0"/>
        </w:rPr>
      </w:pPr>
    </w:p>
    <w:p>
      <w:pPr>
        <w:pStyle w:val="BodyText"/>
        <w:spacing w:line="244" w:lineRule="auto"/>
        <w:ind w:left="123" w:right="126"/>
        <w:jc w:val="both"/>
      </w:pPr>
      <w:r>
        <w:rPr>
          <w:color w:val="231F20"/>
        </w:rPr>
        <w:t>El desprecio y falta de responsabilidad del Estado Mexicano mostrado en la Reforma de Telecomunicaciones y Radiodifusión 2013 por las audiencias de las radios comunitarias e indígenas de  México</w:t>
      </w:r>
    </w:p>
    <w:p>
      <w:pPr>
        <w:spacing w:line="217" w:lineRule="exact" w:before="0"/>
        <w:ind w:left="123" w:right="0" w:firstLine="0"/>
        <w:jc w:val="both"/>
        <w:rPr>
          <w:sz w:val="19"/>
        </w:rPr>
      </w:pPr>
      <w:r>
        <w:rPr>
          <w:color w:val="231F20"/>
          <w:sz w:val="19"/>
        </w:rPr>
        <w:t>Graciela Martínez Matías</w:t>
      </w:r>
    </w:p>
    <w:p>
      <w:pPr>
        <w:pStyle w:val="BodyText"/>
        <w:spacing w:before="11"/>
        <w:rPr>
          <w:b w:val="0"/>
        </w:rPr>
      </w:pPr>
    </w:p>
    <w:p>
      <w:pPr>
        <w:pStyle w:val="BodyText"/>
        <w:spacing w:line="244" w:lineRule="auto"/>
        <w:ind w:left="123" w:right="177"/>
      </w:pPr>
      <w:r>
        <w:rPr>
          <w:color w:val="231F20"/>
        </w:rPr>
        <w:t>La responsabilidad de las universidades públicas de las mexicanas en sus estrategias de comunicación</w:t>
      </w:r>
    </w:p>
    <w:p>
      <w:pPr>
        <w:spacing w:line="217" w:lineRule="exact" w:before="0"/>
        <w:ind w:left="123" w:right="0" w:firstLine="0"/>
        <w:jc w:val="both"/>
        <w:rPr>
          <w:sz w:val="19"/>
        </w:rPr>
      </w:pPr>
      <w:r>
        <w:rPr>
          <w:color w:val="231F20"/>
          <w:sz w:val="19"/>
        </w:rPr>
        <w:t>Corona León; Héctor Enrique</w:t>
      </w:r>
    </w:p>
    <w:p>
      <w:pPr>
        <w:pStyle w:val="BodyText"/>
        <w:spacing w:before="11"/>
        <w:rPr>
          <w:b w:val="0"/>
        </w:rPr>
      </w:pPr>
    </w:p>
    <w:p>
      <w:pPr>
        <w:pStyle w:val="BodyText"/>
        <w:ind w:left="123"/>
        <w:jc w:val="both"/>
        <w:rPr>
          <w:i/>
        </w:rPr>
      </w:pPr>
      <w:r>
        <w:rPr>
          <w:color w:val="231F20"/>
        </w:rPr>
        <w:t>La moralización en el anime  </w:t>
      </w:r>
      <w:r>
        <w:rPr>
          <w:i/>
          <w:color w:val="231F20"/>
        </w:rPr>
        <w:t>Naruto</w:t>
      </w:r>
    </w:p>
    <w:p>
      <w:pPr>
        <w:spacing w:before="2"/>
        <w:ind w:left="123" w:right="0" w:firstLine="0"/>
        <w:jc w:val="both"/>
        <w:rPr>
          <w:sz w:val="19"/>
        </w:rPr>
      </w:pPr>
      <w:r>
        <w:rPr>
          <w:color w:val="231F20"/>
          <w:sz w:val="19"/>
        </w:rPr>
        <w:t>Barba González, Rosario</w:t>
      </w:r>
    </w:p>
    <w:p>
      <w:pPr>
        <w:pStyle w:val="BodyText"/>
        <w:spacing w:before="11"/>
        <w:rPr>
          <w:b w:val="0"/>
        </w:rPr>
      </w:pPr>
    </w:p>
    <w:p>
      <w:pPr>
        <w:pStyle w:val="BodyText"/>
        <w:spacing w:line="244" w:lineRule="auto"/>
        <w:ind w:left="123" w:right="177"/>
      </w:pPr>
      <w:r>
        <w:rPr>
          <w:color w:val="231F20"/>
        </w:rPr>
        <w:t>Remixando a midia: a produção colaborativa nos noticiários de tv do brasil sob a ótica da recirculação midiática</w:t>
      </w:r>
    </w:p>
    <w:p>
      <w:pPr>
        <w:spacing w:line="216" w:lineRule="exact" w:before="0"/>
        <w:ind w:left="123" w:right="0" w:firstLine="0"/>
        <w:jc w:val="both"/>
        <w:rPr>
          <w:sz w:val="19"/>
        </w:rPr>
      </w:pPr>
      <w:r>
        <w:rPr>
          <w:color w:val="231F20"/>
          <w:sz w:val="19"/>
        </w:rPr>
        <w:t>Mata Alves Pereira, Jhonatan; Perleberg Blank,  Raquel</w:t>
      </w:r>
    </w:p>
    <w:p>
      <w:pPr>
        <w:pStyle w:val="BodyText"/>
        <w:spacing w:before="11"/>
        <w:rPr>
          <w:b w:val="0"/>
        </w:rPr>
      </w:pPr>
    </w:p>
    <w:p>
      <w:pPr>
        <w:pStyle w:val="BodyText"/>
        <w:ind w:left="123"/>
        <w:jc w:val="both"/>
      </w:pPr>
      <w:r>
        <w:rPr>
          <w:color w:val="231F20"/>
        </w:rPr>
        <w:t>Connecting media, generation and  memory</w:t>
      </w:r>
    </w:p>
    <w:p>
      <w:pPr>
        <w:spacing w:before="2"/>
        <w:ind w:left="123" w:right="0" w:firstLine="0"/>
        <w:jc w:val="both"/>
        <w:rPr>
          <w:sz w:val="19"/>
        </w:rPr>
      </w:pPr>
      <w:r>
        <w:rPr>
          <w:color w:val="231F20"/>
          <w:sz w:val="19"/>
        </w:rPr>
        <w:t>Azevedo, Celiana</w:t>
      </w:r>
    </w:p>
    <w:p>
      <w:pPr>
        <w:pStyle w:val="BodyText"/>
        <w:spacing w:before="11"/>
        <w:rPr>
          <w:b w:val="0"/>
        </w:rPr>
      </w:pPr>
    </w:p>
    <w:p>
      <w:pPr>
        <w:pStyle w:val="BodyText"/>
        <w:ind w:left="123"/>
        <w:jc w:val="both"/>
      </w:pPr>
      <w:r>
        <w:rPr>
          <w:color w:val="231F20"/>
        </w:rPr>
        <w:t>Ethical responsibility of  media</w:t>
      </w:r>
    </w:p>
    <w:p>
      <w:pPr>
        <w:spacing w:before="2"/>
        <w:ind w:left="123" w:right="0" w:firstLine="0"/>
        <w:jc w:val="both"/>
        <w:rPr>
          <w:sz w:val="19"/>
        </w:rPr>
      </w:pPr>
      <w:r>
        <w:rPr>
          <w:color w:val="231F20"/>
          <w:sz w:val="19"/>
        </w:rPr>
        <w:t>Dudacek Oto</w:t>
      </w:r>
    </w:p>
    <w:p>
      <w:pPr>
        <w:pStyle w:val="BodyText"/>
        <w:spacing w:before="11"/>
        <w:rPr>
          <w:b w:val="0"/>
        </w:rPr>
      </w:pPr>
    </w:p>
    <w:p>
      <w:pPr>
        <w:pStyle w:val="BodyText"/>
        <w:ind w:left="123"/>
        <w:jc w:val="both"/>
      </w:pPr>
      <w:r>
        <w:rPr>
          <w:color w:val="231F20"/>
        </w:rPr>
        <w:t>"We Must Talk!"</w:t>
      </w:r>
    </w:p>
    <w:p>
      <w:pPr>
        <w:pStyle w:val="BodyText"/>
        <w:spacing w:before="4"/>
        <w:ind w:left="123"/>
        <w:jc w:val="both"/>
      </w:pPr>
      <w:r>
        <w:rPr>
          <w:color w:val="231F20"/>
        </w:rPr>
        <w:t>Ethical Discourses as Good Practice in Informatics and Media   Education</w:t>
      </w:r>
    </w:p>
    <w:p>
      <w:pPr>
        <w:spacing w:before="2"/>
        <w:ind w:left="123" w:right="0" w:firstLine="0"/>
        <w:jc w:val="both"/>
        <w:rPr>
          <w:sz w:val="19"/>
        </w:rPr>
      </w:pPr>
      <w:r>
        <w:rPr>
          <w:color w:val="231F20"/>
          <w:sz w:val="19"/>
        </w:rPr>
        <w:t>Wolfgang Coy</w:t>
      </w:r>
    </w:p>
    <w:p>
      <w:pPr>
        <w:pStyle w:val="BodyText"/>
        <w:spacing w:before="11"/>
        <w:rPr>
          <w:b w:val="0"/>
        </w:rPr>
      </w:pPr>
    </w:p>
    <w:p>
      <w:pPr>
        <w:pStyle w:val="BodyText"/>
        <w:ind w:left="123"/>
        <w:jc w:val="both"/>
      </w:pPr>
      <w:r>
        <w:rPr>
          <w:color w:val="231F20"/>
        </w:rPr>
        <w:t>The ethics of advertising? Let the disadvantaged children speak for   themselves</w:t>
      </w:r>
    </w:p>
    <w:p>
      <w:pPr>
        <w:spacing w:before="2"/>
        <w:ind w:left="123" w:right="0" w:firstLine="0"/>
        <w:jc w:val="both"/>
        <w:rPr>
          <w:sz w:val="19"/>
        </w:rPr>
      </w:pPr>
      <w:r>
        <w:rPr>
          <w:color w:val="231F20"/>
          <w:sz w:val="19"/>
        </w:rPr>
        <w:t>Lissens, Silke; Bauwens,  Joke</w:t>
      </w:r>
    </w:p>
    <w:p>
      <w:pPr>
        <w:spacing w:after="0"/>
        <w:jc w:val="both"/>
        <w:rPr>
          <w:sz w:val="19"/>
        </w:rPr>
        <w:sectPr>
          <w:pgSz w:w="9640" w:h="13600"/>
          <w:pgMar w:top="1100" w:bottom="280" w:left="1340" w:right="1340"/>
        </w:sectPr>
      </w:pPr>
    </w:p>
    <w:p>
      <w:pPr>
        <w:pStyle w:val="BodyText"/>
        <w:rPr>
          <w:b w:val="0"/>
          <w:sz w:val="20"/>
        </w:rPr>
      </w:pPr>
    </w:p>
    <w:p>
      <w:pPr>
        <w:pStyle w:val="BodyText"/>
        <w:rPr>
          <w:b w:val="0"/>
          <w:sz w:val="20"/>
        </w:rPr>
      </w:pPr>
    </w:p>
    <w:p>
      <w:pPr>
        <w:pStyle w:val="BodyText"/>
        <w:rPr>
          <w:b w:val="0"/>
          <w:sz w:val="20"/>
        </w:rPr>
      </w:pPr>
    </w:p>
    <w:p>
      <w:pPr>
        <w:pStyle w:val="BodyText"/>
        <w:spacing w:before="8"/>
        <w:rPr>
          <w:b w:val="0"/>
          <w:sz w:val="22"/>
        </w:rPr>
      </w:pPr>
    </w:p>
    <w:p>
      <w:pPr>
        <w:spacing w:line="192" w:lineRule="exact" w:before="70"/>
        <w:ind w:left="113" w:right="111" w:firstLine="340"/>
        <w:jc w:val="both"/>
        <w:rPr>
          <w:rFonts w:ascii="Palatino Linotype" w:hAnsi="Palatino Linotype"/>
          <w:sz w:val="16"/>
        </w:rPr>
      </w:pPr>
      <w:r>
        <w:rPr>
          <w:rFonts w:ascii="Palatino Linotype" w:hAnsi="Palatino Linotype"/>
          <w:spacing w:val="-7"/>
          <w:sz w:val="16"/>
        </w:rPr>
        <w:t>Todos</w:t>
      </w:r>
      <w:r>
        <w:rPr>
          <w:rFonts w:ascii="Palatino Linotype" w:hAnsi="Palatino Linotype"/>
          <w:spacing w:val="-6"/>
          <w:sz w:val="16"/>
        </w:rPr>
        <w:t> </w:t>
      </w:r>
      <w:r>
        <w:rPr>
          <w:rFonts w:ascii="Palatino Linotype" w:hAnsi="Palatino Linotype"/>
          <w:sz w:val="16"/>
        </w:rPr>
        <w:t>los</w:t>
      </w:r>
      <w:r>
        <w:rPr>
          <w:rFonts w:ascii="Palatino Linotype" w:hAnsi="Palatino Linotype"/>
          <w:spacing w:val="-6"/>
          <w:sz w:val="16"/>
        </w:rPr>
        <w:t> </w:t>
      </w:r>
      <w:r>
        <w:rPr>
          <w:rFonts w:ascii="Palatino Linotype" w:hAnsi="Palatino Linotype"/>
          <w:sz w:val="16"/>
        </w:rPr>
        <w:t>derechos</w:t>
      </w:r>
      <w:r>
        <w:rPr>
          <w:rFonts w:ascii="Palatino Linotype" w:hAnsi="Palatino Linotype"/>
          <w:spacing w:val="-6"/>
          <w:sz w:val="16"/>
        </w:rPr>
        <w:t> </w:t>
      </w:r>
      <w:r>
        <w:rPr>
          <w:rFonts w:ascii="Palatino Linotype" w:hAnsi="Palatino Linotype"/>
          <w:sz w:val="16"/>
        </w:rPr>
        <w:t>reservados.</w:t>
      </w:r>
      <w:r>
        <w:rPr>
          <w:rFonts w:ascii="Palatino Linotype" w:hAnsi="Palatino Linotype"/>
          <w:spacing w:val="-7"/>
          <w:sz w:val="16"/>
        </w:rPr>
        <w:t> </w:t>
      </w:r>
      <w:r>
        <w:rPr>
          <w:rFonts w:ascii="Palatino Linotype" w:hAnsi="Palatino Linotype"/>
          <w:sz w:val="16"/>
        </w:rPr>
        <w:t>Ni</w:t>
      </w:r>
      <w:r>
        <w:rPr>
          <w:rFonts w:ascii="Palatino Linotype" w:hAnsi="Palatino Linotype"/>
          <w:spacing w:val="-6"/>
          <w:sz w:val="16"/>
        </w:rPr>
        <w:t> </w:t>
      </w:r>
      <w:r>
        <w:rPr>
          <w:rFonts w:ascii="Palatino Linotype" w:hAnsi="Palatino Linotype"/>
          <w:sz w:val="16"/>
        </w:rPr>
        <w:t>la</w:t>
      </w:r>
      <w:r>
        <w:rPr>
          <w:rFonts w:ascii="Palatino Linotype" w:hAnsi="Palatino Linotype"/>
          <w:spacing w:val="-6"/>
          <w:sz w:val="16"/>
        </w:rPr>
        <w:t> </w:t>
      </w:r>
      <w:r>
        <w:rPr>
          <w:rFonts w:ascii="Palatino Linotype" w:hAnsi="Palatino Linotype"/>
          <w:sz w:val="16"/>
        </w:rPr>
        <w:t>totalidad</w:t>
      </w:r>
      <w:r>
        <w:rPr>
          <w:rFonts w:ascii="Palatino Linotype" w:hAnsi="Palatino Linotype"/>
          <w:spacing w:val="-6"/>
          <w:sz w:val="16"/>
        </w:rPr>
        <w:t> </w:t>
      </w:r>
      <w:r>
        <w:rPr>
          <w:rFonts w:ascii="Palatino Linotype" w:hAnsi="Palatino Linotype"/>
          <w:sz w:val="16"/>
        </w:rPr>
        <w:t>ni</w:t>
      </w:r>
      <w:r>
        <w:rPr>
          <w:rFonts w:ascii="Palatino Linotype" w:hAnsi="Palatino Linotype"/>
          <w:spacing w:val="-6"/>
          <w:sz w:val="16"/>
        </w:rPr>
        <w:t> </w:t>
      </w:r>
      <w:r>
        <w:rPr>
          <w:rFonts w:ascii="Palatino Linotype" w:hAnsi="Palatino Linotype"/>
          <w:sz w:val="16"/>
        </w:rPr>
        <w:t>parte</w:t>
      </w:r>
      <w:r>
        <w:rPr>
          <w:rFonts w:ascii="Palatino Linotype" w:hAnsi="Palatino Linotype"/>
          <w:spacing w:val="-6"/>
          <w:sz w:val="16"/>
        </w:rPr>
        <w:t> </w:t>
      </w:r>
      <w:r>
        <w:rPr>
          <w:rFonts w:ascii="Palatino Linotype" w:hAnsi="Palatino Linotype"/>
          <w:sz w:val="16"/>
        </w:rPr>
        <w:t>de</w:t>
      </w:r>
      <w:r>
        <w:rPr>
          <w:rFonts w:ascii="Palatino Linotype" w:hAnsi="Palatino Linotype"/>
          <w:spacing w:val="-6"/>
          <w:sz w:val="16"/>
        </w:rPr>
        <w:t> </w:t>
      </w:r>
      <w:r>
        <w:rPr>
          <w:rFonts w:ascii="Palatino Linotype" w:hAnsi="Palatino Linotype"/>
          <w:sz w:val="16"/>
        </w:rPr>
        <w:t>este</w:t>
      </w:r>
      <w:r>
        <w:rPr>
          <w:rFonts w:ascii="Palatino Linotype" w:hAnsi="Palatino Linotype"/>
          <w:spacing w:val="-6"/>
          <w:sz w:val="16"/>
        </w:rPr>
        <w:t> </w:t>
      </w:r>
      <w:r>
        <w:rPr>
          <w:rFonts w:ascii="Palatino Linotype" w:hAnsi="Palatino Linotype"/>
          <w:sz w:val="16"/>
        </w:rPr>
        <w:t>libro,</w:t>
      </w:r>
      <w:r>
        <w:rPr>
          <w:rFonts w:ascii="Palatino Linotype" w:hAnsi="Palatino Linotype"/>
          <w:spacing w:val="-6"/>
          <w:sz w:val="16"/>
        </w:rPr>
        <w:t> </w:t>
      </w:r>
      <w:r>
        <w:rPr>
          <w:rFonts w:ascii="Palatino Linotype" w:hAnsi="Palatino Linotype"/>
          <w:sz w:val="16"/>
        </w:rPr>
        <w:t>incluido</w:t>
      </w:r>
      <w:r>
        <w:rPr>
          <w:rFonts w:ascii="Palatino Linotype" w:hAnsi="Palatino Linotype"/>
          <w:spacing w:val="-6"/>
          <w:sz w:val="16"/>
        </w:rPr>
        <w:t> </w:t>
      </w:r>
      <w:r>
        <w:rPr>
          <w:rFonts w:ascii="Palatino Linotype" w:hAnsi="Palatino Linotype"/>
          <w:sz w:val="16"/>
        </w:rPr>
        <w:t>el</w:t>
      </w:r>
      <w:r>
        <w:rPr>
          <w:rFonts w:ascii="Palatino Linotype" w:hAnsi="Palatino Linotype"/>
          <w:spacing w:val="-6"/>
          <w:sz w:val="16"/>
        </w:rPr>
        <w:t> </w:t>
      </w:r>
      <w:r>
        <w:rPr>
          <w:rFonts w:ascii="Palatino Linotype" w:hAnsi="Palatino Linotype"/>
          <w:sz w:val="16"/>
        </w:rPr>
        <w:t>diseño</w:t>
      </w:r>
      <w:r>
        <w:rPr>
          <w:rFonts w:ascii="Palatino Linotype" w:hAnsi="Palatino Linotype"/>
          <w:spacing w:val="-6"/>
          <w:sz w:val="16"/>
        </w:rPr>
        <w:t> </w:t>
      </w:r>
      <w:r>
        <w:rPr>
          <w:rFonts w:ascii="Palatino Linotype" w:hAnsi="Palatino Linotype"/>
          <w:sz w:val="16"/>
        </w:rPr>
        <w:t>de</w:t>
      </w:r>
      <w:r>
        <w:rPr>
          <w:rFonts w:ascii="Palatino Linotype" w:hAnsi="Palatino Linotype"/>
          <w:spacing w:val="-6"/>
          <w:sz w:val="16"/>
        </w:rPr>
        <w:t> </w:t>
      </w:r>
      <w:r>
        <w:rPr>
          <w:rFonts w:ascii="Palatino Linotype" w:hAnsi="Palatino Linotype"/>
          <w:sz w:val="16"/>
        </w:rPr>
        <w:t>la</w:t>
      </w:r>
      <w:r>
        <w:rPr>
          <w:rFonts w:ascii="Palatino Linotype" w:hAnsi="Palatino Linotype"/>
          <w:spacing w:val="-6"/>
          <w:sz w:val="16"/>
        </w:rPr>
        <w:t> </w:t>
      </w:r>
      <w:r>
        <w:rPr>
          <w:rFonts w:ascii="Palatino Linotype" w:hAnsi="Palatino Linotype"/>
          <w:sz w:val="16"/>
        </w:rPr>
        <w:t>cubierta, puede</w:t>
      </w:r>
      <w:r>
        <w:rPr>
          <w:rFonts w:ascii="Palatino Linotype" w:hAnsi="Palatino Linotype"/>
          <w:spacing w:val="-8"/>
          <w:sz w:val="16"/>
        </w:rPr>
        <w:t> </w:t>
      </w:r>
      <w:r>
        <w:rPr>
          <w:rFonts w:ascii="Palatino Linotype" w:hAnsi="Palatino Linotype"/>
          <w:sz w:val="16"/>
        </w:rPr>
        <w:t>reproducirse</w:t>
      </w:r>
      <w:r>
        <w:rPr>
          <w:rFonts w:ascii="Palatino Linotype" w:hAnsi="Palatino Linotype"/>
          <w:spacing w:val="-9"/>
          <w:sz w:val="16"/>
        </w:rPr>
        <w:t> </w:t>
      </w:r>
      <w:r>
        <w:rPr>
          <w:rFonts w:ascii="Palatino Linotype" w:hAnsi="Palatino Linotype"/>
          <w:sz w:val="16"/>
        </w:rPr>
        <w:t>o</w:t>
      </w:r>
      <w:r>
        <w:rPr>
          <w:rFonts w:ascii="Palatino Linotype" w:hAnsi="Palatino Linotype"/>
          <w:spacing w:val="-8"/>
          <w:sz w:val="16"/>
        </w:rPr>
        <w:t> </w:t>
      </w:r>
      <w:r>
        <w:rPr>
          <w:rFonts w:ascii="Palatino Linotype" w:hAnsi="Palatino Linotype"/>
          <w:sz w:val="16"/>
        </w:rPr>
        <w:t>transmitirse</w:t>
      </w:r>
      <w:r>
        <w:rPr>
          <w:rFonts w:ascii="Palatino Linotype" w:hAnsi="Palatino Linotype"/>
          <w:spacing w:val="-7"/>
          <w:sz w:val="16"/>
        </w:rPr>
        <w:t> </w:t>
      </w:r>
      <w:r>
        <w:rPr>
          <w:rFonts w:ascii="Palatino Linotype" w:hAnsi="Palatino Linotype"/>
          <w:sz w:val="16"/>
        </w:rPr>
        <w:t>por</w:t>
      </w:r>
      <w:r>
        <w:rPr>
          <w:rFonts w:ascii="Palatino Linotype" w:hAnsi="Palatino Linotype"/>
          <w:spacing w:val="-8"/>
          <w:sz w:val="16"/>
        </w:rPr>
        <w:t> </w:t>
      </w:r>
      <w:r>
        <w:rPr>
          <w:rFonts w:ascii="Palatino Linotype" w:hAnsi="Palatino Linotype"/>
          <w:sz w:val="16"/>
        </w:rPr>
        <w:t>ningún</w:t>
      </w:r>
      <w:r>
        <w:rPr>
          <w:rFonts w:ascii="Palatino Linotype" w:hAnsi="Palatino Linotype"/>
          <w:spacing w:val="-8"/>
          <w:sz w:val="16"/>
        </w:rPr>
        <w:t> </w:t>
      </w:r>
      <w:r>
        <w:rPr>
          <w:rFonts w:ascii="Palatino Linotype" w:hAnsi="Palatino Linotype"/>
          <w:sz w:val="16"/>
        </w:rPr>
        <w:t>procedimiento</w:t>
      </w:r>
      <w:r>
        <w:rPr>
          <w:rFonts w:ascii="Palatino Linotype" w:hAnsi="Palatino Linotype"/>
          <w:spacing w:val="-8"/>
          <w:sz w:val="16"/>
        </w:rPr>
        <w:t> </w:t>
      </w:r>
      <w:r>
        <w:rPr>
          <w:rFonts w:ascii="Palatino Linotype" w:hAnsi="Palatino Linotype"/>
          <w:sz w:val="16"/>
        </w:rPr>
        <w:t>electrónico</w:t>
      </w:r>
      <w:r>
        <w:rPr>
          <w:rFonts w:ascii="Palatino Linotype" w:hAnsi="Palatino Linotype"/>
          <w:spacing w:val="-7"/>
          <w:sz w:val="16"/>
        </w:rPr>
        <w:t> </w:t>
      </w:r>
      <w:r>
        <w:rPr>
          <w:rFonts w:ascii="Palatino Linotype" w:hAnsi="Palatino Linotype"/>
          <w:sz w:val="16"/>
        </w:rPr>
        <w:t>o</w:t>
      </w:r>
      <w:r>
        <w:rPr>
          <w:rFonts w:ascii="Palatino Linotype" w:hAnsi="Palatino Linotype"/>
          <w:spacing w:val="-8"/>
          <w:sz w:val="16"/>
        </w:rPr>
        <w:t> </w:t>
      </w:r>
      <w:r>
        <w:rPr>
          <w:rFonts w:ascii="Palatino Linotype" w:hAnsi="Palatino Linotype"/>
          <w:sz w:val="16"/>
        </w:rPr>
        <w:t>mecánico.</w:t>
      </w:r>
      <w:r>
        <w:rPr>
          <w:rFonts w:ascii="Palatino Linotype" w:hAnsi="Palatino Linotype"/>
          <w:spacing w:val="-8"/>
          <w:sz w:val="16"/>
        </w:rPr>
        <w:t> </w:t>
      </w:r>
      <w:r>
        <w:rPr>
          <w:rFonts w:ascii="Palatino Linotype" w:hAnsi="Palatino Linotype"/>
          <w:sz w:val="16"/>
        </w:rPr>
        <w:t>Cualquier</w:t>
      </w:r>
      <w:r>
        <w:rPr>
          <w:rFonts w:ascii="Palatino Linotype" w:hAnsi="Palatino Linotype"/>
          <w:spacing w:val="-7"/>
          <w:sz w:val="16"/>
        </w:rPr>
        <w:t> </w:t>
      </w:r>
      <w:r>
        <w:rPr>
          <w:rFonts w:ascii="Palatino Linotype" w:hAnsi="Palatino Linotype"/>
          <w:sz w:val="16"/>
        </w:rPr>
        <w:t>forma</w:t>
      </w:r>
      <w:r>
        <w:rPr>
          <w:rFonts w:ascii="Palatino Linotype" w:hAnsi="Palatino Linotype"/>
          <w:spacing w:val="-8"/>
          <w:sz w:val="16"/>
        </w:rPr>
        <w:t> </w:t>
      </w:r>
      <w:r>
        <w:rPr>
          <w:rFonts w:ascii="Palatino Linotype" w:hAnsi="Palatino Linotype"/>
          <w:sz w:val="16"/>
        </w:rPr>
        <w:t>de reproducción,</w:t>
      </w:r>
      <w:r>
        <w:rPr>
          <w:rFonts w:ascii="Palatino Linotype" w:hAnsi="Palatino Linotype"/>
          <w:spacing w:val="-6"/>
          <w:sz w:val="16"/>
        </w:rPr>
        <w:t> </w:t>
      </w:r>
      <w:r>
        <w:rPr>
          <w:rFonts w:ascii="Palatino Linotype" w:hAnsi="Palatino Linotype"/>
          <w:sz w:val="16"/>
        </w:rPr>
        <w:t>distribución,</w:t>
      </w:r>
      <w:r>
        <w:rPr>
          <w:rFonts w:ascii="Palatino Linotype" w:hAnsi="Palatino Linotype"/>
          <w:spacing w:val="-6"/>
          <w:sz w:val="16"/>
        </w:rPr>
        <w:t> </w:t>
      </w:r>
      <w:r>
        <w:rPr>
          <w:rFonts w:ascii="Palatino Linotype" w:hAnsi="Palatino Linotype"/>
          <w:sz w:val="16"/>
        </w:rPr>
        <w:t>comunicación</w:t>
      </w:r>
      <w:r>
        <w:rPr>
          <w:rFonts w:ascii="Palatino Linotype" w:hAnsi="Palatino Linotype"/>
          <w:spacing w:val="-6"/>
          <w:sz w:val="16"/>
        </w:rPr>
        <w:t> </w:t>
      </w:r>
      <w:r>
        <w:rPr>
          <w:rFonts w:ascii="Palatino Linotype" w:hAnsi="Palatino Linotype"/>
          <w:sz w:val="16"/>
        </w:rPr>
        <w:t>pública</w:t>
      </w:r>
      <w:r>
        <w:rPr>
          <w:rFonts w:ascii="Palatino Linotype" w:hAnsi="Palatino Linotype"/>
          <w:spacing w:val="-6"/>
          <w:sz w:val="16"/>
        </w:rPr>
        <w:t> </w:t>
      </w:r>
      <w:r>
        <w:rPr>
          <w:rFonts w:ascii="Palatino Linotype" w:hAnsi="Palatino Linotype"/>
          <w:sz w:val="16"/>
        </w:rPr>
        <w:t>o</w:t>
      </w:r>
      <w:r>
        <w:rPr>
          <w:rFonts w:ascii="Palatino Linotype" w:hAnsi="Palatino Linotype"/>
          <w:spacing w:val="-6"/>
          <w:sz w:val="16"/>
        </w:rPr>
        <w:t> </w:t>
      </w:r>
      <w:r>
        <w:rPr>
          <w:rFonts w:ascii="Palatino Linotype" w:hAnsi="Palatino Linotype"/>
          <w:sz w:val="16"/>
        </w:rPr>
        <w:t>transformación</w:t>
      </w:r>
      <w:r>
        <w:rPr>
          <w:rFonts w:ascii="Palatino Linotype" w:hAnsi="Palatino Linotype"/>
          <w:spacing w:val="-6"/>
          <w:sz w:val="16"/>
        </w:rPr>
        <w:t> </w:t>
      </w:r>
      <w:r>
        <w:rPr>
          <w:rFonts w:ascii="Palatino Linotype" w:hAnsi="Palatino Linotype"/>
          <w:sz w:val="16"/>
        </w:rPr>
        <w:t>de</w:t>
      </w:r>
      <w:r>
        <w:rPr>
          <w:rFonts w:ascii="Palatino Linotype" w:hAnsi="Palatino Linotype"/>
          <w:spacing w:val="-6"/>
          <w:sz w:val="16"/>
        </w:rPr>
        <w:t> </w:t>
      </w:r>
      <w:r>
        <w:rPr>
          <w:rFonts w:ascii="Palatino Linotype" w:hAnsi="Palatino Linotype"/>
          <w:sz w:val="16"/>
        </w:rPr>
        <w:t>esta</w:t>
      </w:r>
      <w:r>
        <w:rPr>
          <w:rFonts w:ascii="Palatino Linotype" w:hAnsi="Palatino Linotype"/>
          <w:spacing w:val="-6"/>
          <w:sz w:val="16"/>
        </w:rPr>
        <w:t> </w:t>
      </w:r>
      <w:r>
        <w:rPr>
          <w:rFonts w:ascii="Palatino Linotype" w:hAnsi="Palatino Linotype"/>
          <w:sz w:val="16"/>
        </w:rPr>
        <w:t>obra</w:t>
      </w:r>
      <w:r>
        <w:rPr>
          <w:rFonts w:ascii="Palatino Linotype" w:hAnsi="Palatino Linotype"/>
          <w:spacing w:val="-6"/>
          <w:sz w:val="16"/>
        </w:rPr>
        <w:t> </w:t>
      </w:r>
      <w:r>
        <w:rPr>
          <w:rFonts w:ascii="Palatino Linotype" w:hAnsi="Palatino Linotype"/>
          <w:sz w:val="16"/>
        </w:rPr>
        <w:t>solo</w:t>
      </w:r>
      <w:r>
        <w:rPr>
          <w:rFonts w:ascii="Palatino Linotype" w:hAnsi="Palatino Linotype"/>
          <w:spacing w:val="-6"/>
          <w:sz w:val="16"/>
        </w:rPr>
        <w:t> </w:t>
      </w:r>
      <w:r>
        <w:rPr>
          <w:rFonts w:ascii="Palatino Linotype" w:hAnsi="Palatino Linotype"/>
          <w:sz w:val="16"/>
        </w:rPr>
        <w:t>puede</w:t>
      </w:r>
      <w:r>
        <w:rPr>
          <w:rFonts w:ascii="Palatino Linotype" w:hAnsi="Palatino Linotype"/>
          <w:spacing w:val="-6"/>
          <w:sz w:val="16"/>
        </w:rPr>
        <w:t> </w:t>
      </w:r>
      <w:r>
        <w:rPr>
          <w:rFonts w:ascii="Palatino Linotype" w:hAnsi="Palatino Linotype"/>
          <w:sz w:val="16"/>
        </w:rPr>
        <w:t>ser</w:t>
      </w:r>
      <w:r>
        <w:rPr>
          <w:rFonts w:ascii="Palatino Linotype" w:hAnsi="Palatino Linotype"/>
          <w:spacing w:val="-6"/>
          <w:sz w:val="16"/>
        </w:rPr>
        <w:t> </w:t>
      </w:r>
      <w:r>
        <w:rPr>
          <w:rFonts w:ascii="Palatino Linotype" w:hAnsi="Palatino Linotype"/>
          <w:sz w:val="16"/>
        </w:rPr>
        <w:t>realizada con</w:t>
      </w:r>
      <w:r>
        <w:rPr>
          <w:rFonts w:ascii="Palatino Linotype" w:hAnsi="Palatino Linotype"/>
          <w:spacing w:val="-20"/>
          <w:sz w:val="16"/>
        </w:rPr>
        <w:t> </w:t>
      </w:r>
      <w:r>
        <w:rPr>
          <w:rFonts w:ascii="Palatino Linotype" w:hAnsi="Palatino Linotype"/>
          <w:sz w:val="16"/>
        </w:rPr>
        <w:t>la</w:t>
      </w:r>
      <w:r>
        <w:rPr>
          <w:rFonts w:ascii="Palatino Linotype" w:hAnsi="Palatino Linotype"/>
          <w:spacing w:val="-20"/>
          <w:sz w:val="16"/>
        </w:rPr>
        <w:t> </w:t>
      </w:r>
      <w:r>
        <w:rPr>
          <w:rFonts w:ascii="Palatino Linotype" w:hAnsi="Palatino Linotype"/>
          <w:sz w:val="16"/>
        </w:rPr>
        <w:t>autorización</w:t>
      </w:r>
      <w:r>
        <w:rPr>
          <w:rFonts w:ascii="Palatino Linotype" w:hAnsi="Palatino Linotype"/>
          <w:spacing w:val="-19"/>
          <w:sz w:val="16"/>
        </w:rPr>
        <w:t> </w:t>
      </w:r>
      <w:r>
        <w:rPr>
          <w:rFonts w:ascii="Palatino Linotype" w:hAnsi="Palatino Linotype"/>
          <w:sz w:val="16"/>
        </w:rPr>
        <w:t>de</w:t>
      </w:r>
      <w:r>
        <w:rPr>
          <w:rFonts w:ascii="Palatino Linotype" w:hAnsi="Palatino Linotype"/>
          <w:spacing w:val="-20"/>
          <w:sz w:val="16"/>
        </w:rPr>
        <w:t> </w:t>
      </w:r>
      <w:r>
        <w:rPr>
          <w:rFonts w:ascii="Palatino Linotype" w:hAnsi="Palatino Linotype"/>
          <w:sz w:val="16"/>
        </w:rPr>
        <w:t>sus</w:t>
      </w:r>
      <w:r>
        <w:rPr>
          <w:rFonts w:ascii="Palatino Linotype" w:hAnsi="Palatino Linotype"/>
          <w:spacing w:val="-19"/>
          <w:sz w:val="16"/>
        </w:rPr>
        <w:t> </w:t>
      </w:r>
      <w:r>
        <w:rPr>
          <w:rFonts w:ascii="Palatino Linotype" w:hAnsi="Palatino Linotype"/>
          <w:sz w:val="16"/>
        </w:rPr>
        <w:t>titulares,</w:t>
      </w:r>
      <w:r>
        <w:rPr>
          <w:rFonts w:ascii="Palatino Linotype" w:hAnsi="Palatino Linotype"/>
          <w:spacing w:val="-19"/>
          <w:sz w:val="16"/>
        </w:rPr>
        <w:t> </w:t>
      </w:r>
      <w:r>
        <w:rPr>
          <w:rFonts w:ascii="Palatino Linotype" w:hAnsi="Palatino Linotype"/>
          <w:sz w:val="16"/>
        </w:rPr>
        <w:t>salvo</w:t>
      </w:r>
      <w:r>
        <w:rPr>
          <w:rFonts w:ascii="Palatino Linotype" w:hAnsi="Palatino Linotype"/>
          <w:spacing w:val="-19"/>
          <w:sz w:val="16"/>
        </w:rPr>
        <w:t> </w:t>
      </w:r>
      <w:r>
        <w:rPr>
          <w:rFonts w:ascii="Palatino Linotype" w:hAnsi="Palatino Linotype"/>
          <w:spacing w:val="-3"/>
          <w:sz w:val="16"/>
        </w:rPr>
        <w:t>excepción</w:t>
      </w:r>
      <w:r>
        <w:rPr>
          <w:rFonts w:ascii="Palatino Linotype" w:hAnsi="Palatino Linotype"/>
          <w:spacing w:val="-20"/>
          <w:sz w:val="16"/>
        </w:rPr>
        <w:t> </w:t>
      </w:r>
      <w:r>
        <w:rPr>
          <w:rFonts w:ascii="Palatino Linotype" w:hAnsi="Palatino Linotype"/>
          <w:sz w:val="16"/>
        </w:rPr>
        <w:t>prevista</w:t>
      </w:r>
      <w:r>
        <w:rPr>
          <w:rFonts w:ascii="Palatino Linotype" w:hAnsi="Palatino Linotype"/>
          <w:spacing w:val="-20"/>
          <w:sz w:val="16"/>
        </w:rPr>
        <w:t> </w:t>
      </w:r>
      <w:r>
        <w:rPr>
          <w:rFonts w:ascii="Palatino Linotype" w:hAnsi="Palatino Linotype"/>
          <w:sz w:val="16"/>
        </w:rPr>
        <w:t>por</w:t>
      </w:r>
      <w:r>
        <w:rPr>
          <w:rFonts w:ascii="Palatino Linotype" w:hAnsi="Palatino Linotype"/>
          <w:spacing w:val="-19"/>
          <w:sz w:val="16"/>
        </w:rPr>
        <w:t> </w:t>
      </w:r>
      <w:r>
        <w:rPr>
          <w:rFonts w:ascii="Palatino Linotype" w:hAnsi="Palatino Linotype"/>
          <w:sz w:val="16"/>
        </w:rPr>
        <w:t>la</w:t>
      </w:r>
      <w:r>
        <w:rPr>
          <w:rFonts w:ascii="Palatino Linotype" w:hAnsi="Palatino Linotype"/>
          <w:spacing w:val="-20"/>
          <w:sz w:val="16"/>
        </w:rPr>
        <w:t> </w:t>
      </w:r>
      <w:r>
        <w:rPr>
          <w:rFonts w:ascii="Palatino Linotype" w:hAnsi="Palatino Linotype"/>
          <w:spacing w:val="-5"/>
          <w:sz w:val="16"/>
        </w:rPr>
        <w:t>ley.</w:t>
      </w:r>
      <w:r>
        <w:rPr>
          <w:rFonts w:ascii="Palatino Linotype" w:hAnsi="Palatino Linotype"/>
          <w:spacing w:val="-20"/>
          <w:sz w:val="16"/>
        </w:rPr>
        <w:t> </w:t>
      </w:r>
      <w:r>
        <w:rPr>
          <w:rFonts w:ascii="Palatino Linotype" w:hAnsi="Palatino Linotype"/>
          <w:sz w:val="16"/>
        </w:rPr>
        <w:t>Diríjase</w:t>
      </w:r>
      <w:r>
        <w:rPr>
          <w:rFonts w:ascii="Palatino Linotype" w:hAnsi="Palatino Linotype"/>
          <w:spacing w:val="-20"/>
          <w:sz w:val="16"/>
        </w:rPr>
        <w:t> </w:t>
      </w:r>
      <w:r>
        <w:rPr>
          <w:rFonts w:ascii="Palatino Linotype" w:hAnsi="Palatino Linotype"/>
          <w:sz w:val="16"/>
        </w:rPr>
        <w:t>a</w:t>
      </w:r>
      <w:r>
        <w:rPr>
          <w:rFonts w:ascii="Palatino Linotype" w:hAnsi="Palatino Linotype"/>
          <w:spacing w:val="-20"/>
          <w:sz w:val="16"/>
        </w:rPr>
        <w:t> </w:t>
      </w:r>
      <w:r>
        <w:rPr>
          <w:rFonts w:ascii="Palatino Linotype" w:hAnsi="Palatino Linotype"/>
          <w:sz w:val="16"/>
        </w:rPr>
        <w:t>CEDRO</w:t>
      </w:r>
      <w:r>
        <w:rPr>
          <w:rFonts w:ascii="Palatino Linotype" w:hAnsi="Palatino Linotype"/>
          <w:spacing w:val="-19"/>
          <w:sz w:val="16"/>
        </w:rPr>
        <w:t> </w:t>
      </w:r>
      <w:r>
        <w:rPr>
          <w:rFonts w:ascii="Palatino Linotype" w:hAnsi="Palatino Linotype"/>
          <w:sz w:val="16"/>
        </w:rPr>
        <w:t>(Centro</w:t>
      </w:r>
      <w:r>
        <w:rPr>
          <w:rFonts w:ascii="Palatino Linotype" w:hAnsi="Palatino Linotype"/>
          <w:spacing w:val="-19"/>
          <w:sz w:val="16"/>
        </w:rPr>
        <w:t> </w:t>
      </w:r>
      <w:r>
        <w:rPr>
          <w:rFonts w:ascii="Palatino Linotype" w:hAnsi="Palatino Linotype"/>
          <w:sz w:val="16"/>
        </w:rPr>
        <w:t>Español</w:t>
      </w:r>
      <w:r>
        <w:rPr>
          <w:rFonts w:ascii="Palatino Linotype" w:hAnsi="Palatino Linotype"/>
          <w:spacing w:val="-20"/>
          <w:sz w:val="16"/>
        </w:rPr>
        <w:t> </w:t>
      </w:r>
      <w:r>
        <w:rPr>
          <w:rFonts w:ascii="Palatino Linotype" w:hAnsi="Palatino Linotype"/>
          <w:sz w:val="16"/>
        </w:rPr>
        <w:t>de Derechos</w:t>
      </w:r>
      <w:r>
        <w:rPr>
          <w:rFonts w:ascii="Palatino Linotype" w:hAnsi="Palatino Linotype"/>
          <w:spacing w:val="-23"/>
          <w:sz w:val="16"/>
        </w:rPr>
        <w:t> </w:t>
      </w:r>
      <w:r>
        <w:rPr>
          <w:rFonts w:ascii="Palatino Linotype" w:hAnsi="Palatino Linotype"/>
          <w:sz w:val="16"/>
        </w:rPr>
        <w:t>Reprográficos)</w:t>
      </w:r>
      <w:r>
        <w:rPr>
          <w:rFonts w:ascii="Palatino Linotype" w:hAnsi="Palatino Linotype"/>
          <w:spacing w:val="-22"/>
          <w:sz w:val="16"/>
        </w:rPr>
        <w:t> </w:t>
      </w:r>
      <w:r>
        <w:rPr>
          <w:rFonts w:ascii="Palatino Linotype" w:hAnsi="Palatino Linotype"/>
          <w:sz w:val="16"/>
        </w:rPr>
        <w:t>si</w:t>
      </w:r>
      <w:r>
        <w:rPr>
          <w:rFonts w:ascii="Palatino Linotype" w:hAnsi="Palatino Linotype"/>
          <w:spacing w:val="-23"/>
          <w:sz w:val="16"/>
        </w:rPr>
        <w:t> </w:t>
      </w:r>
      <w:r>
        <w:rPr>
          <w:rFonts w:ascii="Palatino Linotype" w:hAnsi="Palatino Linotype"/>
          <w:sz w:val="16"/>
        </w:rPr>
        <w:t>necesita</w:t>
      </w:r>
      <w:r>
        <w:rPr>
          <w:rFonts w:ascii="Palatino Linotype" w:hAnsi="Palatino Linotype"/>
          <w:spacing w:val="-23"/>
          <w:sz w:val="16"/>
        </w:rPr>
        <w:t> </w:t>
      </w:r>
      <w:r>
        <w:rPr>
          <w:rFonts w:ascii="Palatino Linotype" w:hAnsi="Palatino Linotype"/>
          <w:sz w:val="16"/>
        </w:rPr>
        <w:t>fotocopiar</w:t>
      </w:r>
      <w:r>
        <w:rPr>
          <w:rFonts w:ascii="Palatino Linotype" w:hAnsi="Palatino Linotype"/>
          <w:spacing w:val="-23"/>
          <w:sz w:val="16"/>
        </w:rPr>
        <w:t> </w:t>
      </w:r>
      <w:r>
        <w:rPr>
          <w:rFonts w:ascii="Palatino Linotype" w:hAnsi="Palatino Linotype"/>
          <w:sz w:val="16"/>
        </w:rPr>
        <w:t>o</w:t>
      </w:r>
      <w:r>
        <w:rPr>
          <w:rFonts w:ascii="Palatino Linotype" w:hAnsi="Palatino Linotype"/>
          <w:spacing w:val="-23"/>
          <w:sz w:val="16"/>
        </w:rPr>
        <w:t> </w:t>
      </w:r>
      <w:r>
        <w:rPr>
          <w:rFonts w:ascii="Palatino Linotype" w:hAnsi="Palatino Linotype"/>
          <w:sz w:val="16"/>
        </w:rPr>
        <w:t>escanear</w:t>
      </w:r>
      <w:r>
        <w:rPr>
          <w:rFonts w:ascii="Palatino Linotype" w:hAnsi="Palatino Linotype"/>
          <w:spacing w:val="-23"/>
          <w:sz w:val="16"/>
        </w:rPr>
        <w:t> </w:t>
      </w:r>
      <w:r>
        <w:rPr>
          <w:rFonts w:ascii="Palatino Linotype" w:hAnsi="Palatino Linotype"/>
          <w:sz w:val="16"/>
        </w:rPr>
        <w:t>algún</w:t>
      </w:r>
      <w:r>
        <w:rPr>
          <w:rFonts w:ascii="Palatino Linotype" w:hAnsi="Palatino Linotype"/>
          <w:spacing w:val="-23"/>
          <w:sz w:val="16"/>
        </w:rPr>
        <w:t> </w:t>
      </w:r>
      <w:r>
        <w:rPr>
          <w:rFonts w:ascii="Palatino Linotype" w:hAnsi="Palatino Linotype"/>
          <w:sz w:val="16"/>
        </w:rPr>
        <w:t>fragmento</w:t>
      </w:r>
      <w:r>
        <w:rPr>
          <w:rFonts w:ascii="Palatino Linotype" w:hAnsi="Palatino Linotype"/>
          <w:spacing w:val="-23"/>
          <w:sz w:val="16"/>
        </w:rPr>
        <w:t> </w:t>
      </w:r>
      <w:r>
        <w:rPr>
          <w:rFonts w:ascii="Palatino Linotype" w:hAnsi="Palatino Linotype"/>
          <w:sz w:val="16"/>
        </w:rPr>
        <w:t>de</w:t>
      </w:r>
      <w:r>
        <w:rPr>
          <w:rFonts w:ascii="Palatino Linotype" w:hAnsi="Palatino Linotype"/>
          <w:spacing w:val="-23"/>
          <w:sz w:val="16"/>
        </w:rPr>
        <w:t> </w:t>
      </w:r>
      <w:r>
        <w:rPr>
          <w:rFonts w:ascii="Palatino Linotype" w:hAnsi="Palatino Linotype"/>
          <w:sz w:val="16"/>
        </w:rPr>
        <w:t>esta</w:t>
      </w:r>
      <w:r>
        <w:rPr>
          <w:rFonts w:ascii="Palatino Linotype" w:hAnsi="Palatino Linotype"/>
          <w:spacing w:val="-23"/>
          <w:sz w:val="16"/>
        </w:rPr>
        <w:t> </w:t>
      </w:r>
      <w:r>
        <w:rPr>
          <w:rFonts w:ascii="Palatino Linotype" w:hAnsi="Palatino Linotype"/>
          <w:sz w:val="16"/>
        </w:rPr>
        <w:t>obra</w:t>
      </w:r>
      <w:r>
        <w:rPr>
          <w:rFonts w:ascii="Palatino Linotype" w:hAnsi="Palatino Linotype"/>
          <w:spacing w:val="-23"/>
          <w:sz w:val="16"/>
        </w:rPr>
        <w:t> </w:t>
      </w:r>
      <w:r>
        <w:rPr>
          <w:rFonts w:ascii="Palatino Linotype" w:hAnsi="Palatino Linotype"/>
          <w:spacing w:val="-3"/>
          <w:sz w:val="16"/>
        </w:rPr>
        <w:t>(</w:t>
      </w:r>
      <w:r>
        <w:rPr>
          <w:rFonts w:ascii="Palatino Linotype" w:hAnsi="Palatino Linotype"/>
          <w:i/>
          <w:spacing w:val="-3"/>
          <w:sz w:val="16"/>
        </w:rPr>
        <w:t>www.conlicencia.com</w:t>
      </w:r>
      <w:r>
        <w:rPr>
          <w:rFonts w:ascii="Palatino Linotype" w:hAnsi="Palatino Linotype"/>
          <w:spacing w:val="-3"/>
          <w:sz w:val="16"/>
        </w:rPr>
        <w:t>; </w:t>
      </w:r>
      <w:r>
        <w:rPr>
          <w:rFonts w:ascii="Palatino Linotype" w:hAnsi="Palatino Linotype"/>
          <w:sz w:val="16"/>
        </w:rPr>
        <w:t>91</w:t>
      </w:r>
      <w:r>
        <w:rPr>
          <w:rFonts w:ascii="Palatino Linotype" w:hAnsi="Palatino Linotype"/>
          <w:spacing w:val="-16"/>
          <w:sz w:val="16"/>
        </w:rPr>
        <w:t> </w:t>
      </w:r>
      <w:r>
        <w:rPr>
          <w:rFonts w:ascii="Palatino Linotype" w:hAnsi="Palatino Linotype"/>
          <w:sz w:val="16"/>
        </w:rPr>
        <w:t>702</w:t>
      </w:r>
      <w:r>
        <w:rPr>
          <w:rFonts w:ascii="Palatino Linotype" w:hAnsi="Palatino Linotype"/>
          <w:spacing w:val="-16"/>
          <w:sz w:val="16"/>
        </w:rPr>
        <w:t> </w:t>
      </w:r>
      <w:r>
        <w:rPr>
          <w:rFonts w:ascii="Palatino Linotype" w:hAnsi="Palatino Linotype"/>
          <w:sz w:val="16"/>
        </w:rPr>
        <w:t>19</w:t>
      </w:r>
      <w:r>
        <w:rPr>
          <w:rFonts w:ascii="Palatino Linotype" w:hAnsi="Palatino Linotype"/>
          <w:spacing w:val="-16"/>
          <w:sz w:val="16"/>
        </w:rPr>
        <w:t> </w:t>
      </w:r>
      <w:r>
        <w:rPr>
          <w:rFonts w:ascii="Palatino Linotype" w:hAnsi="Palatino Linotype"/>
          <w:sz w:val="16"/>
        </w:rPr>
        <w:t>70</w:t>
      </w:r>
      <w:r>
        <w:rPr>
          <w:rFonts w:ascii="Palatino Linotype" w:hAnsi="Palatino Linotype"/>
          <w:spacing w:val="-16"/>
          <w:sz w:val="16"/>
        </w:rPr>
        <w:t> </w:t>
      </w:r>
      <w:r>
        <w:rPr>
          <w:rFonts w:ascii="Palatino Linotype" w:hAnsi="Palatino Linotype"/>
          <w:sz w:val="16"/>
        </w:rPr>
        <w:t>/</w:t>
      </w:r>
      <w:r>
        <w:rPr>
          <w:rFonts w:ascii="Palatino Linotype" w:hAnsi="Palatino Linotype"/>
          <w:spacing w:val="-16"/>
          <w:sz w:val="16"/>
        </w:rPr>
        <w:t> </w:t>
      </w:r>
      <w:r>
        <w:rPr>
          <w:rFonts w:ascii="Palatino Linotype" w:hAnsi="Palatino Linotype"/>
          <w:sz w:val="16"/>
        </w:rPr>
        <w:t>93</w:t>
      </w:r>
      <w:r>
        <w:rPr>
          <w:rFonts w:ascii="Palatino Linotype" w:hAnsi="Palatino Linotype"/>
          <w:spacing w:val="-16"/>
          <w:sz w:val="16"/>
        </w:rPr>
        <w:t> </w:t>
      </w:r>
      <w:r>
        <w:rPr>
          <w:rFonts w:ascii="Palatino Linotype" w:hAnsi="Palatino Linotype"/>
          <w:sz w:val="16"/>
        </w:rPr>
        <w:t>272</w:t>
      </w:r>
      <w:r>
        <w:rPr>
          <w:rFonts w:ascii="Palatino Linotype" w:hAnsi="Palatino Linotype"/>
          <w:spacing w:val="-16"/>
          <w:sz w:val="16"/>
        </w:rPr>
        <w:t> </w:t>
      </w:r>
      <w:r>
        <w:rPr>
          <w:rFonts w:ascii="Palatino Linotype" w:hAnsi="Palatino Linotype"/>
          <w:sz w:val="16"/>
        </w:rPr>
        <w:t>04</w:t>
      </w:r>
      <w:r>
        <w:rPr>
          <w:rFonts w:ascii="Palatino Linotype" w:hAnsi="Palatino Linotype"/>
          <w:spacing w:val="-16"/>
          <w:sz w:val="16"/>
        </w:rPr>
        <w:t> </w:t>
      </w:r>
      <w:r>
        <w:rPr>
          <w:rFonts w:ascii="Palatino Linotype" w:hAnsi="Palatino Linotype"/>
          <w:sz w:val="16"/>
        </w:rPr>
        <w:t>47).</w:t>
      </w:r>
    </w:p>
    <w:p>
      <w:pPr>
        <w:pStyle w:val="BodyText"/>
        <w:rPr>
          <w:rFonts w:ascii="Palatino Linotype"/>
          <w:b w:val="0"/>
          <w:sz w:val="16"/>
        </w:rPr>
      </w:pPr>
    </w:p>
    <w:p>
      <w:pPr>
        <w:pStyle w:val="BodyText"/>
        <w:rPr>
          <w:rFonts w:ascii="Palatino Linotype"/>
          <w:b w:val="0"/>
          <w:sz w:val="16"/>
        </w:rPr>
      </w:pPr>
    </w:p>
    <w:p>
      <w:pPr>
        <w:pStyle w:val="BodyText"/>
        <w:rPr>
          <w:rFonts w:ascii="Palatino Linotype"/>
          <w:b w:val="0"/>
          <w:sz w:val="16"/>
        </w:rPr>
      </w:pPr>
    </w:p>
    <w:p>
      <w:pPr>
        <w:pStyle w:val="BodyText"/>
        <w:rPr>
          <w:rFonts w:ascii="Palatino Linotype"/>
          <w:b w:val="0"/>
          <w:sz w:val="16"/>
        </w:rPr>
      </w:pPr>
    </w:p>
    <w:p>
      <w:pPr>
        <w:pStyle w:val="BodyText"/>
        <w:rPr>
          <w:rFonts w:ascii="Palatino Linotype"/>
          <w:b w:val="0"/>
          <w:sz w:val="16"/>
        </w:rPr>
      </w:pPr>
    </w:p>
    <w:p>
      <w:pPr>
        <w:pStyle w:val="BodyText"/>
        <w:rPr>
          <w:rFonts w:ascii="Palatino Linotype"/>
          <w:b w:val="0"/>
          <w:sz w:val="16"/>
        </w:rPr>
      </w:pPr>
    </w:p>
    <w:p>
      <w:pPr>
        <w:pStyle w:val="BodyText"/>
        <w:rPr>
          <w:rFonts w:ascii="Palatino Linotype"/>
          <w:b w:val="0"/>
          <w:sz w:val="16"/>
        </w:rPr>
      </w:pPr>
    </w:p>
    <w:p>
      <w:pPr>
        <w:pStyle w:val="BodyText"/>
        <w:rPr>
          <w:rFonts w:ascii="Palatino Linotype"/>
          <w:b w:val="0"/>
          <w:sz w:val="16"/>
        </w:rPr>
      </w:pPr>
    </w:p>
    <w:p>
      <w:pPr>
        <w:pStyle w:val="BodyText"/>
        <w:rPr>
          <w:rFonts w:ascii="Palatino Linotype"/>
          <w:b w:val="0"/>
          <w:sz w:val="16"/>
        </w:rPr>
      </w:pPr>
    </w:p>
    <w:p>
      <w:pPr>
        <w:pStyle w:val="BodyText"/>
        <w:rPr>
          <w:rFonts w:ascii="Palatino Linotype"/>
          <w:b w:val="0"/>
          <w:sz w:val="16"/>
        </w:rPr>
      </w:pPr>
    </w:p>
    <w:p>
      <w:pPr>
        <w:pStyle w:val="BodyText"/>
        <w:rPr>
          <w:rFonts w:ascii="Palatino Linotype"/>
          <w:b w:val="0"/>
          <w:sz w:val="16"/>
        </w:rPr>
      </w:pPr>
    </w:p>
    <w:p>
      <w:pPr>
        <w:pStyle w:val="BodyText"/>
        <w:rPr>
          <w:rFonts w:ascii="Palatino Linotype"/>
          <w:b w:val="0"/>
          <w:sz w:val="16"/>
        </w:rPr>
      </w:pPr>
    </w:p>
    <w:p>
      <w:pPr>
        <w:pStyle w:val="BodyText"/>
        <w:rPr>
          <w:rFonts w:ascii="Palatino Linotype"/>
          <w:b w:val="0"/>
          <w:sz w:val="16"/>
        </w:rPr>
      </w:pPr>
    </w:p>
    <w:p>
      <w:pPr>
        <w:pStyle w:val="BodyText"/>
        <w:rPr>
          <w:rFonts w:ascii="Palatino Linotype"/>
          <w:b w:val="0"/>
          <w:sz w:val="16"/>
        </w:rPr>
      </w:pPr>
    </w:p>
    <w:p>
      <w:pPr>
        <w:tabs>
          <w:tab w:pos="453" w:val="left" w:leader="none"/>
        </w:tabs>
        <w:spacing w:line="336" w:lineRule="auto" w:before="120"/>
        <w:ind w:left="454" w:right="6403" w:hanging="341"/>
        <w:jc w:val="left"/>
        <w:rPr>
          <w:sz w:val="16"/>
        </w:rPr>
      </w:pPr>
      <w:r>
        <w:rPr>
          <w:sz w:val="16"/>
        </w:rPr>
        <w:t>©</w:t>
        <w:tab/>
        <w:t>Los</w:t>
      </w:r>
      <w:r>
        <w:rPr>
          <w:spacing w:val="-4"/>
          <w:sz w:val="16"/>
        </w:rPr>
        <w:t> </w:t>
      </w:r>
      <w:r>
        <w:rPr>
          <w:sz w:val="16"/>
        </w:rPr>
        <w:t>autores</w:t>
      </w:r>
      <w:r>
        <w:rPr>
          <w:w w:val="100"/>
          <w:sz w:val="16"/>
        </w:rPr>
        <w:t> </w:t>
      </w:r>
      <w:r>
        <w:rPr>
          <w:sz w:val="16"/>
        </w:rPr>
        <w:t>Madrid</w:t>
      </w:r>
    </w:p>
    <w:p>
      <w:pPr>
        <w:pStyle w:val="BodyText"/>
        <w:rPr>
          <w:b w:val="0"/>
          <w:sz w:val="16"/>
        </w:rPr>
      </w:pPr>
    </w:p>
    <w:p>
      <w:pPr>
        <w:pStyle w:val="BodyText"/>
        <w:rPr>
          <w:b w:val="0"/>
          <w:sz w:val="16"/>
        </w:rPr>
      </w:pPr>
    </w:p>
    <w:p>
      <w:pPr>
        <w:pStyle w:val="BodyText"/>
        <w:spacing w:before="7"/>
        <w:rPr>
          <w:b w:val="0"/>
          <w:sz w:val="23"/>
        </w:rPr>
      </w:pPr>
    </w:p>
    <w:p>
      <w:pPr>
        <w:spacing w:line="249" w:lineRule="auto" w:before="0"/>
        <w:ind w:left="454" w:right="4733" w:firstLine="0"/>
        <w:jc w:val="left"/>
        <w:rPr>
          <w:sz w:val="16"/>
        </w:rPr>
      </w:pPr>
      <w:r>
        <w:rPr>
          <w:sz w:val="16"/>
        </w:rPr>
        <w:t>Editorial DYKINSON, S.L. Meléndez Valdés, 61 - 28015 Madrid</w:t>
      </w:r>
    </w:p>
    <w:p>
      <w:pPr>
        <w:spacing w:before="1"/>
        <w:ind w:left="454" w:right="0" w:firstLine="0"/>
        <w:jc w:val="left"/>
        <w:rPr>
          <w:sz w:val="16"/>
        </w:rPr>
      </w:pPr>
      <w:r>
        <w:rPr>
          <w:sz w:val="16"/>
        </w:rPr>
        <w:t>Teléfono (+34) 915442846 - (+34) 915442869</w:t>
      </w:r>
    </w:p>
    <w:p>
      <w:pPr>
        <w:spacing w:line="249" w:lineRule="auto" w:before="8"/>
        <w:ind w:left="454" w:right="5325" w:firstLine="0"/>
        <w:jc w:val="left"/>
        <w:rPr>
          <w:sz w:val="16"/>
        </w:rPr>
      </w:pPr>
      <w:r>
        <w:rPr>
          <w:sz w:val="16"/>
        </w:rPr>
        <w:t>e-mail: </w:t>
      </w:r>
      <w:hyperlink r:id="rId6">
        <w:r>
          <w:rPr>
            <w:sz w:val="16"/>
          </w:rPr>
          <w:t>info@dykinson.com</w:t>
        </w:r>
      </w:hyperlink>
      <w:r>
        <w:rPr>
          <w:sz w:val="16"/>
        </w:rPr>
        <w:t> </w:t>
      </w:r>
      <w:hyperlink r:id="rId7">
        <w:r>
          <w:rPr>
            <w:sz w:val="16"/>
          </w:rPr>
          <w:t>http://www.dykinson.es</w:t>
        </w:r>
      </w:hyperlink>
    </w:p>
    <w:p>
      <w:pPr>
        <w:spacing w:before="67"/>
        <w:ind w:left="454" w:right="4733" w:firstLine="0"/>
        <w:jc w:val="left"/>
        <w:rPr>
          <w:sz w:val="16"/>
        </w:rPr>
      </w:pPr>
      <w:hyperlink r:id="rId8">
        <w:r>
          <w:rPr>
            <w:sz w:val="16"/>
          </w:rPr>
          <w:t>http://www.dykinson.com</w:t>
        </w:r>
      </w:hyperlink>
    </w:p>
    <w:p>
      <w:pPr>
        <w:pStyle w:val="BodyText"/>
        <w:rPr>
          <w:b w:val="0"/>
          <w:sz w:val="16"/>
        </w:rPr>
      </w:pPr>
    </w:p>
    <w:p>
      <w:pPr>
        <w:pStyle w:val="BodyText"/>
        <w:rPr>
          <w:b w:val="0"/>
          <w:sz w:val="16"/>
        </w:rPr>
      </w:pPr>
    </w:p>
    <w:p>
      <w:pPr>
        <w:pStyle w:val="BodyText"/>
        <w:rPr>
          <w:b w:val="0"/>
          <w:sz w:val="16"/>
        </w:rPr>
      </w:pPr>
    </w:p>
    <w:p>
      <w:pPr>
        <w:pStyle w:val="BodyText"/>
        <w:spacing w:before="2"/>
        <w:rPr>
          <w:b w:val="0"/>
          <w:sz w:val="13"/>
        </w:rPr>
      </w:pPr>
    </w:p>
    <w:p>
      <w:pPr>
        <w:spacing w:before="0"/>
        <w:ind w:left="454" w:right="4733" w:firstLine="0"/>
        <w:jc w:val="left"/>
        <w:rPr>
          <w:sz w:val="16"/>
        </w:rPr>
      </w:pPr>
      <w:r>
        <w:rPr>
          <w:sz w:val="16"/>
        </w:rPr>
        <w:t>ISBN: 978-84-9085-698-7</w:t>
      </w:r>
    </w:p>
    <w:p>
      <w:pPr>
        <w:spacing w:after="0"/>
        <w:jc w:val="left"/>
        <w:rPr>
          <w:sz w:val="16"/>
        </w:rPr>
        <w:sectPr>
          <w:pgSz w:w="9640" w:h="13610"/>
          <w:pgMar w:top="1280" w:bottom="280" w:left="1020" w:right="1020"/>
        </w:sectPr>
      </w:pPr>
    </w:p>
    <w:p>
      <w:pPr>
        <w:pStyle w:val="Heading1"/>
        <w:spacing w:line="247" w:lineRule="auto" w:before="64"/>
      </w:pPr>
      <w:r>
        <w:rPr>
          <w:color w:val="231F20"/>
          <w:w w:val="105"/>
        </w:rPr>
        <w:t>BREVES</w:t>
      </w:r>
      <w:r>
        <w:rPr>
          <w:color w:val="231F20"/>
          <w:spacing w:val="-18"/>
          <w:w w:val="105"/>
        </w:rPr>
        <w:t> </w:t>
      </w:r>
      <w:r>
        <w:rPr>
          <w:color w:val="231F20"/>
          <w:w w:val="105"/>
        </w:rPr>
        <w:t>NOTAS</w:t>
      </w:r>
      <w:r>
        <w:rPr>
          <w:color w:val="231F20"/>
          <w:spacing w:val="-18"/>
          <w:w w:val="105"/>
        </w:rPr>
        <w:t> </w:t>
      </w:r>
      <w:r>
        <w:rPr>
          <w:color w:val="231F20"/>
          <w:w w:val="105"/>
        </w:rPr>
        <w:t>EN</w:t>
      </w:r>
      <w:r>
        <w:rPr>
          <w:color w:val="231F20"/>
          <w:spacing w:val="-18"/>
          <w:w w:val="105"/>
        </w:rPr>
        <w:t> </w:t>
      </w:r>
      <w:r>
        <w:rPr>
          <w:color w:val="231F20"/>
          <w:w w:val="105"/>
        </w:rPr>
        <w:t>TORNO</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DEONTOLOGÍA</w:t>
      </w:r>
      <w:r>
        <w:rPr>
          <w:color w:val="231F20"/>
          <w:spacing w:val="-18"/>
          <w:w w:val="105"/>
        </w:rPr>
        <w:t> </w:t>
      </w:r>
      <w:r>
        <w:rPr>
          <w:color w:val="231F20"/>
          <w:w w:val="105"/>
        </w:rPr>
        <w:t>DE</w:t>
      </w:r>
      <w:r>
        <w:rPr>
          <w:color w:val="231F20"/>
          <w:spacing w:val="-18"/>
          <w:w w:val="105"/>
        </w:rPr>
        <w:t> </w:t>
      </w:r>
      <w:r>
        <w:rPr>
          <w:color w:val="231F20"/>
          <w:w w:val="105"/>
        </w:rPr>
        <w:t>LA COMUNICACIÓN</w:t>
      </w:r>
    </w:p>
    <w:p>
      <w:pPr>
        <w:pStyle w:val="BodyText"/>
        <w:spacing w:before="4"/>
        <w:rPr>
          <w:sz w:val="22"/>
        </w:rPr>
      </w:pPr>
    </w:p>
    <w:p>
      <w:pPr>
        <w:pStyle w:val="BodyText"/>
        <w:ind w:left="478" w:right="497"/>
        <w:jc w:val="center"/>
      </w:pPr>
      <w:r>
        <w:rPr>
          <w:color w:val="231F20"/>
        </w:rPr>
        <w:t>Prof. Dr. Guadarrama Rico, Luis  Alfonso</w:t>
      </w:r>
    </w:p>
    <w:p>
      <w:pPr>
        <w:spacing w:before="2"/>
        <w:ind w:left="478" w:right="496" w:firstLine="0"/>
        <w:jc w:val="center"/>
        <w:rPr>
          <w:sz w:val="19"/>
        </w:rPr>
      </w:pPr>
      <w:r>
        <w:rPr>
          <w:color w:val="231F20"/>
          <w:sz w:val="19"/>
        </w:rPr>
        <w:t>Universidad Autónoma del Estado de  Méjico</w:t>
      </w:r>
    </w:p>
    <w:p>
      <w:pPr>
        <w:pStyle w:val="BodyText"/>
        <w:spacing w:before="11"/>
        <w:rPr>
          <w:b w:val="0"/>
        </w:rPr>
      </w:pPr>
    </w:p>
    <w:p>
      <w:pPr>
        <w:pStyle w:val="BodyText"/>
        <w:ind w:left="478" w:right="495"/>
        <w:jc w:val="center"/>
      </w:pPr>
      <w:r>
        <w:rPr>
          <w:color w:val="231F20"/>
        </w:rPr>
        <w:t>Prof. Dr. Suárez Villegas, Juan  Carlos</w:t>
      </w:r>
    </w:p>
    <w:p>
      <w:pPr>
        <w:spacing w:before="2"/>
        <w:ind w:left="478" w:right="496" w:firstLine="0"/>
        <w:jc w:val="center"/>
        <w:rPr>
          <w:sz w:val="19"/>
        </w:rPr>
      </w:pPr>
      <w:r>
        <w:rPr>
          <w:color w:val="231F20"/>
          <w:sz w:val="19"/>
        </w:rPr>
        <w:t>Universidad de Sevilla</w:t>
      </w:r>
    </w:p>
    <w:p>
      <w:pPr>
        <w:pStyle w:val="BodyText"/>
        <w:rPr>
          <w:b w:val="0"/>
          <w:sz w:val="18"/>
        </w:rPr>
      </w:pPr>
    </w:p>
    <w:p>
      <w:pPr>
        <w:pStyle w:val="BodyText"/>
        <w:rPr>
          <w:b w:val="0"/>
          <w:sz w:val="18"/>
        </w:rPr>
      </w:pPr>
    </w:p>
    <w:p>
      <w:pPr>
        <w:pStyle w:val="ListParagraph"/>
        <w:numPr>
          <w:ilvl w:val="0"/>
          <w:numId w:val="1"/>
        </w:numPr>
        <w:tabs>
          <w:tab w:pos="686" w:val="left" w:leader="none"/>
        </w:tabs>
        <w:spacing w:line="240" w:lineRule="auto" w:before="110" w:after="0"/>
        <w:ind w:left="685" w:right="0" w:hanging="291"/>
        <w:jc w:val="left"/>
        <w:rPr>
          <w:b/>
          <w:sz w:val="19"/>
        </w:rPr>
      </w:pPr>
      <w:r>
        <w:rPr>
          <w:b/>
          <w:color w:val="231F20"/>
          <w:sz w:val="19"/>
        </w:rPr>
        <w:t>Introducción</w:t>
      </w:r>
    </w:p>
    <w:p>
      <w:pPr>
        <w:pStyle w:val="BodyText"/>
        <w:spacing w:before="9"/>
      </w:pPr>
    </w:p>
    <w:p>
      <w:pPr>
        <w:spacing w:line="244" w:lineRule="auto" w:before="0"/>
        <w:ind w:left="104" w:right="121" w:firstLine="581"/>
        <w:jc w:val="both"/>
        <w:rPr>
          <w:sz w:val="19"/>
        </w:rPr>
      </w:pPr>
      <w:r>
        <w:rPr>
          <w:color w:val="231F20"/>
          <w:sz w:val="19"/>
        </w:rPr>
        <w:t>La deontología cifra su propósito en definir los deberes que garantizan los bienes humanos específicos que son administrados a través del ejercicio profesional. Como señala Augusto Hortal, conviene establecer unas pautas  mínimas  obligatorias  que  valgan de criterio comunes sobre la responsabilidad </w:t>
      </w:r>
      <w:r>
        <w:rPr>
          <w:color w:val="231F20"/>
          <w:spacing w:val="47"/>
          <w:sz w:val="19"/>
        </w:rPr>
        <w:t> </w:t>
      </w:r>
      <w:r>
        <w:rPr>
          <w:color w:val="231F20"/>
          <w:sz w:val="19"/>
        </w:rPr>
        <w:t>profesional:</w:t>
      </w:r>
    </w:p>
    <w:p>
      <w:pPr>
        <w:spacing w:line="244" w:lineRule="auto" w:before="0"/>
        <w:ind w:left="104" w:right="116" w:firstLine="581"/>
        <w:jc w:val="both"/>
        <w:rPr>
          <w:sz w:val="19"/>
        </w:rPr>
      </w:pPr>
      <w:r>
        <w:rPr>
          <w:color w:val="231F20"/>
          <w:sz w:val="19"/>
        </w:rPr>
        <w:t>“</w:t>
      </w:r>
      <w:r>
        <w:rPr>
          <w:i/>
          <w:color w:val="231F20"/>
          <w:sz w:val="19"/>
        </w:rPr>
        <w:t>El bien es pluriforme; tiene muchas facetas. De ahí que no sea exigible a todos </w:t>
      </w:r>
      <w:r>
        <w:rPr>
          <w:i/>
          <w:color w:val="231F20"/>
          <w:sz w:val="19"/>
        </w:rPr>
        <w:t>en todos sus aspectos. Por eso hacen falta normas. Ellas tratan de salvaguardar unos mínimos obligatorios para todos, compartidos por todos en los mismos términos y que a todos se debe aplicar con idénticos criterios. Sin normas, no hay universalidad ni igualdad en las exigencias; sin igualdad y universalidad en las cuestiones necesarias,     la cooperación social consagra y legitima desigualdades y arbitrariedades. La deontología habla de lo que es vinculante para todos. De los espacios abiertos  y  plurales que quedan para el bien se ocupa la ética</w:t>
      </w:r>
      <w:r>
        <w:rPr>
          <w:color w:val="231F20"/>
          <w:sz w:val="19"/>
        </w:rPr>
        <w:t>”. (Hortal, A., 1994, pp. </w:t>
      </w:r>
      <w:r>
        <w:rPr>
          <w:color w:val="231F20"/>
          <w:spacing w:val="44"/>
          <w:sz w:val="19"/>
        </w:rPr>
        <w:t> </w:t>
      </w:r>
      <w:r>
        <w:rPr>
          <w:color w:val="231F20"/>
          <w:sz w:val="19"/>
        </w:rPr>
        <w:t>57-58)</w:t>
      </w:r>
    </w:p>
    <w:p>
      <w:pPr>
        <w:spacing w:line="244" w:lineRule="auto" w:before="0"/>
        <w:ind w:left="104" w:right="121" w:firstLine="636"/>
        <w:jc w:val="both"/>
        <w:rPr>
          <w:sz w:val="19"/>
        </w:rPr>
      </w:pPr>
      <w:r>
        <w:rPr>
          <w:color w:val="231F20"/>
          <w:sz w:val="19"/>
        </w:rPr>
        <w:t>Cualquier sistema normativo ha de ser interpretado en relación con los fines y valores que lo fundamentan y que constituyen al propio tiempo el referente para  denunciar las disfunciones que puedan detectarse en su aplicación.  También  la deontología es un sistema de “normas”, aunque sea “soft law” pero se trata de exigir a quien asume una función pública, como es la de un profesional, una serie de comportamientos en razón de su responsabilidad con la  </w:t>
      </w:r>
      <w:r>
        <w:rPr>
          <w:color w:val="231F20"/>
          <w:spacing w:val="6"/>
          <w:sz w:val="19"/>
        </w:rPr>
        <w:t> </w:t>
      </w:r>
      <w:r>
        <w:rPr>
          <w:color w:val="231F20"/>
          <w:sz w:val="19"/>
        </w:rPr>
        <w:t>ciudadanía.</w:t>
      </w:r>
    </w:p>
    <w:p>
      <w:pPr>
        <w:spacing w:line="244" w:lineRule="auto" w:before="0"/>
        <w:ind w:left="104" w:right="120" w:firstLine="636"/>
        <w:jc w:val="both"/>
        <w:rPr>
          <w:sz w:val="19"/>
        </w:rPr>
      </w:pPr>
      <w:r>
        <w:rPr>
          <w:color w:val="231F20"/>
          <w:sz w:val="19"/>
        </w:rPr>
        <w:t>Las profesiones son prácticas institucionalizadas para administrar con garantía bienes humanos básicos, tales como la enseñanza, la salud, la justicia o la información, entre otros. Por otro lado, en la práctica profesional hay que distinguir  los  bienes  internos de la actividad, que son aquellos que los fundamenta y que constituyen su finalidad (el del periodismo es, por ejemplo, la información de la  ciudadanía),  de  aquellos otros bienes externos que se derivan de su ejercicio y que reportan un beneficio social o económico al profesional (en el mismo caso podría ser la notoriedad pública o    la influencia política). La profesionalidad se deteriora cuando los bienes externos, es decir, enriquecimiento económico, fama o poder, son buscados como el objeto principal en el ejercicio de la profesión, desencadenando una inversión en el orden de los bienes asociados al ejercicio profesional (CORTINA, A., 2004). A este respecto, el periodista   ha de recordar siempre que la información no ha de estar al servicio de otros intereses   que el propio interés de los ciudadanos por conocer la verdad de manera independiente, honesta y</w:t>
      </w:r>
      <w:r>
        <w:rPr>
          <w:color w:val="231F20"/>
          <w:spacing w:val="23"/>
          <w:sz w:val="19"/>
        </w:rPr>
        <w:t> </w:t>
      </w:r>
      <w:r>
        <w:rPr>
          <w:color w:val="231F20"/>
          <w:sz w:val="19"/>
        </w:rPr>
        <w:t>veraz.</w:t>
      </w:r>
    </w:p>
    <w:p>
      <w:pPr>
        <w:pStyle w:val="BodyText"/>
        <w:spacing w:before="6"/>
        <w:rPr>
          <w:b w:val="0"/>
        </w:rPr>
      </w:pPr>
    </w:p>
    <w:p>
      <w:pPr>
        <w:pStyle w:val="ListParagraph"/>
        <w:numPr>
          <w:ilvl w:val="0"/>
          <w:numId w:val="1"/>
        </w:numPr>
        <w:tabs>
          <w:tab w:pos="686" w:val="left" w:leader="none"/>
        </w:tabs>
        <w:spacing w:line="240" w:lineRule="auto" w:before="0" w:after="0"/>
        <w:ind w:left="685" w:right="0" w:hanging="291"/>
        <w:jc w:val="left"/>
        <w:rPr>
          <w:b/>
          <w:sz w:val="19"/>
        </w:rPr>
      </w:pPr>
      <w:r>
        <w:rPr>
          <w:b/>
          <w:color w:val="231F20"/>
          <w:sz w:val="19"/>
        </w:rPr>
        <w:t>Razones para el autocontrol en el ámbito del </w:t>
      </w:r>
      <w:r>
        <w:rPr>
          <w:b/>
          <w:color w:val="231F20"/>
          <w:spacing w:val="42"/>
          <w:sz w:val="19"/>
        </w:rPr>
        <w:t> </w:t>
      </w:r>
      <w:r>
        <w:rPr>
          <w:b/>
          <w:color w:val="231F20"/>
          <w:sz w:val="19"/>
        </w:rPr>
        <w:t>periodismo</w:t>
      </w:r>
    </w:p>
    <w:p>
      <w:pPr>
        <w:pStyle w:val="BodyText"/>
        <w:spacing w:before="7"/>
      </w:pPr>
    </w:p>
    <w:p>
      <w:pPr>
        <w:spacing w:line="244" w:lineRule="auto" w:before="0"/>
        <w:ind w:left="104" w:right="122" w:firstLine="572"/>
        <w:jc w:val="both"/>
        <w:rPr>
          <w:sz w:val="19"/>
        </w:rPr>
      </w:pPr>
      <w:r>
        <w:rPr>
          <w:color w:val="231F20"/>
          <w:sz w:val="19"/>
        </w:rPr>
        <w:t>Hemos de comenzar por recordar el sentido atribuido a la ética de los medios de comunicación  que    planteaba  la  Resolución  1003  del  Consejo  de  Europa  sobre este</w:t>
      </w:r>
    </w:p>
    <w:p>
      <w:pPr>
        <w:pStyle w:val="BodyText"/>
        <w:rPr>
          <w:b w:val="0"/>
          <w:sz w:val="18"/>
        </w:rPr>
      </w:pPr>
    </w:p>
    <w:p>
      <w:pPr>
        <w:pStyle w:val="BodyText"/>
        <w:rPr>
          <w:b w:val="0"/>
          <w:sz w:val="18"/>
        </w:rPr>
      </w:pPr>
    </w:p>
    <w:p>
      <w:pPr>
        <w:pStyle w:val="BodyText"/>
        <w:spacing w:before="10"/>
        <w:rPr>
          <w:b w:val="0"/>
          <w:sz w:val="17"/>
        </w:rPr>
      </w:pPr>
    </w:p>
    <w:p>
      <w:pPr>
        <w:spacing w:before="0"/>
        <w:ind w:left="0" w:right="178" w:firstLine="0"/>
        <w:jc w:val="right"/>
        <w:rPr>
          <w:sz w:val="16"/>
        </w:rPr>
      </w:pPr>
      <w:r>
        <w:rPr>
          <w:sz w:val="16"/>
        </w:rPr>
        <w:t>72</w:t>
      </w:r>
    </w:p>
    <w:sectPr>
      <w:pgSz w:w="9640" w:h="13600"/>
      <w:pgMar w:top="1080" w:bottom="280" w:left="1280" w:right="12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685" w:hanging="291"/>
        <w:jc w:val="left"/>
      </w:pPr>
      <w:rPr>
        <w:rFonts w:hint="default" w:ascii="Times New Roman" w:hAnsi="Times New Roman" w:eastAsia="Times New Roman" w:cs="Times New Roman"/>
        <w:b/>
        <w:bCs/>
        <w:color w:val="231F20"/>
        <w:w w:val="102"/>
        <w:sz w:val="19"/>
        <w:szCs w:val="19"/>
      </w:rPr>
    </w:lvl>
    <w:lvl w:ilvl="1">
      <w:start w:val="1"/>
      <w:numFmt w:val="bullet"/>
      <w:lvlText w:val="•"/>
      <w:lvlJc w:val="left"/>
      <w:pPr>
        <w:ind w:left="1322" w:hanging="291"/>
      </w:pPr>
      <w:rPr>
        <w:rFonts w:hint="default"/>
      </w:rPr>
    </w:lvl>
    <w:lvl w:ilvl="2">
      <w:start w:val="1"/>
      <w:numFmt w:val="bullet"/>
      <w:lvlText w:val="•"/>
      <w:lvlJc w:val="left"/>
      <w:pPr>
        <w:ind w:left="1964" w:hanging="291"/>
      </w:pPr>
      <w:rPr>
        <w:rFonts w:hint="default"/>
      </w:rPr>
    </w:lvl>
    <w:lvl w:ilvl="3">
      <w:start w:val="1"/>
      <w:numFmt w:val="bullet"/>
      <w:lvlText w:val="•"/>
      <w:lvlJc w:val="left"/>
      <w:pPr>
        <w:ind w:left="2606" w:hanging="291"/>
      </w:pPr>
      <w:rPr>
        <w:rFonts w:hint="default"/>
      </w:rPr>
    </w:lvl>
    <w:lvl w:ilvl="4">
      <w:start w:val="1"/>
      <w:numFmt w:val="bullet"/>
      <w:lvlText w:val="•"/>
      <w:lvlJc w:val="left"/>
      <w:pPr>
        <w:ind w:left="3248" w:hanging="291"/>
      </w:pPr>
      <w:rPr>
        <w:rFonts w:hint="default"/>
      </w:rPr>
    </w:lvl>
    <w:lvl w:ilvl="5">
      <w:start w:val="1"/>
      <w:numFmt w:val="bullet"/>
      <w:lvlText w:val="•"/>
      <w:lvlJc w:val="left"/>
      <w:pPr>
        <w:ind w:left="3890" w:hanging="291"/>
      </w:pPr>
      <w:rPr>
        <w:rFonts w:hint="default"/>
      </w:rPr>
    </w:lvl>
    <w:lvl w:ilvl="6">
      <w:start w:val="1"/>
      <w:numFmt w:val="bullet"/>
      <w:lvlText w:val="•"/>
      <w:lvlJc w:val="left"/>
      <w:pPr>
        <w:ind w:left="4532" w:hanging="291"/>
      </w:pPr>
      <w:rPr>
        <w:rFonts w:hint="default"/>
      </w:rPr>
    </w:lvl>
    <w:lvl w:ilvl="7">
      <w:start w:val="1"/>
      <w:numFmt w:val="bullet"/>
      <w:lvlText w:val="•"/>
      <w:lvlJc w:val="left"/>
      <w:pPr>
        <w:ind w:left="5174" w:hanging="291"/>
      </w:pPr>
      <w:rPr>
        <w:rFonts w:hint="default"/>
      </w:rPr>
    </w:lvl>
    <w:lvl w:ilvl="8">
      <w:start w:val="1"/>
      <w:numFmt w:val="bullet"/>
      <w:lvlText w:val="•"/>
      <w:lvlJc w:val="left"/>
      <w:pPr>
        <w:ind w:left="5816" w:hanging="291"/>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b/>
      <w:bCs/>
      <w:sz w:val="19"/>
      <w:szCs w:val="19"/>
    </w:rPr>
  </w:style>
  <w:style w:styleId="Heading1" w:type="paragraph">
    <w:name w:val="Heading 1"/>
    <w:basedOn w:val="Normal"/>
    <w:uiPriority w:val="1"/>
    <w:qFormat/>
    <w:pPr>
      <w:spacing w:before="49"/>
      <w:ind w:left="478" w:right="497"/>
      <w:jc w:val="center"/>
      <w:outlineLvl w:val="1"/>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685" w:hanging="291"/>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yperlink" Target="mailto:info@dykinson.com" TargetMode="External"/><Relationship Id="rId7" Type="http://schemas.openxmlformats.org/officeDocument/2006/relationships/hyperlink" Target="http://www.dykinson.es/" TargetMode="External"/><Relationship Id="rId8" Type="http://schemas.openxmlformats.org/officeDocument/2006/relationships/hyperlink" Target="http://www.dykinson.com/" TargetMode="External"/><Relationship Id="rId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2017-05-24T19:10:47Z</dcterms:created>
  <dcterms:modified xsi:type="dcterms:W3CDTF">2017-05-24T19:10:47Z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