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jpeg" ContentType="image/jpeg"/>
  <Override PartName="/word/footer4.xml" ContentType="application/vnd.openxmlformats-officedocument.wordprocessingml.footer+xml"/>
  <Override PartName="/word/footer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spacing w:before="11"/>
        <w:rPr>
          <w:sz w:val="20"/>
        </w:rPr>
      </w:pPr>
    </w:p>
    <w:p>
      <w:pPr>
        <w:pStyle w:val="BodyText"/>
        <w:spacing w:line="278" w:lineRule="auto" w:before="69"/>
        <w:ind w:left="2402" w:right="105"/>
        <w:jc w:val="center"/>
      </w:pPr>
      <w:r>
        <w:rPr/>
        <w:pict>
          <v:group style="position:absolute;margin-left:85.543999pt;margin-top:-22.726856pt;width:2.35pt;height:364.3pt;mso-position-horizontal-relative:page;mso-position-vertical-relative:paragraph;z-index:0" coordorigin="1711,-455" coordsize="47,7286">
            <v:line style="position:absolute" from="1725,-441" to="1725,6817" stroked="true" strokeweight="1.368pt" strokecolor="#000000"/>
            <v:line style="position:absolute" from="1752,-441" to="1752,6817" stroked="true" strokeweight=".456pt" strokecolor="#000000"/>
            <w10:wrap type="none"/>
          </v:group>
        </w:pict>
      </w:r>
      <w:r>
        <w:rPr/>
        <w:pict>
          <v:group style="position:absolute;margin-left:99.824997pt;margin-top:-22.486855pt;width:2.35pt;height:289.2pt;mso-position-horizontal-relative:page;mso-position-vertical-relative:paragraph;z-index:1048" coordorigin="1996,-450" coordsize="47,5784">
            <v:line style="position:absolute" from="2010,-436" to="2010,5320" stroked="true" strokeweight="1.37pt" strokecolor="#000000"/>
            <v:line style="position:absolute" from="2038,-436" to="2038,5320" stroked="true" strokeweight=".46pt" strokecolor="#000000"/>
            <w10:wrap type="none"/>
          </v:group>
        </w:pict>
      </w:r>
      <w:r>
        <w:rPr/>
        <w:t>“ESTRATEGIAS DE ALIMENTACIÓN CON BASE EN EL PASTOREO PARA MODIFICAR EL PERFIL DE ÁCIDOS GRASOS EN LECHE”</w:t>
      </w:r>
    </w:p>
    <w:p>
      <w:pPr>
        <w:pStyle w:val="BodyText"/>
      </w:pPr>
    </w:p>
    <w:p>
      <w:pPr>
        <w:pStyle w:val="BodyText"/>
      </w:pPr>
    </w:p>
    <w:p>
      <w:pPr>
        <w:pStyle w:val="BodyText"/>
        <w:spacing w:before="1"/>
      </w:pPr>
    </w:p>
    <w:p>
      <w:pPr>
        <w:spacing w:before="0"/>
        <w:ind w:left="2400" w:right="105" w:firstLine="0"/>
        <w:jc w:val="center"/>
        <w:rPr>
          <w:b/>
          <w:sz w:val="44"/>
        </w:rPr>
      </w:pPr>
      <w:r>
        <w:rPr>
          <w:b/>
          <w:sz w:val="44"/>
        </w:rPr>
        <w:t>TESIS</w:t>
      </w:r>
    </w:p>
    <w:p>
      <w:pPr>
        <w:pStyle w:val="BodyText"/>
        <w:rPr>
          <w:b/>
          <w:sz w:val="44"/>
        </w:rPr>
      </w:pPr>
    </w:p>
    <w:p>
      <w:pPr>
        <w:pStyle w:val="BodyText"/>
        <w:spacing w:before="317"/>
        <w:ind w:left="2401" w:right="105"/>
        <w:jc w:val="center"/>
      </w:pPr>
      <w:r>
        <w:rPr/>
        <w:t>QUE PARA OBTENER EL GRADO DE DOCTOR EN CIENCIAS AGROPECUARIAS Y RECURSOS NATURALES</w:t>
      </w:r>
    </w:p>
    <w:p>
      <w:pPr>
        <w:pStyle w:val="BodyText"/>
      </w:pPr>
    </w:p>
    <w:p>
      <w:pPr>
        <w:pStyle w:val="BodyText"/>
      </w:pPr>
    </w:p>
    <w:p>
      <w:pPr>
        <w:pStyle w:val="BodyText"/>
      </w:pPr>
    </w:p>
    <w:p>
      <w:pPr>
        <w:pStyle w:val="BodyText"/>
      </w:pPr>
    </w:p>
    <w:p>
      <w:pPr>
        <w:pStyle w:val="BodyText"/>
        <w:ind w:left="2402" w:right="105"/>
        <w:jc w:val="center"/>
      </w:pPr>
      <w:r>
        <w:rPr/>
        <w:t>PRESENTA:</w:t>
      </w:r>
    </w:p>
    <w:p>
      <w:pPr>
        <w:pStyle w:val="Heading1"/>
        <w:spacing w:before="5"/>
        <w:ind w:left="2401" w:right="105"/>
        <w:jc w:val="center"/>
      </w:pPr>
      <w:r>
        <w:rPr/>
        <w:t>RODOLFO VIEYRA ALBERTO</w:t>
      </w:r>
    </w:p>
    <w:p>
      <w:pPr>
        <w:pStyle w:val="BodyText"/>
        <w:rPr>
          <w:b/>
        </w:rPr>
      </w:pPr>
    </w:p>
    <w:p>
      <w:pPr>
        <w:pStyle w:val="BodyText"/>
        <w:rPr>
          <w:b/>
        </w:rPr>
      </w:pPr>
    </w:p>
    <w:p>
      <w:pPr>
        <w:pStyle w:val="BodyText"/>
        <w:rPr>
          <w:b/>
        </w:rPr>
      </w:pPr>
    </w:p>
    <w:p>
      <w:pPr>
        <w:pStyle w:val="BodyText"/>
        <w:spacing w:before="8"/>
        <w:rPr>
          <w:b/>
          <w:sz w:val="23"/>
        </w:rPr>
      </w:pPr>
    </w:p>
    <w:p>
      <w:pPr>
        <w:spacing w:before="0"/>
        <w:ind w:left="2402" w:right="104" w:firstLine="0"/>
        <w:jc w:val="center"/>
        <w:rPr>
          <w:sz w:val="22"/>
        </w:rPr>
      </w:pPr>
      <w:r>
        <w:rPr>
          <w:sz w:val="22"/>
        </w:rPr>
        <w:t>El Cerrillo Piedras Blancas, Toluca, Estado de México, Enero 2017</w:t>
      </w:r>
    </w:p>
    <w:p>
      <w:pPr>
        <w:spacing w:after="0"/>
        <w:jc w:val="center"/>
        <w:rPr>
          <w:sz w:val="22"/>
        </w:rPr>
        <w:sectPr>
          <w:headerReference w:type="default" r:id="rId5"/>
          <w:type w:val="continuous"/>
          <w:pgSz w:w="12240" w:h="15840"/>
          <w:pgMar w:header="1829" w:top="3460" w:bottom="280" w:left="960" w:right="1500"/>
        </w:sectPr>
      </w:pPr>
    </w:p>
    <w:p>
      <w:pPr>
        <w:pStyle w:val="BodyText"/>
        <w:rPr>
          <w:sz w:val="20"/>
        </w:rPr>
      </w:pPr>
    </w:p>
    <w:p>
      <w:pPr>
        <w:pStyle w:val="BodyText"/>
        <w:rPr>
          <w:sz w:val="20"/>
        </w:rPr>
      </w:pPr>
    </w:p>
    <w:p>
      <w:pPr>
        <w:pStyle w:val="BodyText"/>
        <w:spacing w:before="1"/>
        <w:rPr>
          <w:sz w:val="21"/>
        </w:rPr>
      </w:pPr>
    </w:p>
    <w:p>
      <w:pPr>
        <w:pStyle w:val="BodyText"/>
        <w:spacing w:line="276" w:lineRule="auto"/>
        <w:ind w:left="2402" w:right="105"/>
        <w:jc w:val="center"/>
      </w:pPr>
      <w:r>
        <w:rPr/>
        <w:pict>
          <v:group style="position:absolute;margin-left:85.543999pt;margin-top:-26.29685pt;width:2.35pt;height:364.3pt;mso-position-horizontal-relative:page;mso-position-vertical-relative:paragraph;z-index:1072" coordorigin="1711,-526" coordsize="47,7286">
            <v:line style="position:absolute" from="1725,-512" to="1725,6746" stroked="true" strokeweight="1.368pt" strokecolor="#000000"/>
            <v:line style="position:absolute" from="1752,-512" to="1752,6746" stroked="true" strokeweight=".456pt" strokecolor="#000000"/>
            <w10:wrap type="none"/>
          </v:group>
        </w:pict>
      </w:r>
      <w:r>
        <w:rPr/>
        <w:pict>
          <v:group style="position:absolute;margin-left:99.824997pt;margin-top:-26.05685pt;width:2.35pt;height:289.2pt;mso-position-horizontal-relative:page;mso-position-vertical-relative:paragraph;z-index:1096" coordorigin="1996,-521" coordsize="47,5784">
            <v:line style="position:absolute" from="2010,-507" to="2010,5249" stroked="true" strokeweight="1.37pt" strokecolor="#000000"/>
            <v:line style="position:absolute" from="2038,-507" to="2038,5249" stroked="true" strokeweight=".46pt" strokecolor="#000000"/>
            <w10:wrap type="none"/>
          </v:group>
        </w:pict>
      </w:r>
      <w:r>
        <w:rPr/>
        <w:t>“ESTRATEGIAS DE ALIMENTACIÓN CON BASE EN EL PASTOREO PARA MODIFICAR EL PERFIL DE ÁCIDOS GRASOS EN LECHE”</w:t>
      </w:r>
    </w:p>
    <w:p>
      <w:pPr>
        <w:pStyle w:val="BodyText"/>
      </w:pPr>
    </w:p>
    <w:p>
      <w:pPr>
        <w:pStyle w:val="BodyText"/>
        <w:spacing w:before="4"/>
      </w:pPr>
    </w:p>
    <w:p>
      <w:pPr>
        <w:spacing w:before="0"/>
        <w:ind w:left="2400" w:right="105" w:firstLine="0"/>
        <w:jc w:val="center"/>
        <w:rPr>
          <w:b/>
          <w:sz w:val="44"/>
        </w:rPr>
      </w:pPr>
      <w:r>
        <w:rPr>
          <w:b/>
          <w:sz w:val="44"/>
        </w:rPr>
        <w:t>TESIS</w:t>
      </w:r>
    </w:p>
    <w:p>
      <w:pPr>
        <w:pStyle w:val="BodyText"/>
        <w:spacing w:before="6"/>
        <w:rPr>
          <w:b/>
          <w:sz w:val="47"/>
        </w:rPr>
      </w:pPr>
    </w:p>
    <w:p>
      <w:pPr>
        <w:pStyle w:val="BodyText"/>
        <w:ind w:left="2399" w:right="105"/>
        <w:jc w:val="center"/>
      </w:pPr>
      <w:r>
        <w:rPr/>
        <w:t>QUE PARA OBTENER EL GRADO DE DOCTOR EN CIENCIAS AGROPECUARIAS Y RECURSOS NATURALES</w:t>
      </w:r>
    </w:p>
    <w:p>
      <w:pPr>
        <w:pStyle w:val="BodyText"/>
      </w:pPr>
    </w:p>
    <w:p>
      <w:pPr>
        <w:pStyle w:val="BodyText"/>
      </w:pPr>
    </w:p>
    <w:p>
      <w:pPr>
        <w:pStyle w:val="BodyText"/>
      </w:pPr>
    </w:p>
    <w:p>
      <w:pPr>
        <w:pStyle w:val="BodyText"/>
        <w:ind w:left="2402" w:right="105"/>
        <w:jc w:val="center"/>
      </w:pPr>
      <w:r>
        <w:rPr/>
        <w:t>PRESENTA:</w:t>
      </w:r>
    </w:p>
    <w:p>
      <w:pPr>
        <w:pStyle w:val="Heading1"/>
        <w:spacing w:before="5"/>
        <w:ind w:left="2401" w:right="105"/>
        <w:jc w:val="center"/>
      </w:pPr>
      <w:r>
        <w:rPr/>
        <w:t>RODOLFO VIEYRA ALBERTO</w:t>
      </w:r>
    </w:p>
    <w:p>
      <w:pPr>
        <w:pStyle w:val="BodyText"/>
        <w:rPr>
          <w:b/>
        </w:rPr>
      </w:pPr>
    </w:p>
    <w:p>
      <w:pPr>
        <w:pStyle w:val="BodyText"/>
        <w:rPr>
          <w:b/>
        </w:rPr>
      </w:pPr>
    </w:p>
    <w:p>
      <w:pPr>
        <w:pStyle w:val="BodyText"/>
        <w:spacing w:before="2"/>
        <w:rPr>
          <w:b/>
        </w:rPr>
      </w:pPr>
    </w:p>
    <w:p>
      <w:pPr>
        <w:spacing w:before="0"/>
        <w:ind w:left="2401" w:right="105" w:firstLine="0"/>
        <w:jc w:val="center"/>
        <w:rPr>
          <w:b/>
          <w:sz w:val="24"/>
        </w:rPr>
      </w:pPr>
      <w:r>
        <w:rPr>
          <w:b/>
          <w:sz w:val="24"/>
        </w:rPr>
        <w:t>COMITÉ DE TUTORES</w:t>
      </w:r>
    </w:p>
    <w:p>
      <w:pPr>
        <w:pStyle w:val="BodyText"/>
        <w:spacing w:line="415" w:lineRule="auto" w:before="194"/>
        <w:ind w:left="4289" w:right="1990" w:firstLine="328"/>
      </w:pPr>
      <w:r>
        <w:rPr/>
        <w:t>Dr. Ernesto Morales Almaráz Dr. Ignacio Arturo Domínguez Vara Dr. Carlos Manuel Arriaga</w:t>
      </w:r>
      <w:r>
        <w:rPr>
          <w:spacing w:val="-9"/>
        </w:rPr>
        <w:t> </w:t>
      </w:r>
      <w:r>
        <w:rPr/>
        <w:t>Jordán</w:t>
      </w:r>
    </w:p>
    <w:p>
      <w:pPr>
        <w:pStyle w:val="BodyText"/>
      </w:pPr>
    </w:p>
    <w:p>
      <w:pPr>
        <w:pStyle w:val="BodyText"/>
        <w:spacing w:before="5"/>
      </w:pPr>
    </w:p>
    <w:p>
      <w:pPr>
        <w:spacing w:before="0"/>
        <w:ind w:left="2402" w:right="104" w:firstLine="0"/>
        <w:jc w:val="center"/>
        <w:rPr>
          <w:sz w:val="22"/>
        </w:rPr>
      </w:pPr>
      <w:r>
        <w:rPr>
          <w:sz w:val="22"/>
        </w:rPr>
        <w:t>El Cerrillo Piedras Blancas, Toluca, Estado de México, Enero 2017</w:t>
      </w:r>
    </w:p>
    <w:p>
      <w:pPr>
        <w:spacing w:after="0"/>
        <w:jc w:val="center"/>
        <w:rPr>
          <w:sz w:val="22"/>
        </w:rPr>
        <w:sectPr>
          <w:pgSz w:w="12240" w:h="15840"/>
          <w:pgMar w:header="1829" w:footer="0" w:top="3460" w:bottom="280" w:left="960" w:right="1500"/>
        </w:sectPr>
      </w:pPr>
    </w:p>
    <w:p>
      <w:pPr>
        <w:pStyle w:val="BodyText"/>
        <w:rPr>
          <w:sz w:val="20"/>
        </w:rPr>
      </w:pPr>
    </w:p>
    <w:p>
      <w:pPr>
        <w:pStyle w:val="BodyText"/>
        <w:spacing w:before="9"/>
        <w:rPr>
          <w:sz w:val="19"/>
        </w:rPr>
      </w:pPr>
    </w:p>
    <w:p>
      <w:pPr>
        <w:pStyle w:val="Heading1"/>
        <w:ind w:left="180" w:right="180"/>
        <w:jc w:val="center"/>
      </w:pPr>
      <w:r>
        <w:rPr/>
        <w:t>CONTENIDO</w:t>
      </w:r>
    </w:p>
    <w:p>
      <w:pPr>
        <w:spacing w:after="0"/>
        <w:jc w:val="center"/>
        <w:sectPr>
          <w:headerReference w:type="default" r:id="rId6"/>
          <w:footerReference w:type="default" r:id="rId7"/>
          <w:pgSz w:w="12240" w:h="15840"/>
          <w:pgMar w:header="1150" w:footer="1336" w:top="1340" w:bottom="2402" w:left="1720" w:right="1380"/>
          <w:pgNumType w:start="3"/>
        </w:sectPr>
      </w:pPr>
    </w:p>
    <w:sdt>
      <w:sdtPr>
        <w:docPartObj>
          <w:docPartGallery w:val="Table of Contents"/>
          <w:docPartUnique/>
        </w:docPartObj>
      </w:sdtPr>
      <w:sdtEndPr/>
      <w:sdtContent>
        <w:p>
          <w:pPr>
            <w:pStyle w:val="TOC1"/>
            <w:tabs>
              <w:tab w:pos="8981" w:val="right" w:leader="dot"/>
            </w:tabs>
            <w:spacing w:before="22"/>
            <w:rPr>
              <w:rFonts w:ascii="Calibri"/>
            </w:rPr>
          </w:pPr>
          <w:r>
            <w:rPr/>
            <w:t>DEDICATORIAS</w:t>
          </w:r>
          <w:r>
            <w:rPr>
              <w:rFonts w:ascii="Calibri"/>
            </w:rPr>
            <w:tab/>
            <w:t>i</w:t>
          </w:r>
        </w:p>
        <w:p>
          <w:pPr>
            <w:pStyle w:val="TOC1"/>
            <w:tabs>
              <w:tab w:pos="8981" w:val="right" w:leader="dot"/>
            </w:tabs>
            <w:rPr>
              <w:rFonts w:ascii="Calibri"/>
            </w:rPr>
          </w:pPr>
          <w:r>
            <w:rPr/>
            <w:t>AGRADECIMIENTOS</w:t>
          </w:r>
          <w:r>
            <w:rPr>
              <w:rFonts w:ascii="Calibri"/>
            </w:rPr>
            <w:tab/>
            <w:t>ii</w:t>
          </w:r>
        </w:p>
        <w:p>
          <w:pPr>
            <w:pStyle w:val="TOC1"/>
            <w:tabs>
              <w:tab w:pos="8982" w:val="right" w:leader="dot"/>
            </w:tabs>
            <w:spacing w:before="142"/>
            <w:rPr>
              <w:rFonts w:ascii="Calibri" w:hAnsi="Calibri"/>
            </w:rPr>
          </w:pPr>
          <w:hyperlink w:history="true" w:anchor="_bookmark0">
            <w:r>
              <w:rPr/>
              <w:t>ÍNDICE</w:t>
            </w:r>
            <w:r>
              <w:rPr>
                <w:spacing w:val="-1"/>
              </w:rPr>
              <w:t> </w:t>
            </w:r>
            <w:r>
              <w:rPr/>
              <w:t>DE</w:t>
            </w:r>
            <w:r>
              <w:rPr>
                <w:spacing w:val="-1"/>
              </w:rPr>
              <w:t> </w:t>
            </w:r>
            <w:r>
              <w:rPr/>
              <w:t>CUADROS</w:t>
            </w:r>
            <w:r>
              <w:rPr>
                <w:rFonts w:ascii="Calibri" w:hAnsi="Calibri"/>
              </w:rPr>
              <w:tab/>
              <w:t>v</w:t>
            </w:r>
          </w:hyperlink>
        </w:p>
        <w:p>
          <w:pPr>
            <w:pStyle w:val="TOC1"/>
            <w:tabs>
              <w:tab w:pos="8984" w:val="right" w:leader="dot"/>
            </w:tabs>
            <w:rPr>
              <w:rFonts w:ascii="Calibri" w:hAnsi="Calibri"/>
            </w:rPr>
          </w:pPr>
          <w:hyperlink w:history="true" w:anchor="_bookmark1">
            <w:r>
              <w:rPr/>
              <w:t>ÍNDICE</w:t>
            </w:r>
            <w:r>
              <w:rPr>
                <w:spacing w:val="-1"/>
              </w:rPr>
              <w:t> </w:t>
            </w:r>
            <w:r>
              <w:rPr/>
              <w:t>DE</w:t>
            </w:r>
            <w:r>
              <w:rPr>
                <w:spacing w:val="-1"/>
              </w:rPr>
              <w:t> </w:t>
            </w:r>
            <w:r>
              <w:rPr/>
              <w:t>FIGURAS</w:t>
            </w:r>
            <w:r>
              <w:rPr>
                <w:rFonts w:ascii="Calibri" w:hAnsi="Calibri"/>
              </w:rPr>
              <w:tab/>
              <w:t>vi</w:t>
            </w:r>
          </w:hyperlink>
        </w:p>
        <w:p>
          <w:pPr>
            <w:pStyle w:val="TOC1"/>
            <w:tabs>
              <w:tab w:pos="8981" w:val="right" w:leader="dot"/>
            </w:tabs>
            <w:rPr>
              <w:rFonts w:ascii="Calibri"/>
            </w:rPr>
          </w:pPr>
          <w:hyperlink w:history="true" w:anchor="_bookmark2">
            <w:r>
              <w:rPr/>
              <w:t>RESUMEN</w:t>
            </w:r>
            <w:r>
              <w:rPr>
                <w:rFonts w:ascii="Calibri"/>
              </w:rPr>
              <w:tab/>
              <w:t>viii</w:t>
            </w:r>
          </w:hyperlink>
        </w:p>
        <w:p>
          <w:pPr>
            <w:pStyle w:val="TOC1"/>
            <w:tabs>
              <w:tab w:pos="8980" w:val="right" w:leader="dot"/>
            </w:tabs>
            <w:spacing w:before="142"/>
            <w:rPr>
              <w:rFonts w:ascii="Calibri"/>
            </w:rPr>
          </w:pPr>
          <w:hyperlink w:history="true" w:anchor="_bookmark3">
            <w:r>
              <w:rPr/>
              <w:t>SUMMARY</w:t>
            </w:r>
            <w:r>
              <w:rPr>
                <w:rFonts w:ascii="Calibri"/>
              </w:rPr>
              <w:tab/>
              <w:t>x</w:t>
            </w:r>
          </w:hyperlink>
        </w:p>
        <w:p>
          <w:pPr>
            <w:pStyle w:val="TOC1"/>
            <w:numPr>
              <w:ilvl w:val="0"/>
              <w:numId w:val="1"/>
            </w:numPr>
            <w:tabs>
              <w:tab w:pos="335" w:val="left" w:leader="none"/>
              <w:tab w:pos="8982" w:val="right" w:leader="dot"/>
            </w:tabs>
            <w:spacing w:line="240" w:lineRule="auto" w:before="140" w:after="0"/>
            <w:ind w:left="334" w:right="0" w:hanging="182"/>
            <w:jc w:val="left"/>
            <w:rPr>
              <w:rFonts w:ascii="Calibri" w:hAnsi="Calibri"/>
            </w:rPr>
          </w:pPr>
          <w:hyperlink w:history="true" w:anchor="_bookmark4">
            <w:r>
              <w:rPr/>
              <w:t>INTRODUCCIÓN</w:t>
            </w:r>
            <w:r>
              <w:rPr>
                <w:rFonts w:ascii="Calibri" w:hAnsi="Calibri"/>
              </w:rPr>
              <w:tab/>
              <w:t>1</w:t>
            </w:r>
          </w:hyperlink>
        </w:p>
        <w:p>
          <w:pPr>
            <w:pStyle w:val="TOC1"/>
            <w:numPr>
              <w:ilvl w:val="0"/>
              <w:numId w:val="1"/>
            </w:numPr>
            <w:tabs>
              <w:tab w:pos="407" w:val="left" w:leader="none"/>
              <w:tab w:pos="8982" w:val="right" w:leader="dot"/>
            </w:tabs>
            <w:spacing w:line="240" w:lineRule="auto" w:before="139" w:after="0"/>
            <w:ind w:left="406" w:right="0" w:hanging="254"/>
            <w:jc w:val="left"/>
            <w:rPr>
              <w:rFonts w:ascii="Calibri" w:hAnsi="Calibri"/>
            </w:rPr>
          </w:pPr>
          <w:hyperlink w:history="true" w:anchor="_bookmark5">
            <w:r>
              <w:rPr/>
              <w:t>REVISIÓN</w:t>
            </w:r>
            <w:r>
              <w:rPr>
                <w:spacing w:val="-2"/>
              </w:rPr>
              <w:t> </w:t>
            </w:r>
            <w:r>
              <w:rPr/>
              <w:t>DE</w:t>
            </w:r>
            <w:r>
              <w:rPr>
                <w:spacing w:val="-1"/>
              </w:rPr>
              <w:t> </w:t>
            </w:r>
            <w:r>
              <w:rPr/>
              <w:t>LITERATURA</w:t>
            </w:r>
            <w:r>
              <w:rPr>
                <w:rFonts w:ascii="Calibri" w:hAnsi="Calibri"/>
              </w:rPr>
              <w:tab/>
              <w:t>5</w:t>
            </w:r>
          </w:hyperlink>
        </w:p>
        <w:p>
          <w:pPr>
            <w:pStyle w:val="TOC2"/>
            <w:numPr>
              <w:ilvl w:val="1"/>
              <w:numId w:val="2"/>
            </w:numPr>
            <w:tabs>
              <w:tab w:pos="760" w:val="left" w:leader="none"/>
              <w:tab w:pos="8982" w:val="right" w:leader="dot"/>
            </w:tabs>
            <w:spacing w:line="240" w:lineRule="auto" w:before="142" w:after="0"/>
            <w:ind w:left="759" w:right="0" w:hanging="386"/>
            <w:jc w:val="left"/>
            <w:rPr>
              <w:rFonts w:ascii="Calibri" w:hAnsi="Calibri"/>
              <w:b w:val="0"/>
            </w:rPr>
          </w:pPr>
          <w:hyperlink w:history="true" w:anchor="_bookmark6">
            <w:r>
              <w:rPr/>
              <w:t>Situación actual de la producción de leche de bovino</w:t>
            </w:r>
            <w:r>
              <w:rPr>
                <w:spacing w:val="-8"/>
              </w:rPr>
              <w:t> </w:t>
            </w:r>
            <w:r>
              <w:rPr/>
              <w:t>en</w:t>
            </w:r>
            <w:r>
              <w:rPr>
                <w:spacing w:val="-4"/>
              </w:rPr>
              <w:t> </w:t>
            </w:r>
            <w:r>
              <w:rPr/>
              <w:t>México</w:t>
            </w:r>
            <w:r>
              <w:rPr>
                <w:rFonts w:ascii="Calibri" w:hAnsi="Calibri"/>
                <w:b w:val="0"/>
              </w:rPr>
              <w:tab/>
              <w:t>5</w:t>
            </w:r>
          </w:hyperlink>
        </w:p>
        <w:p>
          <w:pPr>
            <w:pStyle w:val="TOC2"/>
            <w:numPr>
              <w:ilvl w:val="1"/>
              <w:numId w:val="2"/>
            </w:numPr>
            <w:tabs>
              <w:tab w:pos="758" w:val="left" w:leader="none"/>
              <w:tab w:pos="8982" w:val="right" w:leader="dot"/>
            </w:tabs>
            <w:spacing w:line="240" w:lineRule="auto" w:before="139" w:after="0"/>
            <w:ind w:left="757" w:right="0" w:hanging="384"/>
            <w:jc w:val="left"/>
            <w:rPr>
              <w:rFonts w:ascii="Calibri" w:hAnsi="Calibri"/>
              <w:b w:val="0"/>
            </w:rPr>
          </w:pPr>
          <w:hyperlink w:history="true" w:anchor="_bookmark7">
            <w:r>
              <w:rPr/>
              <w:t>Población de bovinos en México de acuerdo al</w:t>
            </w:r>
            <w:r>
              <w:rPr>
                <w:spacing w:val="-8"/>
              </w:rPr>
              <w:t> </w:t>
            </w:r>
            <w:r>
              <w:rPr/>
              <w:t>fin</w:t>
            </w:r>
            <w:r>
              <w:rPr>
                <w:spacing w:val="-1"/>
              </w:rPr>
              <w:t> </w:t>
            </w:r>
            <w:r>
              <w:rPr/>
              <w:t>zootécnico</w:t>
            </w:r>
            <w:r>
              <w:rPr>
                <w:rFonts w:ascii="Calibri" w:hAnsi="Calibri"/>
                <w:b w:val="0"/>
              </w:rPr>
              <w:tab/>
              <w:t>6</w:t>
            </w:r>
          </w:hyperlink>
        </w:p>
        <w:p>
          <w:pPr>
            <w:pStyle w:val="TOC2"/>
            <w:numPr>
              <w:ilvl w:val="1"/>
              <w:numId w:val="2"/>
            </w:numPr>
            <w:tabs>
              <w:tab w:pos="760" w:val="left" w:leader="none"/>
              <w:tab w:pos="8982" w:val="right" w:leader="dot"/>
            </w:tabs>
            <w:spacing w:line="240" w:lineRule="auto" w:before="139" w:after="0"/>
            <w:ind w:left="759" w:right="0" w:hanging="386"/>
            <w:jc w:val="left"/>
            <w:rPr>
              <w:rFonts w:ascii="Calibri"/>
              <w:b w:val="0"/>
            </w:rPr>
          </w:pPr>
          <w:hyperlink w:history="true" w:anchor="_bookmark8">
            <w:r>
              <w:rPr/>
              <w:t>La leche</w:t>
            </w:r>
            <w:r>
              <w:rPr>
                <w:rFonts w:ascii="Calibri"/>
                <w:b w:val="0"/>
              </w:rPr>
              <w:tab/>
              <w:t>7</w:t>
            </w:r>
          </w:hyperlink>
        </w:p>
        <w:p>
          <w:pPr>
            <w:pStyle w:val="TOC3"/>
            <w:numPr>
              <w:ilvl w:val="2"/>
              <w:numId w:val="2"/>
            </w:numPr>
            <w:tabs>
              <w:tab w:pos="1144" w:val="left" w:leader="none"/>
              <w:tab w:pos="8983" w:val="right" w:leader="dot"/>
            </w:tabs>
            <w:spacing w:line="240" w:lineRule="auto" w:before="142" w:after="0"/>
            <w:ind w:left="1143" w:right="0" w:hanging="552"/>
            <w:jc w:val="left"/>
            <w:rPr>
              <w:rFonts w:ascii="Calibri" w:hAnsi="Calibri"/>
              <w:b w:val="0"/>
            </w:rPr>
          </w:pPr>
          <w:hyperlink w:history="true" w:anchor="_bookmark9">
            <w:r>
              <w:rPr/>
              <w:t>La proteína en</w:t>
            </w:r>
            <w:r>
              <w:rPr>
                <w:spacing w:val="-3"/>
              </w:rPr>
              <w:t> </w:t>
            </w:r>
            <w:r>
              <w:rPr/>
              <w:t>la</w:t>
            </w:r>
            <w:r>
              <w:rPr>
                <w:spacing w:val="-3"/>
              </w:rPr>
              <w:t> </w:t>
            </w:r>
            <w:r>
              <w:rPr/>
              <w:t>leche</w:t>
            </w:r>
            <w:r>
              <w:rPr>
                <w:rFonts w:ascii="Calibri" w:hAnsi="Calibri"/>
                <w:b w:val="0"/>
              </w:rPr>
              <w:tab/>
              <w:t>11</w:t>
            </w:r>
          </w:hyperlink>
        </w:p>
        <w:p>
          <w:pPr>
            <w:pStyle w:val="TOC3"/>
            <w:tabs>
              <w:tab w:pos="8983" w:val="right" w:leader="dot"/>
            </w:tabs>
            <w:ind w:left="591" w:firstLine="0"/>
            <w:rPr>
              <w:rFonts w:ascii="Calibri"/>
              <w:b w:val="0"/>
            </w:rPr>
          </w:pPr>
          <w:hyperlink w:history="true" w:anchor="_bookmark10">
            <w:r>
              <w:rPr/>
              <w:t>2.3.3. La grasa de</w:t>
            </w:r>
            <w:r>
              <w:rPr>
                <w:spacing w:val="-2"/>
              </w:rPr>
              <w:t> </w:t>
            </w:r>
            <w:r>
              <w:rPr/>
              <w:t>la</w:t>
            </w:r>
            <w:r>
              <w:rPr>
                <w:spacing w:val="-3"/>
              </w:rPr>
              <w:t> </w:t>
            </w:r>
            <w:r>
              <w:rPr/>
              <w:t>leche</w:t>
            </w:r>
            <w:r>
              <w:rPr>
                <w:rFonts w:ascii="Calibri"/>
                <w:b w:val="0"/>
              </w:rPr>
              <w:tab/>
              <w:t>14</w:t>
            </w:r>
          </w:hyperlink>
        </w:p>
        <w:p>
          <w:pPr>
            <w:pStyle w:val="TOC2"/>
            <w:numPr>
              <w:ilvl w:val="1"/>
              <w:numId w:val="2"/>
            </w:numPr>
            <w:tabs>
              <w:tab w:pos="760" w:val="left" w:leader="none"/>
              <w:tab w:pos="8983" w:val="right" w:leader="dot"/>
            </w:tabs>
            <w:spacing w:line="240" w:lineRule="auto" w:before="139" w:after="0"/>
            <w:ind w:left="759" w:right="0" w:hanging="386"/>
            <w:jc w:val="left"/>
            <w:rPr>
              <w:rFonts w:ascii="Calibri" w:hAnsi="Calibri"/>
              <w:b w:val="0"/>
            </w:rPr>
          </w:pPr>
          <w:hyperlink w:history="true" w:anchor="_bookmark11">
            <w:r>
              <w:rPr/>
              <w:t>El ácido linoleico</w:t>
            </w:r>
            <w:r>
              <w:rPr>
                <w:spacing w:val="-5"/>
              </w:rPr>
              <w:t> </w:t>
            </w:r>
            <w:r>
              <w:rPr/>
              <w:t>conjugado</w:t>
            </w:r>
            <w:r>
              <w:rPr>
                <w:spacing w:val="-1"/>
              </w:rPr>
              <w:t> </w:t>
            </w:r>
            <w:r>
              <w:rPr/>
              <w:t>(CLA)</w:t>
            </w:r>
            <w:r>
              <w:rPr>
                <w:rFonts w:ascii="Calibri" w:hAnsi="Calibri"/>
                <w:b w:val="0"/>
              </w:rPr>
              <w:tab/>
              <w:t>20</w:t>
            </w:r>
          </w:hyperlink>
        </w:p>
        <w:p>
          <w:pPr>
            <w:pStyle w:val="TOC2"/>
            <w:numPr>
              <w:ilvl w:val="1"/>
              <w:numId w:val="2"/>
            </w:numPr>
            <w:tabs>
              <w:tab w:pos="760" w:val="left" w:leader="none"/>
              <w:tab w:pos="8983" w:val="right" w:leader="dot"/>
            </w:tabs>
            <w:spacing w:line="240" w:lineRule="auto" w:before="142" w:after="0"/>
            <w:ind w:left="759" w:right="0" w:hanging="386"/>
            <w:jc w:val="left"/>
            <w:rPr>
              <w:rFonts w:ascii="Calibri" w:hAnsi="Calibri"/>
              <w:b w:val="0"/>
            </w:rPr>
          </w:pPr>
          <w:hyperlink w:history="true" w:anchor="_bookmark12">
            <w:r>
              <w:rPr/>
              <w:t>Modificación del </w:t>
            </w:r>
            <w:r>
              <w:rPr>
                <w:spacing w:val="-2"/>
              </w:rPr>
              <w:t>CLA </w:t>
            </w:r>
            <w:r>
              <w:rPr/>
              <w:t>en la leche de vacas</w:t>
            </w:r>
            <w:r>
              <w:rPr>
                <w:spacing w:val="-3"/>
              </w:rPr>
              <w:t> </w:t>
            </w:r>
            <w:r>
              <w:rPr/>
              <w:t>en</w:t>
            </w:r>
            <w:r>
              <w:rPr>
                <w:spacing w:val="-3"/>
              </w:rPr>
              <w:t> </w:t>
            </w:r>
            <w:r>
              <w:rPr/>
              <w:t>pastoreo</w:t>
            </w:r>
            <w:r>
              <w:rPr>
                <w:rFonts w:ascii="Calibri" w:hAnsi="Calibri"/>
                <w:b w:val="0"/>
              </w:rPr>
              <w:tab/>
              <w:t>26</w:t>
            </w:r>
          </w:hyperlink>
        </w:p>
        <w:p>
          <w:pPr>
            <w:pStyle w:val="TOC3"/>
            <w:numPr>
              <w:ilvl w:val="2"/>
              <w:numId w:val="2"/>
            </w:numPr>
            <w:tabs>
              <w:tab w:pos="1144" w:val="left" w:leader="none"/>
              <w:tab w:pos="8983" w:val="right" w:leader="dot"/>
            </w:tabs>
            <w:spacing w:line="240" w:lineRule="auto" w:before="139" w:after="0"/>
            <w:ind w:left="1143" w:right="0" w:hanging="552"/>
            <w:jc w:val="left"/>
            <w:rPr>
              <w:rFonts w:ascii="Calibri" w:hAnsi="Calibri"/>
              <w:b w:val="0"/>
            </w:rPr>
          </w:pPr>
          <w:hyperlink w:history="true" w:anchor="_bookmark13">
            <w:r>
              <w:rPr/>
              <w:t>La adición de lípidos en la dieta de vacas lecheras</w:t>
            </w:r>
            <w:r>
              <w:rPr>
                <w:spacing w:val="-9"/>
              </w:rPr>
              <w:t> </w:t>
            </w:r>
            <w:r>
              <w:rPr/>
              <w:t>en</w:t>
            </w:r>
            <w:r>
              <w:rPr>
                <w:spacing w:val="-1"/>
              </w:rPr>
              <w:t> </w:t>
            </w:r>
            <w:r>
              <w:rPr/>
              <w:t>pastoreo</w:t>
            </w:r>
            <w:r>
              <w:rPr>
                <w:rFonts w:ascii="Calibri" w:hAnsi="Calibri"/>
                <w:b w:val="0"/>
              </w:rPr>
              <w:tab/>
              <w:t>28</w:t>
            </w:r>
          </w:hyperlink>
        </w:p>
        <w:p>
          <w:pPr>
            <w:pStyle w:val="TOC1"/>
            <w:numPr>
              <w:ilvl w:val="0"/>
              <w:numId w:val="1"/>
            </w:numPr>
            <w:tabs>
              <w:tab w:pos="482" w:val="left" w:leader="none"/>
              <w:tab w:pos="8983" w:val="right" w:leader="dot"/>
            </w:tabs>
            <w:spacing w:line="240" w:lineRule="auto" w:before="142" w:after="0"/>
            <w:ind w:left="481" w:right="0" w:hanging="329"/>
            <w:jc w:val="left"/>
            <w:rPr>
              <w:rFonts w:ascii="Calibri" w:hAnsi="Calibri"/>
            </w:rPr>
          </w:pPr>
          <w:hyperlink w:history="true" w:anchor="_bookmark14">
            <w:r>
              <w:rPr/>
              <w:t>JUSTIFICACIÓN</w:t>
            </w:r>
            <w:r>
              <w:rPr>
                <w:rFonts w:ascii="Calibri" w:hAnsi="Calibri"/>
              </w:rPr>
              <w:tab/>
              <w:t>34</w:t>
            </w:r>
          </w:hyperlink>
        </w:p>
        <w:p>
          <w:pPr>
            <w:pStyle w:val="TOC1"/>
            <w:numPr>
              <w:ilvl w:val="0"/>
              <w:numId w:val="1"/>
            </w:numPr>
            <w:tabs>
              <w:tab w:pos="493" w:val="left" w:leader="none"/>
              <w:tab w:pos="8983" w:val="right" w:leader="dot"/>
            </w:tabs>
            <w:spacing w:line="240" w:lineRule="auto" w:before="139" w:after="0"/>
            <w:ind w:left="492" w:right="0" w:hanging="340"/>
            <w:jc w:val="left"/>
            <w:rPr>
              <w:rFonts w:ascii="Calibri" w:hAnsi="Calibri"/>
            </w:rPr>
          </w:pPr>
          <w:hyperlink w:history="true" w:anchor="_bookmark15">
            <w:r>
              <w:rPr/>
              <w:t>HIPÓTESIS</w:t>
            </w:r>
            <w:r>
              <w:rPr>
                <w:rFonts w:ascii="Calibri" w:hAnsi="Calibri"/>
              </w:rPr>
              <w:tab/>
              <w:t>36</w:t>
            </w:r>
          </w:hyperlink>
        </w:p>
        <w:p>
          <w:pPr>
            <w:pStyle w:val="TOC1"/>
            <w:numPr>
              <w:ilvl w:val="0"/>
              <w:numId w:val="1"/>
            </w:numPr>
            <w:tabs>
              <w:tab w:pos="424" w:val="left" w:leader="none"/>
              <w:tab w:pos="8983" w:val="right" w:leader="dot"/>
            </w:tabs>
            <w:spacing w:line="240" w:lineRule="auto" w:before="139" w:after="0"/>
            <w:ind w:left="423" w:right="0" w:hanging="271"/>
            <w:jc w:val="left"/>
            <w:rPr>
              <w:rFonts w:ascii="Calibri"/>
            </w:rPr>
          </w:pPr>
          <w:hyperlink w:history="true" w:anchor="_bookmark16">
            <w:r>
              <w:rPr/>
              <w:t>OBJETIVOS</w:t>
            </w:r>
            <w:r>
              <w:rPr>
                <w:rFonts w:ascii="Calibri"/>
              </w:rPr>
              <w:tab/>
              <w:t>37</w:t>
            </w:r>
          </w:hyperlink>
        </w:p>
        <w:p>
          <w:pPr>
            <w:pStyle w:val="TOC2"/>
            <w:tabs>
              <w:tab w:pos="8983" w:val="right" w:leader="dot"/>
            </w:tabs>
            <w:spacing w:before="142"/>
            <w:ind w:left="373" w:firstLine="0"/>
            <w:rPr>
              <w:rFonts w:ascii="Calibri"/>
              <w:b w:val="0"/>
            </w:rPr>
          </w:pPr>
          <w:hyperlink w:history="true" w:anchor="_bookmark17">
            <w:r>
              <w:rPr/>
              <w:t>Objetivo</w:t>
            </w:r>
            <w:r>
              <w:rPr>
                <w:spacing w:val="-1"/>
              </w:rPr>
              <w:t> </w:t>
            </w:r>
            <w:r>
              <w:rPr/>
              <w:t>general</w:t>
            </w:r>
            <w:r>
              <w:rPr>
                <w:rFonts w:ascii="Calibri"/>
                <w:b w:val="0"/>
              </w:rPr>
              <w:tab/>
              <w:t>37</w:t>
            </w:r>
          </w:hyperlink>
        </w:p>
        <w:p>
          <w:pPr>
            <w:pStyle w:val="TOC2"/>
            <w:tabs>
              <w:tab w:pos="8983" w:val="right" w:leader="dot"/>
            </w:tabs>
            <w:ind w:left="373" w:firstLine="0"/>
            <w:rPr>
              <w:rFonts w:ascii="Calibri" w:hAnsi="Calibri"/>
              <w:b w:val="0"/>
            </w:rPr>
          </w:pPr>
          <w:hyperlink w:history="true" w:anchor="_bookmark18">
            <w:r>
              <w:rPr/>
              <w:t>Objetivos</w:t>
            </w:r>
            <w:r>
              <w:rPr>
                <w:spacing w:val="-2"/>
              </w:rPr>
              <w:t> </w:t>
            </w:r>
            <w:r>
              <w:rPr/>
              <w:t>específicos</w:t>
            </w:r>
            <w:r>
              <w:rPr>
                <w:rFonts w:ascii="Calibri" w:hAnsi="Calibri"/>
                <w:b w:val="0"/>
              </w:rPr>
              <w:tab/>
              <w:t>37</w:t>
            </w:r>
          </w:hyperlink>
        </w:p>
        <w:p>
          <w:pPr>
            <w:pStyle w:val="TOC1"/>
            <w:numPr>
              <w:ilvl w:val="0"/>
              <w:numId w:val="1"/>
            </w:numPr>
            <w:tabs>
              <w:tab w:pos="493" w:val="left" w:leader="none"/>
              <w:tab w:pos="8983" w:val="right" w:leader="dot"/>
            </w:tabs>
            <w:spacing w:line="240" w:lineRule="auto" w:before="139" w:after="0"/>
            <w:ind w:left="492" w:right="0" w:hanging="340"/>
            <w:jc w:val="left"/>
            <w:rPr>
              <w:rFonts w:ascii="Calibri" w:hAnsi="Calibri"/>
            </w:rPr>
          </w:pPr>
          <w:hyperlink w:history="true" w:anchor="_bookmark19">
            <w:r>
              <w:rPr/>
              <w:t>MATERIALES Y</w:t>
            </w:r>
            <w:r>
              <w:rPr>
                <w:spacing w:val="-2"/>
              </w:rPr>
              <w:t> </w:t>
            </w:r>
            <w:r>
              <w:rPr/>
              <w:t>MÉTODOS</w:t>
            </w:r>
            <w:r>
              <w:rPr>
                <w:rFonts w:ascii="Calibri" w:hAnsi="Calibri"/>
              </w:rPr>
              <w:tab/>
              <w:t>38</w:t>
            </w:r>
          </w:hyperlink>
        </w:p>
        <w:p>
          <w:pPr>
            <w:pStyle w:val="TOC2"/>
            <w:numPr>
              <w:ilvl w:val="1"/>
              <w:numId w:val="3"/>
            </w:numPr>
            <w:tabs>
              <w:tab w:pos="760" w:val="left" w:leader="none"/>
              <w:tab w:pos="8983" w:val="right" w:leader="dot"/>
            </w:tabs>
            <w:spacing w:line="240" w:lineRule="auto" w:before="142" w:after="0"/>
            <w:ind w:left="759" w:right="0" w:hanging="386"/>
            <w:jc w:val="left"/>
            <w:rPr>
              <w:rFonts w:ascii="Calibri" w:hAnsi="Calibri"/>
              <w:b w:val="0"/>
            </w:rPr>
          </w:pPr>
          <w:hyperlink w:history="true" w:anchor="_bookmark20">
            <w:r>
              <w:rPr/>
              <w:t>Área de estudio</w:t>
            </w:r>
            <w:r>
              <w:rPr>
                <w:rFonts w:ascii="Calibri" w:hAnsi="Calibri"/>
                <w:b w:val="0"/>
              </w:rPr>
              <w:tab/>
              <w:t>38</w:t>
            </w:r>
          </w:hyperlink>
        </w:p>
        <w:p>
          <w:pPr>
            <w:pStyle w:val="TOC2"/>
            <w:numPr>
              <w:ilvl w:val="1"/>
              <w:numId w:val="3"/>
            </w:numPr>
            <w:tabs>
              <w:tab w:pos="760" w:val="left" w:leader="none"/>
              <w:tab w:pos="8983" w:val="right" w:leader="dot"/>
            </w:tabs>
            <w:spacing w:line="240" w:lineRule="auto" w:before="139" w:after="0"/>
            <w:ind w:left="759" w:right="0" w:hanging="386"/>
            <w:jc w:val="left"/>
            <w:rPr>
              <w:rFonts w:ascii="Calibri" w:hAnsi="Calibri"/>
              <w:b w:val="0"/>
            </w:rPr>
          </w:pPr>
          <w:hyperlink w:history="true" w:anchor="_bookmark21">
            <w:r>
              <w:rPr/>
              <w:t>Animales, diseño experimental</w:t>
            </w:r>
            <w:r>
              <w:rPr>
                <w:spacing w:val="-6"/>
              </w:rPr>
              <w:t> </w:t>
            </w:r>
            <w:r>
              <w:rPr/>
              <w:t>y</w:t>
            </w:r>
            <w:r>
              <w:rPr>
                <w:spacing w:val="-1"/>
              </w:rPr>
              <w:t> </w:t>
            </w:r>
            <w:r>
              <w:rPr/>
              <w:t>tratamientos</w:t>
            </w:r>
            <w:r>
              <w:rPr>
                <w:rFonts w:ascii="Calibri" w:hAnsi="Calibri"/>
                <w:b w:val="0"/>
              </w:rPr>
              <w:tab/>
              <w:t>38</w:t>
            </w:r>
          </w:hyperlink>
        </w:p>
        <w:p>
          <w:pPr>
            <w:pStyle w:val="TOC2"/>
            <w:numPr>
              <w:ilvl w:val="1"/>
              <w:numId w:val="3"/>
            </w:numPr>
            <w:tabs>
              <w:tab w:pos="760" w:val="left" w:leader="none"/>
              <w:tab w:pos="8983" w:val="right" w:leader="dot"/>
            </w:tabs>
            <w:spacing w:line="240" w:lineRule="auto" w:before="139" w:after="0"/>
            <w:ind w:left="759" w:right="0" w:hanging="386"/>
            <w:jc w:val="left"/>
            <w:rPr>
              <w:rFonts w:ascii="Calibri"/>
              <w:b w:val="0"/>
            </w:rPr>
          </w:pPr>
          <w:hyperlink w:history="true" w:anchor="_bookmark22">
            <w:r>
              <w:rPr/>
              <w:t>Desarrollo</w:t>
            </w:r>
            <w:r>
              <w:rPr>
                <w:spacing w:val="-3"/>
              </w:rPr>
              <w:t> </w:t>
            </w:r>
            <w:r>
              <w:rPr/>
              <w:t>experimental</w:t>
            </w:r>
            <w:r>
              <w:rPr>
                <w:rFonts w:ascii="Calibri"/>
                <w:b w:val="0"/>
              </w:rPr>
              <w:tab/>
              <w:t>39</w:t>
            </w:r>
          </w:hyperlink>
        </w:p>
        <w:p>
          <w:pPr>
            <w:pStyle w:val="TOC2"/>
            <w:numPr>
              <w:ilvl w:val="1"/>
              <w:numId w:val="3"/>
            </w:numPr>
            <w:tabs>
              <w:tab w:pos="760" w:val="left" w:leader="none"/>
              <w:tab w:pos="8983" w:val="right" w:leader="dot"/>
            </w:tabs>
            <w:spacing w:line="240" w:lineRule="auto" w:before="142" w:after="0"/>
            <w:ind w:left="759" w:right="0" w:hanging="386"/>
            <w:jc w:val="left"/>
            <w:rPr>
              <w:rFonts w:ascii="Calibri" w:hAnsi="Calibri"/>
              <w:b w:val="0"/>
            </w:rPr>
          </w:pPr>
          <w:hyperlink w:history="true" w:anchor="_bookmark23">
            <w:r>
              <w:rPr/>
              <w:t>Análisis</w:t>
            </w:r>
            <w:r>
              <w:rPr>
                <w:spacing w:val="-1"/>
              </w:rPr>
              <w:t> </w:t>
            </w:r>
            <w:r>
              <w:rPr/>
              <w:t>de</w:t>
            </w:r>
            <w:r>
              <w:rPr>
                <w:spacing w:val="-3"/>
              </w:rPr>
              <w:t> </w:t>
            </w:r>
            <w:r>
              <w:rPr/>
              <w:t>laboratorio</w:t>
            </w:r>
            <w:r>
              <w:rPr>
                <w:rFonts w:ascii="Calibri" w:hAnsi="Calibri"/>
                <w:b w:val="0"/>
              </w:rPr>
              <w:tab/>
              <w:t>44</w:t>
            </w:r>
          </w:hyperlink>
        </w:p>
        <w:p>
          <w:pPr>
            <w:pStyle w:val="TOC2"/>
            <w:numPr>
              <w:ilvl w:val="1"/>
              <w:numId w:val="3"/>
            </w:numPr>
            <w:tabs>
              <w:tab w:pos="760" w:val="left" w:leader="none"/>
              <w:tab w:pos="8983" w:val="right" w:leader="dot"/>
            </w:tabs>
            <w:spacing w:line="240" w:lineRule="auto" w:before="139" w:after="0"/>
            <w:ind w:left="759" w:right="0" w:hanging="386"/>
            <w:jc w:val="left"/>
            <w:rPr>
              <w:rFonts w:ascii="Calibri" w:hAnsi="Calibri"/>
              <w:b w:val="0"/>
            </w:rPr>
          </w:pPr>
          <w:hyperlink w:history="true" w:anchor="_bookmark24">
            <w:r>
              <w:rPr/>
              <w:t>Análisis</w:t>
            </w:r>
            <w:r>
              <w:rPr>
                <w:spacing w:val="-1"/>
              </w:rPr>
              <w:t> </w:t>
            </w:r>
            <w:r>
              <w:rPr/>
              <w:t>estadístico</w:t>
            </w:r>
            <w:r>
              <w:rPr>
                <w:rFonts w:ascii="Calibri" w:hAnsi="Calibri"/>
                <w:b w:val="0"/>
              </w:rPr>
              <w:tab/>
              <w:t>45</w:t>
            </w:r>
          </w:hyperlink>
        </w:p>
        <w:p>
          <w:pPr>
            <w:pStyle w:val="TOC1"/>
            <w:numPr>
              <w:ilvl w:val="0"/>
              <w:numId w:val="1"/>
            </w:numPr>
            <w:tabs>
              <w:tab w:pos="566" w:val="left" w:leader="none"/>
              <w:tab w:pos="8983" w:val="right" w:leader="dot"/>
            </w:tabs>
            <w:spacing w:line="240" w:lineRule="auto" w:before="139" w:after="0"/>
            <w:ind w:left="565" w:right="0" w:hanging="413"/>
            <w:jc w:val="left"/>
            <w:rPr>
              <w:rFonts w:ascii="Calibri"/>
            </w:rPr>
          </w:pPr>
          <w:hyperlink w:history="true" w:anchor="_bookmark25">
            <w:r>
              <w:rPr/>
              <w:t>RESULTADOS</w:t>
            </w:r>
            <w:r>
              <w:rPr>
                <w:rFonts w:ascii="Calibri"/>
              </w:rPr>
              <w:tab/>
              <w:t>47</w:t>
            </w:r>
          </w:hyperlink>
        </w:p>
        <w:p>
          <w:pPr>
            <w:pStyle w:val="TOC2"/>
            <w:tabs>
              <w:tab w:pos="8983" w:val="right" w:leader="dot"/>
            </w:tabs>
            <w:spacing w:line="273" w:lineRule="auto" w:before="460"/>
            <w:ind w:left="373" w:right="154" w:firstLine="0"/>
            <w:rPr>
              <w:rFonts w:ascii="Calibri" w:hAnsi="Calibri"/>
              <w:b w:val="0"/>
            </w:rPr>
          </w:pPr>
          <w:hyperlink w:history="true" w:anchor="_bookmark26">
            <w:r>
              <w:rPr>
                <w:i/>
              </w:rPr>
              <w:t>ARTÍCULO 1: </w:t>
            </w:r>
            <w:r>
              <w:rPr/>
              <w:t>PASTURE ACCESS TIMES AND MILK FATTY ACID PROFILE OF</w:t>
            </w:r>
          </w:hyperlink>
          <w:r>
            <w:rPr/>
            <w:t> </w:t>
          </w:r>
          <w:hyperlink w:history="true" w:anchor="_bookmark26">
            <w:r>
              <w:rPr/>
              <w:t>DAIRY COWS FROM CENTRAL HIGHLAND</w:t>
            </w:r>
            <w:r>
              <w:rPr>
                <w:spacing w:val="-11"/>
              </w:rPr>
              <w:t> </w:t>
            </w:r>
            <w:r>
              <w:rPr/>
              <w:t>OF</w:t>
            </w:r>
            <w:r>
              <w:rPr>
                <w:spacing w:val="-2"/>
              </w:rPr>
              <w:t> </w:t>
            </w:r>
            <w:r>
              <w:rPr/>
              <w:t>MEXICO</w:t>
            </w:r>
            <w:r>
              <w:rPr>
                <w:rFonts w:ascii="Calibri" w:hAnsi="Calibri"/>
                <w:b w:val="0"/>
              </w:rPr>
              <w:tab/>
              <w:t>47</w:t>
            </w:r>
          </w:hyperlink>
        </w:p>
        <w:p>
          <w:pPr>
            <w:pStyle w:val="TOC2"/>
            <w:tabs>
              <w:tab w:pos="8983" w:val="right" w:leader="dot"/>
            </w:tabs>
            <w:spacing w:line="276" w:lineRule="auto" w:before="103"/>
            <w:ind w:left="373" w:right="154" w:firstLine="0"/>
            <w:rPr>
              <w:rFonts w:ascii="Calibri" w:hAnsi="Calibri"/>
              <w:b w:val="0"/>
            </w:rPr>
          </w:pPr>
          <w:hyperlink w:history="true" w:anchor="_bookmark27">
            <w:r>
              <w:rPr>
                <w:i/>
              </w:rPr>
              <w:t>ARTÍCULO 2: </w:t>
            </w:r>
            <w:r>
              <w:rPr/>
              <w:t>EFECTO DEL ACEITE DE SOYA SOBRE LA CONCENTRACIÓN DE</w:t>
            </w:r>
          </w:hyperlink>
          <w:r>
            <w:rPr/>
            <w:t> </w:t>
          </w:r>
          <w:hyperlink w:history="true" w:anchor="_bookmark27">
            <w:r>
              <w:rPr/>
              <w:t>ÁCIDOS GRASOS VACCENICO Y RUMÉNICO EN LECHE DE VACAS EN</w:t>
            </w:r>
          </w:hyperlink>
          <w:r>
            <w:rPr/>
            <w:t> </w:t>
          </w:r>
          <w:hyperlink w:history="true" w:anchor="_bookmark27">
            <w:r>
              <w:rPr/>
              <w:t>PASTOREO</w:t>
            </w:r>
            <w:r>
              <w:rPr>
                <w:rFonts w:ascii="Calibri" w:hAnsi="Calibri"/>
                <w:b w:val="0"/>
              </w:rPr>
              <w:tab/>
              <w:t>69</w:t>
            </w:r>
          </w:hyperlink>
        </w:p>
        <w:p>
          <w:pPr>
            <w:pStyle w:val="TOC1"/>
            <w:numPr>
              <w:ilvl w:val="0"/>
              <w:numId w:val="1"/>
            </w:numPr>
            <w:tabs>
              <w:tab w:pos="640" w:val="left" w:leader="none"/>
              <w:tab w:pos="8983" w:val="right" w:leader="dot"/>
            </w:tabs>
            <w:spacing w:line="240" w:lineRule="auto" w:before="99" w:after="0"/>
            <w:ind w:left="639" w:right="0" w:hanging="487"/>
            <w:jc w:val="left"/>
            <w:rPr>
              <w:rFonts w:ascii="Calibri"/>
            </w:rPr>
          </w:pPr>
          <w:hyperlink w:history="true" w:anchor="_bookmark28">
            <w:r>
              <w:rPr/>
              <w:t>CONCLUSIONES</w:t>
            </w:r>
            <w:r>
              <w:rPr>
                <w:rFonts w:ascii="Calibri"/>
              </w:rPr>
              <w:tab/>
              <w:t>96</w:t>
            </w:r>
          </w:hyperlink>
        </w:p>
        <w:p>
          <w:pPr>
            <w:pStyle w:val="TOC1"/>
            <w:numPr>
              <w:ilvl w:val="0"/>
              <w:numId w:val="1"/>
            </w:numPr>
            <w:tabs>
              <w:tab w:pos="493" w:val="left" w:leader="none"/>
              <w:tab w:pos="8983" w:val="right" w:leader="dot"/>
            </w:tabs>
            <w:spacing w:line="240" w:lineRule="auto" w:before="142" w:after="0"/>
            <w:ind w:left="492" w:right="0" w:hanging="340"/>
            <w:jc w:val="left"/>
            <w:rPr>
              <w:rFonts w:ascii="Calibri" w:hAnsi="Calibri"/>
            </w:rPr>
          </w:pPr>
          <w:hyperlink w:history="true" w:anchor="_bookmark29">
            <w:r>
              <w:rPr/>
              <w:t>REFERENCIAS</w:t>
            </w:r>
            <w:r>
              <w:rPr>
                <w:spacing w:val="-1"/>
              </w:rPr>
              <w:t> </w:t>
            </w:r>
            <w:r>
              <w:rPr/>
              <w:t>BIBLIOGRÁFICAS</w:t>
            </w:r>
            <w:r>
              <w:rPr>
                <w:rFonts w:ascii="Calibri" w:hAnsi="Calibri"/>
              </w:rPr>
              <w:tab/>
              <w:t>97</w:t>
            </w:r>
          </w:hyperlink>
        </w:p>
        <w:p>
          <w:pPr>
            <w:pStyle w:val="TOC1"/>
            <w:numPr>
              <w:ilvl w:val="0"/>
              <w:numId w:val="1"/>
            </w:numPr>
            <w:tabs>
              <w:tab w:pos="424" w:val="left" w:leader="none"/>
              <w:tab w:pos="8982" w:val="right" w:leader="dot"/>
            </w:tabs>
            <w:spacing w:line="240" w:lineRule="auto" w:before="139" w:after="0"/>
            <w:ind w:left="423" w:right="0" w:hanging="271"/>
            <w:jc w:val="left"/>
            <w:rPr>
              <w:rFonts w:ascii="Calibri"/>
            </w:rPr>
          </w:pPr>
          <w:hyperlink w:history="true" w:anchor="_bookmark30">
            <w:r>
              <w:rPr/>
              <w:t>ANEXOS</w:t>
            </w:r>
            <w:r>
              <w:rPr>
                <w:rFonts w:ascii="Calibri"/>
              </w:rPr>
              <w:tab/>
              <w:t>116</w:t>
            </w:r>
          </w:hyperlink>
        </w:p>
        <w:p>
          <w:pPr>
            <w:pStyle w:val="TOC2"/>
            <w:numPr>
              <w:ilvl w:val="1"/>
              <w:numId w:val="4"/>
            </w:numPr>
            <w:tabs>
              <w:tab w:pos="870" w:val="left" w:leader="none"/>
              <w:tab w:pos="8982" w:val="right" w:leader="dot"/>
            </w:tabs>
            <w:spacing w:line="240" w:lineRule="auto" w:before="140" w:after="0"/>
            <w:ind w:left="870" w:right="0" w:hanging="497"/>
            <w:jc w:val="left"/>
            <w:rPr>
              <w:rFonts w:ascii="Calibri" w:hAnsi="Calibri"/>
              <w:b w:val="0"/>
            </w:rPr>
          </w:pPr>
          <w:hyperlink w:history="true" w:anchor="_bookmark31">
            <w:r>
              <w:rPr/>
              <w:t>Lista de resúmenes publicados</w:t>
            </w:r>
            <w:r>
              <w:rPr>
                <w:spacing w:val="-6"/>
              </w:rPr>
              <w:t> </w:t>
            </w:r>
            <w:r>
              <w:rPr/>
              <w:t>en</w:t>
            </w:r>
            <w:r>
              <w:rPr>
                <w:spacing w:val="-3"/>
              </w:rPr>
              <w:t> </w:t>
            </w:r>
            <w:r>
              <w:rPr/>
              <w:t>congresos</w:t>
            </w:r>
            <w:r>
              <w:rPr>
                <w:rFonts w:ascii="Calibri" w:hAnsi="Calibri"/>
                <w:b w:val="0"/>
              </w:rPr>
              <w:tab/>
              <w:t>116</w:t>
            </w:r>
          </w:hyperlink>
        </w:p>
        <w:p>
          <w:pPr>
            <w:pStyle w:val="TOC2"/>
            <w:numPr>
              <w:ilvl w:val="1"/>
              <w:numId w:val="4"/>
            </w:numPr>
            <w:tabs>
              <w:tab w:pos="870" w:val="left" w:leader="none"/>
              <w:tab w:pos="8982" w:val="right" w:leader="dot"/>
            </w:tabs>
            <w:spacing w:line="240" w:lineRule="auto" w:before="142" w:after="0"/>
            <w:ind w:left="870" w:right="0" w:hanging="497"/>
            <w:jc w:val="left"/>
            <w:rPr>
              <w:rFonts w:ascii="Calibri"/>
              <w:b w:val="0"/>
            </w:rPr>
          </w:pPr>
          <w:hyperlink w:history="true" w:anchor="_bookmark32">
            <w:r>
              <w:rPr/>
              <w:t>Constancia de estancia doctoral en el CIA-INTA</w:t>
            </w:r>
            <w:r>
              <w:rPr>
                <w:spacing w:val="-4"/>
              </w:rPr>
              <w:t> </w:t>
            </w:r>
            <w:r>
              <w:rPr/>
              <w:t>en</w:t>
            </w:r>
            <w:r>
              <w:rPr>
                <w:spacing w:val="-1"/>
              </w:rPr>
              <w:t> </w:t>
            </w:r>
            <w:r>
              <w:rPr/>
              <w:t>Argenina</w:t>
            </w:r>
            <w:r>
              <w:rPr>
                <w:rFonts w:ascii="Calibri"/>
                <w:b w:val="0"/>
              </w:rPr>
              <w:tab/>
              <w:t>118</w:t>
            </w:r>
          </w:hyperlink>
        </w:p>
      </w:sdtContent>
    </w:sdt>
    <w:p>
      <w:pPr>
        <w:spacing w:after="0" w:line="240" w:lineRule="auto"/>
        <w:jc w:val="left"/>
        <w:rPr>
          <w:rFonts w:ascii="Calibri"/>
        </w:rPr>
        <w:sectPr>
          <w:type w:val="continuous"/>
          <w:pgSz w:w="12240" w:h="15840"/>
          <w:pgMar w:top="1353" w:bottom="2402" w:left="1720" w:right="1380"/>
        </w:sectPr>
      </w:pPr>
    </w:p>
    <w:p>
      <w:pPr>
        <w:pStyle w:val="Heading1"/>
        <w:spacing w:before="458"/>
        <w:ind w:left="3456" w:right="3457"/>
        <w:jc w:val="center"/>
      </w:pPr>
      <w:bookmarkStart w:name="_bookmark0" w:id="1"/>
      <w:bookmarkEnd w:id="1"/>
      <w:r>
        <w:rPr>
          <w:b w:val="0"/>
        </w:rPr>
      </w:r>
      <w:r>
        <w:rPr/>
        <w:t>ÍNDICE DE CUADROS</w:t>
      </w:r>
    </w:p>
    <w:p>
      <w:pPr>
        <w:pStyle w:val="BodyText"/>
        <w:rPr>
          <w:b/>
          <w:sz w:val="20"/>
        </w:rPr>
      </w:pPr>
    </w:p>
    <w:p>
      <w:pPr>
        <w:pStyle w:val="BodyText"/>
        <w:spacing w:before="3"/>
        <w:rPr>
          <w:b/>
          <w:sz w:val="21"/>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22"/>
        <w:gridCol w:w="1013"/>
      </w:tblGrid>
      <w:tr>
        <w:trPr>
          <w:trHeight w:val="416" w:hRule="exact"/>
        </w:trPr>
        <w:tc>
          <w:tcPr>
            <w:tcW w:w="8222" w:type="dxa"/>
          </w:tcPr>
          <w:p>
            <w:pPr>
              <w:pStyle w:val="TableParagraph"/>
              <w:spacing w:line="245" w:lineRule="exact"/>
              <w:ind w:left="3824" w:right="3731"/>
              <w:jc w:val="center"/>
              <w:rPr>
                <w:b/>
                <w:sz w:val="24"/>
              </w:rPr>
            </w:pPr>
            <w:r>
              <w:rPr>
                <w:b/>
                <w:sz w:val="24"/>
              </w:rPr>
              <w:t>Título</w:t>
            </w:r>
          </w:p>
        </w:tc>
        <w:tc>
          <w:tcPr>
            <w:tcW w:w="1013" w:type="dxa"/>
          </w:tcPr>
          <w:p>
            <w:pPr>
              <w:pStyle w:val="TableParagraph"/>
              <w:spacing w:line="245" w:lineRule="exact"/>
              <w:ind w:left="88" w:right="177"/>
              <w:jc w:val="center"/>
              <w:rPr>
                <w:b/>
                <w:sz w:val="24"/>
              </w:rPr>
            </w:pPr>
            <w:r>
              <w:rPr>
                <w:b/>
                <w:sz w:val="24"/>
              </w:rPr>
              <w:t>Página</w:t>
            </w:r>
          </w:p>
        </w:tc>
      </w:tr>
      <w:tr>
        <w:trPr>
          <w:trHeight w:val="608" w:hRule="exact"/>
        </w:trPr>
        <w:tc>
          <w:tcPr>
            <w:tcW w:w="8222" w:type="dxa"/>
          </w:tcPr>
          <w:p>
            <w:pPr>
              <w:pStyle w:val="TableParagraph"/>
              <w:spacing w:before="145"/>
              <w:ind w:left="200" w:right="91"/>
              <w:rPr>
                <w:b/>
                <w:i/>
                <w:sz w:val="24"/>
              </w:rPr>
            </w:pPr>
            <w:r>
              <w:rPr>
                <w:b/>
                <w:i/>
                <w:sz w:val="24"/>
              </w:rPr>
              <w:t>Revisión de literatura</w:t>
            </w:r>
          </w:p>
        </w:tc>
        <w:tc>
          <w:tcPr>
            <w:tcW w:w="1013" w:type="dxa"/>
          </w:tcPr>
          <w:p>
            <w:pPr/>
          </w:p>
        </w:tc>
      </w:tr>
      <w:tr>
        <w:trPr>
          <w:trHeight w:val="652" w:hRule="exact"/>
        </w:trPr>
        <w:tc>
          <w:tcPr>
            <w:tcW w:w="8222" w:type="dxa"/>
          </w:tcPr>
          <w:p>
            <w:pPr>
              <w:pStyle w:val="TableParagraph"/>
              <w:spacing w:before="161"/>
              <w:ind w:right="125"/>
              <w:jc w:val="right"/>
              <w:rPr>
                <w:i/>
                <w:sz w:val="24"/>
              </w:rPr>
            </w:pPr>
            <w:r>
              <w:rPr>
                <w:i/>
                <w:sz w:val="24"/>
              </w:rPr>
              <w:t>Composición de la leche de algunas especies……………………………………</w:t>
            </w:r>
          </w:p>
        </w:tc>
        <w:tc>
          <w:tcPr>
            <w:tcW w:w="1013" w:type="dxa"/>
          </w:tcPr>
          <w:p>
            <w:pPr>
              <w:pStyle w:val="TableParagraph"/>
              <w:spacing w:before="161"/>
              <w:ind w:right="89"/>
              <w:jc w:val="center"/>
              <w:rPr>
                <w:sz w:val="24"/>
              </w:rPr>
            </w:pPr>
            <w:r>
              <w:rPr>
                <w:sz w:val="24"/>
              </w:rPr>
              <w:t>8</w:t>
            </w:r>
          </w:p>
        </w:tc>
      </w:tr>
      <w:tr>
        <w:trPr>
          <w:trHeight w:val="681" w:hRule="exact"/>
        </w:trPr>
        <w:tc>
          <w:tcPr>
            <w:tcW w:w="8222" w:type="dxa"/>
          </w:tcPr>
          <w:p>
            <w:pPr>
              <w:pStyle w:val="TableParagraph"/>
              <w:spacing w:before="188"/>
              <w:ind w:right="119"/>
              <w:jc w:val="right"/>
              <w:rPr>
                <w:i/>
                <w:sz w:val="24"/>
              </w:rPr>
            </w:pPr>
            <w:r>
              <w:rPr>
                <w:i/>
                <w:sz w:val="24"/>
              </w:rPr>
              <w:t>Principales proteínas de la leche de vaca y su función…………………………</w:t>
            </w:r>
          </w:p>
        </w:tc>
        <w:tc>
          <w:tcPr>
            <w:tcW w:w="1013" w:type="dxa"/>
          </w:tcPr>
          <w:p>
            <w:pPr>
              <w:pStyle w:val="TableParagraph"/>
              <w:spacing w:before="188"/>
              <w:ind w:left="88" w:right="177"/>
              <w:jc w:val="center"/>
              <w:rPr>
                <w:sz w:val="24"/>
              </w:rPr>
            </w:pPr>
            <w:r>
              <w:rPr>
                <w:sz w:val="24"/>
              </w:rPr>
              <w:t>13</w:t>
            </w:r>
          </w:p>
        </w:tc>
      </w:tr>
      <w:tr>
        <w:trPr>
          <w:trHeight w:val="581" w:hRule="exact"/>
        </w:trPr>
        <w:tc>
          <w:tcPr>
            <w:tcW w:w="8222" w:type="dxa"/>
          </w:tcPr>
          <w:p>
            <w:pPr>
              <w:pStyle w:val="TableParagraph"/>
              <w:spacing w:before="190"/>
              <w:ind w:right="169"/>
              <w:jc w:val="right"/>
              <w:rPr>
                <w:i/>
                <w:sz w:val="24"/>
              </w:rPr>
            </w:pPr>
            <w:r>
              <w:rPr>
                <w:i/>
                <w:sz w:val="24"/>
              </w:rPr>
              <w:t>Composición de lípidos en leche de varias especies……………………………</w:t>
            </w:r>
          </w:p>
        </w:tc>
        <w:tc>
          <w:tcPr>
            <w:tcW w:w="1013" w:type="dxa"/>
          </w:tcPr>
          <w:p>
            <w:pPr>
              <w:pStyle w:val="TableParagraph"/>
              <w:spacing w:before="190"/>
              <w:ind w:left="88" w:right="177"/>
              <w:jc w:val="center"/>
              <w:rPr>
                <w:sz w:val="24"/>
              </w:rPr>
            </w:pPr>
            <w:r>
              <w:rPr>
                <w:sz w:val="24"/>
              </w:rPr>
              <w:t>15</w:t>
            </w:r>
          </w:p>
        </w:tc>
      </w:tr>
      <w:tr>
        <w:trPr>
          <w:trHeight w:val="924" w:hRule="exact"/>
        </w:trPr>
        <w:tc>
          <w:tcPr>
            <w:tcW w:w="8222" w:type="dxa"/>
          </w:tcPr>
          <w:p>
            <w:pPr>
              <w:pStyle w:val="TableParagraph"/>
              <w:spacing w:line="360" w:lineRule="auto" w:before="89"/>
              <w:ind w:left="775" w:right="91"/>
              <w:rPr>
                <w:i/>
                <w:sz w:val="24"/>
              </w:rPr>
            </w:pPr>
            <w:r>
              <w:rPr>
                <w:i/>
                <w:sz w:val="24"/>
              </w:rPr>
              <w:t>Principales ácidos grasos saturados y cis-insaturados presentes en los </w:t>
            </w:r>
            <w:r>
              <w:rPr>
                <w:i/>
                <w:sz w:val="24"/>
              </w:rPr>
              <w:t>forrajes y en la grasa de la leche………………………………………………….</w:t>
            </w:r>
          </w:p>
        </w:tc>
        <w:tc>
          <w:tcPr>
            <w:tcW w:w="1013" w:type="dxa"/>
          </w:tcPr>
          <w:p>
            <w:pPr>
              <w:pStyle w:val="TableParagraph"/>
              <w:rPr>
                <w:b/>
                <w:sz w:val="24"/>
              </w:rPr>
            </w:pPr>
          </w:p>
          <w:p>
            <w:pPr>
              <w:pStyle w:val="TableParagraph"/>
              <w:spacing w:before="5"/>
              <w:rPr>
                <w:b/>
                <w:sz w:val="19"/>
              </w:rPr>
            </w:pPr>
          </w:p>
          <w:p>
            <w:pPr>
              <w:pStyle w:val="TableParagraph"/>
              <w:ind w:left="88" w:right="177"/>
              <w:jc w:val="center"/>
              <w:rPr>
                <w:sz w:val="24"/>
              </w:rPr>
            </w:pPr>
            <w:r>
              <w:rPr>
                <w:sz w:val="24"/>
              </w:rPr>
              <w:t>19</w:t>
            </w:r>
          </w:p>
        </w:tc>
      </w:tr>
      <w:tr>
        <w:trPr>
          <w:trHeight w:val="564" w:hRule="exact"/>
        </w:trPr>
        <w:tc>
          <w:tcPr>
            <w:tcW w:w="8222" w:type="dxa"/>
          </w:tcPr>
          <w:p>
            <w:pPr>
              <w:pStyle w:val="TableParagraph"/>
              <w:spacing w:before="120"/>
              <w:ind w:left="200" w:right="91"/>
              <w:rPr>
                <w:b/>
                <w:i/>
                <w:sz w:val="24"/>
              </w:rPr>
            </w:pPr>
            <w:r>
              <w:rPr>
                <w:b/>
                <w:i/>
                <w:sz w:val="24"/>
              </w:rPr>
              <w:t>Artículo 1</w:t>
            </w:r>
          </w:p>
        </w:tc>
        <w:tc>
          <w:tcPr>
            <w:tcW w:w="1013" w:type="dxa"/>
          </w:tcPr>
          <w:p>
            <w:pPr/>
          </w:p>
        </w:tc>
      </w:tr>
      <w:tr>
        <w:trPr>
          <w:trHeight w:val="526" w:hRule="exact"/>
        </w:trPr>
        <w:tc>
          <w:tcPr>
            <w:tcW w:w="8222" w:type="dxa"/>
          </w:tcPr>
          <w:p>
            <w:pPr>
              <w:pStyle w:val="TableParagraph"/>
              <w:spacing w:before="142"/>
              <w:ind w:right="118"/>
              <w:jc w:val="right"/>
              <w:rPr>
                <w:i/>
                <w:sz w:val="24"/>
              </w:rPr>
            </w:pPr>
            <w:r>
              <w:rPr>
                <w:i/>
                <w:sz w:val="24"/>
              </w:rPr>
              <w:t>Ingredients, chemical composition and fatty acid content of feeds……………</w:t>
            </w:r>
          </w:p>
        </w:tc>
        <w:tc>
          <w:tcPr>
            <w:tcW w:w="1013" w:type="dxa"/>
          </w:tcPr>
          <w:p>
            <w:pPr>
              <w:pStyle w:val="TableParagraph"/>
              <w:spacing w:before="142"/>
              <w:ind w:left="88" w:right="177"/>
              <w:jc w:val="center"/>
              <w:rPr>
                <w:sz w:val="24"/>
              </w:rPr>
            </w:pPr>
            <w:r>
              <w:rPr>
                <w:sz w:val="24"/>
              </w:rPr>
              <w:t>64</w:t>
            </w:r>
          </w:p>
        </w:tc>
      </w:tr>
      <w:tr>
        <w:trPr>
          <w:trHeight w:val="855" w:hRule="exact"/>
        </w:trPr>
        <w:tc>
          <w:tcPr>
            <w:tcW w:w="8222" w:type="dxa"/>
          </w:tcPr>
          <w:p>
            <w:pPr>
              <w:pStyle w:val="TableParagraph"/>
              <w:spacing w:line="362" w:lineRule="auto" w:before="82"/>
              <w:ind w:left="775" w:right="128"/>
              <w:rPr>
                <w:i/>
                <w:sz w:val="24"/>
              </w:rPr>
            </w:pPr>
            <w:r>
              <w:rPr>
                <w:i/>
                <w:sz w:val="24"/>
              </w:rPr>
              <w:t>Daily feed intake, yield and composition milk of Holstein cows with </w:t>
            </w:r>
            <w:r>
              <w:rPr>
                <w:i/>
                <w:sz w:val="24"/>
              </w:rPr>
              <w:t>different access time to</w:t>
            </w:r>
            <w:r>
              <w:rPr>
                <w:i/>
                <w:spacing w:val="-8"/>
                <w:sz w:val="24"/>
              </w:rPr>
              <w:t> </w:t>
            </w:r>
            <w:r>
              <w:rPr>
                <w:i/>
                <w:sz w:val="24"/>
              </w:rPr>
              <w:t>pasture………………..…………………………………..</w:t>
            </w:r>
          </w:p>
        </w:tc>
        <w:tc>
          <w:tcPr>
            <w:tcW w:w="1013" w:type="dxa"/>
          </w:tcPr>
          <w:p>
            <w:pPr>
              <w:pStyle w:val="TableParagraph"/>
              <w:rPr>
                <w:b/>
                <w:sz w:val="24"/>
              </w:rPr>
            </w:pPr>
          </w:p>
          <w:p>
            <w:pPr>
              <w:pStyle w:val="TableParagraph"/>
              <w:rPr>
                <w:b/>
                <w:sz w:val="19"/>
              </w:rPr>
            </w:pPr>
          </w:p>
          <w:p>
            <w:pPr>
              <w:pStyle w:val="TableParagraph"/>
              <w:ind w:left="88" w:right="177"/>
              <w:jc w:val="center"/>
              <w:rPr>
                <w:sz w:val="24"/>
              </w:rPr>
            </w:pPr>
            <w:r>
              <w:rPr>
                <w:sz w:val="24"/>
              </w:rPr>
              <w:t>66</w:t>
            </w:r>
          </w:p>
        </w:tc>
      </w:tr>
      <w:tr>
        <w:trPr>
          <w:trHeight w:val="895" w:hRule="exact"/>
        </w:trPr>
        <w:tc>
          <w:tcPr>
            <w:tcW w:w="8222" w:type="dxa"/>
          </w:tcPr>
          <w:p>
            <w:pPr>
              <w:pStyle w:val="TableParagraph"/>
              <w:spacing w:line="360" w:lineRule="auto" w:before="55"/>
              <w:ind w:left="775" w:right="91"/>
              <w:rPr>
                <w:i/>
                <w:sz w:val="24"/>
              </w:rPr>
            </w:pPr>
            <w:r>
              <w:rPr>
                <w:i/>
                <w:sz w:val="24"/>
              </w:rPr>
              <w:t>Fatty acid profile in milk of Holstein cows with different access time to </w:t>
            </w:r>
            <w:r>
              <w:rPr>
                <w:i/>
                <w:sz w:val="24"/>
              </w:rPr>
              <w:t>pasture…………………………………………………………………………………</w:t>
            </w:r>
          </w:p>
        </w:tc>
        <w:tc>
          <w:tcPr>
            <w:tcW w:w="1013" w:type="dxa"/>
          </w:tcPr>
          <w:p>
            <w:pPr>
              <w:pStyle w:val="TableParagraph"/>
              <w:rPr>
                <w:b/>
                <w:sz w:val="24"/>
              </w:rPr>
            </w:pPr>
          </w:p>
          <w:p>
            <w:pPr>
              <w:pStyle w:val="TableParagraph"/>
              <w:spacing w:before="192"/>
              <w:ind w:left="88" w:right="177"/>
              <w:jc w:val="center"/>
              <w:rPr>
                <w:sz w:val="24"/>
              </w:rPr>
            </w:pPr>
            <w:r>
              <w:rPr>
                <w:sz w:val="24"/>
              </w:rPr>
              <w:t>67</w:t>
            </w:r>
          </w:p>
        </w:tc>
      </w:tr>
      <w:tr>
        <w:trPr>
          <w:trHeight w:val="564" w:hRule="exact"/>
        </w:trPr>
        <w:tc>
          <w:tcPr>
            <w:tcW w:w="8222" w:type="dxa"/>
          </w:tcPr>
          <w:p>
            <w:pPr>
              <w:pStyle w:val="TableParagraph"/>
              <w:spacing w:before="122"/>
              <w:ind w:left="200" w:right="91"/>
              <w:rPr>
                <w:b/>
                <w:i/>
                <w:sz w:val="24"/>
              </w:rPr>
            </w:pPr>
            <w:r>
              <w:rPr>
                <w:b/>
                <w:i/>
                <w:sz w:val="24"/>
              </w:rPr>
              <w:t>Artículo 2</w:t>
            </w:r>
          </w:p>
        </w:tc>
        <w:tc>
          <w:tcPr>
            <w:tcW w:w="1013" w:type="dxa"/>
          </w:tcPr>
          <w:p>
            <w:pPr/>
          </w:p>
        </w:tc>
      </w:tr>
      <w:tr>
        <w:trPr>
          <w:trHeight w:val="520" w:hRule="exact"/>
        </w:trPr>
        <w:tc>
          <w:tcPr>
            <w:tcW w:w="8222" w:type="dxa"/>
          </w:tcPr>
          <w:p>
            <w:pPr>
              <w:pStyle w:val="TableParagraph"/>
              <w:spacing w:before="139"/>
              <w:ind w:right="117"/>
              <w:jc w:val="right"/>
              <w:rPr>
                <w:i/>
                <w:sz w:val="24"/>
              </w:rPr>
            </w:pPr>
            <w:r>
              <w:rPr>
                <w:i/>
                <w:sz w:val="24"/>
              </w:rPr>
              <w:t>Ingredientes que componen las dietas TMR parcial…………………………….</w:t>
            </w:r>
          </w:p>
        </w:tc>
        <w:tc>
          <w:tcPr>
            <w:tcW w:w="1013" w:type="dxa"/>
          </w:tcPr>
          <w:p>
            <w:pPr>
              <w:pStyle w:val="TableParagraph"/>
              <w:spacing w:before="139"/>
              <w:ind w:left="88" w:right="177"/>
              <w:jc w:val="center"/>
              <w:rPr>
                <w:sz w:val="24"/>
              </w:rPr>
            </w:pPr>
            <w:r>
              <w:rPr>
                <w:sz w:val="24"/>
              </w:rPr>
              <w:t>74</w:t>
            </w:r>
          </w:p>
        </w:tc>
      </w:tr>
      <w:tr>
        <w:trPr>
          <w:trHeight w:val="862" w:hRule="exact"/>
        </w:trPr>
        <w:tc>
          <w:tcPr>
            <w:tcW w:w="8222" w:type="dxa"/>
          </w:tcPr>
          <w:p>
            <w:pPr>
              <w:pStyle w:val="TableParagraph"/>
              <w:spacing w:line="360" w:lineRule="auto" w:before="78"/>
              <w:ind w:left="775" w:right="91"/>
              <w:rPr>
                <w:i/>
                <w:sz w:val="24"/>
              </w:rPr>
            </w:pPr>
            <w:r>
              <w:rPr>
                <w:i/>
                <w:sz w:val="24"/>
              </w:rPr>
              <w:t>Composición química y contenido de ácidos grasos de las dietas </w:t>
            </w:r>
            <w:r>
              <w:rPr>
                <w:i/>
                <w:sz w:val="24"/>
              </w:rPr>
              <w:t>experimentales y del forraje………………………………………………………..</w:t>
            </w:r>
          </w:p>
        </w:tc>
        <w:tc>
          <w:tcPr>
            <w:tcW w:w="1013" w:type="dxa"/>
          </w:tcPr>
          <w:p>
            <w:pPr>
              <w:pStyle w:val="TableParagraph"/>
              <w:rPr>
                <w:b/>
                <w:sz w:val="24"/>
              </w:rPr>
            </w:pPr>
          </w:p>
          <w:p>
            <w:pPr>
              <w:pStyle w:val="TableParagraph"/>
              <w:spacing w:before="3"/>
              <w:rPr>
                <w:b/>
                <w:sz w:val="19"/>
              </w:rPr>
            </w:pPr>
          </w:p>
          <w:p>
            <w:pPr>
              <w:pStyle w:val="TableParagraph"/>
              <w:spacing w:before="1"/>
              <w:ind w:left="88" w:right="177"/>
              <w:jc w:val="center"/>
              <w:rPr>
                <w:sz w:val="24"/>
              </w:rPr>
            </w:pPr>
            <w:r>
              <w:rPr>
                <w:sz w:val="24"/>
              </w:rPr>
              <w:t>79</w:t>
            </w:r>
          </w:p>
        </w:tc>
      </w:tr>
      <w:tr>
        <w:trPr>
          <w:trHeight w:val="1282" w:hRule="exact"/>
        </w:trPr>
        <w:tc>
          <w:tcPr>
            <w:tcW w:w="8222" w:type="dxa"/>
          </w:tcPr>
          <w:p>
            <w:pPr>
              <w:pStyle w:val="TableParagraph"/>
              <w:spacing w:line="360" w:lineRule="auto" w:before="61"/>
              <w:ind w:left="775" w:right="106"/>
              <w:jc w:val="both"/>
              <w:rPr>
                <w:i/>
                <w:sz w:val="24"/>
              </w:rPr>
            </w:pPr>
            <w:r>
              <w:rPr>
                <w:i/>
                <w:sz w:val="24"/>
              </w:rPr>
              <w:t>Consumo diario de alimento, producción y composición de la leche de  </w:t>
            </w:r>
            <w:r>
              <w:rPr>
                <w:i/>
                <w:sz w:val="24"/>
              </w:rPr>
              <w:t>vacas Holstein en pastoreo suplementadas con TMR con diferentes contenidos de aceite de</w:t>
            </w:r>
            <w:r>
              <w:rPr>
                <w:i/>
                <w:spacing w:val="-6"/>
                <w:sz w:val="24"/>
              </w:rPr>
              <w:t> </w:t>
            </w:r>
            <w:r>
              <w:rPr>
                <w:i/>
                <w:sz w:val="24"/>
              </w:rPr>
              <w:t>soya……………………….………………………………</w:t>
            </w:r>
          </w:p>
        </w:tc>
        <w:tc>
          <w:tcPr>
            <w:tcW w:w="1013" w:type="dxa"/>
          </w:tcPr>
          <w:p>
            <w:pPr>
              <w:pStyle w:val="TableParagraph"/>
              <w:rPr>
                <w:b/>
                <w:sz w:val="24"/>
              </w:rPr>
            </w:pPr>
          </w:p>
          <w:p>
            <w:pPr>
              <w:pStyle w:val="TableParagraph"/>
              <w:rPr>
                <w:b/>
                <w:sz w:val="24"/>
              </w:rPr>
            </w:pPr>
          </w:p>
          <w:p>
            <w:pPr>
              <w:pStyle w:val="TableParagraph"/>
              <w:spacing w:before="2"/>
              <w:rPr>
                <w:b/>
                <w:sz w:val="35"/>
              </w:rPr>
            </w:pPr>
          </w:p>
          <w:p>
            <w:pPr>
              <w:pStyle w:val="TableParagraph"/>
              <w:ind w:left="88" w:right="177"/>
              <w:jc w:val="center"/>
              <w:rPr>
                <w:sz w:val="24"/>
              </w:rPr>
            </w:pPr>
            <w:r>
              <w:rPr>
                <w:sz w:val="24"/>
              </w:rPr>
              <w:t>81</w:t>
            </w:r>
          </w:p>
        </w:tc>
      </w:tr>
      <w:tr>
        <w:trPr>
          <w:trHeight w:val="743" w:hRule="exact"/>
        </w:trPr>
        <w:tc>
          <w:tcPr>
            <w:tcW w:w="8222" w:type="dxa"/>
          </w:tcPr>
          <w:p>
            <w:pPr>
              <w:pStyle w:val="TableParagraph"/>
              <w:spacing w:before="23"/>
              <w:ind w:left="775" w:right="91"/>
              <w:rPr>
                <w:i/>
                <w:sz w:val="24"/>
              </w:rPr>
            </w:pPr>
            <w:r>
              <w:rPr>
                <w:i/>
                <w:sz w:val="24"/>
              </w:rPr>
              <w:t>Perfil   de  ácidos   grasos   de  la   leche  de  vacas   Holstein   en  pastoreo</w:t>
            </w:r>
          </w:p>
          <w:p>
            <w:pPr>
              <w:pStyle w:val="TableParagraph"/>
              <w:spacing w:before="137"/>
              <w:ind w:left="775" w:right="91"/>
              <w:rPr>
                <w:i/>
                <w:sz w:val="24"/>
              </w:rPr>
            </w:pPr>
            <w:r>
              <w:rPr>
                <w:i/>
                <w:sz w:val="24"/>
              </w:rPr>
              <w:t>suplementadas con TMR con diferentes niveles de aceite de soya……………</w:t>
            </w:r>
          </w:p>
        </w:tc>
        <w:tc>
          <w:tcPr>
            <w:tcW w:w="1013" w:type="dxa"/>
          </w:tcPr>
          <w:p>
            <w:pPr>
              <w:pStyle w:val="TableParagraph"/>
              <w:rPr>
                <w:b/>
                <w:sz w:val="24"/>
              </w:rPr>
            </w:pPr>
          </w:p>
          <w:p>
            <w:pPr>
              <w:pStyle w:val="TableParagraph"/>
              <w:spacing w:before="196"/>
              <w:ind w:left="88" w:right="177"/>
              <w:jc w:val="center"/>
              <w:rPr>
                <w:sz w:val="24"/>
              </w:rPr>
            </w:pPr>
            <w:r>
              <w:rPr>
                <w:sz w:val="24"/>
              </w:rPr>
              <w:t>85</w:t>
            </w:r>
          </w:p>
        </w:tc>
      </w:tr>
    </w:tbl>
    <w:p>
      <w:pPr>
        <w:spacing w:after="0"/>
        <w:jc w:val="center"/>
        <w:rPr>
          <w:sz w:val="24"/>
        </w:rPr>
        <w:sectPr>
          <w:pgSz w:w="12240" w:h="15840"/>
          <w:pgMar w:header="1150" w:footer="1336" w:top="1340" w:bottom="1520" w:left="1560" w:right="1220"/>
        </w:sectPr>
      </w:pPr>
    </w:p>
    <w:p>
      <w:pPr>
        <w:pStyle w:val="BodyText"/>
        <w:rPr>
          <w:b/>
          <w:sz w:val="20"/>
        </w:rPr>
      </w:pPr>
    </w:p>
    <w:p>
      <w:pPr>
        <w:pStyle w:val="BodyText"/>
        <w:spacing w:before="9"/>
        <w:rPr>
          <w:b/>
          <w:sz w:val="19"/>
        </w:rPr>
      </w:pPr>
    </w:p>
    <w:p>
      <w:pPr>
        <w:pStyle w:val="Heading1"/>
        <w:ind w:left="3456" w:right="3455"/>
        <w:jc w:val="center"/>
      </w:pPr>
      <w:bookmarkStart w:name="_bookmark1" w:id="2"/>
      <w:bookmarkEnd w:id="2"/>
      <w:r>
        <w:rPr>
          <w:b w:val="0"/>
        </w:rPr>
      </w:r>
      <w:r>
        <w:rPr/>
        <w:t>ÍNDICE DE FIGURAS</w:t>
      </w:r>
    </w:p>
    <w:p>
      <w:pPr>
        <w:pStyle w:val="BodyText"/>
        <w:rPr>
          <w:b/>
          <w:sz w:val="20"/>
        </w:rPr>
      </w:pPr>
    </w:p>
    <w:p>
      <w:pPr>
        <w:pStyle w:val="BodyText"/>
        <w:spacing w:before="2"/>
        <w:rPr>
          <w:b/>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19"/>
        <w:gridCol w:w="1014"/>
      </w:tblGrid>
      <w:tr>
        <w:trPr>
          <w:trHeight w:val="460" w:hRule="exact"/>
        </w:trPr>
        <w:tc>
          <w:tcPr>
            <w:tcW w:w="8219" w:type="dxa"/>
          </w:tcPr>
          <w:p>
            <w:pPr>
              <w:pStyle w:val="TableParagraph"/>
              <w:spacing w:line="245" w:lineRule="exact"/>
              <w:ind w:left="3823" w:right="3728"/>
              <w:jc w:val="center"/>
              <w:rPr>
                <w:b/>
                <w:sz w:val="24"/>
              </w:rPr>
            </w:pPr>
            <w:r>
              <w:rPr>
                <w:b/>
                <w:sz w:val="24"/>
              </w:rPr>
              <w:t>Título</w:t>
            </w:r>
          </w:p>
        </w:tc>
        <w:tc>
          <w:tcPr>
            <w:tcW w:w="1014" w:type="dxa"/>
          </w:tcPr>
          <w:p>
            <w:pPr>
              <w:pStyle w:val="TableParagraph"/>
              <w:spacing w:line="245" w:lineRule="exact"/>
              <w:ind w:left="89" w:right="178"/>
              <w:jc w:val="center"/>
              <w:rPr>
                <w:b/>
                <w:sz w:val="24"/>
              </w:rPr>
            </w:pPr>
            <w:r>
              <w:rPr>
                <w:b/>
                <w:sz w:val="24"/>
              </w:rPr>
              <w:t>Página</w:t>
            </w:r>
          </w:p>
        </w:tc>
      </w:tr>
      <w:tr>
        <w:trPr>
          <w:trHeight w:val="678" w:hRule="exact"/>
        </w:trPr>
        <w:tc>
          <w:tcPr>
            <w:tcW w:w="8219" w:type="dxa"/>
          </w:tcPr>
          <w:p>
            <w:pPr>
              <w:pStyle w:val="TableParagraph"/>
              <w:spacing w:before="188"/>
              <w:ind w:left="200" w:right="108"/>
              <w:rPr>
                <w:b/>
                <w:i/>
                <w:sz w:val="24"/>
              </w:rPr>
            </w:pPr>
            <w:r>
              <w:rPr>
                <w:b/>
                <w:i/>
                <w:sz w:val="24"/>
              </w:rPr>
              <w:t>Revisión de literatura</w:t>
            </w:r>
          </w:p>
        </w:tc>
        <w:tc>
          <w:tcPr>
            <w:tcW w:w="1014" w:type="dxa"/>
          </w:tcPr>
          <w:p>
            <w:pPr/>
          </w:p>
        </w:tc>
      </w:tr>
      <w:tr>
        <w:trPr>
          <w:trHeight w:val="644" w:hRule="exact"/>
        </w:trPr>
        <w:tc>
          <w:tcPr>
            <w:tcW w:w="8219" w:type="dxa"/>
          </w:tcPr>
          <w:p>
            <w:pPr>
              <w:pStyle w:val="TableParagraph"/>
              <w:spacing w:before="187"/>
              <w:ind w:right="107"/>
              <w:jc w:val="right"/>
              <w:rPr>
                <w:i/>
                <w:sz w:val="24"/>
              </w:rPr>
            </w:pPr>
            <w:r>
              <w:rPr>
                <w:i/>
                <w:sz w:val="24"/>
              </w:rPr>
              <w:t>Producción de leche en México por Estado………………………………….</w:t>
            </w:r>
          </w:p>
        </w:tc>
        <w:tc>
          <w:tcPr>
            <w:tcW w:w="1014" w:type="dxa"/>
          </w:tcPr>
          <w:p>
            <w:pPr>
              <w:pStyle w:val="TableParagraph"/>
              <w:spacing w:before="187"/>
              <w:ind w:right="84"/>
              <w:jc w:val="center"/>
              <w:rPr>
                <w:sz w:val="24"/>
              </w:rPr>
            </w:pPr>
            <w:r>
              <w:rPr>
                <w:sz w:val="24"/>
              </w:rPr>
              <w:t>6</w:t>
            </w:r>
          </w:p>
        </w:tc>
      </w:tr>
      <w:tr>
        <w:trPr>
          <w:trHeight w:val="609" w:hRule="exact"/>
        </w:trPr>
        <w:tc>
          <w:tcPr>
            <w:tcW w:w="8219" w:type="dxa"/>
          </w:tcPr>
          <w:p>
            <w:pPr>
              <w:pStyle w:val="TableParagraph"/>
              <w:spacing w:before="154"/>
              <w:ind w:right="147"/>
              <w:jc w:val="right"/>
              <w:rPr>
                <w:i/>
                <w:sz w:val="24"/>
              </w:rPr>
            </w:pPr>
            <w:r>
              <w:rPr>
                <w:i/>
                <w:sz w:val="24"/>
              </w:rPr>
              <w:t>Distribución de bovinos lecheros en México……………..…..……………..</w:t>
            </w:r>
          </w:p>
        </w:tc>
        <w:tc>
          <w:tcPr>
            <w:tcW w:w="1014" w:type="dxa"/>
          </w:tcPr>
          <w:p>
            <w:pPr>
              <w:pStyle w:val="TableParagraph"/>
              <w:rPr>
                <w:b/>
                <w:sz w:val="19"/>
              </w:rPr>
            </w:pPr>
          </w:p>
          <w:p>
            <w:pPr>
              <w:pStyle w:val="TableParagraph"/>
              <w:ind w:right="84"/>
              <w:jc w:val="center"/>
              <w:rPr>
                <w:sz w:val="24"/>
              </w:rPr>
            </w:pPr>
            <w:r>
              <w:rPr>
                <w:sz w:val="24"/>
              </w:rPr>
              <w:t>7</w:t>
            </w:r>
          </w:p>
        </w:tc>
      </w:tr>
      <w:tr>
        <w:trPr>
          <w:trHeight w:val="959" w:hRule="exact"/>
        </w:trPr>
        <w:tc>
          <w:tcPr>
            <w:tcW w:w="8219" w:type="dxa"/>
          </w:tcPr>
          <w:p>
            <w:pPr>
              <w:pStyle w:val="TableParagraph"/>
              <w:spacing w:line="360" w:lineRule="auto" w:before="88"/>
              <w:ind w:left="1128" w:right="108"/>
              <w:rPr>
                <w:i/>
                <w:sz w:val="24"/>
              </w:rPr>
            </w:pPr>
            <w:r>
              <w:rPr>
                <w:i/>
                <w:sz w:val="24"/>
              </w:rPr>
              <w:t>Efecto de la relación forraje:concentrado sobre los principales ácidos </w:t>
            </w:r>
            <w:r>
              <w:rPr>
                <w:i/>
                <w:sz w:val="24"/>
              </w:rPr>
              <w:t>grasos volátiles (AGV) en rumen y la producción de leche de vacas….…</w:t>
            </w:r>
          </w:p>
        </w:tc>
        <w:tc>
          <w:tcPr>
            <w:tcW w:w="1014" w:type="dxa"/>
          </w:tcPr>
          <w:p>
            <w:pPr>
              <w:pStyle w:val="TableParagraph"/>
              <w:rPr>
                <w:b/>
                <w:sz w:val="24"/>
              </w:rPr>
            </w:pPr>
          </w:p>
          <w:p>
            <w:pPr>
              <w:pStyle w:val="TableParagraph"/>
              <w:spacing w:before="3"/>
              <w:rPr>
                <w:b/>
                <w:sz w:val="19"/>
              </w:rPr>
            </w:pPr>
          </w:p>
          <w:p>
            <w:pPr>
              <w:pStyle w:val="TableParagraph"/>
              <w:spacing w:before="1"/>
              <w:ind w:right="84"/>
              <w:jc w:val="center"/>
              <w:rPr>
                <w:sz w:val="24"/>
              </w:rPr>
            </w:pPr>
            <w:r>
              <w:rPr>
                <w:sz w:val="24"/>
              </w:rPr>
              <w:t>9</w:t>
            </w:r>
          </w:p>
        </w:tc>
      </w:tr>
      <w:tr>
        <w:trPr>
          <w:trHeight w:val="647" w:hRule="exact"/>
        </w:trPr>
        <w:tc>
          <w:tcPr>
            <w:tcW w:w="8219" w:type="dxa"/>
          </w:tcPr>
          <w:p>
            <w:pPr>
              <w:pStyle w:val="TableParagraph"/>
              <w:spacing w:before="156"/>
              <w:ind w:right="185"/>
              <w:jc w:val="right"/>
              <w:rPr>
                <w:i/>
                <w:sz w:val="24"/>
              </w:rPr>
            </w:pPr>
            <w:r>
              <w:rPr>
                <w:i/>
                <w:sz w:val="24"/>
              </w:rPr>
              <w:t>Formación de componentes de la leche en bovinos…………..……………</w:t>
            </w:r>
          </w:p>
        </w:tc>
        <w:tc>
          <w:tcPr>
            <w:tcW w:w="1014" w:type="dxa"/>
          </w:tcPr>
          <w:p>
            <w:pPr>
              <w:pStyle w:val="TableParagraph"/>
              <w:spacing w:before="156"/>
              <w:ind w:left="89" w:right="173"/>
              <w:jc w:val="center"/>
              <w:rPr>
                <w:sz w:val="24"/>
              </w:rPr>
            </w:pPr>
            <w:r>
              <w:rPr>
                <w:sz w:val="24"/>
              </w:rPr>
              <w:t>11</w:t>
            </w:r>
          </w:p>
        </w:tc>
      </w:tr>
      <w:tr>
        <w:trPr>
          <w:trHeight w:val="680" w:hRule="exact"/>
        </w:trPr>
        <w:tc>
          <w:tcPr>
            <w:tcW w:w="8219" w:type="dxa"/>
          </w:tcPr>
          <w:p>
            <w:pPr>
              <w:pStyle w:val="TableParagraph"/>
              <w:spacing w:before="188"/>
              <w:ind w:right="125"/>
              <w:jc w:val="right"/>
              <w:rPr>
                <w:i/>
                <w:sz w:val="24"/>
              </w:rPr>
            </w:pPr>
            <w:r>
              <w:rPr>
                <w:i/>
                <w:sz w:val="24"/>
              </w:rPr>
              <w:t>Lipolisis y biohidrogenación………………………….....…….………………</w:t>
            </w:r>
          </w:p>
        </w:tc>
        <w:tc>
          <w:tcPr>
            <w:tcW w:w="1014" w:type="dxa"/>
          </w:tcPr>
          <w:p>
            <w:pPr>
              <w:pStyle w:val="TableParagraph"/>
              <w:spacing w:before="188"/>
              <w:ind w:left="89" w:right="173"/>
              <w:jc w:val="center"/>
              <w:rPr>
                <w:sz w:val="24"/>
              </w:rPr>
            </w:pPr>
            <w:r>
              <w:rPr>
                <w:sz w:val="24"/>
              </w:rPr>
              <w:t>20</w:t>
            </w:r>
          </w:p>
        </w:tc>
      </w:tr>
      <w:tr>
        <w:trPr>
          <w:trHeight w:val="580" w:hRule="exact"/>
        </w:trPr>
        <w:tc>
          <w:tcPr>
            <w:tcW w:w="8219" w:type="dxa"/>
          </w:tcPr>
          <w:p>
            <w:pPr>
              <w:pStyle w:val="TableParagraph"/>
              <w:spacing w:before="190"/>
              <w:ind w:right="161"/>
              <w:jc w:val="right"/>
              <w:rPr>
                <w:i/>
                <w:sz w:val="24"/>
              </w:rPr>
            </w:pPr>
            <w:r>
              <w:rPr>
                <w:i/>
                <w:sz w:val="24"/>
              </w:rPr>
              <w:t>Formación de los isómeros más importantes del CLA en la leche….……</w:t>
            </w:r>
          </w:p>
        </w:tc>
        <w:tc>
          <w:tcPr>
            <w:tcW w:w="1014" w:type="dxa"/>
          </w:tcPr>
          <w:p>
            <w:pPr>
              <w:pStyle w:val="TableParagraph"/>
              <w:spacing w:before="190"/>
              <w:ind w:left="89" w:right="173"/>
              <w:jc w:val="center"/>
              <w:rPr>
                <w:sz w:val="24"/>
              </w:rPr>
            </w:pPr>
            <w:r>
              <w:rPr>
                <w:sz w:val="24"/>
              </w:rPr>
              <w:t>22</w:t>
            </w:r>
          </w:p>
        </w:tc>
      </w:tr>
      <w:tr>
        <w:trPr>
          <w:trHeight w:val="749" w:hRule="exact"/>
        </w:trPr>
        <w:tc>
          <w:tcPr>
            <w:tcW w:w="8219" w:type="dxa"/>
          </w:tcPr>
          <w:p>
            <w:pPr>
              <w:pStyle w:val="TableParagraph"/>
              <w:tabs>
                <w:tab w:pos="2378" w:val="left" w:leader="none"/>
                <w:tab w:pos="2894" w:val="left" w:leader="none"/>
                <w:tab w:pos="3650" w:val="left" w:leader="none"/>
                <w:tab w:pos="4712" w:val="left" w:leader="none"/>
                <w:tab w:pos="5041" w:val="left" w:leader="none"/>
                <w:tab w:pos="5571" w:val="left" w:leader="none"/>
                <w:tab w:pos="6661" w:val="left" w:leader="none"/>
                <w:tab w:pos="7270" w:val="left" w:leader="none"/>
              </w:tabs>
              <w:spacing w:before="88"/>
              <w:ind w:left="1128" w:right="108"/>
              <w:rPr>
                <w:i/>
                <w:sz w:val="24"/>
              </w:rPr>
            </w:pPr>
            <w:r>
              <w:rPr>
                <w:i/>
                <w:sz w:val="24"/>
              </w:rPr>
              <w:t>Estructura</w:t>
              <w:tab/>
              <w:t>del</w:t>
              <w:tab/>
              <w:t>ácido</w:t>
              <w:tab/>
              <w:t>linoleico</w:t>
              <w:tab/>
              <w:t>y</w:t>
              <w:tab/>
              <w:t>sus</w:t>
              <w:tab/>
              <w:t>isómeros</w:t>
              <w:tab/>
              <w:t>más</w:t>
              <w:tab/>
              <w:t>comunes</w:t>
            </w:r>
            <w:r>
              <w:rPr>
                <w:i/>
                <w:w w:val="99"/>
                <w:sz w:val="24"/>
              </w:rPr>
              <w:t> </w:t>
            </w:r>
            <w:r>
              <w:rPr>
                <w:i/>
                <w:sz w:val="24"/>
              </w:rPr>
              <w:t>biológicamente</w:t>
            </w:r>
            <w:r>
              <w:rPr>
                <w:i/>
                <w:spacing w:val="-5"/>
                <w:sz w:val="24"/>
              </w:rPr>
              <w:t> </w:t>
            </w:r>
            <w:r>
              <w:rPr>
                <w:i/>
                <w:sz w:val="24"/>
              </w:rPr>
              <w:t>activos………………………………………………………….</w:t>
            </w:r>
          </w:p>
        </w:tc>
        <w:tc>
          <w:tcPr>
            <w:tcW w:w="1014" w:type="dxa"/>
          </w:tcPr>
          <w:p>
            <w:pPr>
              <w:pStyle w:val="TableParagraph"/>
              <w:rPr>
                <w:b/>
                <w:sz w:val="24"/>
              </w:rPr>
            </w:pPr>
          </w:p>
          <w:p>
            <w:pPr>
              <w:pStyle w:val="TableParagraph"/>
              <w:spacing w:before="150"/>
              <w:ind w:left="89" w:right="173"/>
              <w:jc w:val="center"/>
              <w:rPr>
                <w:sz w:val="24"/>
              </w:rPr>
            </w:pPr>
            <w:r>
              <w:rPr>
                <w:sz w:val="24"/>
              </w:rPr>
              <w:t>23</w:t>
            </w:r>
          </w:p>
        </w:tc>
      </w:tr>
      <w:tr>
        <w:trPr>
          <w:trHeight w:val="793" w:hRule="exact"/>
        </w:trPr>
        <w:tc>
          <w:tcPr>
            <w:tcW w:w="8219" w:type="dxa"/>
          </w:tcPr>
          <w:p>
            <w:pPr>
              <w:pStyle w:val="TableParagraph"/>
              <w:spacing w:line="360" w:lineRule="auto" w:before="20"/>
              <w:ind w:left="1128" w:right="108"/>
              <w:rPr>
                <w:i/>
                <w:sz w:val="24"/>
              </w:rPr>
            </w:pPr>
            <w:r>
              <w:rPr>
                <w:i/>
                <w:sz w:val="24"/>
              </w:rPr>
              <w:t>Aporte y posibles efectos beneficiosos del ácido linoleico conjugado </w:t>
            </w:r>
            <w:r>
              <w:rPr>
                <w:i/>
                <w:sz w:val="24"/>
              </w:rPr>
              <w:t>sobre el organismo humano……………………………………..……………</w:t>
            </w:r>
          </w:p>
        </w:tc>
        <w:tc>
          <w:tcPr>
            <w:tcW w:w="1014" w:type="dxa"/>
          </w:tcPr>
          <w:p>
            <w:pPr>
              <w:pStyle w:val="TableParagraph"/>
              <w:rPr>
                <w:b/>
                <w:sz w:val="24"/>
              </w:rPr>
            </w:pPr>
          </w:p>
          <w:p>
            <w:pPr>
              <w:pStyle w:val="TableParagraph"/>
              <w:spacing w:before="157"/>
              <w:ind w:left="89" w:right="173"/>
              <w:jc w:val="center"/>
              <w:rPr>
                <w:sz w:val="24"/>
              </w:rPr>
            </w:pPr>
            <w:r>
              <w:rPr>
                <w:sz w:val="24"/>
              </w:rPr>
              <w:t>25</w:t>
            </w:r>
          </w:p>
        </w:tc>
      </w:tr>
      <w:tr>
        <w:trPr>
          <w:trHeight w:val="1308" w:hRule="exact"/>
        </w:trPr>
        <w:tc>
          <w:tcPr>
            <w:tcW w:w="8219" w:type="dxa"/>
          </w:tcPr>
          <w:p>
            <w:pPr>
              <w:pStyle w:val="TableParagraph"/>
              <w:spacing w:line="360" w:lineRule="auto" w:before="55"/>
              <w:ind w:left="1128" w:right="110"/>
              <w:jc w:val="both"/>
              <w:rPr>
                <w:i/>
                <w:sz w:val="24"/>
              </w:rPr>
            </w:pPr>
            <w:r>
              <w:rPr>
                <w:i/>
                <w:sz w:val="24"/>
              </w:rPr>
              <w:t>Modelo hipotético que describe los cambios en el rendimiento de leche </w:t>
            </w:r>
            <w:r>
              <w:rPr>
                <w:i/>
                <w:sz w:val="24"/>
              </w:rPr>
              <w:t>cuando el contenido de grasa incrementa en la dieta de vacas en lactación……………….……………….………….………………………</w:t>
            </w:r>
          </w:p>
        </w:tc>
        <w:tc>
          <w:tcPr>
            <w:tcW w:w="1014" w:type="dxa"/>
          </w:tcPr>
          <w:p>
            <w:pPr>
              <w:pStyle w:val="TableParagraph"/>
              <w:rPr>
                <w:b/>
                <w:sz w:val="24"/>
              </w:rPr>
            </w:pPr>
          </w:p>
          <w:p>
            <w:pPr>
              <w:pStyle w:val="TableParagraph"/>
              <w:rPr>
                <w:b/>
                <w:sz w:val="24"/>
              </w:rPr>
            </w:pPr>
          </w:p>
          <w:p>
            <w:pPr>
              <w:pStyle w:val="TableParagraph"/>
              <w:spacing w:before="6"/>
              <w:rPr>
                <w:b/>
                <w:sz w:val="22"/>
              </w:rPr>
            </w:pPr>
          </w:p>
          <w:p>
            <w:pPr>
              <w:pStyle w:val="TableParagraph"/>
              <w:ind w:left="89" w:right="173"/>
              <w:jc w:val="center"/>
              <w:rPr>
                <w:sz w:val="24"/>
              </w:rPr>
            </w:pPr>
            <w:r>
              <w:rPr>
                <w:sz w:val="24"/>
              </w:rPr>
              <w:t>31</w:t>
            </w:r>
          </w:p>
        </w:tc>
      </w:tr>
      <w:tr>
        <w:trPr>
          <w:trHeight w:val="683" w:hRule="exact"/>
        </w:trPr>
        <w:tc>
          <w:tcPr>
            <w:tcW w:w="8219" w:type="dxa"/>
          </w:tcPr>
          <w:p>
            <w:pPr>
              <w:pStyle w:val="TableParagraph"/>
              <w:spacing w:before="122"/>
              <w:ind w:right="144"/>
              <w:jc w:val="right"/>
              <w:rPr>
                <w:i/>
                <w:sz w:val="24"/>
              </w:rPr>
            </w:pPr>
            <w:r>
              <w:rPr>
                <w:i/>
                <w:sz w:val="24"/>
              </w:rPr>
              <w:t>Desarrollo experimental del estudio 1………..……………………….……..</w:t>
            </w:r>
          </w:p>
        </w:tc>
        <w:tc>
          <w:tcPr>
            <w:tcW w:w="1014" w:type="dxa"/>
          </w:tcPr>
          <w:p>
            <w:pPr>
              <w:pStyle w:val="TableParagraph"/>
              <w:spacing w:before="190"/>
              <w:ind w:left="89" w:right="173"/>
              <w:jc w:val="center"/>
              <w:rPr>
                <w:sz w:val="24"/>
              </w:rPr>
            </w:pPr>
            <w:r>
              <w:rPr>
                <w:sz w:val="24"/>
              </w:rPr>
              <w:t>41</w:t>
            </w:r>
          </w:p>
        </w:tc>
      </w:tr>
      <w:tr>
        <w:trPr>
          <w:trHeight w:val="580" w:hRule="exact"/>
        </w:trPr>
        <w:tc>
          <w:tcPr>
            <w:tcW w:w="8219" w:type="dxa"/>
          </w:tcPr>
          <w:p>
            <w:pPr>
              <w:pStyle w:val="TableParagraph"/>
              <w:spacing w:before="191"/>
              <w:ind w:left="200" w:right="108"/>
              <w:rPr>
                <w:b/>
                <w:i/>
                <w:sz w:val="24"/>
              </w:rPr>
            </w:pPr>
            <w:r>
              <w:rPr>
                <w:b/>
                <w:i/>
                <w:sz w:val="24"/>
              </w:rPr>
              <w:t>Artículo 2</w:t>
            </w:r>
          </w:p>
        </w:tc>
        <w:tc>
          <w:tcPr>
            <w:tcW w:w="1014" w:type="dxa"/>
          </w:tcPr>
          <w:p>
            <w:pPr/>
          </w:p>
        </w:tc>
      </w:tr>
      <w:tr>
        <w:trPr>
          <w:trHeight w:val="1253" w:hRule="exact"/>
        </w:trPr>
        <w:tc>
          <w:tcPr>
            <w:tcW w:w="8219" w:type="dxa"/>
          </w:tcPr>
          <w:p>
            <w:pPr>
              <w:pStyle w:val="TableParagraph"/>
              <w:spacing w:before="86"/>
              <w:ind w:left="1128"/>
              <w:rPr>
                <w:i/>
                <w:sz w:val="24"/>
              </w:rPr>
            </w:pPr>
            <w:r>
              <w:rPr>
                <w:i/>
                <w:sz w:val="24"/>
              </w:rPr>
              <w:t>Efecto de la adición de aceite de soya en la dieta sobre el contenido   de</w:t>
            </w:r>
          </w:p>
          <w:p>
            <w:pPr>
              <w:pStyle w:val="TableParagraph"/>
              <w:spacing w:line="410" w:lineRule="atLeast" w:before="5"/>
              <w:ind w:left="1128" w:right="121"/>
              <w:rPr>
                <w:i/>
                <w:sz w:val="24"/>
              </w:rPr>
            </w:pPr>
            <w:r>
              <w:rPr>
                <w:i/>
                <w:sz w:val="24"/>
              </w:rPr>
              <w:t>los ácidos grasos oleico (C18:1 c9) y esteárico (C18:0) en la grasa de  </w:t>
            </w:r>
            <w:r>
              <w:rPr>
                <w:i/>
                <w:sz w:val="24"/>
              </w:rPr>
              <w:t>la leche de vacas Holstein en</w:t>
            </w:r>
            <w:r>
              <w:rPr>
                <w:i/>
                <w:spacing w:val="-3"/>
                <w:sz w:val="24"/>
              </w:rPr>
              <w:t> </w:t>
            </w:r>
            <w:r>
              <w:rPr>
                <w:i/>
                <w:sz w:val="24"/>
              </w:rPr>
              <w:t>pastoreo……….……….……………………..</w:t>
            </w:r>
          </w:p>
        </w:tc>
        <w:tc>
          <w:tcPr>
            <w:tcW w:w="1014" w:type="dxa"/>
          </w:tcPr>
          <w:p>
            <w:pPr>
              <w:pStyle w:val="TableParagraph"/>
              <w:rPr>
                <w:b/>
                <w:sz w:val="24"/>
              </w:rPr>
            </w:pPr>
          </w:p>
          <w:p>
            <w:pPr>
              <w:pStyle w:val="TableParagraph"/>
              <w:rPr>
                <w:b/>
                <w:sz w:val="24"/>
              </w:rPr>
            </w:pPr>
          </w:p>
          <w:p>
            <w:pPr>
              <w:pStyle w:val="TableParagraph"/>
              <w:rPr>
                <w:b/>
                <w:sz w:val="24"/>
              </w:rPr>
            </w:pPr>
          </w:p>
          <w:p>
            <w:pPr>
              <w:pStyle w:val="TableParagraph"/>
              <w:spacing w:before="154"/>
              <w:ind w:left="89" w:right="173"/>
              <w:jc w:val="center"/>
              <w:rPr>
                <w:sz w:val="24"/>
              </w:rPr>
            </w:pPr>
            <w:r>
              <w:rPr>
                <w:sz w:val="24"/>
              </w:rPr>
              <w:t>87</w:t>
            </w:r>
          </w:p>
        </w:tc>
      </w:tr>
    </w:tbl>
    <w:p>
      <w:pPr>
        <w:spacing w:after="0"/>
        <w:jc w:val="center"/>
        <w:rPr>
          <w:sz w:val="24"/>
        </w:rPr>
        <w:sectPr>
          <w:pgSz w:w="12240" w:h="15840"/>
          <w:pgMar w:header="1150" w:footer="1336" w:top="1340" w:bottom="1520" w:left="1560" w:right="1220"/>
        </w:sectPr>
      </w:pPr>
    </w:p>
    <w:p>
      <w:pPr>
        <w:pStyle w:val="BodyText"/>
        <w:rPr>
          <w:sz w:val="20"/>
        </w:rPr>
      </w:pPr>
    </w:p>
    <w:p>
      <w:pPr>
        <w:pStyle w:val="BodyText"/>
        <w:spacing w:before="3"/>
        <w:rPr>
          <w:sz w:val="22"/>
        </w:rPr>
      </w:pPr>
    </w:p>
    <w:tbl>
      <w:tblPr>
        <w:tblW w:w="0" w:type="auto"/>
        <w:jc w:val="left"/>
        <w:tblInd w:w="88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407"/>
        <w:gridCol w:w="668"/>
      </w:tblGrid>
      <w:tr>
        <w:trPr>
          <w:trHeight w:val="1481" w:hRule="exact"/>
        </w:trPr>
        <w:tc>
          <w:tcPr>
            <w:tcW w:w="7407" w:type="dxa"/>
          </w:tcPr>
          <w:p>
            <w:pPr>
              <w:pStyle w:val="TableParagraph"/>
              <w:spacing w:line="245" w:lineRule="exact"/>
              <w:ind w:left="200" w:right="208"/>
              <w:rPr>
                <w:i/>
                <w:sz w:val="24"/>
              </w:rPr>
            </w:pPr>
            <w:r>
              <w:rPr>
                <w:i/>
                <w:sz w:val="24"/>
              </w:rPr>
              <w:t>Efecto de la adición de aceite de soya en la dieta sobre el contenido   de</w:t>
            </w:r>
          </w:p>
          <w:p>
            <w:pPr>
              <w:pStyle w:val="TableParagraph"/>
              <w:spacing w:before="137"/>
              <w:ind w:left="200" w:right="208"/>
              <w:rPr>
                <w:i/>
                <w:sz w:val="24"/>
              </w:rPr>
            </w:pPr>
            <w:r>
              <w:rPr>
                <w:i/>
                <w:sz w:val="24"/>
              </w:rPr>
              <w:t>los  ácidos  grasos  vaccénico  (C18:1  t11),  linoleico  (C18:2    c9c12),</w:t>
            </w:r>
          </w:p>
          <w:p>
            <w:pPr>
              <w:pStyle w:val="TableParagraph"/>
              <w:spacing w:line="410" w:lineRule="atLeast" w:before="5"/>
              <w:ind w:left="200" w:right="208"/>
              <w:rPr>
                <w:i/>
                <w:sz w:val="24"/>
              </w:rPr>
            </w:pPr>
            <w:r>
              <w:rPr>
                <w:i/>
                <w:sz w:val="24"/>
              </w:rPr>
              <w:t>ruménico (C18:2 c9t11) y linolénico (C18:3 c9c12c15) en la grasa de la </w:t>
            </w:r>
            <w:r>
              <w:rPr>
                <w:i/>
                <w:sz w:val="24"/>
              </w:rPr>
              <w:t>leche de vacas Holstein en pastoreo……………….………..………………..</w:t>
            </w:r>
          </w:p>
        </w:tc>
        <w:tc>
          <w:tcPr>
            <w:tcW w:w="668" w:type="dxa"/>
          </w:tcPr>
          <w:p>
            <w:pPr>
              <w:pStyle w:val="TableParagraph"/>
              <w:rPr>
                <w:sz w:val="24"/>
              </w:rPr>
            </w:pPr>
          </w:p>
          <w:p>
            <w:pPr>
              <w:pStyle w:val="TableParagraph"/>
              <w:rPr>
                <w:sz w:val="24"/>
              </w:rPr>
            </w:pPr>
          </w:p>
          <w:p>
            <w:pPr>
              <w:pStyle w:val="TableParagraph"/>
              <w:rPr>
                <w:sz w:val="24"/>
              </w:rPr>
            </w:pPr>
          </w:p>
          <w:p>
            <w:pPr>
              <w:pStyle w:val="TableParagraph"/>
              <w:rPr>
                <w:sz w:val="33"/>
              </w:rPr>
            </w:pPr>
          </w:p>
          <w:p>
            <w:pPr>
              <w:pStyle w:val="TableParagraph"/>
              <w:ind w:left="227"/>
              <w:rPr>
                <w:sz w:val="24"/>
              </w:rPr>
            </w:pPr>
            <w:r>
              <w:rPr>
                <w:sz w:val="24"/>
              </w:rPr>
              <w:t>89</w:t>
            </w:r>
          </w:p>
        </w:tc>
      </w:tr>
    </w:tbl>
    <w:p>
      <w:pPr>
        <w:spacing w:after="0"/>
        <w:rPr>
          <w:sz w:val="24"/>
        </w:rPr>
        <w:sectPr>
          <w:pgSz w:w="12240" w:h="15840"/>
          <w:pgMar w:header="1150" w:footer="1336" w:top="1340" w:bottom="1520" w:left="1720" w:right="1380"/>
        </w:sectPr>
      </w:pPr>
    </w:p>
    <w:p>
      <w:pPr>
        <w:pStyle w:val="BodyText"/>
        <w:rPr>
          <w:sz w:val="20"/>
        </w:rPr>
      </w:pPr>
    </w:p>
    <w:p>
      <w:pPr>
        <w:pStyle w:val="BodyText"/>
        <w:spacing w:before="9"/>
        <w:rPr>
          <w:sz w:val="19"/>
        </w:rPr>
      </w:pPr>
    </w:p>
    <w:p>
      <w:pPr>
        <w:pStyle w:val="Heading1"/>
        <w:ind w:left="181" w:right="179"/>
        <w:jc w:val="center"/>
      </w:pPr>
      <w:bookmarkStart w:name="_bookmark2" w:id="3"/>
      <w:bookmarkEnd w:id="3"/>
      <w:r>
        <w:rPr>
          <w:b w:val="0"/>
        </w:rPr>
      </w:r>
      <w:r>
        <w:rPr/>
        <w:t>RESUMEN</w:t>
      </w:r>
    </w:p>
    <w:p>
      <w:pPr>
        <w:pStyle w:val="BodyText"/>
        <w:spacing w:before="6"/>
        <w:rPr>
          <w:b/>
          <w:sz w:val="23"/>
        </w:rPr>
      </w:pPr>
    </w:p>
    <w:p>
      <w:pPr>
        <w:pStyle w:val="BodyText"/>
        <w:spacing w:line="480" w:lineRule="auto"/>
        <w:ind w:left="152" w:right="144"/>
        <w:jc w:val="both"/>
      </w:pPr>
      <w:r>
        <w:rPr/>
        <w:t>El objetivo fue incrementar el contenido de ácidos grasos insaturados, especialmente de ácido ruménico y ácido vaccénico, en la leche de vacas bajo diferentes estrategias de alimentación basadas en el pastoreo. El primer experimento consistió en evaluar la permanencia en la pradera de 8 horas continuas (</w:t>
      </w:r>
      <w:r>
        <w:rPr>
          <w:b/>
        </w:rPr>
        <w:t>8h</w:t>
      </w:r>
      <w:r>
        <w:rPr/>
        <w:t>), 8 horas divididas en dos tiempos (</w:t>
      </w:r>
      <w:r>
        <w:rPr>
          <w:b/>
        </w:rPr>
        <w:t>4+4h</w:t>
      </w:r>
      <w:r>
        <w:rPr/>
        <w:t>) y 12 horas continuas (</w:t>
      </w:r>
      <w:r>
        <w:rPr>
          <w:b/>
        </w:rPr>
        <w:t>12h</w:t>
      </w:r>
      <w:r>
        <w:rPr/>
        <w:t>), con una asignación de pasto 22 kg MS/vaca/día, adicionalmente, las vacas en el establo recibieron 5 kg de concentrado (base fresca)  dividido en dos comidas y ensilado de maíz </w:t>
      </w:r>
      <w:r>
        <w:rPr>
          <w:i/>
        </w:rPr>
        <w:t>ad libitum</w:t>
      </w:r>
      <w:r>
        <w:rPr/>
        <w:t>. No hubo diferencia (P&gt;0.05) en la concentración de ácidos grasos en leche entre </w:t>
      </w:r>
      <w:r>
        <w:rPr>
          <w:b/>
        </w:rPr>
        <w:t>8h </w:t>
      </w:r>
      <w:r>
        <w:rPr/>
        <w:t>y </w:t>
      </w:r>
      <w:r>
        <w:rPr>
          <w:b/>
        </w:rPr>
        <w:t>4+4h</w:t>
      </w:r>
      <w:r>
        <w:rPr/>
        <w:t>. Hubo mayor (P&lt;0.05) concentración de ácido ruménico en la leche de vacas en el tratamiento </w:t>
      </w:r>
      <w:r>
        <w:rPr>
          <w:b/>
        </w:rPr>
        <w:t>12 h </w:t>
      </w:r>
      <w:r>
        <w:rPr/>
        <w:t>comparado  con </w:t>
      </w:r>
      <w:r>
        <w:rPr>
          <w:b/>
        </w:rPr>
        <w:t>8h</w:t>
      </w:r>
      <w:r>
        <w:rPr/>
        <w:t>. Los resultados sugieren que la permanencia de 12 horas en la pradera con la asignación de 22 kg de MS/vaca y día aumenta la concentración de ácidos benéficos al hombre.</w:t>
      </w:r>
    </w:p>
    <w:p>
      <w:pPr>
        <w:pStyle w:val="BodyText"/>
        <w:spacing w:line="480" w:lineRule="auto" w:before="207"/>
        <w:ind w:left="152" w:right="142"/>
        <w:jc w:val="both"/>
      </w:pPr>
      <w:r>
        <w:rPr/>
        <w:t>En el segundo experimento, con el fin de potenciar la respuesta en la concentración de AG insaturados en la leche se formularon dietas completas mezcladas (TMR) sin (</w:t>
      </w:r>
      <w:r>
        <w:rPr>
          <w:b/>
        </w:rPr>
        <w:t>pTMR-0</w:t>
      </w:r>
      <w:r>
        <w:rPr/>
        <w:t>) y con 3% (</w:t>
      </w:r>
      <w:r>
        <w:rPr>
          <w:b/>
        </w:rPr>
        <w:t>pTMR-3</w:t>
      </w:r>
      <w:r>
        <w:rPr/>
        <w:t>) y 6% de aceite de soya (</w:t>
      </w:r>
      <w:r>
        <w:rPr>
          <w:b/>
        </w:rPr>
        <w:t>pTMR-6</w:t>
      </w:r>
      <w:r>
        <w:rPr/>
        <w:t>) suministradas a vacas con acceso a 12 h en la pradera y la asignación de pasto de 22 kg de MS/vaca/día. Los tratamientos pTMR-6 y pTMR-3 tuvieron 23.6 y 10.7% menor contenido AG saturados en leche comparado con pTMR-0. El contenido ácido vaccénico en leche tuvo un incremento de</w:t>
      </w:r>
    </w:p>
    <w:p>
      <w:pPr>
        <w:pStyle w:val="ListParagraph"/>
        <w:numPr>
          <w:ilvl w:val="1"/>
          <w:numId w:val="5"/>
        </w:numPr>
        <w:tabs>
          <w:tab w:pos="678" w:val="left" w:leader="none"/>
        </w:tabs>
        <w:spacing w:line="480" w:lineRule="auto" w:before="10" w:after="0"/>
        <w:ind w:left="152" w:right="145" w:firstLine="0"/>
        <w:jc w:val="both"/>
        <w:rPr>
          <w:sz w:val="24"/>
        </w:rPr>
      </w:pPr>
      <w:r>
        <w:rPr>
          <w:sz w:val="24"/>
        </w:rPr>
        <w:t>y 133.9% en pTMR-3 y pTMR-6 comparado con pTMR-0. Por su parte, el ácido ruménico</w:t>
      </w:r>
      <w:r>
        <w:rPr>
          <w:spacing w:val="29"/>
          <w:sz w:val="24"/>
        </w:rPr>
        <w:t> </w:t>
      </w:r>
      <w:r>
        <w:rPr>
          <w:sz w:val="24"/>
        </w:rPr>
        <w:t>presentó</w:t>
      </w:r>
      <w:r>
        <w:rPr>
          <w:spacing w:val="30"/>
          <w:sz w:val="24"/>
        </w:rPr>
        <w:t> </w:t>
      </w:r>
      <w:r>
        <w:rPr>
          <w:sz w:val="24"/>
        </w:rPr>
        <w:t>un</w:t>
      </w:r>
      <w:r>
        <w:rPr>
          <w:spacing w:val="32"/>
          <w:sz w:val="24"/>
        </w:rPr>
        <w:t> </w:t>
      </w:r>
      <w:r>
        <w:rPr>
          <w:sz w:val="24"/>
        </w:rPr>
        <w:t>comportamiento</w:t>
      </w:r>
      <w:r>
        <w:rPr>
          <w:spacing w:val="30"/>
          <w:sz w:val="24"/>
        </w:rPr>
        <w:t> </w:t>
      </w:r>
      <w:r>
        <w:rPr>
          <w:sz w:val="24"/>
        </w:rPr>
        <w:t>cuadrático</w:t>
      </w:r>
      <w:r>
        <w:rPr>
          <w:spacing w:val="29"/>
          <w:sz w:val="24"/>
        </w:rPr>
        <w:t> </w:t>
      </w:r>
      <w:r>
        <w:rPr>
          <w:sz w:val="24"/>
        </w:rPr>
        <w:t>(P&lt;0.05),</w:t>
      </w:r>
      <w:r>
        <w:rPr>
          <w:spacing w:val="32"/>
          <w:sz w:val="24"/>
        </w:rPr>
        <w:t> </w:t>
      </w:r>
      <w:r>
        <w:rPr>
          <w:sz w:val="24"/>
        </w:rPr>
        <w:t>el</w:t>
      </w:r>
      <w:r>
        <w:rPr>
          <w:spacing w:val="30"/>
          <w:sz w:val="24"/>
        </w:rPr>
        <w:t> </w:t>
      </w:r>
      <w:r>
        <w:rPr>
          <w:sz w:val="24"/>
        </w:rPr>
        <w:t>mayor</w:t>
      </w:r>
      <w:r>
        <w:rPr>
          <w:spacing w:val="31"/>
          <w:sz w:val="24"/>
        </w:rPr>
        <w:t> </w:t>
      </w:r>
      <w:r>
        <w:rPr>
          <w:sz w:val="24"/>
        </w:rPr>
        <w:t>contenido</w:t>
      </w:r>
      <w:r>
        <w:rPr>
          <w:spacing w:val="30"/>
          <w:sz w:val="24"/>
        </w:rPr>
        <w:t> </w:t>
      </w:r>
      <w:r>
        <w:rPr>
          <w:sz w:val="24"/>
        </w:rPr>
        <w:t>de</w:t>
      </w:r>
      <w:r>
        <w:rPr>
          <w:spacing w:val="34"/>
          <w:sz w:val="24"/>
        </w:rPr>
        <w:t> </w:t>
      </w:r>
      <w:r>
        <w:rPr>
          <w:sz w:val="24"/>
        </w:rPr>
        <w:t>ácido</w:t>
      </w:r>
    </w:p>
    <w:p>
      <w:pPr>
        <w:spacing w:after="0" w:line="480" w:lineRule="auto"/>
        <w:jc w:val="both"/>
        <w:rPr>
          <w:sz w:val="24"/>
        </w:rPr>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2" w:lineRule="auto"/>
        <w:ind w:left="152" w:right="155"/>
        <w:jc w:val="both"/>
      </w:pPr>
      <w:r>
        <w:rPr/>
        <w:t>ruménico lo tuvo la leche de vacas alimentadas con la adición de 3% de aceite de soya en la TMR.</w:t>
      </w:r>
    </w:p>
    <w:p>
      <w:pPr>
        <w:pStyle w:val="BodyText"/>
        <w:spacing w:line="480" w:lineRule="auto" w:before="204"/>
        <w:ind w:left="152" w:right="151"/>
        <w:jc w:val="both"/>
      </w:pPr>
      <w:r>
        <w:rPr/>
        <w:t>En conclusión, se puede mejorar la calidad nutricional de la leche de vaca incrementando  su contenido de ácidos grasos poliinsaturados, especialmente del ácido graso ruménico y el ácido graso vaccénico cuando en las estrategias de alimentación con base en el pastoreo se utilizan ingredientes con alto contenido de los ácidos linolénico y</w:t>
      </w:r>
      <w:r>
        <w:rPr>
          <w:spacing w:val="-14"/>
        </w:rPr>
        <w:t> </w:t>
      </w:r>
      <w:r>
        <w:rPr/>
        <w:t>linoleico.</w:t>
      </w:r>
    </w:p>
    <w:p>
      <w:pPr>
        <w:pStyle w:val="BodyText"/>
      </w:pPr>
    </w:p>
    <w:p>
      <w:pPr>
        <w:pStyle w:val="BodyText"/>
      </w:pPr>
    </w:p>
    <w:p>
      <w:pPr>
        <w:pStyle w:val="BodyText"/>
        <w:spacing w:before="6"/>
        <w:rPr>
          <w:sz w:val="35"/>
        </w:rPr>
      </w:pPr>
    </w:p>
    <w:p>
      <w:pPr>
        <w:pStyle w:val="BodyText"/>
        <w:spacing w:line="482" w:lineRule="auto"/>
        <w:ind w:left="152" w:right="150"/>
        <w:jc w:val="both"/>
      </w:pPr>
      <w:r>
        <w:rPr>
          <w:b/>
        </w:rPr>
        <w:t>Palabras clave: </w:t>
      </w:r>
      <w:r>
        <w:rPr/>
        <w:t>ácido linoleico conjugado, ácido graso vaccénico, vacas lecheras, pastoreo, aceite de soya.</w:t>
      </w:r>
    </w:p>
    <w:p>
      <w:pPr>
        <w:spacing w:after="0" w:line="482" w:lineRule="auto"/>
        <w:jc w:val="both"/>
        <w:sectPr>
          <w:footerReference w:type="default" r:id="rId8"/>
          <w:pgSz w:w="12240" w:h="15840"/>
          <w:pgMar w:footer="1336" w:header="1150" w:top="1340" w:bottom="1520" w:left="1720" w:right="1380"/>
          <w:pgNumType w:start="9"/>
        </w:sectPr>
      </w:pPr>
    </w:p>
    <w:p>
      <w:pPr>
        <w:pStyle w:val="BodyText"/>
        <w:rPr>
          <w:sz w:val="20"/>
        </w:rPr>
      </w:pPr>
    </w:p>
    <w:p>
      <w:pPr>
        <w:pStyle w:val="BodyText"/>
        <w:spacing w:before="9"/>
        <w:rPr>
          <w:sz w:val="19"/>
        </w:rPr>
      </w:pPr>
    </w:p>
    <w:p>
      <w:pPr>
        <w:pStyle w:val="Heading1"/>
        <w:ind w:left="179" w:right="180"/>
        <w:jc w:val="center"/>
      </w:pPr>
      <w:bookmarkStart w:name="_bookmark3" w:id="4"/>
      <w:bookmarkEnd w:id="4"/>
      <w:r>
        <w:rPr>
          <w:b w:val="0"/>
        </w:rPr>
      </w:r>
      <w:r>
        <w:rPr/>
        <w:t>SUMMARY</w:t>
      </w:r>
    </w:p>
    <w:p>
      <w:pPr>
        <w:pStyle w:val="BodyText"/>
        <w:spacing w:before="6"/>
        <w:rPr>
          <w:b/>
          <w:sz w:val="23"/>
        </w:rPr>
      </w:pPr>
    </w:p>
    <w:p>
      <w:pPr>
        <w:pStyle w:val="BodyText"/>
        <w:spacing w:line="480" w:lineRule="auto"/>
        <w:ind w:left="152" w:right="143"/>
        <w:jc w:val="both"/>
      </w:pPr>
      <w:r>
        <w:rPr/>
        <w:t>The objective was to increase the content of fatty unsaturated acids, especially rumenic and vaccenic acid, in the cows’ milk through different feeding strategies based in herding. The first experiment involved evaluating an eight continuous hours (8h) on the field, eight hours divided by two sets of time (4+4h) and 12 continuous hours (12h), with an allocation of 22 grass kg MS/cow/day, plus, the cows in the barn received 5 kg of concentrated food (fresh base), divided in two meals and maize silage </w:t>
      </w:r>
      <w:r>
        <w:rPr>
          <w:i/>
        </w:rPr>
        <w:t>ad libitum</w:t>
      </w:r>
      <w:r>
        <w:rPr/>
        <w:t>. There was no difference (P&gt;0.05) in the concentration of fatty unsaturated acids between </w:t>
      </w:r>
      <w:r>
        <w:rPr>
          <w:b/>
        </w:rPr>
        <w:t>8h </w:t>
      </w:r>
      <w:r>
        <w:rPr/>
        <w:t>and </w:t>
      </w:r>
      <w:r>
        <w:rPr>
          <w:b/>
        </w:rPr>
        <w:t>4+4h</w:t>
      </w:r>
      <w:r>
        <w:rPr/>
        <w:t>. There was more (P&gt;0.05) rumenic acid concentration in the milk of the </w:t>
      </w:r>
      <w:r>
        <w:rPr>
          <w:b/>
        </w:rPr>
        <w:t>12h </w:t>
      </w:r>
      <w:r>
        <w:rPr/>
        <w:t>cows than in those of </w:t>
      </w:r>
      <w:r>
        <w:rPr>
          <w:b/>
        </w:rPr>
        <w:t>8h</w:t>
      </w:r>
      <w:r>
        <w:rPr/>
        <w:t>. The results suggest that a 12h presence on the fields with an allocation of 22 kg of MS/cow and day increase the concentration of acids that benefit men.</w:t>
      </w:r>
    </w:p>
    <w:p>
      <w:pPr>
        <w:pStyle w:val="BodyText"/>
        <w:spacing w:line="480" w:lineRule="auto" w:before="207"/>
        <w:ind w:left="152" w:right="144"/>
        <w:jc w:val="both"/>
      </w:pPr>
      <w:r>
        <w:rPr/>
        <w:t>In the second experiment, with the goal to increase reaction on concentration of unsaturated AG in milk, complete mixed diets (TMR) had to be made without (</w:t>
      </w:r>
      <w:r>
        <w:rPr>
          <w:b/>
        </w:rPr>
        <w:t>pTMR-0</w:t>
      </w:r>
      <w:r>
        <w:rPr/>
        <w:t>) and with 3% (</w:t>
      </w:r>
      <w:r>
        <w:rPr>
          <w:b/>
        </w:rPr>
        <w:t>pTMR-3</w:t>
      </w:r>
      <w:r>
        <w:rPr/>
        <w:t>) and 6% soy oil (</w:t>
      </w:r>
      <w:r>
        <w:rPr>
          <w:b/>
        </w:rPr>
        <w:t>pTMR-6) </w:t>
      </w:r>
      <w:r>
        <w:rPr/>
        <w:t>suministrated to cows with a 12h access to the field and grass supply of 22 kg of MS/cow/day. Treatments pTMR-6 and pTMR-3 had 23.6 and 10.7% less saturated AG in their milk compared to pTMR-0. Vaccenic acid in milk had an increase of 50.7 and 133.9% in pTMR-3 and pTMR-6 compared with pTMR-0. On its side, rumenic acid showed a quadratic behavior (P&lt;0.05), milk from cows fed with addition of 3% from soy oil in TMR had the most amount of rumenic acid.</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6"/>
        <w:jc w:val="both"/>
      </w:pPr>
      <w:r>
        <w:rPr/>
        <w:t>In conclusion, nutritional milk quality can be improved increasing their amount of </w:t>
      </w:r>
      <w:r>
        <w:rPr>
          <w:color w:val="202020"/>
        </w:rPr>
        <w:t>polyunsaturated fatty acids, specially rumenic and vaccenic acid when in field based feeding strategies are used with a high amount of linolenic and linoleic</w:t>
      </w:r>
      <w:r>
        <w:rPr>
          <w:color w:val="202020"/>
          <w:spacing w:val="-12"/>
        </w:rPr>
        <w:t> </w:t>
      </w:r>
      <w:r>
        <w:rPr>
          <w:color w:val="202020"/>
        </w:rPr>
        <w:t>acids.</w:t>
      </w:r>
    </w:p>
    <w:p>
      <w:pPr>
        <w:pStyle w:val="BodyText"/>
      </w:pPr>
    </w:p>
    <w:p>
      <w:pPr>
        <w:pStyle w:val="BodyText"/>
      </w:pPr>
    </w:p>
    <w:p>
      <w:pPr>
        <w:pStyle w:val="BodyText"/>
        <w:spacing w:before="212"/>
        <w:ind w:left="152"/>
        <w:jc w:val="both"/>
      </w:pPr>
      <w:r>
        <w:rPr>
          <w:b/>
        </w:rPr>
        <w:t>Key Words: </w:t>
      </w:r>
      <w:r>
        <w:rPr/>
        <w:t>conjugated linoleic acid, vaccenic fatty acid, dairy cows, grazing, soy oil.</w:t>
      </w:r>
    </w:p>
    <w:p>
      <w:pPr>
        <w:spacing w:after="0"/>
        <w:jc w:val="both"/>
        <w:sectPr>
          <w:pgSz w:w="12240" w:h="15840"/>
          <w:pgMar w:header="1150" w:footer="1336" w:top="1340" w:bottom="1520" w:left="1720" w:right="1380"/>
        </w:sectPr>
      </w:pPr>
    </w:p>
    <w:p>
      <w:pPr>
        <w:pStyle w:val="BodyText"/>
        <w:rPr>
          <w:sz w:val="20"/>
        </w:rPr>
      </w:pPr>
    </w:p>
    <w:p>
      <w:pPr>
        <w:pStyle w:val="BodyText"/>
        <w:spacing w:before="9"/>
        <w:rPr>
          <w:sz w:val="19"/>
        </w:rPr>
      </w:pPr>
    </w:p>
    <w:p>
      <w:pPr>
        <w:pStyle w:val="Heading1"/>
        <w:numPr>
          <w:ilvl w:val="2"/>
          <w:numId w:val="5"/>
        </w:numPr>
        <w:tabs>
          <w:tab w:pos="3713" w:val="left" w:leader="none"/>
        </w:tabs>
        <w:spacing w:line="240" w:lineRule="auto" w:before="0" w:after="0"/>
        <w:ind w:left="3712" w:right="0" w:hanging="214"/>
        <w:jc w:val="left"/>
      </w:pPr>
      <w:bookmarkStart w:name="_bookmark4" w:id="5"/>
      <w:bookmarkEnd w:id="5"/>
      <w:r>
        <w:rPr>
          <w:b w:val="0"/>
        </w:rPr>
      </w:r>
      <w:bookmarkStart w:name="_bookmark4" w:id="6"/>
      <w:bookmarkEnd w:id="6"/>
      <w:r>
        <w:rPr/>
        <w:t>INTRODU</w:t>
      </w:r>
      <w:r>
        <w:rPr/>
        <w:t>CCIÓN</w:t>
      </w:r>
    </w:p>
    <w:p>
      <w:pPr>
        <w:pStyle w:val="BodyText"/>
        <w:spacing w:before="6"/>
        <w:rPr>
          <w:b/>
          <w:sz w:val="23"/>
        </w:rPr>
      </w:pPr>
    </w:p>
    <w:p>
      <w:pPr>
        <w:pStyle w:val="BodyText"/>
        <w:spacing w:line="480" w:lineRule="auto"/>
        <w:ind w:left="152" w:right="144"/>
        <w:jc w:val="both"/>
      </w:pPr>
      <w:r>
        <w:rPr/>
        <w:t>En México, durante los últimos diez años, la producción de leche ha tenido una tasa de crecimiento de 1.3% anual. En el año 2010 se produjeron alrededor de 10,711 millones de litros de leche, el 18.3% lo aportó el Estado de Jalisco, seguido de Coahuila, Durango y Chihuahua con 11.6%, 9.6% y 9.6%, respectivamente; el Estado de México ocupó el séptimo lugar con el 4.4% del total de leche producida (SIAP-SAGARPA, 2013).</w:t>
      </w:r>
    </w:p>
    <w:p>
      <w:pPr>
        <w:pStyle w:val="BodyText"/>
        <w:spacing w:line="480" w:lineRule="auto" w:before="207"/>
        <w:ind w:left="152" w:right="145"/>
        <w:jc w:val="both"/>
      </w:pPr>
      <w:r>
        <w:rPr/>
        <w:t>De acuerdo con la secretaría de economía (2010), en los últimos diez años, el consumo per cápita total de leche ha crecido a una tasa media anual de 1.6%. Los países desarrollados consumen en promedio 200 kg de leche por habitante por año, en cambio, en los países en desarrollo, el promedio de consumo por habitante es de 44 kg. México tiene un consumo promedio de leche fluida de 97 kg por habitante por año, alrededor del 50% menos al recomendado por la Organización de las Naciones Unidas para la Alimentación y la Agricultura.</w:t>
      </w:r>
    </w:p>
    <w:p>
      <w:pPr>
        <w:pStyle w:val="BodyText"/>
        <w:spacing w:line="480" w:lineRule="auto" w:before="207"/>
        <w:ind w:left="152" w:right="149"/>
        <w:jc w:val="both"/>
      </w:pPr>
      <w:r>
        <w:rPr/>
        <w:t>La leche es un producto nutritivo complejo que posee más de 100 sustancias que se encuentran </w:t>
      </w:r>
      <w:r>
        <w:rPr>
          <w:spacing w:val="-3"/>
        </w:rPr>
        <w:t>ya </w:t>
      </w:r>
      <w:r>
        <w:rPr/>
        <w:t>sea en solución, suspensión o emulsión en agua, ésta comprende membranas de gotas de grasa, micelas de caseína y una fase acuosa que contiene lactosa </w:t>
      </w:r>
      <w:r>
        <w:rPr>
          <w:spacing w:val="-3"/>
        </w:rPr>
        <w:t>y, </w:t>
      </w:r>
      <w:r>
        <w:rPr/>
        <w:t>en ocasiones, hidratos de carbono complejos, minerales en forma de iones, otras proteínas y una gran variedad de componentes solubles (Grosvenor et al., 1992; Peaker y Neville, 1991).</w:t>
      </w:r>
    </w:p>
    <w:p>
      <w:pPr>
        <w:pStyle w:val="BodyText"/>
        <w:spacing w:line="480" w:lineRule="auto" w:before="207"/>
        <w:ind w:left="152" w:right="148"/>
        <w:jc w:val="both"/>
      </w:pPr>
      <w:r>
        <w:rPr/>
        <w:t>En la alimentación del hombre se ha tomado especial importancia en los componentes funcionales de los alimentos, que además de cumplir su función nutricional en el organismo</w:t>
      </w:r>
    </w:p>
    <w:p>
      <w:pPr>
        <w:spacing w:after="0" w:line="480" w:lineRule="auto"/>
        <w:jc w:val="both"/>
        <w:sectPr>
          <w:footerReference w:type="default" r:id="rId9"/>
          <w:pgSz w:w="12240" w:h="15840"/>
          <w:pgMar w:footer="1336" w:header="1150" w:top="1340" w:bottom="1520" w:left="1720" w:right="1380"/>
          <w:pgNumType w:start="1"/>
        </w:sectPr>
      </w:pPr>
    </w:p>
    <w:p>
      <w:pPr>
        <w:pStyle w:val="BodyText"/>
        <w:rPr>
          <w:sz w:val="20"/>
        </w:rPr>
      </w:pPr>
    </w:p>
    <w:p>
      <w:pPr>
        <w:pStyle w:val="BodyText"/>
        <w:spacing w:before="4"/>
        <w:rPr>
          <w:sz w:val="19"/>
        </w:rPr>
      </w:pPr>
    </w:p>
    <w:p>
      <w:pPr>
        <w:pStyle w:val="BodyText"/>
        <w:spacing w:line="480" w:lineRule="auto"/>
        <w:ind w:left="152" w:right="148"/>
        <w:jc w:val="both"/>
      </w:pPr>
      <w:r>
        <w:rPr/>
        <w:t>realicen acciones en pro de la salud. En la leche de vaca se encuentran ácidos grasos poliinsaturados (AGPI) benéficos al consumidor, tal es el caso del ácido linoleico conjugado (CLA, </w:t>
      </w:r>
      <w:r>
        <w:rPr>
          <w:i/>
        </w:rPr>
        <w:t>por sus siglas en ingles</w:t>
      </w:r>
      <w:r>
        <w:rPr/>
        <w:t>) el cual incluye una serie de isómeros posicionales y geométricos del ácido graso (AG) linoleico (C18:2 c9 c12). El principal isómero del CLA es el C18:2 c9 t11 (AG ruménico) y se ha identificado como un AG capaz de reducir la carcinogénesis, prevenir la aterosclerosis y la diabetes mellitus, actúa como inmunomodulador en la reducción de la grasa corporal (Haro et al., 2006), razones por las que este componente ha sido y seguirá siendo objeto de</w:t>
      </w:r>
      <w:r>
        <w:rPr>
          <w:spacing w:val="-7"/>
        </w:rPr>
        <w:t> </w:t>
      </w:r>
      <w:r>
        <w:rPr/>
        <w:t>investigación.</w:t>
      </w:r>
    </w:p>
    <w:p>
      <w:pPr>
        <w:pStyle w:val="BodyText"/>
        <w:spacing w:line="480" w:lineRule="auto" w:before="207"/>
        <w:ind w:left="152" w:right="149"/>
        <w:jc w:val="both"/>
      </w:pPr>
      <w:r>
        <w:rPr/>
        <w:t>Los productos alimenticios provenientes de los rumiantes son naturalmente ricos en CLA, C18:1 t11 y linolenico conjugado, su variación proporcional de estos AG en la alimentación humana está estrechamente ligada a la dieta de los animales (Buccioni et al., 2012).</w:t>
      </w:r>
    </w:p>
    <w:p>
      <w:pPr>
        <w:pStyle w:val="BodyText"/>
        <w:spacing w:line="480" w:lineRule="auto" w:before="207"/>
        <w:ind w:left="152" w:right="145"/>
        <w:jc w:val="both"/>
      </w:pPr>
      <w:r>
        <w:rPr/>
        <w:t>El pastoreo como estrategia para el incremento de AGPI en la grasa de la leche es una opción atractiva en la producción de leche de alta calidad nutricional. Vacas alimentadas con forraje verde en las praderas han demostrado producir mayor cantidad de CLA en su leche, esto se debe al proceso de biohidrogenación que sufren los lípidos en el rumen y posteriormente a la desaturación en la glándula mamaria (Bauman et al., 1999; Buccioni et al., 2012). La leche de vacas en pastoreo, o alimentadas con forrajes frescos, tiene una mayor concentración de C18:2 c9t11 y C18:3 c9c12c15, comparado con leche de vacas en confinamiento (White et al. 2001; Morales-Almaráz et al. 2011; Buccioni et al,. 2012); también, con aumento del tiempo de pastoreo se observa un incremento en el contenido de aquellos AG en la grasa de la leche (Kelly et al. 1998; Dhiman et al. 1999; Morales-</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5"/>
        <w:jc w:val="both"/>
      </w:pPr>
      <w:r>
        <w:rPr/>
        <w:t>Almaráz et al. 2010). En el mismo sentido, Loor y Herbein (2003) refieren que la inclusión de lípidos de origen vegetal en la dieta de vacas incrementa la producción de CLA, aún más, si la adición es con aceite insaturado con alto contenido de ácido linoleico (Chilliard et al., 2000; Bauman et al., 1999). Adicionar aceite de soya al 5% en la dieta de vacas en lactación fue más efectivo para incrementar el contenido de CLA en la leche que un suplemento de CLA en la misma dieta (Huang et al., 2008). Si además del pastoreo, se suplementan vacas en producción con lípidos vegetales se potencializaría la producción de CLA y otros AG benéficos al consumidor como el AG vaccénico (C18:1 t11). En el humano, el consumo del AG vaccénico incrementa la concentración del AG ruménico en el suero sanguíneo, lo que sugiere una acción directa de la enzima Δ</w:t>
      </w:r>
      <w:r>
        <w:rPr>
          <w:position w:val="9"/>
          <w:sz w:val="16"/>
        </w:rPr>
        <w:t>9 </w:t>
      </w:r>
      <w:r>
        <w:rPr/>
        <w:t>desaturasa a nivel tisular del organismo humano (Salminen et al., 1998; Adlof et al., 2000; Turpeinen et al., 2002), así, la producción y excreción en leche del AG vaccénico es también de suma importancia para el</w:t>
      </w:r>
      <w:r>
        <w:rPr>
          <w:spacing w:val="-3"/>
        </w:rPr>
        <w:t> </w:t>
      </w:r>
      <w:r>
        <w:rPr/>
        <w:t>consumidor.</w:t>
      </w:r>
    </w:p>
    <w:p>
      <w:pPr>
        <w:pStyle w:val="BodyText"/>
        <w:spacing w:line="480" w:lineRule="auto" w:before="207"/>
        <w:ind w:left="152" w:right="146"/>
        <w:jc w:val="both"/>
      </w:pPr>
      <w:r>
        <w:rPr/>
        <w:t>Investigaciones recientes (Pérez-Ramírez et al., 2008; Gregorini et al., 2009; Kennedy et  al., 2009; Mattiauda et al., 2013) han evaluado el tiempo de permanencia en la pradera de vacas lecheras con el objetivo de medir el consumo de materia seca, el comportamiento ingestivo, la fermentación ruminal, la producción y composición de la leche, así como la concentración de metabolitos en sangre; sin embargo, estos estudios carecen  de información sobre el perfil de los ácidos grasos presentes en la leche de vaca con diferentes momentos de acceso a la pradera. Lo anterior sugiere que se puede potencializar la producción  de  una  leche  más  saludable  con       </w:t>
      </w:r>
      <w:r>
        <w:rPr>
          <w:spacing w:val="32"/>
        </w:rPr>
        <w:t> </w:t>
      </w:r>
      <w:r>
        <w:rPr/>
        <w:t>alto  contenido  de  AGPI  benéficos  al</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2" w:lineRule="auto"/>
        <w:ind w:left="152" w:right="152"/>
        <w:jc w:val="both"/>
      </w:pPr>
      <w:r>
        <w:rPr/>
        <w:t>consumidor con la inclusión de alimentos ricos en AG linoleico (C18:2 c9 c12) y linolénico (C18:3 c9 c12 c15) en la dieta de vacas en pastoreo.</w:t>
      </w:r>
    </w:p>
    <w:p>
      <w:pPr>
        <w:pStyle w:val="BodyText"/>
        <w:spacing w:line="480" w:lineRule="auto" w:before="204"/>
        <w:ind w:left="152" w:right="144"/>
        <w:jc w:val="both"/>
      </w:pPr>
      <w:r>
        <w:rPr/>
        <w:t>La suplementación con aceites vegetales ha tenido éxito para elevar el contenido de AGPI, así como los AG ruménico y vaccénico en leche; sin embargo, el costo de alimentación se incrementa considerablemente con vacas lecheras estabuladas, sin embargo pocos experimentos (Schroeder et al., 2004; Rego et al., 2005) han sido desarrollados en la misma medida acerca de proporcionar suplementos ricos de AG insaturados como estrategia para mejorar el perfil de AG con vacas en pastoreo.</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9"/>
        <w:rPr>
          <w:sz w:val="19"/>
        </w:rPr>
      </w:pPr>
    </w:p>
    <w:p>
      <w:pPr>
        <w:pStyle w:val="Heading1"/>
        <w:numPr>
          <w:ilvl w:val="2"/>
          <w:numId w:val="5"/>
        </w:numPr>
        <w:tabs>
          <w:tab w:pos="3103" w:val="left" w:leader="none"/>
        </w:tabs>
        <w:spacing w:line="240" w:lineRule="auto" w:before="0" w:after="0"/>
        <w:ind w:left="3102" w:right="0" w:hanging="307"/>
        <w:jc w:val="left"/>
      </w:pPr>
      <w:bookmarkStart w:name="_bookmark5" w:id="7"/>
      <w:bookmarkEnd w:id="7"/>
      <w:r>
        <w:rPr>
          <w:b w:val="0"/>
        </w:rPr>
      </w:r>
      <w:bookmarkStart w:name="_bookmark5" w:id="8"/>
      <w:bookmarkEnd w:id="8"/>
      <w:r>
        <w:rPr/>
        <w:t>REVISIÓN</w:t>
      </w:r>
      <w:r>
        <w:rPr/>
        <w:t> DE</w:t>
      </w:r>
      <w:r>
        <w:rPr>
          <w:spacing w:val="-5"/>
        </w:rPr>
        <w:t> </w:t>
      </w:r>
      <w:r>
        <w:rPr/>
        <w:t>LITERATURA</w:t>
      </w:r>
    </w:p>
    <w:p>
      <w:pPr>
        <w:pStyle w:val="BodyText"/>
        <w:rPr>
          <w:b/>
        </w:rPr>
      </w:pPr>
    </w:p>
    <w:p>
      <w:pPr>
        <w:pStyle w:val="Heading1"/>
        <w:numPr>
          <w:ilvl w:val="1"/>
          <w:numId w:val="6"/>
        </w:numPr>
        <w:tabs>
          <w:tab w:pos="573" w:val="left" w:leader="none"/>
        </w:tabs>
        <w:spacing w:line="240" w:lineRule="auto" w:before="0" w:after="0"/>
        <w:ind w:left="572" w:right="0" w:hanging="420"/>
        <w:jc w:val="both"/>
      </w:pPr>
      <w:bookmarkStart w:name="_bookmark6" w:id="9"/>
      <w:bookmarkEnd w:id="9"/>
      <w:r>
        <w:rPr>
          <w:b w:val="0"/>
        </w:rPr>
      </w:r>
      <w:bookmarkStart w:name="_bookmark6" w:id="10"/>
      <w:bookmarkEnd w:id="10"/>
      <w:r>
        <w:rPr/>
        <w:t>S</w:t>
      </w:r>
      <w:r>
        <w:rPr/>
        <w:t>ituación actual de la producción de leche de bovino en</w:t>
      </w:r>
      <w:r>
        <w:rPr>
          <w:spacing w:val="-14"/>
        </w:rPr>
        <w:t> </w:t>
      </w:r>
      <w:r>
        <w:rPr/>
        <w:t>México</w:t>
      </w:r>
    </w:p>
    <w:p>
      <w:pPr>
        <w:pStyle w:val="BodyText"/>
        <w:spacing w:before="6"/>
        <w:rPr>
          <w:b/>
          <w:sz w:val="23"/>
        </w:rPr>
      </w:pPr>
    </w:p>
    <w:p>
      <w:pPr>
        <w:pStyle w:val="BodyText"/>
        <w:spacing w:line="480" w:lineRule="auto"/>
        <w:ind w:left="152" w:right="147"/>
        <w:jc w:val="both"/>
      </w:pPr>
      <w:r>
        <w:rPr/>
        <w:t>Los rumiantes tienen una gran importancia como productores de alimentos de alta calidad nutritiva para el humano, convierten en leche y carne las plantas y subproductos agrícolas e industriales que no son usados directamente por el hombre (Román, 1981); además, a partir del sacrificio se obtienen gran cantidad de subproductos de matadero, cuya utilización representa un valor económico, sanitario y social relevante (FAO, 2013).</w:t>
      </w:r>
    </w:p>
    <w:p>
      <w:pPr>
        <w:pStyle w:val="BodyText"/>
        <w:spacing w:line="480" w:lineRule="auto" w:before="207"/>
        <w:ind w:left="152" w:right="144"/>
        <w:jc w:val="both"/>
      </w:pPr>
      <w:r>
        <w:rPr/>
        <w:t>A nivel nacional la producción de leche ha tenido una tasa de crecimiento de 1.3% anual, durante los últimos diez años. En 2010 se produjeron alrededor de 10,711 millones de litros del cual 18.3% lo aportó el Estado de Jalisco, seguido de Coahuila, Durango y Chihuahua con 11.6%, 9.6% y 9.6%, respectivamente; el Estado de México ocupa el séptimo lugar con 4.4% del total de producción de leche (Figura 1). Cabe señalar, que los Estados de Coahuila y Durango se encuentran ubicados en la Región Lagunera, sitio más importante de la  cuenca lechera del país y que ocupa el primer lugar en producción a nivel nacional (SIAP- SAGARPA,</w:t>
      </w:r>
      <w:r>
        <w:rPr>
          <w:spacing w:val="-4"/>
        </w:rPr>
        <w:t> </w:t>
      </w:r>
      <w:r>
        <w:rPr/>
        <w:t>2013).</w:t>
      </w:r>
    </w:p>
    <w:p>
      <w:pPr>
        <w:pStyle w:val="BodyText"/>
        <w:spacing w:line="480" w:lineRule="auto" w:before="207"/>
        <w:ind w:left="152" w:right="146"/>
        <w:jc w:val="both"/>
      </w:pPr>
      <w:r>
        <w:rPr/>
        <w:t>La producción de leche depende principalmente del clima y recursos forrajeros de la región. Los climas del territorio nacional van a depender de dos factores, 1) según la temperatura: cálido y templado, y 2) de acuerdo con </w:t>
      </w:r>
      <w:r>
        <w:rPr>
          <w:spacing w:val="3"/>
        </w:rPr>
        <w:t>la </w:t>
      </w:r>
      <w:r>
        <w:rPr/>
        <w:t>humedad existente en el medio: húmedo, subhúmedo y muy seco (INEGI, 2010). Tradicionalmente el país se ha dividido en cinco regiones:</w:t>
      </w:r>
      <w:r>
        <w:rPr>
          <w:spacing w:val="54"/>
        </w:rPr>
        <w:t> </w:t>
      </w:r>
      <w:r>
        <w:rPr/>
        <w:t>1)</w:t>
      </w:r>
      <w:r>
        <w:rPr>
          <w:spacing w:val="53"/>
        </w:rPr>
        <w:t> </w:t>
      </w:r>
      <w:r>
        <w:rPr/>
        <w:t>árida</w:t>
      </w:r>
      <w:r>
        <w:rPr>
          <w:spacing w:val="57"/>
        </w:rPr>
        <w:t> </w:t>
      </w:r>
      <w:r>
        <w:rPr/>
        <w:t>y semiárida,</w:t>
      </w:r>
      <w:r>
        <w:rPr>
          <w:spacing w:val="53"/>
        </w:rPr>
        <w:t> </w:t>
      </w:r>
      <w:r>
        <w:rPr/>
        <w:t>2)</w:t>
      </w:r>
      <w:r>
        <w:rPr>
          <w:spacing w:val="54"/>
        </w:rPr>
        <w:t> </w:t>
      </w:r>
      <w:r>
        <w:rPr/>
        <w:t>templada,</w:t>
      </w:r>
      <w:r>
        <w:rPr>
          <w:spacing w:val="53"/>
        </w:rPr>
        <w:t> </w:t>
      </w:r>
      <w:r>
        <w:rPr/>
        <w:t>3)</w:t>
      </w:r>
      <w:r>
        <w:rPr>
          <w:spacing w:val="53"/>
        </w:rPr>
        <w:t> </w:t>
      </w:r>
      <w:r>
        <w:rPr/>
        <w:t>tropical</w:t>
      </w:r>
      <w:r>
        <w:rPr>
          <w:spacing w:val="54"/>
        </w:rPr>
        <w:t> </w:t>
      </w:r>
      <w:r>
        <w:rPr/>
        <w:t>húmeda,</w:t>
      </w:r>
      <w:r>
        <w:rPr>
          <w:spacing w:val="53"/>
        </w:rPr>
        <w:t> </w:t>
      </w:r>
      <w:r>
        <w:rPr/>
        <w:t>4)</w:t>
      </w:r>
      <w:r>
        <w:rPr>
          <w:spacing w:val="53"/>
        </w:rPr>
        <w:t> </w:t>
      </w:r>
      <w:r>
        <w:rPr/>
        <w:t>tropical</w:t>
      </w:r>
      <w:r>
        <w:rPr>
          <w:spacing w:val="54"/>
        </w:rPr>
        <w:t> </w:t>
      </w:r>
      <w:r>
        <w:rPr/>
        <w:t>seca</w:t>
      </w:r>
      <w:r>
        <w:rPr>
          <w:spacing w:val="57"/>
        </w:rPr>
        <w:t> </w:t>
      </w:r>
      <w:r>
        <w:rPr/>
        <w:t>y 5)</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2" w:lineRule="auto"/>
        <w:ind w:left="152" w:right="152"/>
        <w:jc w:val="both"/>
      </w:pPr>
      <w:r>
        <w:rPr/>
        <w:t>montañosa, en todos se produce en mayor o menor medida leche de bovinos principalmente y su composición y comercialización dependerá en gran medida de la región.</w:t>
      </w:r>
    </w:p>
    <w:p>
      <w:pPr>
        <w:pStyle w:val="BodyText"/>
        <w:rPr>
          <w:sz w:val="15"/>
        </w:rPr>
      </w:pPr>
      <w:r>
        <w:rPr/>
        <w:drawing>
          <wp:anchor distT="0" distB="0" distL="0" distR="0" allowOverlap="1" layoutInCell="1" locked="0" behindDoc="0" simplePos="0" relativeHeight="1120">
            <wp:simplePos x="0" y="0"/>
            <wp:positionH relativeFrom="page">
              <wp:posOffset>1703832</wp:posOffset>
            </wp:positionH>
            <wp:positionV relativeFrom="paragraph">
              <wp:posOffset>134649</wp:posOffset>
            </wp:positionV>
            <wp:extent cx="4585333" cy="2446020"/>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10" cstate="print"/>
                    <a:stretch>
                      <a:fillRect/>
                    </a:stretch>
                  </pic:blipFill>
                  <pic:spPr>
                    <a:xfrm>
                      <a:off x="0" y="0"/>
                      <a:ext cx="4585333" cy="2446020"/>
                    </a:xfrm>
                    <a:prstGeom prst="rect">
                      <a:avLst/>
                    </a:prstGeom>
                  </pic:spPr>
                </pic:pic>
              </a:graphicData>
            </a:graphic>
          </wp:anchor>
        </w:drawing>
      </w:r>
    </w:p>
    <w:p>
      <w:pPr>
        <w:pStyle w:val="BodyText"/>
        <w:spacing w:before="10"/>
        <w:rPr>
          <w:sz w:val="25"/>
        </w:rPr>
      </w:pPr>
    </w:p>
    <w:p>
      <w:pPr>
        <w:pStyle w:val="BodyText"/>
        <w:ind w:left="181" w:right="179"/>
        <w:jc w:val="center"/>
      </w:pPr>
      <w:r>
        <w:rPr/>
        <w:t>Figura 1. Producción de leche en México por Estado.</w:t>
      </w:r>
    </w:p>
    <w:p>
      <w:pPr>
        <w:pStyle w:val="BodyText"/>
      </w:pPr>
    </w:p>
    <w:p>
      <w:pPr>
        <w:pStyle w:val="BodyText"/>
      </w:pPr>
    </w:p>
    <w:p>
      <w:pPr>
        <w:pStyle w:val="BodyText"/>
        <w:spacing w:before="10"/>
        <w:rPr>
          <w:sz w:val="34"/>
        </w:rPr>
      </w:pPr>
    </w:p>
    <w:p>
      <w:pPr>
        <w:pStyle w:val="Heading1"/>
        <w:numPr>
          <w:ilvl w:val="1"/>
          <w:numId w:val="6"/>
        </w:numPr>
        <w:tabs>
          <w:tab w:pos="573" w:val="left" w:leader="none"/>
        </w:tabs>
        <w:spacing w:line="240" w:lineRule="auto" w:before="0" w:after="0"/>
        <w:ind w:left="572" w:right="0" w:hanging="420"/>
        <w:jc w:val="both"/>
      </w:pPr>
      <w:bookmarkStart w:name="_bookmark7" w:id="11"/>
      <w:bookmarkEnd w:id="11"/>
      <w:r>
        <w:rPr>
          <w:b w:val="0"/>
        </w:rPr>
      </w:r>
      <w:bookmarkStart w:name="_bookmark7" w:id="12"/>
      <w:bookmarkEnd w:id="12"/>
      <w:r>
        <w:rPr/>
        <w:t>P</w:t>
      </w:r>
      <w:r>
        <w:rPr/>
        <w:t>oblación de bovinos en México de acuerdo al fin</w:t>
      </w:r>
      <w:r>
        <w:rPr>
          <w:spacing w:val="-13"/>
        </w:rPr>
        <w:t> </w:t>
      </w:r>
      <w:r>
        <w:rPr/>
        <w:t>zootécnico</w:t>
      </w:r>
    </w:p>
    <w:p>
      <w:pPr>
        <w:pStyle w:val="BodyText"/>
        <w:spacing w:before="6"/>
        <w:rPr>
          <w:b/>
          <w:sz w:val="23"/>
        </w:rPr>
      </w:pPr>
    </w:p>
    <w:p>
      <w:pPr>
        <w:pStyle w:val="BodyText"/>
        <w:spacing w:line="480" w:lineRule="auto"/>
        <w:ind w:left="152" w:right="150"/>
        <w:jc w:val="both"/>
      </w:pPr>
      <w:r>
        <w:rPr/>
        <w:t>El sistema de información agroalimentaria y pesquera (SIAP, 2013) ha tomado en cuenta dos grandes líneas de población de bovinos: 1) especializados en la producción de carne   y,</w:t>
      </w:r>
    </w:p>
    <w:p>
      <w:pPr>
        <w:pStyle w:val="BodyText"/>
        <w:spacing w:line="480" w:lineRule="auto" w:before="10"/>
        <w:ind w:left="152" w:right="146"/>
        <w:jc w:val="both"/>
      </w:pPr>
      <w:r>
        <w:rPr/>
        <w:t>2) especializados en la producción de leche. Los Estados que contabilizan el mayor número de cabezas de bovinos lecheros son: Jalisco, Chihuahua, Durango, Coahuila e Hidalgo,  estas cinco entidades representan alrededor de 52% del total. Los primeros cuatro Estados también son los primeros en la producción de leche en el país. El Estado de México se encuentra en el octavo lugar con 115,607 cabezas que representan el 4.9% del total (Figura 2). El Estado de México tiene un menor número de cabezas de bovinos lecheros comparado con </w:t>
      </w:r>
      <w:r>
        <w:rPr>
          <w:spacing w:val="49"/>
        </w:rPr>
        <w:t> </w:t>
      </w:r>
      <w:r>
        <w:rPr/>
        <w:t>los </w:t>
      </w:r>
      <w:r>
        <w:rPr>
          <w:spacing w:val="49"/>
        </w:rPr>
        <w:t> </w:t>
      </w:r>
      <w:r>
        <w:rPr/>
        <w:t>Estados </w:t>
      </w:r>
      <w:r>
        <w:rPr>
          <w:spacing w:val="48"/>
        </w:rPr>
        <w:t> </w:t>
      </w:r>
      <w:r>
        <w:rPr/>
        <w:t>de </w:t>
      </w:r>
      <w:r>
        <w:rPr>
          <w:spacing w:val="48"/>
        </w:rPr>
        <w:t> </w:t>
      </w:r>
      <w:r>
        <w:rPr/>
        <w:t>Puebla </w:t>
      </w:r>
      <w:r>
        <w:rPr>
          <w:spacing w:val="48"/>
        </w:rPr>
        <w:t> </w:t>
      </w:r>
      <w:r>
        <w:rPr/>
        <w:t>e </w:t>
      </w:r>
      <w:r>
        <w:rPr>
          <w:spacing w:val="48"/>
        </w:rPr>
        <w:t> </w:t>
      </w:r>
      <w:r>
        <w:rPr/>
        <w:t>Hidalgo, </w:t>
      </w:r>
      <w:r>
        <w:rPr>
          <w:spacing w:val="49"/>
        </w:rPr>
        <w:t> </w:t>
      </w:r>
      <w:r>
        <w:rPr/>
        <w:t>pero </w:t>
      </w:r>
      <w:r>
        <w:rPr>
          <w:spacing w:val="50"/>
        </w:rPr>
        <w:t> </w:t>
      </w:r>
      <w:r>
        <w:rPr/>
        <w:t>en </w:t>
      </w:r>
      <w:r>
        <w:rPr>
          <w:spacing w:val="49"/>
        </w:rPr>
        <w:t> </w:t>
      </w:r>
      <w:r>
        <w:rPr/>
        <w:t>producción </w:t>
      </w:r>
      <w:r>
        <w:rPr>
          <w:spacing w:val="49"/>
        </w:rPr>
        <w:t> </w:t>
      </w:r>
      <w:r>
        <w:rPr/>
        <w:t>de </w:t>
      </w:r>
      <w:r>
        <w:rPr>
          <w:spacing w:val="48"/>
        </w:rPr>
        <w:t> </w:t>
      </w:r>
      <w:r>
        <w:rPr/>
        <w:t>leche </w:t>
      </w:r>
      <w:r>
        <w:rPr>
          <w:spacing w:val="48"/>
        </w:rPr>
        <w:t> </w:t>
      </w:r>
      <w:r>
        <w:rPr/>
        <w:t>los </w:t>
      </w:r>
      <w:r>
        <w:rPr>
          <w:spacing w:val="49"/>
        </w:rPr>
        <w:t> </w:t>
      </w:r>
      <w:r>
        <w:rPr/>
        <w:t>supera,</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2" w:lineRule="auto"/>
        <w:ind w:left="152" w:right="154"/>
        <w:jc w:val="both"/>
      </w:pPr>
      <w:r>
        <w:rPr/>
        <w:t>probablemente a la mejora genética y al tipo de alimentación influenciados por la cercanía de dependencias de educación pública.</w:t>
      </w:r>
    </w:p>
    <w:p>
      <w:pPr>
        <w:pStyle w:val="BodyText"/>
        <w:rPr>
          <w:sz w:val="15"/>
        </w:rPr>
      </w:pPr>
      <w:r>
        <w:rPr/>
        <w:drawing>
          <wp:anchor distT="0" distB="0" distL="0" distR="0" allowOverlap="1" layoutInCell="1" locked="0" behindDoc="0" simplePos="0" relativeHeight="1144">
            <wp:simplePos x="0" y="0"/>
            <wp:positionH relativeFrom="page">
              <wp:posOffset>1697735</wp:posOffset>
            </wp:positionH>
            <wp:positionV relativeFrom="paragraph">
              <wp:posOffset>134649</wp:posOffset>
            </wp:positionV>
            <wp:extent cx="4587240" cy="2756916"/>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1" cstate="print"/>
                    <a:stretch>
                      <a:fillRect/>
                    </a:stretch>
                  </pic:blipFill>
                  <pic:spPr>
                    <a:xfrm>
                      <a:off x="0" y="0"/>
                      <a:ext cx="4587240" cy="2756916"/>
                    </a:xfrm>
                    <a:prstGeom prst="rect">
                      <a:avLst/>
                    </a:prstGeom>
                  </pic:spPr>
                </pic:pic>
              </a:graphicData>
            </a:graphic>
          </wp:anchor>
        </w:drawing>
      </w:r>
    </w:p>
    <w:p>
      <w:pPr>
        <w:pStyle w:val="BodyText"/>
        <w:spacing w:before="1"/>
        <w:rPr>
          <w:sz w:val="27"/>
        </w:rPr>
      </w:pPr>
    </w:p>
    <w:p>
      <w:pPr>
        <w:pStyle w:val="BodyText"/>
        <w:spacing w:before="1"/>
        <w:ind w:left="1983"/>
      </w:pPr>
      <w:r>
        <w:rPr/>
        <w:t>Figura 2. Distribución de bovinos lecheros en México</w:t>
      </w:r>
    </w:p>
    <w:p>
      <w:pPr>
        <w:pStyle w:val="BodyText"/>
      </w:pPr>
    </w:p>
    <w:p>
      <w:pPr>
        <w:pStyle w:val="BodyText"/>
      </w:pPr>
    </w:p>
    <w:p>
      <w:pPr>
        <w:pStyle w:val="BodyText"/>
        <w:rPr>
          <w:sz w:val="35"/>
        </w:rPr>
      </w:pPr>
    </w:p>
    <w:p>
      <w:pPr>
        <w:pStyle w:val="Heading1"/>
        <w:numPr>
          <w:ilvl w:val="1"/>
          <w:numId w:val="6"/>
        </w:numPr>
        <w:tabs>
          <w:tab w:pos="573" w:val="left" w:leader="none"/>
        </w:tabs>
        <w:spacing w:line="240" w:lineRule="auto" w:before="1" w:after="0"/>
        <w:ind w:left="572" w:right="0" w:hanging="420"/>
        <w:jc w:val="both"/>
      </w:pPr>
      <w:bookmarkStart w:name="_bookmark8" w:id="13"/>
      <w:bookmarkEnd w:id="13"/>
      <w:r>
        <w:rPr>
          <w:b w:val="0"/>
        </w:rPr>
      </w:r>
      <w:bookmarkStart w:name="_bookmark8" w:id="14"/>
      <w:bookmarkEnd w:id="14"/>
      <w:r>
        <w:rPr/>
        <w:t>La</w:t>
      </w:r>
      <w:r>
        <w:rPr>
          <w:spacing w:val="-3"/>
        </w:rPr>
        <w:t> </w:t>
      </w:r>
      <w:r>
        <w:rPr/>
        <w:t>leche</w:t>
      </w:r>
    </w:p>
    <w:p>
      <w:pPr>
        <w:pStyle w:val="BodyText"/>
        <w:spacing w:before="6"/>
        <w:rPr>
          <w:b/>
          <w:sz w:val="23"/>
        </w:rPr>
      </w:pPr>
    </w:p>
    <w:p>
      <w:pPr>
        <w:pStyle w:val="BodyText"/>
        <w:spacing w:line="480" w:lineRule="auto"/>
        <w:ind w:left="152" w:right="147"/>
        <w:jc w:val="both"/>
      </w:pPr>
      <w:r>
        <w:rPr/>
        <w:t>La leche es un complejo en dispersión acuosa heterogénea que contiene grasa en emulsión, proteínas en estado coloidal, caseínas, albúminas, globulinas y proteínas del suero en solución, junto con compuestos solubles de naturaleza orgánica e inorgánica que incluyen minerales, vitaminas hidrosolubles y compuestos nitrogenados no proteicos (Gravert,  1987). Su composición depende de la especie animal principalmente, por ejemplo, la foca gris se posiciona en el primer lugar de solidos totales y es debido a su alto contenido de grasa</w:t>
      </w:r>
      <w:r>
        <w:rPr>
          <w:spacing w:val="57"/>
        </w:rPr>
        <w:t> </w:t>
      </w:r>
      <w:r>
        <w:rPr/>
        <w:t>y</w:t>
      </w:r>
      <w:r>
        <w:rPr>
          <w:spacing w:val="48"/>
        </w:rPr>
        <w:t> </w:t>
      </w:r>
      <w:r>
        <w:rPr/>
        <w:t>proteína,</w:t>
      </w:r>
      <w:r>
        <w:rPr>
          <w:spacing w:val="52"/>
        </w:rPr>
        <w:t> </w:t>
      </w:r>
      <w:r>
        <w:rPr/>
        <w:t>en</w:t>
      </w:r>
      <w:r>
        <w:rPr>
          <w:spacing w:val="52"/>
        </w:rPr>
        <w:t> </w:t>
      </w:r>
      <w:r>
        <w:rPr/>
        <w:t>contraparte</w:t>
      </w:r>
      <w:r>
        <w:rPr>
          <w:spacing w:val="54"/>
        </w:rPr>
        <w:t> </w:t>
      </w:r>
      <w:r>
        <w:rPr/>
        <w:t>están</w:t>
      </w:r>
      <w:r>
        <w:rPr>
          <w:spacing w:val="52"/>
        </w:rPr>
        <w:t> </w:t>
      </w:r>
      <w:r>
        <w:rPr/>
        <w:t>los</w:t>
      </w:r>
      <w:r>
        <w:rPr>
          <w:spacing w:val="53"/>
        </w:rPr>
        <w:t> </w:t>
      </w:r>
      <w:r>
        <w:rPr/>
        <w:t>equinos</w:t>
      </w:r>
      <w:r>
        <w:rPr>
          <w:spacing w:val="53"/>
        </w:rPr>
        <w:t> </w:t>
      </w:r>
      <w:r>
        <w:rPr/>
        <w:t>(burra</w:t>
      </w:r>
      <w:r>
        <w:rPr>
          <w:spacing w:val="56"/>
        </w:rPr>
        <w:t> </w:t>
      </w:r>
      <w:r>
        <w:rPr/>
        <w:t>y</w:t>
      </w:r>
      <w:r>
        <w:rPr>
          <w:spacing w:val="52"/>
        </w:rPr>
        <w:t> </w:t>
      </w:r>
      <w:r>
        <w:rPr/>
        <w:t>yegua)</w:t>
      </w:r>
      <w:r>
        <w:rPr>
          <w:spacing w:val="59"/>
        </w:rPr>
        <w:t> </w:t>
      </w:r>
      <w:r>
        <w:rPr/>
        <w:t>a</w:t>
      </w:r>
      <w:r>
        <w:rPr>
          <w:spacing w:val="52"/>
        </w:rPr>
        <w:t> </w:t>
      </w:r>
      <w:r>
        <w:rPr/>
        <w:t>los</w:t>
      </w:r>
      <w:r>
        <w:rPr>
          <w:spacing w:val="53"/>
        </w:rPr>
        <w:t> </w:t>
      </w:r>
      <w:r>
        <w:rPr/>
        <w:t>cuales</w:t>
      </w:r>
      <w:r>
        <w:rPr>
          <w:spacing w:val="52"/>
        </w:rPr>
        <w:t> </w:t>
      </w:r>
      <w:r>
        <w:rPr/>
        <w:t>se</w:t>
      </w:r>
      <w:r>
        <w:rPr>
          <w:spacing w:val="52"/>
        </w:rPr>
        <w:t> </w:t>
      </w:r>
      <w:r>
        <w:rPr/>
        <w:t>les</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2" w:lineRule="auto"/>
        <w:ind w:left="212"/>
      </w:pPr>
      <w:r>
        <w:rPr/>
        <w:t>atribuye una leche muy fluida (Cuadro 1). Su función principal es la de cubrir los requerimientos nutricionales de los neonatos (Fox et al., 2000).</w:t>
      </w:r>
    </w:p>
    <w:p>
      <w:pPr>
        <w:pStyle w:val="Heading1"/>
        <w:spacing w:before="211"/>
        <w:ind w:left="1585"/>
      </w:pPr>
      <w:r>
        <w:rPr/>
        <w:t>Cuadro 1. Composición de la leche de algunas especies (%).</w:t>
      </w:r>
    </w:p>
    <w:p>
      <w:pPr>
        <w:pStyle w:val="BodyText"/>
        <w:spacing w:before="1" w:after="1"/>
        <w:rPr>
          <w:b/>
          <w:sz w:val="21"/>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00"/>
        <w:gridCol w:w="1531"/>
        <w:gridCol w:w="1395"/>
        <w:gridCol w:w="1571"/>
        <w:gridCol w:w="1479"/>
        <w:gridCol w:w="1504"/>
      </w:tblGrid>
      <w:tr>
        <w:trPr>
          <w:trHeight w:val="1037" w:hRule="exact"/>
        </w:trPr>
        <w:tc>
          <w:tcPr>
            <w:tcW w:w="1500" w:type="dxa"/>
            <w:tcBorders>
              <w:left w:val="nil"/>
              <w:right w:val="nil"/>
            </w:tcBorders>
          </w:tcPr>
          <w:p>
            <w:pPr>
              <w:pStyle w:val="TableParagraph"/>
              <w:spacing w:before="200"/>
              <w:ind w:left="374"/>
              <w:rPr>
                <w:sz w:val="24"/>
              </w:rPr>
            </w:pPr>
            <w:r>
              <w:rPr>
                <w:sz w:val="24"/>
              </w:rPr>
              <w:t>Especie</w:t>
            </w:r>
          </w:p>
        </w:tc>
        <w:tc>
          <w:tcPr>
            <w:tcW w:w="1531" w:type="dxa"/>
            <w:tcBorders>
              <w:left w:val="nil"/>
              <w:right w:val="nil"/>
            </w:tcBorders>
          </w:tcPr>
          <w:p>
            <w:pPr>
              <w:pStyle w:val="TableParagraph"/>
              <w:spacing w:line="360" w:lineRule="auto"/>
              <w:ind w:left="429" w:right="409" w:hanging="48"/>
              <w:rPr>
                <w:sz w:val="24"/>
              </w:rPr>
            </w:pPr>
            <w:r>
              <w:rPr>
                <w:sz w:val="24"/>
              </w:rPr>
              <w:t>Solidos totales</w:t>
            </w:r>
          </w:p>
        </w:tc>
        <w:tc>
          <w:tcPr>
            <w:tcW w:w="1395" w:type="dxa"/>
            <w:tcBorders>
              <w:left w:val="nil"/>
              <w:right w:val="nil"/>
            </w:tcBorders>
          </w:tcPr>
          <w:p>
            <w:pPr>
              <w:pStyle w:val="TableParagraph"/>
              <w:spacing w:before="200"/>
              <w:ind w:left="406" w:right="389"/>
              <w:jc w:val="center"/>
              <w:rPr>
                <w:sz w:val="24"/>
              </w:rPr>
            </w:pPr>
            <w:r>
              <w:rPr>
                <w:sz w:val="24"/>
              </w:rPr>
              <w:t>Grasa</w:t>
            </w:r>
          </w:p>
        </w:tc>
        <w:tc>
          <w:tcPr>
            <w:tcW w:w="1571" w:type="dxa"/>
            <w:tcBorders>
              <w:left w:val="nil"/>
              <w:right w:val="nil"/>
            </w:tcBorders>
          </w:tcPr>
          <w:p>
            <w:pPr>
              <w:pStyle w:val="TableParagraph"/>
              <w:spacing w:before="200"/>
              <w:ind w:left="389" w:right="341"/>
              <w:jc w:val="center"/>
              <w:rPr>
                <w:sz w:val="24"/>
              </w:rPr>
            </w:pPr>
            <w:r>
              <w:rPr>
                <w:sz w:val="24"/>
              </w:rPr>
              <w:t>Proteína</w:t>
            </w:r>
          </w:p>
        </w:tc>
        <w:tc>
          <w:tcPr>
            <w:tcW w:w="1479" w:type="dxa"/>
            <w:tcBorders>
              <w:left w:val="nil"/>
              <w:right w:val="nil"/>
            </w:tcBorders>
          </w:tcPr>
          <w:p>
            <w:pPr>
              <w:pStyle w:val="TableParagraph"/>
              <w:spacing w:before="200"/>
              <w:ind w:left="341" w:right="351"/>
              <w:jc w:val="center"/>
              <w:rPr>
                <w:sz w:val="24"/>
              </w:rPr>
            </w:pPr>
            <w:r>
              <w:rPr>
                <w:sz w:val="24"/>
              </w:rPr>
              <w:t>Lactosa</w:t>
            </w:r>
          </w:p>
        </w:tc>
        <w:tc>
          <w:tcPr>
            <w:tcW w:w="1504" w:type="dxa"/>
            <w:tcBorders>
              <w:left w:val="nil"/>
              <w:right w:val="nil"/>
            </w:tcBorders>
          </w:tcPr>
          <w:p>
            <w:pPr>
              <w:pStyle w:val="TableParagraph"/>
              <w:spacing w:before="200"/>
              <w:ind w:left="353" w:right="350"/>
              <w:jc w:val="center"/>
              <w:rPr>
                <w:sz w:val="24"/>
              </w:rPr>
            </w:pPr>
            <w:r>
              <w:rPr>
                <w:sz w:val="24"/>
              </w:rPr>
              <w:t>Cenizas</w:t>
            </w:r>
          </w:p>
        </w:tc>
      </w:tr>
      <w:tr>
        <w:trPr>
          <w:trHeight w:val="458" w:hRule="exact"/>
        </w:trPr>
        <w:tc>
          <w:tcPr>
            <w:tcW w:w="1500" w:type="dxa"/>
            <w:tcBorders>
              <w:left w:val="nil"/>
              <w:bottom w:val="nil"/>
              <w:right w:val="nil"/>
            </w:tcBorders>
          </w:tcPr>
          <w:p>
            <w:pPr>
              <w:pStyle w:val="TableParagraph"/>
              <w:spacing w:line="271" w:lineRule="exact"/>
              <w:ind w:left="107"/>
              <w:rPr>
                <w:sz w:val="24"/>
              </w:rPr>
            </w:pPr>
            <w:r>
              <w:rPr>
                <w:sz w:val="24"/>
              </w:rPr>
              <w:t>Humano</w:t>
            </w:r>
          </w:p>
        </w:tc>
        <w:tc>
          <w:tcPr>
            <w:tcW w:w="1531" w:type="dxa"/>
            <w:tcBorders>
              <w:left w:val="nil"/>
              <w:bottom w:val="nil"/>
              <w:right w:val="nil"/>
            </w:tcBorders>
          </w:tcPr>
          <w:p>
            <w:pPr>
              <w:pStyle w:val="TableParagraph"/>
              <w:spacing w:line="271" w:lineRule="exact"/>
              <w:ind w:left="532" w:right="409"/>
              <w:rPr>
                <w:sz w:val="24"/>
              </w:rPr>
            </w:pPr>
            <w:r>
              <w:rPr>
                <w:sz w:val="24"/>
              </w:rPr>
              <w:t>12.2</w:t>
            </w:r>
          </w:p>
        </w:tc>
        <w:tc>
          <w:tcPr>
            <w:tcW w:w="1395" w:type="dxa"/>
            <w:tcBorders>
              <w:left w:val="nil"/>
              <w:bottom w:val="nil"/>
              <w:right w:val="nil"/>
            </w:tcBorders>
          </w:tcPr>
          <w:p>
            <w:pPr>
              <w:pStyle w:val="TableParagraph"/>
              <w:spacing w:line="271" w:lineRule="exact"/>
              <w:ind w:left="406" w:right="387"/>
              <w:jc w:val="center"/>
              <w:rPr>
                <w:sz w:val="24"/>
              </w:rPr>
            </w:pPr>
            <w:r>
              <w:rPr>
                <w:sz w:val="24"/>
              </w:rPr>
              <w:t>3.8</w:t>
            </w:r>
          </w:p>
        </w:tc>
        <w:tc>
          <w:tcPr>
            <w:tcW w:w="1571" w:type="dxa"/>
            <w:tcBorders>
              <w:left w:val="nil"/>
              <w:bottom w:val="nil"/>
              <w:right w:val="nil"/>
            </w:tcBorders>
          </w:tcPr>
          <w:p>
            <w:pPr>
              <w:pStyle w:val="TableParagraph"/>
              <w:spacing w:line="271" w:lineRule="exact"/>
              <w:ind w:left="389" w:right="340"/>
              <w:jc w:val="center"/>
              <w:rPr>
                <w:sz w:val="24"/>
              </w:rPr>
            </w:pPr>
            <w:r>
              <w:rPr>
                <w:sz w:val="24"/>
              </w:rPr>
              <w:t>1.0</w:t>
            </w:r>
          </w:p>
        </w:tc>
        <w:tc>
          <w:tcPr>
            <w:tcW w:w="1479" w:type="dxa"/>
            <w:tcBorders>
              <w:left w:val="nil"/>
              <w:bottom w:val="nil"/>
              <w:right w:val="nil"/>
            </w:tcBorders>
          </w:tcPr>
          <w:p>
            <w:pPr>
              <w:pStyle w:val="TableParagraph"/>
              <w:spacing w:line="271" w:lineRule="exact"/>
              <w:ind w:left="341" w:right="348"/>
              <w:jc w:val="center"/>
              <w:rPr>
                <w:sz w:val="24"/>
              </w:rPr>
            </w:pPr>
            <w:r>
              <w:rPr>
                <w:sz w:val="24"/>
              </w:rPr>
              <w:t>7.0</w:t>
            </w:r>
          </w:p>
        </w:tc>
        <w:tc>
          <w:tcPr>
            <w:tcW w:w="1504" w:type="dxa"/>
            <w:tcBorders>
              <w:left w:val="nil"/>
              <w:bottom w:val="nil"/>
              <w:right w:val="nil"/>
            </w:tcBorders>
          </w:tcPr>
          <w:p>
            <w:pPr>
              <w:pStyle w:val="TableParagraph"/>
              <w:spacing w:line="271" w:lineRule="exact"/>
              <w:ind w:left="353" w:right="349"/>
              <w:jc w:val="center"/>
              <w:rPr>
                <w:sz w:val="24"/>
              </w:rPr>
            </w:pPr>
            <w:r>
              <w:rPr>
                <w:sz w:val="24"/>
              </w:rPr>
              <w:t>0.2</w:t>
            </w:r>
          </w:p>
        </w:tc>
      </w:tr>
      <w:tr>
        <w:trPr>
          <w:trHeight w:val="614" w:hRule="exact"/>
        </w:trPr>
        <w:tc>
          <w:tcPr>
            <w:tcW w:w="1500" w:type="dxa"/>
            <w:tcBorders>
              <w:top w:val="nil"/>
              <w:left w:val="nil"/>
              <w:bottom w:val="nil"/>
              <w:right w:val="nil"/>
            </w:tcBorders>
          </w:tcPr>
          <w:p>
            <w:pPr>
              <w:pStyle w:val="TableParagraph"/>
              <w:spacing w:before="156"/>
              <w:ind w:left="107"/>
              <w:rPr>
                <w:sz w:val="24"/>
              </w:rPr>
            </w:pPr>
            <w:r>
              <w:rPr>
                <w:sz w:val="24"/>
              </w:rPr>
              <w:t>Vaca</w:t>
            </w:r>
          </w:p>
        </w:tc>
        <w:tc>
          <w:tcPr>
            <w:tcW w:w="1531" w:type="dxa"/>
            <w:tcBorders>
              <w:top w:val="nil"/>
              <w:left w:val="nil"/>
              <w:bottom w:val="nil"/>
              <w:right w:val="nil"/>
            </w:tcBorders>
          </w:tcPr>
          <w:p>
            <w:pPr>
              <w:pStyle w:val="TableParagraph"/>
              <w:spacing w:before="156"/>
              <w:ind w:left="532" w:right="409"/>
              <w:rPr>
                <w:sz w:val="24"/>
              </w:rPr>
            </w:pPr>
            <w:r>
              <w:rPr>
                <w:sz w:val="24"/>
              </w:rPr>
              <w:t>12.7</w:t>
            </w:r>
          </w:p>
        </w:tc>
        <w:tc>
          <w:tcPr>
            <w:tcW w:w="1395" w:type="dxa"/>
            <w:tcBorders>
              <w:top w:val="nil"/>
              <w:left w:val="nil"/>
              <w:bottom w:val="nil"/>
              <w:right w:val="nil"/>
            </w:tcBorders>
          </w:tcPr>
          <w:p>
            <w:pPr>
              <w:pStyle w:val="TableParagraph"/>
              <w:spacing w:before="156"/>
              <w:ind w:left="406" w:right="387"/>
              <w:jc w:val="center"/>
              <w:rPr>
                <w:sz w:val="24"/>
              </w:rPr>
            </w:pPr>
            <w:r>
              <w:rPr>
                <w:sz w:val="24"/>
              </w:rPr>
              <w:t>3.7</w:t>
            </w:r>
          </w:p>
        </w:tc>
        <w:tc>
          <w:tcPr>
            <w:tcW w:w="1571" w:type="dxa"/>
            <w:tcBorders>
              <w:top w:val="nil"/>
              <w:left w:val="nil"/>
              <w:bottom w:val="nil"/>
              <w:right w:val="nil"/>
            </w:tcBorders>
          </w:tcPr>
          <w:p>
            <w:pPr>
              <w:pStyle w:val="TableParagraph"/>
              <w:spacing w:before="156"/>
              <w:ind w:left="389" w:right="340"/>
              <w:jc w:val="center"/>
              <w:rPr>
                <w:sz w:val="24"/>
              </w:rPr>
            </w:pPr>
            <w:r>
              <w:rPr>
                <w:sz w:val="24"/>
              </w:rPr>
              <w:t>3.4</w:t>
            </w:r>
          </w:p>
        </w:tc>
        <w:tc>
          <w:tcPr>
            <w:tcW w:w="1479" w:type="dxa"/>
            <w:tcBorders>
              <w:top w:val="nil"/>
              <w:left w:val="nil"/>
              <w:bottom w:val="nil"/>
              <w:right w:val="nil"/>
            </w:tcBorders>
          </w:tcPr>
          <w:p>
            <w:pPr>
              <w:pStyle w:val="TableParagraph"/>
              <w:spacing w:before="156"/>
              <w:ind w:left="341" w:right="348"/>
              <w:jc w:val="center"/>
              <w:rPr>
                <w:sz w:val="24"/>
              </w:rPr>
            </w:pPr>
            <w:r>
              <w:rPr>
                <w:sz w:val="24"/>
              </w:rPr>
              <w:t>4.8</w:t>
            </w:r>
          </w:p>
        </w:tc>
        <w:tc>
          <w:tcPr>
            <w:tcW w:w="1504" w:type="dxa"/>
            <w:tcBorders>
              <w:top w:val="nil"/>
              <w:left w:val="nil"/>
              <w:bottom w:val="nil"/>
              <w:right w:val="nil"/>
            </w:tcBorders>
          </w:tcPr>
          <w:p>
            <w:pPr>
              <w:pStyle w:val="TableParagraph"/>
              <w:spacing w:before="156"/>
              <w:ind w:left="353" w:right="349"/>
              <w:jc w:val="center"/>
              <w:rPr>
                <w:sz w:val="24"/>
              </w:rPr>
            </w:pPr>
            <w:r>
              <w:rPr>
                <w:sz w:val="24"/>
              </w:rPr>
              <w:t>0.7</w:t>
            </w:r>
          </w:p>
        </w:tc>
      </w:tr>
      <w:tr>
        <w:trPr>
          <w:trHeight w:val="614" w:hRule="exact"/>
        </w:trPr>
        <w:tc>
          <w:tcPr>
            <w:tcW w:w="1500" w:type="dxa"/>
            <w:tcBorders>
              <w:top w:val="nil"/>
              <w:left w:val="nil"/>
              <w:bottom w:val="nil"/>
              <w:right w:val="nil"/>
            </w:tcBorders>
          </w:tcPr>
          <w:p>
            <w:pPr>
              <w:pStyle w:val="TableParagraph"/>
              <w:spacing w:before="156"/>
              <w:ind w:left="107"/>
              <w:rPr>
                <w:sz w:val="24"/>
              </w:rPr>
            </w:pPr>
            <w:r>
              <w:rPr>
                <w:sz w:val="24"/>
              </w:rPr>
              <w:t>Cabra</w:t>
            </w:r>
          </w:p>
        </w:tc>
        <w:tc>
          <w:tcPr>
            <w:tcW w:w="1531" w:type="dxa"/>
            <w:tcBorders>
              <w:top w:val="nil"/>
              <w:left w:val="nil"/>
              <w:bottom w:val="nil"/>
              <w:right w:val="nil"/>
            </w:tcBorders>
          </w:tcPr>
          <w:p>
            <w:pPr>
              <w:pStyle w:val="TableParagraph"/>
              <w:spacing w:before="156"/>
              <w:ind w:left="532" w:right="409"/>
              <w:rPr>
                <w:sz w:val="24"/>
              </w:rPr>
            </w:pPr>
            <w:r>
              <w:rPr>
                <w:sz w:val="24"/>
              </w:rPr>
              <w:t>12.3</w:t>
            </w:r>
          </w:p>
        </w:tc>
        <w:tc>
          <w:tcPr>
            <w:tcW w:w="1395" w:type="dxa"/>
            <w:tcBorders>
              <w:top w:val="nil"/>
              <w:left w:val="nil"/>
              <w:bottom w:val="nil"/>
              <w:right w:val="nil"/>
            </w:tcBorders>
          </w:tcPr>
          <w:p>
            <w:pPr>
              <w:pStyle w:val="TableParagraph"/>
              <w:spacing w:before="156"/>
              <w:ind w:left="406" w:right="387"/>
              <w:jc w:val="center"/>
              <w:rPr>
                <w:sz w:val="24"/>
              </w:rPr>
            </w:pPr>
            <w:r>
              <w:rPr>
                <w:sz w:val="24"/>
              </w:rPr>
              <w:t>4.5</w:t>
            </w:r>
          </w:p>
        </w:tc>
        <w:tc>
          <w:tcPr>
            <w:tcW w:w="1571" w:type="dxa"/>
            <w:tcBorders>
              <w:top w:val="nil"/>
              <w:left w:val="nil"/>
              <w:bottom w:val="nil"/>
              <w:right w:val="nil"/>
            </w:tcBorders>
          </w:tcPr>
          <w:p>
            <w:pPr>
              <w:pStyle w:val="TableParagraph"/>
              <w:spacing w:before="156"/>
              <w:ind w:left="389" w:right="340"/>
              <w:jc w:val="center"/>
              <w:rPr>
                <w:sz w:val="24"/>
              </w:rPr>
            </w:pPr>
            <w:r>
              <w:rPr>
                <w:sz w:val="24"/>
              </w:rPr>
              <w:t>2.9</w:t>
            </w:r>
          </w:p>
        </w:tc>
        <w:tc>
          <w:tcPr>
            <w:tcW w:w="1479" w:type="dxa"/>
            <w:tcBorders>
              <w:top w:val="nil"/>
              <w:left w:val="nil"/>
              <w:bottom w:val="nil"/>
              <w:right w:val="nil"/>
            </w:tcBorders>
          </w:tcPr>
          <w:p>
            <w:pPr>
              <w:pStyle w:val="TableParagraph"/>
              <w:spacing w:before="156"/>
              <w:ind w:left="341" w:right="348"/>
              <w:jc w:val="center"/>
              <w:rPr>
                <w:sz w:val="24"/>
              </w:rPr>
            </w:pPr>
            <w:r>
              <w:rPr>
                <w:sz w:val="24"/>
              </w:rPr>
              <w:t>4.1</w:t>
            </w:r>
          </w:p>
        </w:tc>
        <w:tc>
          <w:tcPr>
            <w:tcW w:w="1504" w:type="dxa"/>
            <w:tcBorders>
              <w:top w:val="nil"/>
              <w:left w:val="nil"/>
              <w:bottom w:val="nil"/>
              <w:right w:val="nil"/>
            </w:tcBorders>
          </w:tcPr>
          <w:p>
            <w:pPr>
              <w:pStyle w:val="TableParagraph"/>
              <w:spacing w:before="156"/>
              <w:ind w:left="353" w:right="349"/>
              <w:jc w:val="center"/>
              <w:rPr>
                <w:sz w:val="24"/>
              </w:rPr>
            </w:pPr>
            <w:r>
              <w:rPr>
                <w:sz w:val="24"/>
              </w:rPr>
              <w:t>0.8</w:t>
            </w:r>
          </w:p>
        </w:tc>
      </w:tr>
      <w:tr>
        <w:trPr>
          <w:trHeight w:val="614" w:hRule="exact"/>
        </w:trPr>
        <w:tc>
          <w:tcPr>
            <w:tcW w:w="1500" w:type="dxa"/>
            <w:tcBorders>
              <w:top w:val="nil"/>
              <w:left w:val="nil"/>
              <w:bottom w:val="nil"/>
              <w:right w:val="nil"/>
            </w:tcBorders>
          </w:tcPr>
          <w:p>
            <w:pPr>
              <w:pStyle w:val="TableParagraph"/>
              <w:spacing w:before="156"/>
              <w:ind w:left="107"/>
              <w:rPr>
                <w:sz w:val="24"/>
              </w:rPr>
            </w:pPr>
            <w:r>
              <w:rPr>
                <w:sz w:val="24"/>
              </w:rPr>
              <w:t>Oveja</w:t>
            </w:r>
          </w:p>
        </w:tc>
        <w:tc>
          <w:tcPr>
            <w:tcW w:w="1531" w:type="dxa"/>
            <w:tcBorders>
              <w:top w:val="nil"/>
              <w:left w:val="nil"/>
              <w:bottom w:val="nil"/>
              <w:right w:val="nil"/>
            </w:tcBorders>
          </w:tcPr>
          <w:p>
            <w:pPr>
              <w:pStyle w:val="TableParagraph"/>
              <w:spacing w:before="156"/>
              <w:ind w:left="532" w:right="409"/>
              <w:rPr>
                <w:sz w:val="24"/>
              </w:rPr>
            </w:pPr>
            <w:r>
              <w:rPr>
                <w:sz w:val="24"/>
              </w:rPr>
              <w:t>19.3</w:t>
            </w:r>
          </w:p>
        </w:tc>
        <w:tc>
          <w:tcPr>
            <w:tcW w:w="1395" w:type="dxa"/>
            <w:tcBorders>
              <w:top w:val="nil"/>
              <w:left w:val="nil"/>
              <w:bottom w:val="nil"/>
              <w:right w:val="nil"/>
            </w:tcBorders>
          </w:tcPr>
          <w:p>
            <w:pPr>
              <w:pStyle w:val="TableParagraph"/>
              <w:spacing w:before="156"/>
              <w:ind w:left="406" w:right="387"/>
              <w:jc w:val="center"/>
              <w:rPr>
                <w:sz w:val="24"/>
              </w:rPr>
            </w:pPr>
            <w:r>
              <w:rPr>
                <w:sz w:val="24"/>
              </w:rPr>
              <w:t>7.4</w:t>
            </w:r>
          </w:p>
        </w:tc>
        <w:tc>
          <w:tcPr>
            <w:tcW w:w="1571" w:type="dxa"/>
            <w:tcBorders>
              <w:top w:val="nil"/>
              <w:left w:val="nil"/>
              <w:bottom w:val="nil"/>
              <w:right w:val="nil"/>
            </w:tcBorders>
          </w:tcPr>
          <w:p>
            <w:pPr>
              <w:pStyle w:val="TableParagraph"/>
              <w:spacing w:before="156"/>
              <w:ind w:left="389" w:right="340"/>
              <w:jc w:val="center"/>
              <w:rPr>
                <w:sz w:val="24"/>
              </w:rPr>
            </w:pPr>
            <w:r>
              <w:rPr>
                <w:sz w:val="24"/>
              </w:rPr>
              <w:t>4.5</w:t>
            </w:r>
          </w:p>
        </w:tc>
        <w:tc>
          <w:tcPr>
            <w:tcW w:w="1479" w:type="dxa"/>
            <w:tcBorders>
              <w:top w:val="nil"/>
              <w:left w:val="nil"/>
              <w:bottom w:val="nil"/>
              <w:right w:val="nil"/>
            </w:tcBorders>
          </w:tcPr>
          <w:p>
            <w:pPr>
              <w:pStyle w:val="TableParagraph"/>
              <w:spacing w:before="156"/>
              <w:ind w:left="341" w:right="348"/>
              <w:jc w:val="center"/>
              <w:rPr>
                <w:sz w:val="24"/>
              </w:rPr>
            </w:pPr>
            <w:r>
              <w:rPr>
                <w:sz w:val="24"/>
              </w:rPr>
              <w:t>4.8</w:t>
            </w:r>
          </w:p>
        </w:tc>
        <w:tc>
          <w:tcPr>
            <w:tcW w:w="1504" w:type="dxa"/>
            <w:tcBorders>
              <w:top w:val="nil"/>
              <w:left w:val="nil"/>
              <w:bottom w:val="nil"/>
              <w:right w:val="nil"/>
            </w:tcBorders>
          </w:tcPr>
          <w:p>
            <w:pPr>
              <w:pStyle w:val="TableParagraph"/>
              <w:spacing w:before="156"/>
              <w:ind w:left="353" w:right="349"/>
              <w:jc w:val="center"/>
              <w:rPr>
                <w:sz w:val="24"/>
              </w:rPr>
            </w:pPr>
            <w:r>
              <w:rPr>
                <w:sz w:val="24"/>
              </w:rPr>
              <w:t>1.0</w:t>
            </w:r>
          </w:p>
        </w:tc>
      </w:tr>
      <w:tr>
        <w:trPr>
          <w:trHeight w:val="613" w:hRule="exact"/>
        </w:trPr>
        <w:tc>
          <w:tcPr>
            <w:tcW w:w="1500" w:type="dxa"/>
            <w:tcBorders>
              <w:top w:val="nil"/>
              <w:left w:val="nil"/>
              <w:bottom w:val="nil"/>
              <w:right w:val="nil"/>
            </w:tcBorders>
          </w:tcPr>
          <w:p>
            <w:pPr>
              <w:pStyle w:val="TableParagraph"/>
              <w:spacing w:before="156"/>
              <w:ind w:left="107"/>
              <w:rPr>
                <w:sz w:val="24"/>
              </w:rPr>
            </w:pPr>
            <w:r>
              <w:rPr>
                <w:sz w:val="24"/>
              </w:rPr>
              <w:t>Cerda</w:t>
            </w:r>
          </w:p>
        </w:tc>
        <w:tc>
          <w:tcPr>
            <w:tcW w:w="1531" w:type="dxa"/>
            <w:tcBorders>
              <w:top w:val="nil"/>
              <w:left w:val="nil"/>
              <w:bottom w:val="nil"/>
              <w:right w:val="nil"/>
            </w:tcBorders>
          </w:tcPr>
          <w:p>
            <w:pPr>
              <w:pStyle w:val="TableParagraph"/>
              <w:spacing w:before="156"/>
              <w:ind w:left="532" w:right="409"/>
              <w:rPr>
                <w:sz w:val="24"/>
              </w:rPr>
            </w:pPr>
            <w:r>
              <w:rPr>
                <w:sz w:val="24"/>
              </w:rPr>
              <w:t>18.8</w:t>
            </w:r>
          </w:p>
        </w:tc>
        <w:tc>
          <w:tcPr>
            <w:tcW w:w="1395" w:type="dxa"/>
            <w:tcBorders>
              <w:top w:val="nil"/>
              <w:left w:val="nil"/>
              <w:bottom w:val="nil"/>
              <w:right w:val="nil"/>
            </w:tcBorders>
          </w:tcPr>
          <w:p>
            <w:pPr>
              <w:pStyle w:val="TableParagraph"/>
              <w:spacing w:before="156"/>
              <w:ind w:left="406" w:right="387"/>
              <w:jc w:val="center"/>
              <w:rPr>
                <w:sz w:val="24"/>
              </w:rPr>
            </w:pPr>
            <w:r>
              <w:rPr>
                <w:sz w:val="24"/>
              </w:rPr>
              <w:t>6.8</w:t>
            </w:r>
          </w:p>
        </w:tc>
        <w:tc>
          <w:tcPr>
            <w:tcW w:w="1571" w:type="dxa"/>
            <w:tcBorders>
              <w:top w:val="nil"/>
              <w:left w:val="nil"/>
              <w:bottom w:val="nil"/>
              <w:right w:val="nil"/>
            </w:tcBorders>
          </w:tcPr>
          <w:p>
            <w:pPr>
              <w:pStyle w:val="TableParagraph"/>
              <w:spacing w:before="156"/>
              <w:ind w:left="389" w:right="340"/>
              <w:jc w:val="center"/>
              <w:rPr>
                <w:sz w:val="24"/>
              </w:rPr>
            </w:pPr>
            <w:r>
              <w:rPr>
                <w:sz w:val="24"/>
              </w:rPr>
              <w:t>4.8</w:t>
            </w:r>
          </w:p>
        </w:tc>
        <w:tc>
          <w:tcPr>
            <w:tcW w:w="1479" w:type="dxa"/>
            <w:tcBorders>
              <w:top w:val="nil"/>
              <w:left w:val="nil"/>
              <w:bottom w:val="nil"/>
              <w:right w:val="nil"/>
            </w:tcBorders>
          </w:tcPr>
          <w:p>
            <w:pPr>
              <w:pStyle w:val="TableParagraph"/>
              <w:spacing w:before="156"/>
              <w:ind w:left="341" w:right="348"/>
              <w:jc w:val="center"/>
              <w:rPr>
                <w:sz w:val="24"/>
              </w:rPr>
            </w:pPr>
            <w:r>
              <w:rPr>
                <w:sz w:val="24"/>
              </w:rPr>
              <w:t>5.5</w:t>
            </w:r>
          </w:p>
        </w:tc>
        <w:tc>
          <w:tcPr>
            <w:tcW w:w="1504" w:type="dxa"/>
            <w:tcBorders>
              <w:top w:val="nil"/>
              <w:left w:val="nil"/>
              <w:bottom w:val="nil"/>
              <w:right w:val="nil"/>
            </w:tcBorders>
          </w:tcPr>
          <w:p>
            <w:pPr>
              <w:pStyle w:val="TableParagraph"/>
              <w:spacing w:before="156"/>
              <w:ind w:left="4"/>
              <w:jc w:val="center"/>
              <w:rPr>
                <w:sz w:val="24"/>
              </w:rPr>
            </w:pPr>
            <w:r>
              <w:rPr>
                <w:w w:val="99"/>
                <w:sz w:val="24"/>
              </w:rPr>
              <w:t>-</w:t>
            </w:r>
          </w:p>
        </w:tc>
      </w:tr>
      <w:tr>
        <w:trPr>
          <w:trHeight w:val="613" w:hRule="exact"/>
        </w:trPr>
        <w:tc>
          <w:tcPr>
            <w:tcW w:w="1500" w:type="dxa"/>
            <w:tcBorders>
              <w:top w:val="nil"/>
              <w:left w:val="nil"/>
              <w:bottom w:val="nil"/>
              <w:right w:val="nil"/>
            </w:tcBorders>
          </w:tcPr>
          <w:p>
            <w:pPr>
              <w:pStyle w:val="TableParagraph"/>
              <w:spacing w:before="155"/>
              <w:ind w:left="107"/>
              <w:rPr>
                <w:sz w:val="24"/>
              </w:rPr>
            </w:pPr>
            <w:r>
              <w:rPr>
                <w:sz w:val="24"/>
              </w:rPr>
              <w:t>Yegua</w:t>
            </w:r>
          </w:p>
        </w:tc>
        <w:tc>
          <w:tcPr>
            <w:tcW w:w="1531" w:type="dxa"/>
            <w:tcBorders>
              <w:top w:val="nil"/>
              <w:left w:val="nil"/>
              <w:bottom w:val="nil"/>
              <w:right w:val="nil"/>
            </w:tcBorders>
          </w:tcPr>
          <w:p>
            <w:pPr>
              <w:pStyle w:val="TableParagraph"/>
              <w:spacing w:before="155"/>
              <w:ind w:left="532" w:right="409"/>
              <w:rPr>
                <w:sz w:val="24"/>
              </w:rPr>
            </w:pPr>
            <w:r>
              <w:rPr>
                <w:sz w:val="24"/>
              </w:rPr>
              <w:t>11.2</w:t>
            </w:r>
          </w:p>
        </w:tc>
        <w:tc>
          <w:tcPr>
            <w:tcW w:w="1395" w:type="dxa"/>
            <w:tcBorders>
              <w:top w:val="nil"/>
              <w:left w:val="nil"/>
              <w:bottom w:val="nil"/>
              <w:right w:val="nil"/>
            </w:tcBorders>
          </w:tcPr>
          <w:p>
            <w:pPr>
              <w:pStyle w:val="TableParagraph"/>
              <w:spacing w:before="155"/>
              <w:ind w:left="406" w:right="387"/>
              <w:jc w:val="center"/>
              <w:rPr>
                <w:sz w:val="24"/>
              </w:rPr>
            </w:pPr>
            <w:r>
              <w:rPr>
                <w:sz w:val="24"/>
              </w:rPr>
              <w:t>1.9</w:t>
            </w:r>
          </w:p>
        </w:tc>
        <w:tc>
          <w:tcPr>
            <w:tcW w:w="1571" w:type="dxa"/>
            <w:tcBorders>
              <w:top w:val="nil"/>
              <w:left w:val="nil"/>
              <w:bottom w:val="nil"/>
              <w:right w:val="nil"/>
            </w:tcBorders>
          </w:tcPr>
          <w:p>
            <w:pPr>
              <w:pStyle w:val="TableParagraph"/>
              <w:spacing w:before="155"/>
              <w:ind w:left="389" w:right="340"/>
              <w:jc w:val="center"/>
              <w:rPr>
                <w:sz w:val="24"/>
              </w:rPr>
            </w:pPr>
            <w:r>
              <w:rPr>
                <w:sz w:val="24"/>
              </w:rPr>
              <w:t>2.5</w:t>
            </w:r>
          </w:p>
        </w:tc>
        <w:tc>
          <w:tcPr>
            <w:tcW w:w="1479" w:type="dxa"/>
            <w:tcBorders>
              <w:top w:val="nil"/>
              <w:left w:val="nil"/>
              <w:bottom w:val="nil"/>
              <w:right w:val="nil"/>
            </w:tcBorders>
          </w:tcPr>
          <w:p>
            <w:pPr>
              <w:pStyle w:val="TableParagraph"/>
              <w:spacing w:before="155"/>
              <w:ind w:left="341" w:right="348"/>
              <w:jc w:val="center"/>
              <w:rPr>
                <w:sz w:val="24"/>
              </w:rPr>
            </w:pPr>
            <w:r>
              <w:rPr>
                <w:sz w:val="24"/>
              </w:rPr>
              <w:t>6.2</w:t>
            </w:r>
          </w:p>
        </w:tc>
        <w:tc>
          <w:tcPr>
            <w:tcW w:w="1504" w:type="dxa"/>
            <w:tcBorders>
              <w:top w:val="nil"/>
              <w:left w:val="nil"/>
              <w:bottom w:val="nil"/>
              <w:right w:val="nil"/>
            </w:tcBorders>
          </w:tcPr>
          <w:p>
            <w:pPr>
              <w:pStyle w:val="TableParagraph"/>
              <w:spacing w:before="155"/>
              <w:ind w:left="353" w:right="349"/>
              <w:jc w:val="center"/>
              <w:rPr>
                <w:sz w:val="24"/>
              </w:rPr>
            </w:pPr>
            <w:r>
              <w:rPr>
                <w:sz w:val="24"/>
              </w:rPr>
              <w:t>0.5</w:t>
            </w:r>
          </w:p>
        </w:tc>
      </w:tr>
      <w:tr>
        <w:trPr>
          <w:trHeight w:val="614" w:hRule="exact"/>
        </w:trPr>
        <w:tc>
          <w:tcPr>
            <w:tcW w:w="1500" w:type="dxa"/>
            <w:tcBorders>
              <w:top w:val="nil"/>
              <w:left w:val="nil"/>
              <w:bottom w:val="nil"/>
              <w:right w:val="nil"/>
            </w:tcBorders>
          </w:tcPr>
          <w:p>
            <w:pPr>
              <w:pStyle w:val="TableParagraph"/>
              <w:spacing w:before="156"/>
              <w:ind w:left="107"/>
              <w:rPr>
                <w:sz w:val="24"/>
              </w:rPr>
            </w:pPr>
            <w:r>
              <w:rPr>
                <w:sz w:val="24"/>
              </w:rPr>
              <w:t>Burra</w:t>
            </w:r>
          </w:p>
        </w:tc>
        <w:tc>
          <w:tcPr>
            <w:tcW w:w="1531" w:type="dxa"/>
            <w:tcBorders>
              <w:top w:val="nil"/>
              <w:left w:val="nil"/>
              <w:bottom w:val="nil"/>
              <w:right w:val="nil"/>
            </w:tcBorders>
          </w:tcPr>
          <w:p>
            <w:pPr>
              <w:pStyle w:val="TableParagraph"/>
              <w:spacing w:before="156"/>
              <w:ind w:left="532" w:right="409"/>
              <w:rPr>
                <w:sz w:val="24"/>
              </w:rPr>
            </w:pPr>
            <w:r>
              <w:rPr>
                <w:sz w:val="24"/>
              </w:rPr>
              <w:t>11.7</w:t>
            </w:r>
          </w:p>
        </w:tc>
        <w:tc>
          <w:tcPr>
            <w:tcW w:w="1395" w:type="dxa"/>
            <w:tcBorders>
              <w:top w:val="nil"/>
              <w:left w:val="nil"/>
              <w:bottom w:val="nil"/>
              <w:right w:val="nil"/>
            </w:tcBorders>
          </w:tcPr>
          <w:p>
            <w:pPr>
              <w:pStyle w:val="TableParagraph"/>
              <w:spacing w:before="156"/>
              <w:ind w:left="406" w:right="387"/>
              <w:jc w:val="center"/>
              <w:rPr>
                <w:sz w:val="24"/>
              </w:rPr>
            </w:pPr>
            <w:r>
              <w:rPr>
                <w:sz w:val="24"/>
              </w:rPr>
              <w:t>1.4</w:t>
            </w:r>
          </w:p>
        </w:tc>
        <w:tc>
          <w:tcPr>
            <w:tcW w:w="1571" w:type="dxa"/>
            <w:tcBorders>
              <w:top w:val="nil"/>
              <w:left w:val="nil"/>
              <w:bottom w:val="nil"/>
              <w:right w:val="nil"/>
            </w:tcBorders>
          </w:tcPr>
          <w:p>
            <w:pPr>
              <w:pStyle w:val="TableParagraph"/>
              <w:spacing w:before="156"/>
              <w:ind w:left="389" w:right="340"/>
              <w:jc w:val="center"/>
              <w:rPr>
                <w:sz w:val="24"/>
              </w:rPr>
            </w:pPr>
            <w:r>
              <w:rPr>
                <w:sz w:val="24"/>
              </w:rPr>
              <w:t>2.0</w:t>
            </w:r>
          </w:p>
        </w:tc>
        <w:tc>
          <w:tcPr>
            <w:tcW w:w="1479" w:type="dxa"/>
            <w:tcBorders>
              <w:top w:val="nil"/>
              <w:left w:val="nil"/>
              <w:bottom w:val="nil"/>
              <w:right w:val="nil"/>
            </w:tcBorders>
          </w:tcPr>
          <w:p>
            <w:pPr>
              <w:pStyle w:val="TableParagraph"/>
              <w:spacing w:before="156"/>
              <w:ind w:left="341" w:right="348"/>
              <w:jc w:val="center"/>
              <w:rPr>
                <w:sz w:val="24"/>
              </w:rPr>
            </w:pPr>
            <w:r>
              <w:rPr>
                <w:sz w:val="24"/>
              </w:rPr>
              <w:t>7.4</w:t>
            </w:r>
          </w:p>
        </w:tc>
        <w:tc>
          <w:tcPr>
            <w:tcW w:w="1504" w:type="dxa"/>
            <w:tcBorders>
              <w:top w:val="nil"/>
              <w:left w:val="nil"/>
              <w:bottom w:val="nil"/>
              <w:right w:val="nil"/>
            </w:tcBorders>
          </w:tcPr>
          <w:p>
            <w:pPr>
              <w:pStyle w:val="TableParagraph"/>
              <w:spacing w:before="156"/>
              <w:ind w:left="353" w:right="349"/>
              <w:jc w:val="center"/>
              <w:rPr>
                <w:sz w:val="24"/>
              </w:rPr>
            </w:pPr>
            <w:r>
              <w:rPr>
                <w:sz w:val="24"/>
              </w:rPr>
              <w:t>0.5</w:t>
            </w:r>
          </w:p>
        </w:tc>
      </w:tr>
      <w:tr>
        <w:trPr>
          <w:trHeight w:val="614" w:hRule="exact"/>
        </w:trPr>
        <w:tc>
          <w:tcPr>
            <w:tcW w:w="1500" w:type="dxa"/>
            <w:tcBorders>
              <w:top w:val="nil"/>
              <w:left w:val="nil"/>
              <w:bottom w:val="nil"/>
              <w:right w:val="nil"/>
            </w:tcBorders>
          </w:tcPr>
          <w:p>
            <w:pPr>
              <w:pStyle w:val="TableParagraph"/>
              <w:spacing w:before="156"/>
              <w:ind w:left="107"/>
              <w:rPr>
                <w:sz w:val="24"/>
              </w:rPr>
            </w:pPr>
            <w:r>
              <w:rPr>
                <w:sz w:val="24"/>
              </w:rPr>
              <w:t>Reno</w:t>
            </w:r>
          </w:p>
        </w:tc>
        <w:tc>
          <w:tcPr>
            <w:tcW w:w="1531" w:type="dxa"/>
            <w:tcBorders>
              <w:top w:val="nil"/>
              <w:left w:val="nil"/>
              <w:bottom w:val="nil"/>
              <w:right w:val="nil"/>
            </w:tcBorders>
          </w:tcPr>
          <w:p>
            <w:pPr>
              <w:pStyle w:val="TableParagraph"/>
              <w:spacing w:before="156"/>
              <w:ind w:left="532" w:right="409"/>
              <w:rPr>
                <w:sz w:val="24"/>
              </w:rPr>
            </w:pPr>
            <w:r>
              <w:rPr>
                <w:sz w:val="24"/>
              </w:rPr>
              <w:t>33.1</w:t>
            </w:r>
          </w:p>
        </w:tc>
        <w:tc>
          <w:tcPr>
            <w:tcW w:w="1395" w:type="dxa"/>
            <w:tcBorders>
              <w:top w:val="nil"/>
              <w:left w:val="nil"/>
              <w:bottom w:val="nil"/>
              <w:right w:val="nil"/>
            </w:tcBorders>
          </w:tcPr>
          <w:p>
            <w:pPr>
              <w:pStyle w:val="TableParagraph"/>
              <w:spacing w:before="156"/>
              <w:ind w:left="406" w:right="387"/>
              <w:jc w:val="center"/>
              <w:rPr>
                <w:sz w:val="24"/>
              </w:rPr>
            </w:pPr>
            <w:r>
              <w:rPr>
                <w:sz w:val="24"/>
              </w:rPr>
              <w:t>16.9</w:t>
            </w:r>
          </w:p>
        </w:tc>
        <w:tc>
          <w:tcPr>
            <w:tcW w:w="1571" w:type="dxa"/>
            <w:tcBorders>
              <w:top w:val="nil"/>
              <w:left w:val="nil"/>
              <w:bottom w:val="nil"/>
              <w:right w:val="nil"/>
            </w:tcBorders>
          </w:tcPr>
          <w:p>
            <w:pPr>
              <w:pStyle w:val="TableParagraph"/>
              <w:spacing w:before="156"/>
              <w:ind w:left="389" w:right="341"/>
              <w:jc w:val="center"/>
              <w:rPr>
                <w:sz w:val="24"/>
              </w:rPr>
            </w:pPr>
            <w:r>
              <w:rPr>
                <w:sz w:val="24"/>
              </w:rPr>
              <w:t>11.5</w:t>
            </w:r>
          </w:p>
        </w:tc>
        <w:tc>
          <w:tcPr>
            <w:tcW w:w="1479" w:type="dxa"/>
            <w:tcBorders>
              <w:top w:val="nil"/>
              <w:left w:val="nil"/>
              <w:bottom w:val="nil"/>
              <w:right w:val="nil"/>
            </w:tcBorders>
          </w:tcPr>
          <w:p>
            <w:pPr>
              <w:pStyle w:val="TableParagraph"/>
              <w:spacing w:before="156"/>
              <w:ind w:left="341" w:right="348"/>
              <w:jc w:val="center"/>
              <w:rPr>
                <w:sz w:val="24"/>
              </w:rPr>
            </w:pPr>
            <w:r>
              <w:rPr>
                <w:sz w:val="24"/>
              </w:rPr>
              <w:t>2.8</w:t>
            </w:r>
          </w:p>
        </w:tc>
        <w:tc>
          <w:tcPr>
            <w:tcW w:w="1504" w:type="dxa"/>
            <w:tcBorders>
              <w:top w:val="nil"/>
              <w:left w:val="nil"/>
              <w:bottom w:val="nil"/>
              <w:right w:val="nil"/>
            </w:tcBorders>
          </w:tcPr>
          <w:p>
            <w:pPr>
              <w:pStyle w:val="TableParagraph"/>
              <w:spacing w:before="156"/>
              <w:ind w:left="4"/>
              <w:jc w:val="center"/>
              <w:rPr>
                <w:sz w:val="24"/>
              </w:rPr>
            </w:pPr>
            <w:r>
              <w:rPr>
                <w:w w:val="99"/>
                <w:sz w:val="24"/>
              </w:rPr>
              <w:t>-</w:t>
            </w:r>
          </w:p>
        </w:tc>
      </w:tr>
      <w:tr>
        <w:trPr>
          <w:trHeight w:val="614" w:hRule="exact"/>
        </w:trPr>
        <w:tc>
          <w:tcPr>
            <w:tcW w:w="1500" w:type="dxa"/>
            <w:tcBorders>
              <w:top w:val="nil"/>
              <w:left w:val="nil"/>
              <w:bottom w:val="nil"/>
              <w:right w:val="nil"/>
            </w:tcBorders>
          </w:tcPr>
          <w:p>
            <w:pPr>
              <w:pStyle w:val="TableParagraph"/>
              <w:spacing w:before="156"/>
              <w:ind w:left="107"/>
              <w:rPr>
                <w:sz w:val="24"/>
              </w:rPr>
            </w:pPr>
            <w:r>
              <w:rPr>
                <w:sz w:val="24"/>
              </w:rPr>
              <w:t>Coneja</w:t>
            </w:r>
          </w:p>
        </w:tc>
        <w:tc>
          <w:tcPr>
            <w:tcW w:w="1531" w:type="dxa"/>
            <w:tcBorders>
              <w:top w:val="nil"/>
              <w:left w:val="nil"/>
              <w:bottom w:val="nil"/>
              <w:right w:val="nil"/>
            </w:tcBorders>
          </w:tcPr>
          <w:p>
            <w:pPr>
              <w:pStyle w:val="TableParagraph"/>
              <w:spacing w:before="156"/>
              <w:ind w:left="532" w:right="409"/>
              <w:rPr>
                <w:sz w:val="24"/>
              </w:rPr>
            </w:pPr>
            <w:r>
              <w:rPr>
                <w:sz w:val="24"/>
              </w:rPr>
              <w:t>32.8</w:t>
            </w:r>
          </w:p>
        </w:tc>
        <w:tc>
          <w:tcPr>
            <w:tcW w:w="1395" w:type="dxa"/>
            <w:tcBorders>
              <w:top w:val="nil"/>
              <w:left w:val="nil"/>
              <w:bottom w:val="nil"/>
              <w:right w:val="nil"/>
            </w:tcBorders>
          </w:tcPr>
          <w:p>
            <w:pPr>
              <w:pStyle w:val="TableParagraph"/>
              <w:spacing w:before="156"/>
              <w:ind w:left="406" w:right="387"/>
              <w:jc w:val="center"/>
              <w:rPr>
                <w:sz w:val="24"/>
              </w:rPr>
            </w:pPr>
            <w:r>
              <w:rPr>
                <w:sz w:val="24"/>
              </w:rPr>
              <w:t>18.3</w:t>
            </w:r>
          </w:p>
        </w:tc>
        <w:tc>
          <w:tcPr>
            <w:tcW w:w="1571" w:type="dxa"/>
            <w:tcBorders>
              <w:top w:val="nil"/>
              <w:left w:val="nil"/>
              <w:bottom w:val="nil"/>
              <w:right w:val="nil"/>
            </w:tcBorders>
          </w:tcPr>
          <w:p>
            <w:pPr>
              <w:pStyle w:val="TableParagraph"/>
              <w:spacing w:before="156"/>
              <w:ind w:left="389" w:right="341"/>
              <w:jc w:val="center"/>
              <w:rPr>
                <w:sz w:val="24"/>
              </w:rPr>
            </w:pPr>
            <w:r>
              <w:rPr>
                <w:sz w:val="24"/>
              </w:rPr>
              <w:t>11.9</w:t>
            </w:r>
          </w:p>
        </w:tc>
        <w:tc>
          <w:tcPr>
            <w:tcW w:w="1479" w:type="dxa"/>
            <w:tcBorders>
              <w:top w:val="nil"/>
              <w:left w:val="nil"/>
              <w:bottom w:val="nil"/>
              <w:right w:val="nil"/>
            </w:tcBorders>
          </w:tcPr>
          <w:p>
            <w:pPr>
              <w:pStyle w:val="TableParagraph"/>
              <w:spacing w:before="156"/>
              <w:ind w:left="341" w:right="348"/>
              <w:jc w:val="center"/>
              <w:rPr>
                <w:sz w:val="24"/>
              </w:rPr>
            </w:pPr>
            <w:r>
              <w:rPr>
                <w:sz w:val="24"/>
              </w:rPr>
              <w:t>2.1</w:t>
            </w:r>
          </w:p>
        </w:tc>
        <w:tc>
          <w:tcPr>
            <w:tcW w:w="1504" w:type="dxa"/>
            <w:tcBorders>
              <w:top w:val="nil"/>
              <w:left w:val="nil"/>
              <w:bottom w:val="nil"/>
              <w:right w:val="nil"/>
            </w:tcBorders>
          </w:tcPr>
          <w:p>
            <w:pPr>
              <w:pStyle w:val="TableParagraph"/>
              <w:spacing w:before="156"/>
              <w:ind w:left="353" w:right="349"/>
              <w:jc w:val="center"/>
              <w:rPr>
                <w:sz w:val="24"/>
              </w:rPr>
            </w:pPr>
            <w:r>
              <w:rPr>
                <w:sz w:val="24"/>
              </w:rPr>
              <w:t>1.8</w:t>
            </w:r>
          </w:p>
        </w:tc>
      </w:tr>
      <w:tr>
        <w:trPr>
          <w:trHeight w:val="614" w:hRule="exact"/>
        </w:trPr>
        <w:tc>
          <w:tcPr>
            <w:tcW w:w="1500" w:type="dxa"/>
            <w:tcBorders>
              <w:top w:val="nil"/>
              <w:left w:val="nil"/>
              <w:bottom w:val="nil"/>
              <w:right w:val="nil"/>
            </w:tcBorders>
          </w:tcPr>
          <w:p>
            <w:pPr>
              <w:pStyle w:val="TableParagraph"/>
              <w:spacing w:before="156"/>
              <w:ind w:left="107"/>
              <w:rPr>
                <w:sz w:val="24"/>
              </w:rPr>
            </w:pPr>
            <w:r>
              <w:rPr>
                <w:sz w:val="24"/>
              </w:rPr>
              <w:t>Bisonte</w:t>
            </w:r>
          </w:p>
        </w:tc>
        <w:tc>
          <w:tcPr>
            <w:tcW w:w="1531" w:type="dxa"/>
            <w:tcBorders>
              <w:top w:val="nil"/>
              <w:left w:val="nil"/>
              <w:bottom w:val="nil"/>
              <w:right w:val="nil"/>
            </w:tcBorders>
          </w:tcPr>
          <w:p>
            <w:pPr>
              <w:pStyle w:val="TableParagraph"/>
              <w:spacing w:before="156"/>
              <w:ind w:left="532" w:right="409"/>
              <w:rPr>
                <w:sz w:val="24"/>
              </w:rPr>
            </w:pPr>
            <w:r>
              <w:rPr>
                <w:sz w:val="24"/>
              </w:rPr>
              <w:t>14.6</w:t>
            </w:r>
          </w:p>
        </w:tc>
        <w:tc>
          <w:tcPr>
            <w:tcW w:w="1395" w:type="dxa"/>
            <w:tcBorders>
              <w:top w:val="nil"/>
              <w:left w:val="nil"/>
              <w:bottom w:val="nil"/>
              <w:right w:val="nil"/>
            </w:tcBorders>
          </w:tcPr>
          <w:p>
            <w:pPr>
              <w:pStyle w:val="TableParagraph"/>
              <w:spacing w:before="156"/>
              <w:ind w:left="406" w:right="387"/>
              <w:jc w:val="center"/>
              <w:rPr>
                <w:sz w:val="24"/>
              </w:rPr>
            </w:pPr>
            <w:r>
              <w:rPr>
                <w:sz w:val="24"/>
              </w:rPr>
              <w:t>3.5</w:t>
            </w:r>
          </w:p>
        </w:tc>
        <w:tc>
          <w:tcPr>
            <w:tcW w:w="1571" w:type="dxa"/>
            <w:tcBorders>
              <w:top w:val="nil"/>
              <w:left w:val="nil"/>
              <w:bottom w:val="nil"/>
              <w:right w:val="nil"/>
            </w:tcBorders>
          </w:tcPr>
          <w:p>
            <w:pPr>
              <w:pStyle w:val="TableParagraph"/>
              <w:spacing w:before="156"/>
              <w:ind w:left="389" w:right="340"/>
              <w:jc w:val="center"/>
              <w:rPr>
                <w:sz w:val="24"/>
              </w:rPr>
            </w:pPr>
            <w:r>
              <w:rPr>
                <w:sz w:val="24"/>
              </w:rPr>
              <w:t>4.5</w:t>
            </w:r>
          </w:p>
        </w:tc>
        <w:tc>
          <w:tcPr>
            <w:tcW w:w="1479" w:type="dxa"/>
            <w:tcBorders>
              <w:top w:val="nil"/>
              <w:left w:val="nil"/>
              <w:bottom w:val="nil"/>
              <w:right w:val="nil"/>
            </w:tcBorders>
          </w:tcPr>
          <w:p>
            <w:pPr>
              <w:pStyle w:val="TableParagraph"/>
              <w:spacing w:before="156"/>
              <w:ind w:left="341" w:right="348"/>
              <w:jc w:val="center"/>
              <w:rPr>
                <w:sz w:val="24"/>
              </w:rPr>
            </w:pPr>
            <w:r>
              <w:rPr>
                <w:sz w:val="24"/>
              </w:rPr>
              <w:t>5.1</w:t>
            </w:r>
          </w:p>
        </w:tc>
        <w:tc>
          <w:tcPr>
            <w:tcW w:w="1504" w:type="dxa"/>
            <w:tcBorders>
              <w:top w:val="nil"/>
              <w:left w:val="nil"/>
              <w:bottom w:val="nil"/>
              <w:right w:val="nil"/>
            </w:tcBorders>
          </w:tcPr>
          <w:p>
            <w:pPr>
              <w:pStyle w:val="TableParagraph"/>
              <w:spacing w:before="156"/>
              <w:ind w:left="353" w:right="349"/>
              <w:jc w:val="center"/>
              <w:rPr>
                <w:sz w:val="24"/>
              </w:rPr>
            </w:pPr>
            <w:r>
              <w:rPr>
                <w:sz w:val="24"/>
              </w:rPr>
              <w:t>0.8</w:t>
            </w:r>
          </w:p>
        </w:tc>
      </w:tr>
      <w:tr>
        <w:trPr>
          <w:trHeight w:val="613" w:hRule="exact"/>
        </w:trPr>
        <w:tc>
          <w:tcPr>
            <w:tcW w:w="1500" w:type="dxa"/>
            <w:tcBorders>
              <w:top w:val="nil"/>
              <w:left w:val="nil"/>
              <w:bottom w:val="nil"/>
              <w:right w:val="nil"/>
            </w:tcBorders>
          </w:tcPr>
          <w:p>
            <w:pPr>
              <w:pStyle w:val="TableParagraph"/>
              <w:spacing w:before="156"/>
              <w:ind w:left="107"/>
              <w:rPr>
                <w:sz w:val="24"/>
              </w:rPr>
            </w:pPr>
            <w:r>
              <w:rPr>
                <w:sz w:val="24"/>
              </w:rPr>
              <w:t>Elefanta</w:t>
            </w:r>
          </w:p>
        </w:tc>
        <w:tc>
          <w:tcPr>
            <w:tcW w:w="1531" w:type="dxa"/>
            <w:tcBorders>
              <w:top w:val="nil"/>
              <w:left w:val="nil"/>
              <w:bottom w:val="nil"/>
              <w:right w:val="nil"/>
            </w:tcBorders>
          </w:tcPr>
          <w:p>
            <w:pPr>
              <w:pStyle w:val="TableParagraph"/>
              <w:spacing w:before="156"/>
              <w:ind w:left="532" w:right="409"/>
              <w:rPr>
                <w:sz w:val="24"/>
              </w:rPr>
            </w:pPr>
            <w:r>
              <w:rPr>
                <w:sz w:val="24"/>
              </w:rPr>
              <w:t>31.9</w:t>
            </w:r>
          </w:p>
        </w:tc>
        <w:tc>
          <w:tcPr>
            <w:tcW w:w="1395" w:type="dxa"/>
            <w:tcBorders>
              <w:top w:val="nil"/>
              <w:left w:val="nil"/>
              <w:bottom w:val="nil"/>
              <w:right w:val="nil"/>
            </w:tcBorders>
          </w:tcPr>
          <w:p>
            <w:pPr>
              <w:pStyle w:val="TableParagraph"/>
              <w:spacing w:before="156"/>
              <w:ind w:left="406" w:right="387"/>
              <w:jc w:val="center"/>
              <w:rPr>
                <w:sz w:val="24"/>
              </w:rPr>
            </w:pPr>
            <w:r>
              <w:rPr>
                <w:sz w:val="24"/>
              </w:rPr>
              <w:t>11.6</w:t>
            </w:r>
          </w:p>
        </w:tc>
        <w:tc>
          <w:tcPr>
            <w:tcW w:w="1571" w:type="dxa"/>
            <w:tcBorders>
              <w:top w:val="nil"/>
              <w:left w:val="nil"/>
              <w:bottom w:val="nil"/>
              <w:right w:val="nil"/>
            </w:tcBorders>
          </w:tcPr>
          <w:p>
            <w:pPr>
              <w:pStyle w:val="TableParagraph"/>
              <w:spacing w:before="156"/>
              <w:ind w:left="389" w:right="340"/>
              <w:jc w:val="center"/>
              <w:rPr>
                <w:sz w:val="24"/>
              </w:rPr>
            </w:pPr>
            <w:r>
              <w:rPr>
                <w:sz w:val="24"/>
              </w:rPr>
              <w:t>4.9</w:t>
            </w:r>
          </w:p>
        </w:tc>
        <w:tc>
          <w:tcPr>
            <w:tcW w:w="1479" w:type="dxa"/>
            <w:tcBorders>
              <w:top w:val="nil"/>
              <w:left w:val="nil"/>
              <w:bottom w:val="nil"/>
              <w:right w:val="nil"/>
            </w:tcBorders>
          </w:tcPr>
          <w:p>
            <w:pPr>
              <w:pStyle w:val="TableParagraph"/>
              <w:spacing w:before="156"/>
              <w:ind w:left="341" w:right="348"/>
              <w:jc w:val="center"/>
              <w:rPr>
                <w:sz w:val="24"/>
              </w:rPr>
            </w:pPr>
            <w:r>
              <w:rPr>
                <w:sz w:val="24"/>
              </w:rPr>
              <w:t>4.7</w:t>
            </w:r>
          </w:p>
        </w:tc>
        <w:tc>
          <w:tcPr>
            <w:tcW w:w="1504" w:type="dxa"/>
            <w:tcBorders>
              <w:top w:val="nil"/>
              <w:left w:val="nil"/>
              <w:bottom w:val="nil"/>
              <w:right w:val="nil"/>
            </w:tcBorders>
          </w:tcPr>
          <w:p>
            <w:pPr>
              <w:pStyle w:val="TableParagraph"/>
              <w:spacing w:before="156"/>
              <w:ind w:left="353" w:right="349"/>
              <w:jc w:val="center"/>
              <w:rPr>
                <w:sz w:val="24"/>
              </w:rPr>
            </w:pPr>
            <w:r>
              <w:rPr>
                <w:sz w:val="24"/>
              </w:rPr>
              <w:t>0.7</w:t>
            </w:r>
          </w:p>
        </w:tc>
      </w:tr>
      <w:tr>
        <w:trPr>
          <w:trHeight w:val="614" w:hRule="exact"/>
        </w:trPr>
        <w:tc>
          <w:tcPr>
            <w:tcW w:w="1500" w:type="dxa"/>
            <w:tcBorders>
              <w:top w:val="nil"/>
              <w:left w:val="nil"/>
              <w:bottom w:val="nil"/>
              <w:right w:val="nil"/>
            </w:tcBorders>
          </w:tcPr>
          <w:p>
            <w:pPr>
              <w:pStyle w:val="TableParagraph"/>
              <w:spacing w:before="155"/>
              <w:ind w:left="107"/>
              <w:rPr>
                <w:sz w:val="24"/>
              </w:rPr>
            </w:pPr>
            <w:r>
              <w:rPr>
                <w:sz w:val="24"/>
              </w:rPr>
              <w:t>Osa polar</w:t>
            </w:r>
          </w:p>
        </w:tc>
        <w:tc>
          <w:tcPr>
            <w:tcW w:w="1531" w:type="dxa"/>
            <w:tcBorders>
              <w:top w:val="nil"/>
              <w:left w:val="nil"/>
              <w:bottom w:val="nil"/>
              <w:right w:val="nil"/>
            </w:tcBorders>
          </w:tcPr>
          <w:p>
            <w:pPr>
              <w:pStyle w:val="TableParagraph"/>
              <w:spacing w:before="155"/>
              <w:ind w:left="532" w:right="409"/>
              <w:rPr>
                <w:sz w:val="24"/>
              </w:rPr>
            </w:pPr>
            <w:r>
              <w:rPr>
                <w:sz w:val="24"/>
              </w:rPr>
              <w:t>47.6</w:t>
            </w:r>
          </w:p>
        </w:tc>
        <w:tc>
          <w:tcPr>
            <w:tcW w:w="1395" w:type="dxa"/>
            <w:tcBorders>
              <w:top w:val="nil"/>
              <w:left w:val="nil"/>
              <w:bottom w:val="nil"/>
              <w:right w:val="nil"/>
            </w:tcBorders>
          </w:tcPr>
          <w:p>
            <w:pPr>
              <w:pStyle w:val="TableParagraph"/>
              <w:spacing w:before="155"/>
              <w:ind w:left="406" w:right="387"/>
              <w:jc w:val="center"/>
              <w:rPr>
                <w:sz w:val="24"/>
              </w:rPr>
            </w:pPr>
            <w:r>
              <w:rPr>
                <w:sz w:val="24"/>
              </w:rPr>
              <w:t>33.1</w:t>
            </w:r>
          </w:p>
        </w:tc>
        <w:tc>
          <w:tcPr>
            <w:tcW w:w="1571" w:type="dxa"/>
            <w:tcBorders>
              <w:top w:val="nil"/>
              <w:left w:val="nil"/>
              <w:bottom w:val="nil"/>
              <w:right w:val="nil"/>
            </w:tcBorders>
          </w:tcPr>
          <w:p>
            <w:pPr>
              <w:pStyle w:val="TableParagraph"/>
              <w:spacing w:before="155"/>
              <w:ind w:left="389" w:right="341"/>
              <w:jc w:val="center"/>
              <w:rPr>
                <w:sz w:val="24"/>
              </w:rPr>
            </w:pPr>
            <w:r>
              <w:rPr>
                <w:sz w:val="24"/>
              </w:rPr>
              <w:t>10.9</w:t>
            </w:r>
          </w:p>
        </w:tc>
        <w:tc>
          <w:tcPr>
            <w:tcW w:w="1479" w:type="dxa"/>
            <w:tcBorders>
              <w:top w:val="nil"/>
              <w:left w:val="nil"/>
              <w:bottom w:val="nil"/>
              <w:right w:val="nil"/>
            </w:tcBorders>
          </w:tcPr>
          <w:p>
            <w:pPr>
              <w:pStyle w:val="TableParagraph"/>
              <w:spacing w:before="155"/>
              <w:ind w:left="341" w:right="348"/>
              <w:jc w:val="center"/>
              <w:rPr>
                <w:sz w:val="24"/>
              </w:rPr>
            </w:pPr>
            <w:r>
              <w:rPr>
                <w:sz w:val="24"/>
              </w:rPr>
              <w:t>0.3</w:t>
            </w:r>
          </w:p>
        </w:tc>
        <w:tc>
          <w:tcPr>
            <w:tcW w:w="1504" w:type="dxa"/>
            <w:tcBorders>
              <w:top w:val="nil"/>
              <w:left w:val="nil"/>
              <w:bottom w:val="nil"/>
              <w:right w:val="nil"/>
            </w:tcBorders>
          </w:tcPr>
          <w:p>
            <w:pPr>
              <w:pStyle w:val="TableParagraph"/>
              <w:spacing w:before="155"/>
              <w:ind w:left="353" w:right="349"/>
              <w:jc w:val="center"/>
              <w:rPr>
                <w:sz w:val="24"/>
              </w:rPr>
            </w:pPr>
            <w:r>
              <w:rPr>
                <w:sz w:val="24"/>
              </w:rPr>
              <w:t>1.4</w:t>
            </w:r>
          </w:p>
        </w:tc>
      </w:tr>
      <w:tr>
        <w:trPr>
          <w:trHeight w:val="781" w:hRule="exact"/>
        </w:trPr>
        <w:tc>
          <w:tcPr>
            <w:tcW w:w="1500" w:type="dxa"/>
            <w:tcBorders>
              <w:top w:val="nil"/>
              <w:left w:val="nil"/>
              <w:right w:val="nil"/>
            </w:tcBorders>
          </w:tcPr>
          <w:p>
            <w:pPr>
              <w:pStyle w:val="TableParagraph"/>
              <w:spacing w:before="156"/>
              <w:ind w:left="107"/>
              <w:rPr>
                <w:sz w:val="24"/>
              </w:rPr>
            </w:pPr>
            <w:r>
              <w:rPr>
                <w:sz w:val="24"/>
              </w:rPr>
              <w:t>Foca gris</w:t>
            </w:r>
          </w:p>
        </w:tc>
        <w:tc>
          <w:tcPr>
            <w:tcW w:w="1531" w:type="dxa"/>
            <w:tcBorders>
              <w:top w:val="nil"/>
              <w:left w:val="nil"/>
              <w:right w:val="nil"/>
            </w:tcBorders>
          </w:tcPr>
          <w:p>
            <w:pPr>
              <w:pStyle w:val="TableParagraph"/>
              <w:spacing w:before="156"/>
              <w:ind w:left="532" w:right="409"/>
              <w:rPr>
                <w:sz w:val="24"/>
              </w:rPr>
            </w:pPr>
            <w:r>
              <w:rPr>
                <w:sz w:val="24"/>
              </w:rPr>
              <w:t>67.7</w:t>
            </w:r>
          </w:p>
        </w:tc>
        <w:tc>
          <w:tcPr>
            <w:tcW w:w="1395" w:type="dxa"/>
            <w:tcBorders>
              <w:top w:val="nil"/>
              <w:left w:val="nil"/>
              <w:right w:val="nil"/>
            </w:tcBorders>
          </w:tcPr>
          <w:p>
            <w:pPr>
              <w:pStyle w:val="TableParagraph"/>
              <w:spacing w:before="156"/>
              <w:ind w:left="406" w:right="387"/>
              <w:jc w:val="center"/>
              <w:rPr>
                <w:sz w:val="24"/>
              </w:rPr>
            </w:pPr>
            <w:r>
              <w:rPr>
                <w:sz w:val="24"/>
              </w:rPr>
              <w:t>53.1</w:t>
            </w:r>
          </w:p>
        </w:tc>
        <w:tc>
          <w:tcPr>
            <w:tcW w:w="1571" w:type="dxa"/>
            <w:tcBorders>
              <w:top w:val="nil"/>
              <w:left w:val="nil"/>
              <w:right w:val="nil"/>
            </w:tcBorders>
          </w:tcPr>
          <w:p>
            <w:pPr>
              <w:pStyle w:val="TableParagraph"/>
              <w:spacing w:before="156"/>
              <w:ind w:left="389" w:right="341"/>
              <w:jc w:val="center"/>
              <w:rPr>
                <w:sz w:val="24"/>
              </w:rPr>
            </w:pPr>
            <w:r>
              <w:rPr>
                <w:sz w:val="24"/>
              </w:rPr>
              <w:t>11.2</w:t>
            </w:r>
          </w:p>
        </w:tc>
        <w:tc>
          <w:tcPr>
            <w:tcW w:w="1479" w:type="dxa"/>
            <w:tcBorders>
              <w:top w:val="nil"/>
              <w:left w:val="nil"/>
              <w:right w:val="nil"/>
            </w:tcBorders>
          </w:tcPr>
          <w:p>
            <w:pPr>
              <w:pStyle w:val="TableParagraph"/>
              <w:spacing w:before="156"/>
              <w:ind w:left="341" w:right="348"/>
              <w:jc w:val="center"/>
              <w:rPr>
                <w:sz w:val="24"/>
              </w:rPr>
            </w:pPr>
            <w:r>
              <w:rPr>
                <w:sz w:val="24"/>
              </w:rPr>
              <w:t>0.7</w:t>
            </w:r>
          </w:p>
        </w:tc>
        <w:tc>
          <w:tcPr>
            <w:tcW w:w="1504" w:type="dxa"/>
            <w:tcBorders>
              <w:top w:val="nil"/>
              <w:left w:val="nil"/>
              <w:right w:val="nil"/>
            </w:tcBorders>
          </w:tcPr>
          <w:p>
            <w:pPr>
              <w:pStyle w:val="TableParagraph"/>
              <w:spacing w:before="156"/>
              <w:ind w:left="4"/>
              <w:jc w:val="center"/>
              <w:rPr>
                <w:sz w:val="24"/>
              </w:rPr>
            </w:pPr>
            <w:r>
              <w:rPr>
                <w:w w:val="99"/>
                <w:sz w:val="24"/>
              </w:rPr>
              <w:t>-</w:t>
            </w:r>
          </w:p>
        </w:tc>
      </w:tr>
    </w:tbl>
    <w:p>
      <w:pPr>
        <w:spacing w:line="226" w:lineRule="exact" w:before="0"/>
        <w:ind w:left="212" w:right="0" w:firstLine="0"/>
        <w:jc w:val="left"/>
        <w:rPr>
          <w:sz w:val="20"/>
        </w:rPr>
      </w:pPr>
      <w:r>
        <w:rPr>
          <w:sz w:val="20"/>
        </w:rPr>
        <w:t>Adaptado de Fox et al. (2000).</w:t>
      </w:r>
    </w:p>
    <w:p>
      <w:pPr>
        <w:pStyle w:val="BodyText"/>
        <w:spacing w:before="1"/>
        <w:rPr>
          <w:sz w:val="20"/>
        </w:rPr>
      </w:pPr>
    </w:p>
    <w:p>
      <w:pPr>
        <w:pStyle w:val="BodyText"/>
        <w:spacing w:line="480" w:lineRule="auto" w:before="1"/>
        <w:ind w:left="212"/>
      </w:pPr>
      <w:r>
        <w:rPr/>
        <w:t>En vacas en lactación, la producción de leche en cantidad y calidad depende principalmente del  aporte  adecuado  de  proteína  y  energía  en  la  dieta.  La  energía  necesaria  para    el</w:t>
      </w:r>
    </w:p>
    <w:p>
      <w:pPr>
        <w:spacing w:after="0" w:line="480" w:lineRule="auto"/>
        <w:sectPr>
          <w:pgSz w:w="12240" w:h="15840"/>
          <w:pgMar w:header="1150" w:footer="1336" w:top="1340" w:bottom="1520" w:left="1660" w:right="1380"/>
        </w:sectPr>
      </w:pPr>
    </w:p>
    <w:p>
      <w:pPr>
        <w:pStyle w:val="BodyText"/>
        <w:rPr>
          <w:sz w:val="20"/>
        </w:rPr>
      </w:pPr>
    </w:p>
    <w:p>
      <w:pPr>
        <w:pStyle w:val="BodyText"/>
        <w:spacing w:before="4"/>
        <w:rPr>
          <w:sz w:val="19"/>
        </w:rPr>
      </w:pPr>
    </w:p>
    <w:p>
      <w:pPr>
        <w:pStyle w:val="BodyText"/>
        <w:spacing w:line="480" w:lineRule="auto"/>
        <w:ind w:left="152" w:right="146"/>
        <w:jc w:val="both"/>
      </w:pPr>
      <w:r>
        <w:rPr/>
        <w:t>metabolismo de los animales rumiantes proviene básicamente de los ácidos grasos volátiles (AGV) producidos en el rumen por la diferente fermentación de los alimentos (Pereira, 2000). Dependiendo de la composición de la dieta, a nivel ruminal ocurrirá una variación entre las proporciones de los ácidos acético y butírico, que son metabolitos precursores de gran parte de la grasa en la leche, y el ácido propiónico, que es el precursor de la lactosa de la leche y gran responsable del volumen de leche producido (Backes et al., 2000).</w:t>
      </w:r>
    </w:p>
    <w:p>
      <w:pPr>
        <w:pStyle w:val="BodyText"/>
        <w:spacing w:line="480" w:lineRule="auto" w:before="207"/>
        <w:ind w:left="152" w:right="152"/>
        <w:jc w:val="both"/>
      </w:pPr>
      <w:r>
        <w:rPr/>
        <w:t>Wattiaux (2005) esquematiza el incremento en la producción de leche de vacas (kg/d) a medida que aumenta la proporción de concentrado en la dieta, pero afecta la fermentación acética en el rumen, precursor del contenido de grasa en la leche (Figura 3).</w:t>
      </w:r>
    </w:p>
    <w:p>
      <w:pPr>
        <w:pStyle w:val="BodyText"/>
        <w:spacing w:before="2"/>
        <w:rPr>
          <w:sz w:val="15"/>
        </w:rPr>
      </w:pPr>
      <w:r>
        <w:rPr/>
        <w:drawing>
          <wp:anchor distT="0" distB="0" distL="0" distR="0" allowOverlap="1" layoutInCell="1" locked="0" behindDoc="0" simplePos="0" relativeHeight="1168">
            <wp:simplePos x="0" y="0"/>
            <wp:positionH relativeFrom="page">
              <wp:posOffset>2174748</wp:posOffset>
            </wp:positionH>
            <wp:positionV relativeFrom="paragraph">
              <wp:posOffset>135956</wp:posOffset>
            </wp:positionV>
            <wp:extent cx="3628657" cy="3125057"/>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2" cstate="print"/>
                    <a:stretch>
                      <a:fillRect/>
                    </a:stretch>
                  </pic:blipFill>
                  <pic:spPr>
                    <a:xfrm>
                      <a:off x="0" y="0"/>
                      <a:ext cx="3628657" cy="3125057"/>
                    </a:xfrm>
                    <a:prstGeom prst="rect">
                      <a:avLst/>
                    </a:prstGeom>
                  </pic:spPr>
                </pic:pic>
              </a:graphicData>
            </a:graphic>
          </wp:anchor>
        </w:drawing>
      </w:r>
    </w:p>
    <w:p>
      <w:pPr>
        <w:pStyle w:val="BodyText"/>
        <w:spacing w:before="3"/>
        <w:rPr>
          <w:sz w:val="27"/>
        </w:rPr>
      </w:pPr>
    </w:p>
    <w:p>
      <w:pPr>
        <w:pStyle w:val="BodyText"/>
        <w:spacing w:line="360" w:lineRule="auto"/>
        <w:ind w:left="152" w:right="131" w:firstLine="307"/>
      </w:pPr>
      <w:r>
        <w:rPr/>
        <w:t>Figura 3. Efecto de la relación forraje:concentrado sobre los principales ácidos grasos volátiles (AGV) en rumen y la producción de leche de vacas (Adaptado de Wattiaux, 2005).</w:t>
      </w:r>
    </w:p>
    <w:p>
      <w:pPr>
        <w:spacing w:after="0" w:line="360" w:lineRule="auto"/>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8"/>
        <w:jc w:val="both"/>
      </w:pPr>
      <w:r>
        <w:rPr/>
        <w:t>Además del tipo de dieta para las vacas lecheras, existen factores ligados a la modificación en la producción de leche y sus componentes de los que se incluyen el genotipo, la edad, la etapa de lactación, la condición corporal, la época de año, la variación de acuerdo a la región donde habitan y el sistema de producción. Estos factores se ven reflejados en el contenido de la proteína, la lactosa y la grasa de la leche.</w:t>
      </w:r>
    </w:p>
    <w:p>
      <w:pPr>
        <w:pStyle w:val="BodyText"/>
        <w:spacing w:line="480" w:lineRule="auto" w:before="207"/>
        <w:ind w:left="152" w:right="152"/>
        <w:jc w:val="both"/>
      </w:pPr>
      <w:r>
        <w:rPr/>
        <w:t>En bovinos, la producción de leche es un desafío para aquellas razas lecheras comparadas con las razas cárnicas, por la alta demanda energética que necesita la glándula mamaria  para la formación de leche y sus componentes; en vacas lecheras de alto merito genético la demanda de sus requerimientos energéticos supera al mantenimiento de todo el animal (Relling y Mattioli,</w:t>
      </w:r>
      <w:r>
        <w:rPr>
          <w:spacing w:val="-6"/>
        </w:rPr>
        <w:t> </w:t>
      </w:r>
      <w:r>
        <w:rPr/>
        <w:t>2007).</w:t>
      </w:r>
    </w:p>
    <w:p>
      <w:pPr>
        <w:pStyle w:val="BodyText"/>
        <w:spacing w:line="480" w:lineRule="auto" w:before="207"/>
        <w:ind w:left="152" w:right="146"/>
        <w:jc w:val="both"/>
      </w:pPr>
      <w:r>
        <w:rPr/>
        <w:t>La proteína y la lactosa de la leche se sintetizan en el retículo sarcoplásmico rugoso y pasan al aparato de Golgi para ser liberados juntos, por exocitosis, a la luz del alveolo mamario. Para la síntesis proteica, la glándula mamaría toma aminoácidos y péptidos pequeños de la circulación sanguínea; la lactosa se sintetiza a partir de glucosa y galactosa, la enzima que interviene en su formación es la lactosa sintetasa, que a su vez está formada por la α- lactoalbumina y la galactosil-transferasa. La grasa se sintetiza en el retículo sarcoplásmico liso y se concentra en glóbulos que junto con restos de citoplasma y rodeados por una membrana son liberados a la luz del alvéolo, principalmente como triglicéridos (Figura 4).</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after="1"/>
        <w:rPr>
          <w:sz w:val="20"/>
        </w:rPr>
      </w:pPr>
    </w:p>
    <w:p>
      <w:pPr>
        <w:pStyle w:val="BodyText"/>
        <w:ind w:left="684"/>
        <w:rPr>
          <w:sz w:val="20"/>
        </w:rPr>
      </w:pPr>
      <w:r>
        <w:rPr>
          <w:sz w:val="20"/>
        </w:rPr>
        <w:drawing>
          <wp:inline distT="0" distB="0" distL="0" distR="0">
            <wp:extent cx="4868962" cy="3569970"/>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13" cstate="print"/>
                    <a:stretch>
                      <a:fillRect/>
                    </a:stretch>
                  </pic:blipFill>
                  <pic:spPr>
                    <a:xfrm>
                      <a:off x="0" y="0"/>
                      <a:ext cx="4868962" cy="3569970"/>
                    </a:xfrm>
                    <a:prstGeom prst="rect">
                      <a:avLst/>
                    </a:prstGeom>
                  </pic:spPr>
                </pic:pic>
              </a:graphicData>
            </a:graphic>
          </wp:inline>
        </w:drawing>
      </w:r>
      <w:r>
        <w:rPr>
          <w:sz w:val="20"/>
        </w:rPr>
      </w:r>
    </w:p>
    <w:p>
      <w:pPr>
        <w:pStyle w:val="BodyText"/>
        <w:spacing w:before="9"/>
        <w:rPr>
          <w:sz w:val="29"/>
        </w:rPr>
      </w:pPr>
    </w:p>
    <w:p>
      <w:pPr>
        <w:pStyle w:val="BodyText"/>
        <w:spacing w:line="360" w:lineRule="auto" w:before="69"/>
        <w:ind w:left="3812" w:right="509" w:hanging="3279"/>
      </w:pPr>
      <w:r>
        <w:rPr/>
        <w:t>Figura 4. Formación de componentes de la leche en bovinos (Adaptado de Relling y Mattioli, 2007).</w:t>
      </w:r>
    </w:p>
    <w:p>
      <w:pPr>
        <w:pStyle w:val="BodyText"/>
      </w:pPr>
    </w:p>
    <w:p>
      <w:pPr>
        <w:pStyle w:val="BodyText"/>
      </w:pPr>
    </w:p>
    <w:p>
      <w:pPr>
        <w:pStyle w:val="BodyText"/>
        <w:spacing w:before="5"/>
        <w:rPr>
          <w:sz w:val="23"/>
        </w:rPr>
      </w:pPr>
    </w:p>
    <w:p>
      <w:pPr>
        <w:pStyle w:val="Heading1"/>
        <w:numPr>
          <w:ilvl w:val="2"/>
          <w:numId w:val="6"/>
        </w:numPr>
        <w:tabs>
          <w:tab w:pos="753" w:val="left" w:leader="none"/>
        </w:tabs>
        <w:spacing w:line="240" w:lineRule="auto" w:before="1" w:after="0"/>
        <w:ind w:left="752" w:right="0" w:hanging="600"/>
        <w:jc w:val="both"/>
      </w:pPr>
      <w:bookmarkStart w:name="_bookmark9" w:id="15"/>
      <w:bookmarkEnd w:id="15"/>
      <w:r>
        <w:rPr>
          <w:b w:val="0"/>
        </w:rPr>
      </w:r>
      <w:bookmarkStart w:name="_bookmark9" w:id="16"/>
      <w:bookmarkEnd w:id="16"/>
      <w:r>
        <w:rPr/>
        <w:t>La</w:t>
      </w:r>
      <w:r>
        <w:rPr/>
        <w:t> proteína en la</w:t>
      </w:r>
      <w:r>
        <w:rPr>
          <w:spacing w:val="-6"/>
        </w:rPr>
        <w:t> </w:t>
      </w:r>
      <w:r>
        <w:rPr/>
        <w:t>leche</w:t>
      </w:r>
    </w:p>
    <w:p>
      <w:pPr>
        <w:pStyle w:val="BodyText"/>
        <w:spacing w:before="6"/>
        <w:rPr>
          <w:b/>
          <w:sz w:val="23"/>
        </w:rPr>
      </w:pPr>
    </w:p>
    <w:p>
      <w:pPr>
        <w:pStyle w:val="BodyText"/>
        <w:spacing w:line="480" w:lineRule="auto"/>
        <w:ind w:left="152" w:right="144"/>
        <w:jc w:val="both"/>
      </w:pPr>
      <w:r>
        <w:rPr/>
        <w:t>La proteína en leche se puede encontrar desde 1% en el humano, hasta el 20% o más en ratas y ratonas. Existe relación entre el contenido de proteína en leche y el crecimiento de los neonatos (Fox et al., 2000). Así mismo, se ha encontrado una relación estrecha entre el contenido de proteína y la grasa de la leche (Arbiza y De Lucas, 2001), esto podría contribuir también a la ganancia diaria de peso de neonatos. En el periodo de lactación, la glándula mamaria tiene una alta prioridad para utilizar aminoácidos para ser convertidos en otros  aminoácidos  u  oxidados  para  producir  energía.  La  mayoría  de  los   aminoácidos</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2" w:lineRule="auto"/>
        <w:ind w:left="152" w:right="144"/>
        <w:jc w:val="both"/>
      </w:pPr>
      <w:r>
        <w:rPr/>
        <w:t>absorbidos por la glándula mamaria son utilizados para sintetizar la proteína de la leche (Wattiaux, 2005).</w:t>
      </w:r>
    </w:p>
    <w:p>
      <w:pPr>
        <w:pStyle w:val="BodyText"/>
        <w:spacing w:line="480" w:lineRule="auto" w:before="204"/>
        <w:ind w:left="152" w:right="146"/>
        <w:jc w:val="both"/>
      </w:pPr>
      <w:r>
        <w:rPr/>
        <w:t>Fox et al. (2000) mencionan que las proteínas en la leche pertenecen a dos grandes categorías y pueden ser separadas con base a su solubilidad a pH de 4.6 con temperatura de 20°C; bajo estas condiciones uno de los grupos es precipitado (caseínas) y el otro queda soluble en el suero de la leche (proteínas del suero) (Cuadro 2). Las caseínas son bien caracterizadas por su nivel molecular y la secuencia de aminoácidos, ésta constituye entre 80 y 90% de la proteína en la leche de vacas, entre 71 y 78% en la leche de cabras y solo el 40% en la leche del humano (Fox et al., 2000; Wattiaux, 2005).</w:t>
      </w:r>
    </w:p>
    <w:p>
      <w:pPr>
        <w:pStyle w:val="BodyText"/>
        <w:spacing w:line="480" w:lineRule="auto" w:before="207"/>
        <w:ind w:left="152" w:right="146"/>
        <w:jc w:val="both"/>
      </w:pPr>
      <w:r>
        <w:rPr/>
        <w:t>Las caseínas tienen un peso molecular de 20 a 25 kDa, son fosforiladas y contienen altos niveles de prolina (especialmente la β-caseína); por el contrario, las proteínas del suero tienen altos niveles de estructuras secundarias, terciarias y cuaternarias, son proteínas globulares típicas y se desnaturalizan con altas temperaturas (90°C x 10 min). Existen numerosas proteínas menores (enzimas, inhibidores de enzimas, lactoferrina, vitaminas ligadas a proteínas) que se encuentran en mayor medida en el suero y en la membrana de los glóbulos de grasa (Fox et al., 2000). El contenido de caseína en la leche de animales en producción adquiere mayor importancia económica en la transformación de leche a subproductos lácteos, principalmente en</w:t>
      </w:r>
      <w:r>
        <w:rPr>
          <w:spacing w:val="-6"/>
        </w:rPr>
        <w:t> </w:t>
      </w:r>
      <w:r>
        <w:rPr/>
        <w:t>queso.</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7"/>
        <w:rPr>
          <w:sz w:val="19"/>
        </w:rPr>
      </w:pPr>
    </w:p>
    <w:p>
      <w:pPr>
        <w:pStyle w:val="BodyText"/>
        <w:ind w:left="232" w:right="121"/>
      </w:pPr>
      <w:r>
        <w:rPr>
          <w:b/>
        </w:rPr>
        <w:t>Cuadro 2. </w:t>
      </w:r>
      <w:r>
        <w:rPr/>
        <w:t>Principales proteínas de la leche de vaca y su función.</w:t>
      </w:r>
    </w:p>
    <w:p>
      <w:pPr>
        <w:pStyle w:val="BodyText"/>
        <w:spacing w:before="10"/>
        <w:rPr>
          <w:sz w:val="29"/>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98"/>
        <w:gridCol w:w="1273"/>
        <w:gridCol w:w="4301"/>
      </w:tblGrid>
      <w:tr>
        <w:trPr>
          <w:trHeight w:val="845" w:hRule="exact"/>
        </w:trPr>
        <w:tc>
          <w:tcPr>
            <w:tcW w:w="3498" w:type="dxa"/>
            <w:tcBorders>
              <w:left w:val="nil"/>
              <w:right w:val="nil"/>
            </w:tcBorders>
          </w:tcPr>
          <w:p>
            <w:pPr>
              <w:pStyle w:val="TableParagraph"/>
              <w:spacing w:before="152"/>
              <w:ind w:left="122"/>
              <w:rPr>
                <w:sz w:val="24"/>
              </w:rPr>
            </w:pPr>
            <w:r>
              <w:rPr>
                <w:sz w:val="24"/>
              </w:rPr>
              <w:t>Proteínas</w:t>
            </w:r>
          </w:p>
        </w:tc>
        <w:tc>
          <w:tcPr>
            <w:tcW w:w="1273" w:type="dxa"/>
            <w:tcBorders>
              <w:left w:val="nil"/>
              <w:right w:val="nil"/>
            </w:tcBorders>
          </w:tcPr>
          <w:p>
            <w:pPr>
              <w:pStyle w:val="TableParagraph"/>
              <w:spacing w:line="270" w:lineRule="exact"/>
              <w:ind w:left="91" w:right="141"/>
              <w:jc w:val="center"/>
              <w:rPr>
                <w:sz w:val="24"/>
              </w:rPr>
            </w:pPr>
            <w:r>
              <w:rPr>
                <w:sz w:val="24"/>
              </w:rPr>
              <w:t>Contenido</w:t>
            </w:r>
          </w:p>
          <w:p>
            <w:pPr>
              <w:pStyle w:val="TableParagraph"/>
              <w:spacing w:before="41"/>
              <w:ind w:left="91" w:right="139"/>
              <w:jc w:val="center"/>
              <w:rPr>
                <w:i/>
                <w:sz w:val="24"/>
              </w:rPr>
            </w:pPr>
            <w:r>
              <w:rPr>
                <w:i/>
                <w:sz w:val="24"/>
              </w:rPr>
              <w:t>g/L</w:t>
            </w:r>
          </w:p>
        </w:tc>
        <w:tc>
          <w:tcPr>
            <w:tcW w:w="4301" w:type="dxa"/>
            <w:tcBorders>
              <w:left w:val="nil"/>
              <w:right w:val="nil"/>
            </w:tcBorders>
          </w:tcPr>
          <w:p>
            <w:pPr>
              <w:pStyle w:val="TableParagraph"/>
              <w:spacing w:before="152"/>
              <w:ind w:left="570" w:right="629"/>
              <w:jc w:val="center"/>
              <w:rPr>
                <w:sz w:val="24"/>
              </w:rPr>
            </w:pPr>
            <w:r>
              <w:rPr>
                <w:sz w:val="24"/>
              </w:rPr>
              <w:t>Función</w:t>
            </w:r>
          </w:p>
        </w:tc>
      </w:tr>
      <w:tr>
        <w:trPr>
          <w:trHeight w:val="410" w:hRule="exact"/>
        </w:trPr>
        <w:tc>
          <w:tcPr>
            <w:tcW w:w="3498" w:type="dxa"/>
            <w:tcBorders>
              <w:left w:val="nil"/>
              <w:bottom w:val="nil"/>
              <w:right w:val="nil"/>
            </w:tcBorders>
          </w:tcPr>
          <w:p>
            <w:pPr>
              <w:pStyle w:val="TableParagraph"/>
              <w:spacing w:line="270" w:lineRule="exact"/>
              <w:ind w:left="122"/>
              <w:rPr>
                <w:sz w:val="24"/>
              </w:rPr>
            </w:pPr>
            <w:r>
              <w:rPr>
                <w:sz w:val="24"/>
              </w:rPr>
              <w:t>Caseínas</w:t>
            </w:r>
          </w:p>
        </w:tc>
        <w:tc>
          <w:tcPr>
            <w:tcW w:w="1273" w:type="dxa"/>
            <w:tcBorders>
              <w:left w:val="nil"/>
              <w:bottom w:val="nil"/>
              <w:right w:val="nil"/>
            </w:tcBorders>
          </w:tcPr>
          <w:p>
            <w:pPr>
              <w:pStyle w:val="TableParagraph"/>
              <w:spacing w:line="275" w:lineRule="exact"/>
              <w:ind w:left="400"/>
              <w:rPr>
                <w:b/>
                <w:sz w:val="24"/>
              </w:rPr>
            </w:pPr>
            <w:r>
              <w:rPr>
                <w:b/>
                <w:sz w:val="24"/>
              </w:rPr>
              <w:t>26.0</w:t>
            </w:r>
          </w:p>
        </w:tc>
        <w:tc>
          <w:tcPr>
            <w:tcW w:w="4301" w:type="dxa"/>
            <w:tcBorders>
              <w:left w:val="nil"/>
              <w:bottom w:val="nil"/>
              <w:right w:val="nil"/>
            </w:tcBorders>
          </w:tcPr>
          <w:p>
            <w:pPr>
              <w:pStyle w:val="TableParagraph"/>
              <w:spacing w:line="270" w:lineRule="exact"/>
              <w:ind w:left="571" w:right="629"/>
              <w:jc w:val="center"/>
              <w:rPr>
                <w:sz w:val="24"/>
              </w:rPr>
            </w:pPr>
            <w:r>
              <w:rPr>
                <w:sz w:val="24"/>
              </w:rPr>
              <w:t>Transporte Ca, PO4, Fe, Zn, Cu</w:t>
            </w:r>
          </w:p>
        </w:tc>
      </w:tr>
      <w:tr>
        <w:trPr>
          <w:trHeight w:val="515" w:hRule="exact"/>
        </w:trPr>
        <w:tc>
          <w:tcPr>
            <w:tcW w:w="3498" w:type="dxa"/>
            <w:tcBorders>
              <w:top w:val="nil"/>
              <w:left w:val="nil"/>
              <w:bottom w:val="nil"/>
              <w:right w:val="nil"/>
            </w:tcBorders>
          </w:tcPr>
          <w:p>
            <w:pPr>
              <w:pStyle w:val="TableParagraph"/>
              <w:spacing w:before="104"/>
              <w:ind w:left="551"/>
              <w:rPr>
                <w:sz w:val="24"/>
              </w:rPr>
            </w:pPr>
            <w:r>
              <w:rPr>
                <w:sz w:val="24"/>
              </w:rPr>
              <w:t>α-caseínas</w:t>
            </w:r>
          </w:p>
        </w:tc>
        <w:tc>
          <w:tcPr>
            <w:tcW w:w="1273" w:type="dxa"/>
            <w:tcBorders>
              <w:top w:val="nil"/>
              <w:left w:val="nil"/>
              <w:bottom w:val="nil"/>
              <w:right w:val="nil"/>
            </w:tcBorders>
          </w:tcPr>
          <w:p>
            <w:pPr>
              <w:pStyle w:val="TableParagraph"/>
              <w:spacing w:before="104"/>
              <w:ind w:left="400"/>
              <w:rPr>
                <w:sz w:val="24"/>
              </w:rPr>
            </w:pPr>
            <w:r>
              <w:rPr>
                <w:sz w:val="24"/>
              </w:rPr>
              <w:t>13.0</w:t>
            </w:r>
          </w:p>
        </w:tc>
        <w:tc>
          <w:tcPr>
            <w:tcW w:w="4301" w:type="dxa"/>
            <w:tcBorders>
              <w:top w:val="nil"/>
              <w:left w:val="nil"/>
              <w:bottom w:val="nil"/>
              <w:right w:val="nil"/>
            </w:tcBorders>
          </w:tcPr>
          <w:p>
            <w:pPr/>
          </w:p>
        </w:tc>
      </w:tr>
      <w:tr>
        <w:trPr>
          <w:trHeight w:val="519" w:hRule="exact"/>
        </w:trPr>
        <w:tc>
          <w:tcPr>
            <w:tcW w:w="3498" w:type="dxa"/>
            <w:tcBorders>
              <w:top w:val="nil"/>
              <w:left w:val="nil"/>
              <w:bottom w:val="nil"/>
              <w:right w:val="nil"/>
            </w:tcBorders>
          </w:tcPr>
          <w:p>
            <w:pPr>
              <w:pStyle w:val="TableParagraph"/>
              <w:spacing w:before="108"/>
              <w:ind w:left="551"/>
              <w:rPr>
                <w:sz w:val="24"/>
              </w:rPr>
            </w:pPr>
            <w:r>
              <w:rPr>
                <w:sz w:val="24"/>
              </w:rPr>
              <w:t>β-caseínas</w:t>
            </w:r>
          </w:p>
        </w:tc>
        <w:tc>
          <w:tcPr>
            <w:tcW w:w="1273" w:type="dxa"/>
            <w:tcBorders>
              <w:top w:val="nil"/>
              <w:left w:val="nil"/>
              <w:bottom w:val="nil"/>
              <w:right w:val="nil"/>
            </w:tcBorders>
          </w:tcPr>
          <w:p>
            <w:pPr>
              <w:pStyle w:val="TableParagraph"/>
              <w:spacing w:before="108"/>
              <w:ind w:left="91" w:right="23"/>
              <w:jc w:val="center"/>
              <w:rPr>
                <w:sz w:val="24"/>
              </w:rPr>
            </w:pPr>
            <w:r>
              <w:rPr>
                <w:sz w:val="24"/>
              </w:rPr>
              <w:t>9.3</w:t>
            </w:r>
          </w:p>
        </w:tc>
        <w:tc>
          <w:tcPr>
            <w:tcW w:w="4301" w:type="dxa"/>
            <w:tcBorders>
              <w:top w:val="nil"/>
              <w:left w:val="nil"/>
              <w:bottom w:val="nil"/>
              <w:right w:val="nil"/>
            </w:tcBorders>
          </w:tcPr>
          <w:p>
            <w:pPr/>
          </w:p>
        </w:tc>
      </w:tr>
      <w:tr>
        <w:trPr>
          <w:trHeight w:val="518" w:hRule="exact"/>
        </w:trPr>
        <w:tc>
          <w:tcPr>
            <w:tcW w:w="3498" w:type="dxa"/>
            <w:tcBorders>
              <w:top w:val="nil"/>
              <w:left w:val="nil"/>
              <w:bottom w:val="nil"/>
              <w:right w:val="nil"/>
            </w:tcBorders>
          </w:tcPr>
          <w:p>
            <w:pPr>
              <w:pStyle w:val="TableParagraph"/>
              <w:spacing w:before="108"/>
              <w:ind w:left="551"/>
              <w:rPr>
                <w:sz w:val="24"/>
              </w:rPr>
            </w:pPr>
            <w:r>
              <w:rPr>
                <w:sz w:val="24"/>
              </w:rPr>
              <w:t>κ-caseínas</w:t>
            </w:r>
          </w:p>
        </w:tc>
        <w:tc>
          <w:tcPr>
            <w:tcW w:w="1273" w:type="dxa"/>
            <w:tcBorders>
              <w:top w:val="nil"/>
              <w:left w:val="nil"/>
              <w:bottom w:val="nil"/>
              <w:right w:val="nil"/>
            </w:tcBorders>
          </w:tcPr>
          <w:p>
            <w:pPr>
              <w:pStyle w:val="TableParagraph"/>
              <w:spacing w:before="108"/>
              <w:ind w:left="91" w:right="23"/>
              <w:jc w:val="center"/>
              <w:rPr>
                <w:sz w:val="24"/>
              </w:rPr>
            </w:pPr>
            <w:r>
              <w:rPr>
                <w:sz w:val="24"/>
              </w:rPr>
              <w:t>3.3</w:t>
            </w:r>
          </w:p>
        </w:tc>
        <w:tc>
          <w:tcPr>
            <w:tcW w:w="4301" w:type="dxa"/>
            <w:tcBorders>
              <w:top w:val="nil"/>
              <w:left w:val="nil"/>
              <w:bottom w:val="nil"/>
              <w:right w:val="nil"/>
            </w:tcBorders>
          </w:tcPr>
          <w:p>
            <w:pPr/>
          </w:p>
        </w:tc>
      </w:tr>
      <w:tr>
        <w:trPr>
          <w:trHeight w:val="520" w:hRule="exact"/>
        </w:trPr>
        <w:tc>
          <w:tcPr>
            <w:tcW w:w="3498" w:type="dxa"/>
            <w:tcBorders>
              <w:top w:val="nil"/>
              <w:left w:val="nil"/>
              <w:bottom w:val="nil"/>
              <w:right w:val="nil"/>
            </w:tcBorders>
          </w:tcPr>
          <w:p>
            <w:pPr>
              <w:pStyle w:val="TableParagraph"/>
              <w:spacing w:before="107"/>
              <w:ind w:left="122"/>
              <w:rPr>
                <w:sz w:val="24"/>
              </w:rPr>
            </w:pPr>
            <w:r>
              <w:rPr>
                <w:sz w:val="24"/>
              </w:rPr>
              <w:t>Proteínas del suero</w:t>
            </w:r>
          </w:p>
        </w:tc>
        <w:tc>
          <w:tcPr>
            <w:tcW w:w="1273" w:type="dxa"/>
            <w:tcBorders>
              <w:top w:val="nil"/>
              <w:left w:val="nil"/>
              <w:bottom w:val="nil"/>
              <w:right w:val="nil"/>
            </w:tcBorders>
          </w:tcPr>
          <w:p>
            <w:pPr>
              <w:pStyle w:val="TableParagraph"/>
              <w:spacing w:before="112"/>
              <w:ind w:left="91" w:right="23"/>
              <w:jc w:val="center"/>
              <w:rPr>
                <w:b/>
                <w:sz w:val="24"/>
              </w:rPr>
            </w:pPr>
            <w:r>
              <w:rPr>
                <w:b/>
                <w:sz w:val="24"/>
              </w:rPr>
              <w:t>6.3</w:t>
            </w:r>
          </w:p>
        </w:tc>
        <w:tc>
          <w:tcPr>
            <w:tcW w:w="4301" w:type="dxa"/>
            <w:tcBorders>
              <w:top w:val="nil"/>
              <w:left w:val="nil"/>
              <w:bottom w:val="nil"/>
              <w:right w:val="nil"/>
            </w:tcBorders>
          </w:tcPr>
          <w:p>
            <w:pPr/>
          </w:p>
        </w:tc>
      </w:tr>
      <w:tr>
        <w:trPr>
          <w:trHeight w:val="832" w:hRule="exact"/>
        </w:trPr>
        <w:tc>
          <w:tcPr>
            <w:tcW w:w="3498" w:type="dxa"/>
            <w:tcBorders>
              <w:top w:val="nil"/>
              <w:left w:val="nil"/>
              <w:bottom w:val="nil"/>
              <w:right w:val="nil"/>
            </w:tcBorders>
          </w:tcPr>
          <w:p>
            <w:pPr>
              <w:pStyle w:val="TableParagraph"/>
              <w:spacing w:before="11"/>
              <w:rPr>
                <w:sz w:val="22"/>
              </w:rPr>
            </w:pPr>
          </w:p>
          <w:p>
            <w:pPr>
              <w:pStyle w:val="TableParagraph"/>
              <w:ind w:left="551"/>
              <w:rPr>
                <w:sz w:val="24"/>
              </w:rPr>
            </w:pPr>
            <w:r>
              <w:rPr>
                <w:sz w:val="24"/>
              </w:rPr>
              <w:t>β-lactoglobulina</w:t>
            </w:r>
          </w:p>
        </w:tc>
        <w:tc>
          <w:tcPr>
            <w:tcW w:w="1273" w:type="dxa"/>
            <w:tcBorders>
              <w:top w:val="nil"/>
              <w:left w:val="nil"/>
              <w:bottom w:val="nil"/>
              <w:right w:val="nil"/>
            </w:tcBorders>
          </w:tcPr>
          <w:p>
            <w:pPr>
              <w:pStyle w:val="TableParagraph"/>
              <w:spacing w:before="11"/>
              <w:rPr>
                <w:sz w:val="22"/>
              </w:rPr>
            </w:pPr>
          </w:p>
          <w:p>
            <w:pPr>
              <w:pStyle w:val="TableParagraph"/>
              <w:ind w:left="91" w:right="23"/>
              <w:jc w:val="center"/>
              <w:rPr>
                <w:sz w:val="24"/>
              </w:rPr>
            </w:pPr>
            <w:r>
              <w:rPr>
                <w:sz w:val="24"/>
              </w:rPr>
              <w:t>3.2</w:t>
            </w:r>
          </w:p>
        </w:tc>
        <w:tc>
          <w:tcPr>
            <w:tcW w:w="4301" w:type="dxa"/>
            <w:tcBorders>
              <w:top w:val="nil"/>
              <w:left w:val="nil"/>
              <w:bottom w:val="nil"/>
              <w:right w:val="nil"/>
            </w:tcBorders>
          </w:tcPr>
          <w:p>
            <w:pPr>
              <w:pStyle w:val="TableParagraph"/>
              <w:spacing w:line="276" w:lineRule="auto" w:before="106"/>
              <w:ind w:left="1528" w:right="199" w:hanging="1366"/>
              <w:rPr>
                <w:sz w:val="24"/>
              </w:rPr>
            </w:pPr>
            <w:r>
              <w:rPr>
                <w:sz w:val="24"/>
              </w:rPr>
              <w:t>Unión de ácidos grasos y retinol; posible antioxidante</w:t>
            </w:r>
          </w:p>
        </w:tc>
      </w:tr>
      <w:tr>
        <w:trPr>
          <w:trHeight w:val="835" w:hRule="exact"/>
        </w:trPr>
        <w:tc>
          <w:tcPr>
            <w:tcW w:w="3498" w:type="dxa"/>
            <w:tcBorders>
              <w:top w:val="nil"/>
              <w:left w:val="nil"/>
              <w:bottom w:val="nil"/>
              <w:right w:val="nil"/>
            </w:tcBorders>
          </w:tcPr>
          <w:p>
            <w:pPr>
              <w:pStyle w:val="TableParagraph"/>
              <w:spacing w:before="3"/>
              <w:rPr>
                <w:sz w:val="23"/>
              </w:rPr>
            </w:pPr>
          </w:p>
          <w:p>
            <w:pPr>
              <w:pStyle w:val="TableParagraph"/>
              <w:ind w:left="551"/>
              <w:rPr>
                <w:sz w:val="24"/>
              </w:rPr>
            </w:pPr>
            <w:r>
              <w:rPr>
                <w:sz w:val="24"/>
              </w:rPr>
              <w:t>α-lactoalbúmina</w:t>
            </w:r>
          </w:p>
        </w:tc>
        <w:tc>
          <w:tcPr>
            <w:tcW w:w="1273" w:type="dxa"/>
            <w:tcBorders>
              <w:top w:val="nil"/>
              <w:left w:val="nil"/>
              <w:bottom w:val="nil"/>
              <w:right w:val="nil"/>
            </w:tcBorders>
          </w:tcPr>
          <w:p>
            <w:pPr>
              <w:pStyle w:val="TableParagraph"/>
              <w:spacing w:before="3"/>
              <w:rPr>
                <w:sz w:val="23"/>
              </w:rPr>
            </w:pPr>
          </w:p>
          <w:p>
            <w:pPr>
              <w:pStyle w:val="TableParagraph"/>
              <w:ind w:left="91" w:right="23"/>
              <w:jc w:val="center"/>
              <w:rPr>
                <w:sz w:val="24"/>
              </w:rPr>
            </w:pPr>
            <w:r>
              <w:rPr>
                <w:sz w:val="24"/>
              </w:rPr>
              <w:t>1.2</w:t>
            </w:r>
          </w:p>
        </w:tc>
        <w:tc>
          <w:tcPr>
            <w:tcW w:w="4301" w:type="dxa"/>
            <w:tcBorders>
              <w:top w:val="nil"/>
              <w:left w:val="nil"/>
              <w:bottom w:val="nil"/>
              <w:right w:val="nil"/>
            </w:tcBorders>
          </w:tcPr>
          <w:p>
            <w:pPr>
              <w:pStyle w:val="TableParagraph"/>
              <w:spacing w:line="278" w:lineRule="auto" w:before="107"/>
              <w:ind w:left="320" w:right="199" w:hanging="135"/>
              <w:rPr>
                <w:sz w:val="24"/>
              </w:rPr>
            </w:pPr>
            <w:r>
              <w:rPr>
                <w:sz w:val="24"/>
              </w:rPr>
              <w:t>Producción de lactosa; transporte de Ca; inmunomodulador; anticarcinogénico</w:t>
            </w:r>
          </w:p>
        </w:tc>
      </w:tr>
      <w:tr>
        <w:trPr>
          <w:trHeight w:val="517" w:hRule="exact"/>
        </w:trPr>
        <w:tc>
          <w:tcPr>
            <w:tcW w:w="3498" w:type="dxa"/>
            <w:tcBorders>
              <w:top w:val="nil"/>
              <w:left w:val="nil"/>
              <w:bottom w:val="nil"/>
              <w:right w:val="nil"/>
            </w:tcBorders>
          </w:tcPr>
          <w:p>
            <w:pPr>
              <w:pStyle w:val="TableParagraph"/>
              <w:spacing w:before="107"/>
              <w:ind w:left="551"/>
              <w:rPr>
                <w:sz w:val="24"/>
              </w:rPr>
            </w:pPr>
            <w:r>
              <w:rPr>
                <w:sz w:val="24"/>
              </w:rPr>
              <w:t>albumina de suero sanguíneo</w:t>
            </w:r>
          </w:p>
        </w:tc>
        <w:tc>
          <w:tcPr>
            <w:tcW w:w="1273" w:type="dxa"/>
            <w:tcBorders>
              <w:top w:val="nil"/>
              <w:left w:val="nil"/>
              <w:bottom w:val="nil"/>
              <w:right w:val="nil"/>
            </w:tcBorders>
          </w:tcPr>
          <w:p>
            <w:pPr>
              <w:pStyle w:val="TableParagraph"/>
              <w:spacing w:before="107"/>
              <w:ind w:left="91" w:right="23"/>
              <w:jc w:val="center"/>
              <w:rPr>
                <w:sz w:val="24"/>
              </w:rPr>
            </w:pPr>
            <w:r>
              <w:rPr>
                <w:sz w:val="24"/>
              </w:rPr>
              <w:t>0.4</w:t>
            </w:r>
          </w:p>
        </w:tc>
        <w:tc>
          <w:tcPr>
            <w:tcW w:w="4301" w:type="dxa"/>
            <w:tcBorders>
              <w:top w:val="nil"/>
              <w:left w:val="nil"/>
              <w:bottom w:val="nil"/>
              <w:right w:val="nil"/>
            </w:tcBorders>
          </w:tcPr>
          <w:p>
            <w:pPr/>
          </w:p>
        </w:tc>
      </w:tr>
      <w:tr>
        <w:trPr>
          <w:trHeight w:val="835" w:hRule="exact"/>
        </w:trPr>
        <w:tc>
          <w:tcPr>
            <w:tcW w:w="3498" w:type="dxa"/>
            <w:tcBorders>
              <w:top w:val="nil"/>
              <w:left w:val="nil"/>
              <w:bottom w:val="nil"/>
              <w:right w:val="nil"/>
            </w:tcBorders>
          </w:tcPr>
          <w:p>
            <w:pPr>
              <w:pStyle w:val="TableParagraph"/>
              <w:spacing w:line="276" w:lineRule="auto" w:before="108"/>
              <w:ind w:left="551"/>
              <w:rPr>
                <w:sz w:val="24"/>
              </w:rPr>
            </w:pPr>
            <w:r>
              <w:rPr>
                <w:sz w:val="24"/>
              </w:rPr>
              <w:t>inmunoglobulinas (IgA, IgM, IgE y IgG)</w:t>
            </w:r>
          </w:p>
        </w:tc>
        <w:tc>
          <w:tcPr>
            <w:tcW w:w="1273" w:type="dxa"/>
            <w:tcBorders>
              <w:top w:val="nil"/>
              <w:left w:val="nil"/>
              <w:bottom w:val="nil"/>
              <w:right w:val="nil"/>
            </w:tcBorders>
          </w:tcPr>
          <w:p>
            <w:pPr>
              <w:pStyle w:val="TableParagraph"/>
              <w:spacing w:before="2"/>
              <w:rPr>
                <w:sz w:val="23"/>
              </w:rPr>
            </w:pPr>
          </w:p>
          <w:p>
            <w:pPr>
              <w:pStyle w:val="TableParagraph"/>
              <w:ind w:left="91" w:right="23"/>
              <w:jc w:val="center"/>
              <w:rPr>
                <w:sz w:val="24"/>
              </w:rPr>
            </w:pPr>
            <w:r>
              <w:rPr>
                <w:sz w:val="24"/>
              </w:rPr>
              <w:t>0.7</w:t>
            </w:r>
          </w:p>
        </w:tc>
        <w:tc>
          <w:tcPr>
            <w:tcW w:w="4301" w:type="dxa"/>
            <w:tcBorders>
              <w:top w:val="nil"/>
              <w:left w:val="nil"/>
              <w:bottom w:val="nil"/>
              <w:right w:val="nil"/>
            </w:tcBorders>
          </w:tcPr>
          <w:p>
            <w:pPr>
              <w:pStyle w:val="TableParagraph"/>
              <w:spacing w:before="108"/>
              <w:ind w:left="571" w:right="627"/>
              <w:jc w:val="center"/>
              <w:rPr>
                <w:sz w:val="24"/>
              </w:rPr>
            </w:pPr>
            <w:r>
              <w:rPr>
                <w:sz w:val="24"/>
              </w:rPr>
              <w:t>Protección inmune</w:t>
            </w:r>
          </w:p>
        </w:tc>
      </w:tr>
      <w:tr>
        <w:trPr>
          <w:trHeight w:val="1152" w:hRule="exact"/>
        </w:trPr>
        <w:tc>
          <w:tcPr>
            <w:tcW w:w="3498" w:type="dxa"/>
            <w:tcBorders>
              <w:top w:val="nil"/>
              <w:left w:val="nil"/>
              <w:bottom w:val="nil"/>
              <w:right w:val="nil"/>
            </w:tcBorders>
          </w:tcPr>
          <w:p>
            <w:pPr>
              <w:pStyle w:val="TableParagraph"/>
              <w:rPr>
                <w:sz w:val="24"/>
              </w:rPr>
            </w:pPr>
          </w:p>
          <w:p>
            <w:pPr>
              <w:pStyle w:val="TableParagraph"/>
              <w:spacing w:before="149"/>
              <w:ind w:left="551"/>
              <w:rPr>
                <w:sz w:val="24"/>
              </w:rPr>
            </w:pPr>
            <w:r>
              <w:rPr>
                <w:sz w:val="24"/>
              </w:rPr>
              <w:t>Lactoferrina</w:t>
            </w:r>
          </w:p>
        </w:tc>
        <w:tc>
          <w:tcPr>
            <w:tcW w:w="1273" w:type="dxa"/>
            <w:tcBorders>
              <w:top w:val="nil"/>
              <w:left w:val="nil"/>
              <w:bottom w:val="nil"/>
              <w:right w:val="nil"/>
            </w:tcBorders>
          </w:tcPr>
          <w:p>
            <w:pPr>
              <w:pStyle w:val="TableParagraph"/>
              <w:rPr>
                <w:sz w:val="24"/>
              </w:rPr>
            </w:pPr>
          </w:p>
          <w:p>
            <w:pPr>
              <w:pStyle w:val="TableParagraph"/>
              <w:spacing w:before="149"/>
              <w:ind w:left="91" w:right="23"/>
              <w:jc w:val="center"/>
              <w:rPr>
                <w:sz w:val="24"/>
              </w:rPr>
            </w:pPr>
            <w:r>
              <w:rPr>
                <w:sz w:val="24"/>
              </w:rPr>
              <w:t>0.1</w:t>
            </w:r>
          </w:p>
        </w:tc>
        <w:tc>
          <w:tcPr>
            <w:tcW w:w="4301" w:type="dxa"/>
            <w:tcBorders>
              <w:top w:val="nil"/>
              <w:left w:val="nil"/>
              <w:bottom w:val="nil"/>
              <w:right w:val="nil"/>
            </w:tcBorders>
          </w:tcPr>
          <w:p>
            <w:pPr>
              <w:pStyle w:val="TableParagraph"/>
              <w:spacing w:line="276" w:lineRule="auto" w:before="108"/>
              <w:ind w:left="378" w:right="435" w:hanging="1"/>
              <w:jc w:val="center"/>
              <w:rPr>
                <w:sz w:val="24"/>
              </w:rPr>
            </w:pPr>
            <w:r>
              <w:rPr>
                <w:sz w:val="24"/>
              </w:rPr>
              <w:t>Antimicrobiano; antioxidante; inmunomodulador; absorción de Fe; anticarcinogénico</w:t>
            </w:r>
          </w:p>
        </w:tc>
      </w:tr>
      <w:tr>
        <w:trPr>
          <w:trHeight w:val="517" w:hRule="exact"/>
        </w:trPr>
        <w:tc>
          <w:tcPr>
            <w:tcW w:w="3498" w:type="dxa"/>
            <w:tcBorders>
              <w:top w:val="nil"/>
              <w:left w:val="nil"/>
              <w:bottom w:val="nil"/>
              <w:right w:val="nil"/>
            </w:tcBorders>
          </w:tcPr>
          <w:p>
            <w:pPr>
              <w:pStyle w:val="TableParagraph"/>
              <w:spacing w:before="108"/>
              <w:ind w:left="551"/>
              <w:rPr>
                <w:sz w:val="24"/>
              </w:rPr>
            </w:pPr>
            <w:r>
              <w:rPr>
                <w:sz w:val="24"/>
              </w:rPr>
              <w:t>Lactoperoxidasa</w:t>
            </w:r>
          </w:p>
        </w:tc>
        <w:tc>
          <w:tcPr>
            <w:tcW w:w="1273" w:type="dxa"/>
            <w:tcBorders>
              <w:top w:val="nil"/>
              <w:left w:val="nil"/>
              <w:bottom w:val="nil"/>
              <w:right w:val="nil"/>
            </w:tcBorders>
          </w:tcPr>
          <w:p>
            <w:pPr>
              <w:pStyle w:val="TableParagraph"/>
              <w:spacing w:before="108"/>
              <w:ind w:right="361"/>
              <w:jc w:val="right"/>
              <w:rPr>
                <w:sz w:val="24"/>
              </w:rPr>
            </w:pPr>
            <w:r>
              <w:rPr>
                <w:sz w:val="24"/>
              </w:rPr>
              <w:t>0.03</w:t>
            </w:r>
          </w:p>
        </w:tc>
        <w:tc>
          <w:tcPr>
            <w:tcW w:w="4301" w:type="dxa"/>
            <w:tcBorders>
              <w:top w:val="nil"/>
              <w:left w:val="nil"/>
              <w:bottom w:val="nil"/>
              <w:right w:val="nil"/>
            </w:tcBorders>
          </w:tcPr>
          <w:p>
            <w:pPr>
              <w:pStyle w:val="TableParagraph"/>
              <w:spacing w:before="108"/>
              <w:ind w:left="571" w:right="625"/>
              <w:jc w:val="center"/>
              <w:rPr>
                <w:sz w:val="24"/>
              </w:rPr>
            </w:pPr>
            <w:r>
              <w:rPr>
                <w:sz w:val="24"/>
              </w:rPr>
              <w:t>Antimicrobiano</w:t>
            </w:r>
          </w:p>
        </w:tc>
      </w:tr>
      <w:tr>
        <w:trPr>
          <w:trHeight w:val="835" w:hRule="exact"/>
        </w:trPr>
        <w:tc>
          <w:tcPr>
            <w:tcW w:w="3498" w:type="dxa"/>
            <w:tcBorders>
              <w:top w:val="nil"/>
              <w:left w:val="nil"/>
              <w:bottom w:val="nil"/>
              <w:right w:val="nil"/>
            </w:tcBorders>
          </w:tcPr>
          <w:p>
            <w:pPr>
              <w:pStyle w:val="TableParagraph"/>
              <w:spacing w:before="1"/>
              <w:rPr>
                <w:sz w:val="23"/>
              </w:rPr>
            </w:pPr>
          </w:p>
          <w:p>
            <w:pPr>
              <w:pStyle w:val="TableParagraph"/>
              <w:ind w:left="551"/>
              <w:rPr>
                <w:sz w:val="24"/>
              </w:rPr>
            </w:pPr>
            <w:r>
              <w:rPr>
                <w:sz w:val="24"/>
              </w:rPr>
              <w:t>Lisozima</w:t>
            </w:r>
          </w:p>
        </w:tc>
        <w:tc>
          <w:tcPr>
            <w:tcW w:w="1273" w:type="dxa"/>
            <w:tcBorders>
              <w:top w:val="nil"/>
              <w:left w:val="nil"/>
              <w:bottom w:val="nil"/>
              <w:right w:val="nil"/>
            </w:tcBorders>
          </w:tcPr>
          <w:p>
            <w:pPr>
              <w:pStyle w:val="TableParagraph"/>
              <w:spacing w:before="1"/>
              <w:rPr>
                <w:sz w:val="23"/>
              </w:rPr>
            </w:pPr>
          </w:p>
          <w:p>
            <w:pPr>
              <w:pStyle w:val="TableParagraph"/>
              <w:ind w:right="330"/>
              <w:jc w:val="right"/>
              <w:rPr>
                <w:sz w:val="24"/>
              </w:rPr>
            </w:pPr>
            <w:r>
              <w:rPr>
                <w:sz w:val="24"/>
              </w:rPr>
              <w:t>0.0004</w:t>
            </w:r>
          </w:p>
        </w:tc>
        <w:tc>
          <w:tcPr>
            <w:tcW w:w="4301" w:type="dxa"/>
            <w:tcBorders>
              <w:top w:val="nil"/>
              <w:left w:val="nil"/>
              <w:bottom w:val="nil"/>
              <w:right w:val="nil"/>
            </w:tcBorders>
          </w:tcPr>
          <w:p>
            <w:pPr>
              <w:pStyle w:val="TableParagraph"/>
              <w:spacing w:line="278" w:lineRule="auto" w:before="107"/>
              <w:ind w:left="582" w:right="199" w:hanging="262"/>
              <w:rPr>
                <w:sz w:val="24"/>
              </w:rPr>
            </w:pPr>
            <w:r>
              <w:rPr>
                <w:sz w:val="24"/>
              </w:rPr>
              <w:t>Antimicrobiano; acción sinérgica con inmunoglobulinas y lactoferrina</w:t>
            </w:r>
          </w:p>
        </w:tc>
      </w:tr>
      <w:tr>
        <w:trPr>
          <w:trHeight w:val="518" w:hRule="exact"/>
        </w:trPr>
        <w:tc>
          <w:tcPr>
            <w:tcW w:w="3498" w:type="dxa"/>
            <w:tcBorders>
              <w:top w:val="nil"/>
              <w:left w:val="nil"/>
              <w:bottom w:val="nil"/>
              <w:right w:val="nil"/>
            </w:tcBorders>
          </w:tcPr>
          <w:p>
            <w:pPr>
              <w:pStyle w:val="TableParagraph"/>
              <w:spacing w:before="107"/>
              <w:ind w:left="551"/>
              <w:rPr>
                <w:sz w:val="24"/>
              </w:rPr>
            </w:pPr>
            <w:r>
              <w:rPr>
                <w:sz w:val="24"/>
              </w:rPr>
              <w:t>Otros</w:t>
            </w:r>
          </w:p>
        </w:tc>
        <w:tc>
          <w:tcPr>
            <w:tcW w:w="1273" w:type="dxa"/>
            <w:tcBorders>
              <w:top w:val="nil"/>
              <w:left w:val="nil"/>
              <w:bottom w:val="nil"/>
              <w:right w:val="nil"/>
            </w:tcBorders>
          </w:tcPr>
          <w:p>
            <w:pPr>
              <w:pStyle w:val="TableParagraph"/>
              <w:spacing w:before="107"/>
              <w:ind w:left="91" w:right="86"/>
              <w:jc w:val="center"/>
              <w:rPr>
                <w:sz w:val="24"/>
              </w:rPr>
            </w:pPr>
            <w:r>
              <w:rPr>
                <w:sz w:val="24"/>
              </w:rPr>
              <w:t>0.8</w:t>
            </w:r>
          </w:p>
        </w:tc>
        <w:tc>
          <w:tcPr>
            <w:tcW w:w="4301" w:type="dxa"/>
            <w:tcBorders>
              <w:top w:val="nil"/>
              <w:left w:val="nil"/>
              <w:bottom w:val="nil"/>
              <w:right w:val="nil"/>
            </w:tcBorders>
          </w:tcPr>
          <w:p>
            <w:pPr/>
          </w:p>
        </w:tc>
      </w:tr>
      <w:tr>
        <w:trPr>
          <w:trHeight w:val="520" w:hRule="exact"/>
        </w:trPr>
        <w:tc>
          <w:tcPr>
            <w:tcW w:w="3498" w:type="dxa"/>
            <w:tcBorders>
              <w:top w:val="nil"/>
              <w:left w:val="nil"/>
              <w:bottom w:val="nil"/>
              <w:right w:val="nil"/>
            </w:tcBorders>
          </w:tcPr>
          <w:p>
            <w:pPr>
              <w:pStyle w:val="TableParagraph"/>
              <w:spacing w:before="108"/>
              <w:ind w:left="122"/>
              <w:rPr>
                <w:sz w:val="24"/>
              </w:rPr>
            </w:pPr>
            <w:r>
              <w:rPr>
                <w:sz w:val="24"/>
              </w:rPr>
              <w:t>Proteasa-peptona</w:t>
            </w:r>
          </w:p>
        </w:tc>
        <w:tc>
          <w:tcPr>
            <w:tcW w:w="1273" w:type="dxa"/>
            <w:tcBorders>
              <w:top w:val="nil"/>
              <w:left w:val="nil"/>
              <w:bottom w:val="nil"/>
              <w:right w:val="nil"/>
            </w:tcBorders>
          </w:tcPr>
          <w:p>
            <w:pPr>
              <w:pStyle w:val="TableParagraph"/>
              <w:spacing w:before="113"/>
              <w:ind w:left="91" w:right="86"/>
              <w:jc w:val="center"/>
              <w:rPr>
                <w:b/>
                <w:sz w:val="24"/>
              </w:rPr>
            </w:pPr>
            <w:r>
              <w:rPr>
                <w:b/>
                <w:sz w:val="24"/>
              </w:rPr>
              <w:t>1.2</w:t>
            </w:r>
          </w:p>
        </w:tc>
        <w:tc>
          <w:tcPr>
            <w:tcW w:w="4301" w:type="dxa"/>
            <w:tcBorders>
              <w:top w:val="nil"/>
              <w:left w:val="nil"/>
              <w:bottom w:val="nil"/>
              <w:right w:val="nil"/>
            </w:tcBorders>
          </w:tcPr>
          <w:p>
            <w:pPr/>
          </w:p>
        </w:tc>
      </w:tr>
      <w:tr>
        <w:trPr>
          <w:trHeight w:val="634" w:hRule="exact"/>
        </w:trPr>
        <w:tc>
          <w:tcPr>
            <w:tcW w:w="3498" w:type="dxa"/>
            <w:tcBorders>
              <w:top w:val="nil"/>
              <w:left w:val="nil"/>
              <w:right w:val="nil"/>
            </w:tcBorders>
          </w:tcPr>
          <w:p>
            <w:pPr>
              <w:pStyle w:val="TableParagraph"/>
              <w:spacing w:before="104"/>
              <w:ind w:left="122"/>
              <w:rPr>
                <w:sz w:val="24"/>
              </w:rPr>
            </w:pPr>
            <w:r>
              <w:rPr>
                <w:sz w:val="24"/>
              </w:rPr>
              <w:t>Glicomacropéptidos</w:t>
            </w:r>
          </w:p>
        </w:tc>
        <w:tc>
          <w:tcPr>
            <w:tcW w:w="1273" w:type="dxa"/>
            <w:tcBorders>
              <w:top w:val="nil"/>
              <w:left w:val="nil"/>
              <w:right w:val="nil"/>
            </w:tcBorders>
          </w:tcPr>
          <w:p>
            <w:pPr>
              <w:pStyle w:val="TableParagraph"/>
              <w:spacing w:before="109"/>
              <w:ind w:left="91" w:right="86"/>
              <w:jc w:val="center"/>
              <w:rPr>
                <w:b/>
                <w:sz w:val="24"/>
              </w:rPr>
            </w:pPr>
            <w:r>
              <w:rPr>
                <w:b/>
                <w:sz w:val="24"/>
              </w:rPr>
              <w:t>1.2</w:t>
            </w:r>
          </w:p>
        </w:tc>
        <w:tc>
          <w:tcPr>
            <w:tcW w:w="4301" w:type="dxa"/>
            <w:tcBorders>
              <w:top w:val="nil"/>
              <w:left w:val="nil"/>
              <w:right w:val="nil"/>
            </w:tcBorders>
          </w:tcPr>
          <w:p>
            <w:pPr>
              <w:pStyle w:val="TableParagraph"/>
              <w:spacing w:before="104"/>
              <w:ind w:left="571" w:right="626"/>
              <w:jc w:val="center"/>
              <w:rPr>
                <w:sz w:val="24"/>
              </w:rPr>
            </w:pPr>
            <w:r>
              <w:rPr>
                <w:sz w:val="24"/>
              </w:rPr>
              <w:t>Antiviral</w:t>
            </w:r>
          </w:p>
        </w:tc>
      </w:tr>
    </w:tbl>
    <w:p>
      <w:pPr>
        <w:spacing w:line="226" w:lineRule="exact" w:before="0"/>
        <w:ind w:left="282" w:right="121" w:firstLine="0"/>
        <w:jc w:val="left"/>
        <w:rPr>
          <w:sz w:val="20"/>
        </w:rPr>
      </w:pPr>
      <w:r>
        <w:rPr>
          <w:sz w:val="20"/>
        </w:rPr>
        <w:t>Adaptado de Pereira (2014).</w:t>
      </w:r>
    </w:p>
    <w:p>
      <w:pPr>
        <w:spacing w:after="0" w:line="226" w:lineRule="exact"/>
        <w:jc w:val="left"/>
        <w:rPr>
          <w:sz w:val="20"/>
        </w:rPr>
        <w:sectPr>
          <w:pgSz w:w="12240" w:h="15840"/>
          <w:pgMar w:header="1150" w:footer="1336" w:top="1340" w:bottom="1520" w:left="1640" w:right="1300"/>
        </w:sectPr>
      </w:pPr>
    </w:p>
    <w:p>
      <w:pPr>
        <w:pStyle w:val="BodyText"/>
        <w:rPr>
          <w:sz w:val="20"/>
        </w:rPr>
      </w:pPr>
    </w:p>
    <w:p>
      <w:pPr>
        <w:pStyle w:val="BodyText"/>
        <w:spacing w:before="11"/>
        <w:rPr>
          <w:sz w:val="19"/>
        </w:rPr>
      </w:pPr>
    </w:p>
    <w:p>
      <w:pPr>
        <w:pStyle w:val="ListParagraph"/>
        <w:numPr>
          <w:ilvl w:val="2"/>
          <w:numId w:val="6"/>
        </w:numPr>
        <w:tabs>
          <w:tab w:pos="705" w:val="left" w:leader="none"/>
        </w:tabs>
        <w:spacing w:line="240" w:lineRule="auto" w:before="0" w:after="0"/>
        <w:ind w:left="704" w:right="0" w:hanging="552"/>
        <w:jc w:val="both"/>
        <w:rPr>
          <w:b/>
          <w:sz w:val="22"/>
        </w:rPr>
      </w:pPr>
      <w:r>
        <w:rPr>
          <w:b/>
          <w:sz w:val="22"/>
        </w:rPr>
        <w:t>La lactosa en la</w:t>
      </w:r>
      <w:r>
        <w:rPr>
          <w:b/>
          <w:spacing w:val="-8"/>
          <w:sz w:val="22"/>
        </w:rPr>
        <w:t> </w:t>
      </w:r>
      <w:r>
        <w:rPr>
          <w:b/>
          <w:sz w:val="22"/>
        </w:rPr>
        <w:t>leche</w:t>
      </w:r>
    </w:p>
    <w:p>
      <w:pPr>
        <w:pStyle w:val="BodyText"/>
        <w:spacing w:before="11"/>
        <w:rPr>
          <w:b/>
          <w:sz w:val="19"/>
        </w:rPr>
      </w:pPr>
    </w:p>
    <w:p>
      <w:pPr>
        <w:pStyle w:val="BodyText"/>
        <w:spacing w:line="480" w:lineRule="auto"/>
        <w:ind w:left="152" w:right="145"/>
        <w:jc w:val="both"/>
      </w:pPr>
      <w:r>
        <w:rPr/>
        <w:t>La lactosa (azúcar de la leche) es el principal carbohidrato en la leche de los mamíferos, pero también contiene pequeñas cantidades de otros azucares como glucosa, fructosa, glucosamina, galactosamina, ácido neuramínico y oligosacáridos neutros y ácidos (Fox et al., 2000). Todos estos componentes forman los nutrientes energéticos básicos, los que son de fácil asimilación (Arbiza y De Lucas, 2001). En vacas lecheras en producción, la glándula mamaria tiene altas necesidades de glucosa para la formación de leche y con ello la formación de la lactosa; este carbohidrato se presenta en forma muy semejante (g/kg) y su rendimiento estará asociado a la producción de leche al día. Su morfología es homogénea y suelen contener cantidades pequeñas de inositol (14 a 26 mg/mL) (Wattiaux, 2005). El contenido de lactosa en la leche es de 2.1% para las conejas, 7.4% para las burras y en vacas tiene un rango de 4.8 a 5.2% (Johnson, 1978; Fox et al., 2000). Los principales precursores de la lactosa son la glucosa plasmática y la galactosa, pero también se puede originar a partir de otros precursores plasmáticos como los galactolípidos, cerebrósidos y galactoproteínas. La lactosa se sintetiza junto con las proteínas de la leche en el aparato de Golgi (Kuhn et al.,</w:t>
      </w:r>
      <w:r>
        <w:rPr>
          <w:spacing w:val="-4"/>
        </w:rPr>
        <w:t> </w:t>
      </w:r>
      <w:r>
        <w:rPr/>
        <w:t>1980).</w:t>
      </w:r>
    </w:p>
    <w:p>
      <w:pPr>
        <w:pStyle w:val="Heading1"/>
        <w:numPr>
          <w:ilvl w:val="2"/>
          <w:numId w:val="6"/>
        </w:numPr>
        <w:tabs>
          <w:tab w:pos="753" w:val="left" w:leader="none"/>
        </w:tabs>
        <w:spacing w:line="240" w:lineRule="auto" w:before="212" w:after="0"/>
        <w:ind w:left="752" w:right="0" w:hanging="600"/>
        <w:jc w:val="both"/>
      </w:pPr>
      <w:bookmarkStart w:name="_bookmark10" w:id="17"/>
      <w:bookmarkEnd w:id="17"/>
      <w:r>
        <w:rPr>
          <w:b w:val="0"/>
        </w:rPr>
      </w:r>
      <w:bookmarkStart w:name="_bookmark10" w:id="18"/>
      <w:bookmarkEnd w:id="18"/>
      <w:r>
        <w:rPr/>
        <w:t>La</w:t>
      </w:r>
      <w:r>
        <w:rPr/>
        <w:t> grasa de la</w:t>
      </w:r>
      <w:r>
        <w:rPr>
          <w:spacing w:val="-5"/>
        </w:rPr>
        <w:t> </w:t>
      </w:r>
      <w:r>
        <w:rPr/>
        <w:t>leche</w:t>
      </w:r>
    </w:p>
    <w:p>
      <w:pPr>
        <w:pStyle w:val="BodyText"/>
        <w:spacing w:before="7"/>
        <w:rPr>
          <w:b/>
          <w:sz w:val="23"/>
        </w:rPr>
      </w:pPr>
    </w:p>
    <w:p>
      <w:pPr>
        <w:pStyle w:val="BodyText"/>
        <w:spacing w:line="480" w:lineRule="auto"/>
        <w:ind w:left="152" w:right="145"/>
        <w:jc w:val="both"/>
      </w:pPr>
      <w:r>
        <w:rPr/>
        <w:t>La grasa es el principal componente energético en la leche, es la responsable de muchas de las propiedades físicas y cualidades organolépticas de la leche y los productos lácteos. La mayor parte de los lípidos en la leche se encuentran en forma de glóbulos grasos (2-3 μm  de diámetro), el resto lo constituyen fragmentos de membrana de los glóbulos de grasa que contienen una gran cantidad de ácidos grasos (AG) saturados e insaturados. </w:t>
      </w:r>
      <w:r>
        <w:rPr>
          <w:spacing w:val="-3"/>
        </w:rPr>
        <w:t>La   </w:t>
      </w:r>
      <w:r>
        <w:rPr>
          <w:spacing w:val="11"/>
        </w:rPr>
        <w:t> </w:t>
      </w:r>
      <w:r>
        <w:rPr/>
        <w:t>grasa de la</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212" w:right="226"/>
        <w:jc w:val="both"/>
      </w:pPr>
      <w:r>
        <w:rPr/>
        <w:t>leche de los mamíferos está predominantemente compuesta aproximadamente en un 95% por triglicéridos. El resto de los lípidos incluyen fosfolípidos (0.5-1%), glicolípidos (0.06%), colesterol (0.3%), trazas de ácidos grasos libres (0.1-0.4%) y pequeñas cantidades de vitaminas liposolubles como la A, D y E (Renner, 1982; Fox et al., 2000).</w:t>
      </w:r>
    </w:p>
    <w:p>
      <w:pPr>
        <w:pStyle w:val="BodyText"/>
        <w:spacing w:line="482" w:lineRule="auto" w:before="207"/>
        <w:ind w:left="212" w:right="227"/>
        <w:jc w:val="both"/>
      </w:pPr>
      <w:r>
        <w:rPr/>
        <w:t>La composición de los lípidos es diferente entre especies pero los triglicéridos siempre  están en mayor cantidad; por el contrario, los fosfolípidos están en menor concentración pero juegan un papel importante en la emulsificación de la grasa (Cuadro</w:t>
      </w:r>
      <w:r>
        <w:rPr>
          <w:spacing w:val="-11"/>
        </w:rPr>
        <w:t> </w:t>
      </w:r>
      <w:r>
        <w:rPr/>
        <w:t>3).</w:t>
      </w:r>
    </w:p>
    <w:p>
      <w:pPr>
        <w:pStyle w:val="Heading1"/>
        <w:spacing w:before="211"/>
        <w:ind w:left="1268" w:right="328"/>
      </w:pPr>
      <w:r>
        <w:rPr/>
        <w:t>Cuadro 3. Composición de lípidos en leche de varias especies (%).</w:t>
      </w:r>
    </w:p>
    <w:p>
      <w:pPr>
        <w:pStyle w:val="BodyText"/>
        <w:spacing w:before="5" w:after="1"/>
        <w:rPr>
          <w:b/>
          <w:sz w:val="29"/>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8"/>
        <w:gridCol w:w="1075"/>
        <w:gridCol w:w="1205"/>
        <w:gridCol w:w="1346"/>
        <w:gridCol w:w="1191"/>
        <w:gridCol w:w="1142"/>
        <w:gridCol w:w="1249"/>
      </w:tblGrid>
      <w:tr>
        <w:trPr>
          <w:trHeight w:val="670" w:hRule="exact"/>
        </w:trPr>
        <w:tc>
          <w:tcPr>
            <w:tcW w:w="1848" w:type="dxa"/>
            <w:tcBorders>
              <w:left w:val="nil"/>
              <w:right w:val="nil"/>
            </w:tcBorders>
          </w:tcPr>
          <w:p>
            <w:pPr>
              <w:pStyle w:val="TableParagraph"/>
              <w:spacing w:before="18"/>
              <w:ind w:left="599"/>
              <w:rPr>
                <w:sz w:val="24"/>
              </w:rPr>
            </w:pPr>
            <w:r>
              <w:rPr>
                <w:sz w:val="24"/>
              </w:rPr>
              <w:t>Clase</w:t>
            </w:r>
          </w:p>
        </w:tc>
        <w:tc>
          <w:tcPr>
            <w:tcW w:w="1075" w:type="dxa"/>
            <w:tcBorders>
              <w:left w:val="nil"/>
              <w:right w:val="nil"/>
            </w:tcBorders>
          </w:tcPr>
          <w:p>
            <w:pPr>
              <w:pStyle w:val="TableParagraph"/>
              <w:spacing w:before="18"/>
              <w:ind w:right="336"/>
              <w:jc w:val="right"/>
              <w:rPr>
                <w:sz w:val="24"/>
              </w:rPr>
            </w:pPr>
            <w:r>
              <w:rPr>
                <w:sz w:val="24"/>
              </w:rPr>
              <w:t>Vaca</w:t>
            </w:r>
          </w:p>
        </w:tc>
        <w:tc>
          <w:tcPr>
            <w:tcW w:w="1205" w:type="dxa"/>
            <w:tcBorders>
              <w:left w:val="nil"/>
              <w:right w:val="nil"/>
            </w:tcBorders>
          </w:tcPr>
          <w:p>
            <w:pPr>
              <w:pStyle w:val="TableParagraph"/>
              <w:spacing w:before="18"/>
              <w:ind w:left="292" w:right="232"/>
              <w:jc w:val="center"/>
              <w:rPr>
                <w:sz w:val="24"/>
              </w:rPr>
            </w:pPr>
            <w:r>
              <w:rPr>
                <w:sz w:val="24"/>
              </w:rPr>
              <w:t>Búfala</w:t>
            </w:r>
          </w:p>
        </w:tc>
        <w:tc>
          <w:tcPr>
            <w:tcW w:w="1346" w:type="dxa"/>
            <w:tcBorders>
              <w:left w:val="nil"/>
              <w:right w:val="nil"/>
            </w:tcBorders>
          </w:tcPr>
          <w:p>
            <w:pPr>
              <w:pStyle w:val="TableParagraph"/>
              <w:spacing w:before="18"/>
              <w:ind w:left="233" w:right="245"/>
              <w:jc w:val="center"/>
              <w:rPr>
                <w:sz w:val="24"/>
              </w:rPr>
            </w:pPr>
            <w:r>
              <w:rPr>
                <w:sz w:val="24"/>
              </w:rPr>
              <w:t>Humano</w:t>
            </w:r>
          </w:p>
        </w:tc>
        <w:tc>
          <w:tcPr>
            <w:tcW w:w="1191" w:type="dxa"/>
            <w:tcBorders>
              <w:left w:val="nil"/>
              <w:right w:val="nil"/>
            </w:tcBorders>
          </w:tcPr>
          <w:p>
            <w:pPr>
              <w:pStyle w:val="TableParagraph"/>
              <w:spacing w:before="18"/>
              <w:ind w:right="348"/>
              <w:jc w:val="right"/>
              <w:rPr>
                <w:sz w:val="24"/>
              </w:rPr>
            </w:pPr>
            <w:r>
              <w:rPr>
                <w:sz w:val="24"/>
              </w:rPr>
              <w:t>Cerda</w:t>
            </w:r>
          </w:p>
        </w:tc>
        <w:tc>
          <w:tcPr>
            <w:tcW w:w="1142" w:type="dxa"/>
            <w:tcBorders>
              <w:left w:val="nil"/>
              <w:right w:val="nil"/>
            </w:tcBorders>
          </w:tcPr>
          <w:p>
            <w:pPr>
              <w:pStyle w:val="TableParagraph"/>
              <w:spacing w:before="18"/>
              <w:ind w:left="331" w:right="331"/>
              <w:jc w:val="center"/>
              <w:rPr>
                <w:sz w:val="24"/>
              </w:rPr>
            </w:pPr>
            <w:r>
              <w:rPr>
                <w:sz w:val="24"/>
              </w:rPr>
              <w:t>Rata</w:t>
            </w:r>
          </w:p>
        </w:tc>
        <w:tc>
          <w:tcPr>
            <w:tcW w:w="1249" w:type="dxa"/>
            <w:tcBorders>
              <w:left w:val="nil"/>
              <w:right w:val="nil"/>
            </w:tcBorders>
          </w:tcPr>
          <w:p>
            <w:pPr>
              <w:pStyle w:val="TableParagraph"/>
              <w:spacing w:before="18"/>
              <w:ind w:left="331" w:right="304"/>
              <w:jc w:val="center"/>
              <w:rPr>
                <w:sz w:val="24"/>
              </w:rPr>
            </w:pPr>
            <w:r>
              <w:rPr>
                <w:sz w:val="24"/>
              </w:rPr>
              <w:t>Visón</w:t>
            </w:r>
          </w:p>
        </w:tc>
      </w:tr>
      <w:tr>
        <w:trPr>
          <w:trHeight w:val="457" w:hRule="exact"/>
        </w:trPr>
        <w:tc>
          <w:tcPr>
            <w:tcW w:w="1848" w:type="dxa"/>
            <w:tcBorders>
              <w:left w:val="nil"/>
              <w:bottom w:val="nil"/>
              <w:right w:val="nil"/>
            </w:tcBorders>
          </w:tcPr>
          <w:p>
            <w:pPr>
              <w:pStyle w:val="TableParagraph"/>
              <w:spacing w:line="270" w:lineRule="exact"/>
              <w:ind w:left="107"/>
              <w:rPr>
                <w:sz w:val="24"/>
              </w:rPr>
            </w:pPr>
            <w:r>
              <w:rPr>
                <w:sz w:val="24"/>
              </w:rPr>
              <w:t>Triglicéridos</w:t>
            </w:r>
          </w:p>
        </w:tc>
        <w:tc>
          <w:tcPr>
            <w:tcW w:w="1075" w:type="dxa"/>
            <w:tcBorders>
              <w:left w:val="nil"/>
              <w:bottom w:val="nil"/>
              <w:right w:val="nil"/>
            </w:tcBorders>
          </w:tcPr>
          <w:p>
            <w:pPr>
              <w:pStyle w:val="TableParagraph"/>
              <w:spacing w:line="270" w:lineRule="exact"/>
              <w:ind w:right="371"/>
              <w:jc w:val="right"/>
              <w:rPr>
                <w:sz w:val="24"/>
              </w:rPr>
            </w:pPr>
            <w:r>
              <w:rPr>
                <w:sz w:val="24"/>
              </w:rPr>
              <w:t>97.5</w:t>
            </w:r>
          </w:p>
        </w:tc>
        <w:tc>
          <w:tcPr>
            <w:tcW w:w="1205" w:type="dxa"/>
            <w:tcBorders>
              <w:left w:val="nil"/>
              <w:bottom w:val="nil"/>
              <w:right w:val="nil"/>
            </w:tcBorders>
          </w:tcPr>
          <w:p>
            <w:pPr>
              <w:pStyle w:val="TableParagraph"/>
              <w:spacing w:line="270" w:lineRule="exact"/>
              <w:ind w:left="292" w:right="230"/>
              <w:jc w:val="center"/>
              <w:rPr>
                <w:sz w:val="24"/>
              </w:rPr>
            </w:pPr>
            <w:r>
              <w:rPr>
                <w:sz w:val="24"/>
              </w:rPr>
              <w:t>98.6</w:t>
            </w:r>
          </w:p>
        </w:tc>
        <w:tc>
          <w:tcPr>
            <w:tcW w:w="1346" w:type="dxa"/>
            <w:tcBorders>
              <w:left w:val="nil"/>
              <w:bottom w:val="nil"/>
              <w:right w:val="nil"/>
            </w:tcBorders>
          </w:tcPr>
          <w:p>
            <w:pPr>
              <w:pStyle w:val="TableParagraph"/>
              <w:spacing w:line="270" w:lineRule="exact"/>
              <w:ind w:left="233" w:right="243"/>
              <w:jc w:val="center"/>
              <w:rPr>
                <w:sz w:val="24"/>
              </w:rPr>
            </w:pPr>
            <w:r>
              <w:rPr>
                <w:sz w:val="24"/>
              </w:rPr>
              <w:t>98.2</w:t>
            </w:r>
          </w:p>
        </w:tc>
        <w:tc>
          <w:tcPr>
            <w:tcW w:w="1191" w:type="dxa"/>
            <w:tcBorders>
              <w:left w:val="nil"/>
              <w:bottom w:val="nil"/>
              <w:right w:val="nil"/>
            </w:tcBorders>
          </w:tcPr>
          <w:p>
            <w:pPr>
              <w:pStyle w:val="TableParagraph"/>
              <w:spacing w:line="270" w:lineRule="exact"/>
              <w:ind w:right="424"/>
              <w:jc w:val="right"/>
              <w:rPr>
                <w:sz w:val="24"/>
              </w:rPr>
            </w:pPr>
            <w:r>
              <w:rPr>
                <w:sz w:val="24"/>
              </w:rPr>
              <w:t>96.8</w:t>
            </w:r>
          </w:p>
        </w:tc>
        <w:tc>
          <w:tcPr>
            <w:tcW w:w="1142" w:type="dxa"/>
            <w:tcBorders>
              <w:left w:val="nil"/>
              <w:bottom w:val="nil"/>
              <w:right w:val="nil"/>
            </w:tcBorders>
          </w:tcPr>
          <w:p>
            <w:pPr>
              <w:pStyle w:val="TableParagraph"/>
              <w:spacing w:line="270" w:lineRule="exact"/>
              <w:ind w:left="330" w:right="331"/>
              <w:jc w:val="center"/>
              <w:rPr>
                <w:sz w:val="24"/>
              </w:rPr>
            </w:pPr>
            <w:r>
              <w:rPr>
                <w:sz w:val="24"/>
              </w:rPr>
              <w:t>87.5</w:t>
            </w:r>
          </w:p>
        </w:tc>
        <w:tc>
          <w:tcPr>
            <w:tcW w:w="1249" w:type="dxa"/>
            <w:tcBorders>
              <w:left w:val="nil"/>
              <w:bottom w:val="nil"/>
              <w:right w:val="nil"/>
            </w:tcBorders>
          </w:tcPr>
          <w:p>
            <w:pPr>
              <w:pStyle w:val="TableParagraph"/>
              <w:spacing w:line="270" w:lineRule="exact"/>
              <w:ind w:left="331" w:right="304"/>
              <w:jc w:val="center"/>
              <w:rPr>
                <w:sz w:val="24"/>
              </w:rPr>
            </w:pPr>
            <w:r>
              <w:rPr>
                <w:sz w:val="24"/>
              </w:rPr>
              <w:t>81.3</w:t>
            </w:r>
          </w:p>
        </w:tc>
      </w:tr>
      <w:tr>
        <w:trPr>
          <w:trHeight w:val="615" w:hRule="exact"/>
        </w:trPr>
        <w:tc>
          <w:tcPr>
            <w:tcW w:w="1848" w:type="dxa"/>
            <w:tcBorders>
              <w:top w:val="nil"/>
              <w:left w:val="nil"/>
              <w:bottom w:val="nil"/>
              <w:right w:val="nil"/>
            </w:tcBorders>
          </w:tcPr>
          <w:p>
            <w:pPr>
              <w:pStyle w:val="TableParagraph"/>
              <w:spacing w:before="156"/>
              <w:ind w:left="107"/>
              <w:rPr>
                <w:sz w:val="24"/>
              </w:rPr>
            </w:pPr>
            <w:r>
              <w:rPr>
                <w:sz w:val="24"/>
              </w:rPr>
              <w:t>Diglicéridos</w:t>
            </w:r>
          </w:p>
        </w:tc>
        <w:tc>
          <w:tcPr>
            <w:tcW w:w="1075" w:type="dxa"/>
            <w:tcBorders>
              <w:top w:val="nil"/>
              <w:left w:val="nil"/>
              <w:bottom w:val="nil"/>
              <w:right w:val="nil"/>
            </w:tcBorders>
          </w:tcPr>
          <w:p>
            <w:pPr>
              <w:pStyle w:val="TableParagraph"/>
              <w:spacing w:before="156"/>
              <w:ind w:right="371"/>
              <w:jc w:val="right"/>
              <w:rPr>
                <w:sz w:val="24"/>
              </w:rPr>
            </w:pPr>
            <w:r>
              <w:rPr>
                <w:sz w:val="24"/>
              </w:rPr>
              <w:t>0.36</w:t>
            </w:r>
          </w:p>
        </w:tc>
        <w:tc>
          <w:tcPr>
            <w:tcW w:w="1205" w:type="dxa"/>
            <w:tcBorders>
              <w:top w:val="nil"/>
              <w:left w:val="nil"/>
              <w:bottom w:val="nil"/>
              <w:right w:val="nil"/>
            </w:tcBorders>
          </w:tcPr>
          <w:p>
            <w:pPr>
              <w:pStyle w:val="TableParagraph"/>
              <w:spacing w:before="156"/>
              <w:ind w:left="63"/>
              <w:jc w:val="center"/>
              <w:rPr>
                <w:sz w:val="24"/>
              </w:rPr>
            </w:pPr>
            <w:r>
              <w:rPr>
                <w:w w:val="99"/>
                <w:sz w:val="24"/>
              </w:rPr>
              <w:t>-</w:t>
            </w:r>
          </w:p>
        </w:tc>
        <w:tc>
          <w:tcPr>
            <w:tcW w:w="1346" w:type="dxa"/>
            <w:tcBorders>
              <w:top w:val="nil"/>
              <w:left w:val="nil"/>
              <w:bottom w:val="nil"/>
              <w:right w:val="nil"/>
            </w:tcBorders>
          </w:tcPr>
          <w:p>
            <w:pPr>
              <w:pStyle w:val="TableParagraph"/>
              <w:spacing w:before="156"/>
              <w:ind w:left="233" w:right="243"/>
              <w:jc w:val="center"/>
              <w:rPr>
                <w:sz w:val="24"/>
              </w:rPr>
            </w:pPr>
            <w:r>
              <w:rPr>
                <w:sz w:val="24"/>
              </w:rPr>
              <w:t>0.7</w:t>
            </w:r>
          </w:p>
        </w:tc>
        <w:tc>
          <w:tcPr>
            <w:tcW w:w="1191" w:type="dxa"/>
            <w:tcBorders>
              <w:top w:val="nil"/>
              <w:left w:val="nil"/>
              <w:bottom w:val="nil"/>
              <w:right w:val="nil"/>
            </w:tcBorders>
          </w:tcPr>
          <w:p>
            <w:pPr>
              <w:pStyle w:val="TableParagraph"/>
              <w:spacing w:before="156"/>
              <w:ind w:left="385" w:right="465"/>
              <w:jc w:val="center"/>
              <w:rPr>
                <w:sz w:val="24"/>
              </w:rPr>
            </w:pPr>
            <w:r>
              <w:rPr>
                <w:sz w:val="24"/>
              </w:rPr>
              <w:t>0.7</w:t>
            </w:r>
          </w:p>
        </w:tc>
        <w:tc>
          <w:tcPr>
            <w:tcW w:w="1142" w:type="dxa"/>
            <w:tcBorders>
              <w:top w:val="nil"/>
              <w:left w:val="nil"/>
              <w:bottom w:val="nil"/>
              <w:right w:val="nil"/>
            </w:tcBorders>
          </w:tcPr>
          <w:p>
            <w:pPr>
              <w:pStyle w:val="TableParagraph"/>
              <w:spacing w:before="156"/>
              <w:ind w:left="330" w:right="331"/>
              <w:jc w:val="center"/>
              <w:rPr>
                <w:sz w:val="24"/>
              </w:rPr>
            </w:pPr>
            <w:r>
              <w:rPr>
                <w:sz w:val="24"/>
              </w:rPr>
              <w:t>2.9</w:t>
            </w:r>
          </w:p>
        </w:tc>
        <w:tc>
          <w:tcPr>
            <w:tcW w:w="1249" w:type="dxa"/>
            <w:tcBorders>
              <w:top w:val="nil"/>
              <w:left w:val="nil"/>
              <w:bottom w:val="nil"/>
              <w:right w:val="nil"/>
            </w:tcBorders>
          </w:tcPr>
          <w:p>
            <w:pPr>
              <w:pStyle w:val="TableParagraph"/>
              <w:spacing w:before="156"/>
              <w:ind w:left="331" w:right="304"/>
              <w:jc w:val="center"/>
              <w:rPr>
                <w:sz w:val="24"/>
              </w:rPr>
            </w:pPr>
            <w:r>
              <w:rPr>
                <w:sz w:val="24"/>
              </w:rPr>
              <w:t>1.7</w:t>
            </w:r>
          </w:p>
        </w:tc>
      </w:tr>
      <w:tr>
        <w:trPr>
          <w:trHeight w:val="614" w:hRule="exact"/>
        </w:trPr>
        <w:tc>
          <w:tcPr>
            <w:tcW w:w="1848" w:type="dxa"/>
            <w:tcBorders>
              <w:top w:val="nil"/>
              <w:left w:val="nil"/>
              <w:bottom w:val="nil"/>
              <w:right w:val="nil"/>
            </w:tcBorders>
          </w:tcPr>
          <w:p>
            <w:pPr>
              <w:pStyle w:val="TableParagraph"/>
              <w:spacing w:before="156"/>
              <w:ind w:left="107"/>
              <w:rPr>
                <w:sz w:val="24"/>
              </w:rPr>
            </w:pPr>
            <w:r>
              <w:rPr>
                <w:sz w:val="24"/>
              </w:rPr>
              <w:t>Monoglicéridos</w:t>
            </w:r>
          </w:p>
        </w:tc>
        <w:tc>
          <w:tcPr>
            <w:tcW w:w="1075" w:type="dxa"/>
            <w:tcBorders>
              <w:top w:val="nil"/>
              <w:left w:val="nil"/>
              <w:bottom w:val="nil"/>
              <w:right w:val="nil"/>
            </w:tcBorders>
          </w:tcPr>
          <w:p>
            <w:pPr>
              <w:pStyle w:val="TableParagraph"/>
              <w:spacing w:before="156"/>
              <w:ind w:right="311"/>
              <w:jc w:val="right"/>
              <w:rPr>
                <w:sz w:val="24"/>
              </w:rPr>
            </w:pPr>
            <w:r>
              <w:rPr>
                <w:sz w:val="24"/>
              </w:rPr>
              <w:t>0.027</w:t>
            </w:r>
          </w:p>
        </w:tc>
        <w:tc>
          <w:tcPr>
            <w:tcW w:w="1205" w:type="dxa"/>
            <w:tcBorders>
              <w:top w:val="nil"/>
              <w:left w:val="nil"/>
              <w:bottom w:val="nil"/>
              <w:right w:val="nil"/>
            </w:tcBorders>
          </w:tcPr>
          <w:p>
            <w:pPr>
              <w:pStyle w:val="TableParagraph"/>
              <w:spacing w:before="156"/>
              <w:ind w:left="63"/>
              <w:jc w:val="center"/>
              <w:rPr>
                <w:sz w:val="24"/>
              </w:rPr>
            </w:pPr>
            <w:r>
              <w:rPr>
                <w:w w:val="99"/>
                <w:sz w:val="24"/>
              </w:rPr>
              <w:t>-</w:t>
            </w:r>
          </w:p>
        </w:tc>
        <w:tc>
          <w:tcPr>
            <w:tcW w:w="1346" w:type="dxa"/>
            <w:tcBorders>
              <w:top w:val="nil"/>
              <w:left w:val="nil"/>
              <w:bottom w:val="nil"/>
              <w:right w:val="nil"/>
            </w:tcBorders>
          </w:tcPr>
          <w:p>
            <w:pPr>
              <w:pStyle w:val="TableParagraph"/>
              <w:spacing w:before="156"/>
              <w:ind w:right="9"/>
              <w:jc w:val="center"/>
              <w:rPr>
                <w:sz w:val="24"/>
              </w:rPr>
            </w:pPr>
            <w:r>
              <w:rPr>
                <w:w w:val="99"/>
                <w:sz w:val="24"/>
              </w:rPr>
              <w:t>-</w:t>
            </w:r>
          </w:p>
        </w:tc>
        <w:tc>
          <w:tcPr>
            <w:tcW w:w="1191" w:type="dxa"/>
            <w:tcBorders>
              <w:top w:val="nil"/>
              <w:left w:val="nil"/>
              <w:bottom w:val="nil"/>
              <w:right w:val="nil"/>
            </w:tcBorders>
          </w:tcPr>
          <w:p>
            <w:pPr>
              <w:pStyle w:val="TableParagraph"/>
              <w:spacing w:before="156"/>
              <w:ind w:left="385" w:right="465"/>
              <w:jc w:val="center"/>
              <w:rPr>
                <w:sz w:val="24"/>
              </w:rPr>
            </w:pPr>
            <w:r>
              <w:rPr>
                <w:sz w:val="24"/>
              </w:rPr>
              <w:t>0.1</w:t>
            </w:r>
          </w:p>
        </w:tc>
        <w:tc>
          <w:tcPr>
            <w:tcW w:w="1142" w:type="dxa"/>
            <w:tcBorders>
              <w:top w:val="nil"/>
              <w:left w:val="nil"/>
              <w:bottom w:val="nil"/>
              <w:right w:val="nil"/>
            </w:tcBorders>
          </w:tcPr>
          <w:p>
            <w:pPr>
              <w:pStyle w:val="TableParagraph"/>
              <w:spacing w:before="156"/>
              <w:ind w:left="330" w:right="331"/>
              <w:jc w:val="center"/>
              <w:rPr>
                <w:sz w:val="24"/>
              </w:rPr>
            </w:pPr>
            <w:r>
              <w:rPr>
                <w:sz w:val="24"/>
              </w:rPr>
              <w:t>0.4</w:t>
            </w:r>
          </w:p>
        </w:tc>
        <w:tc>
          <w:tcPr>
            <w:tcW w:w="1249" w:type="dxa"/>
            <w:tcBorders>
              <w:top w:val="nil"/>
              <w:left w:val="nil"/>
              <w:bottom w:val="nil"/>
              <w:right w:val="nil"/>
            </w:tcBorders>
          </w:tcPr>
          <w:p>
            <w:pPr>
              <w:pStyle w:val="TableParagraph"/>
              <w:spacing w:before="156"/>
              <w:ind w:left="28"/>
              <w:jc w:val="center"/>
              <w:rPr>
                <w:sz w:val="24"/>
              </w:rPr>
            </w:pPr>
            <w:r>
              <w:rPr>
                <w:w w:val="99"/>
                <w:sz w:val="24"/>
              </w:rPr>
              <w:t>-</w:t>
            </w:r>
          </w:p>
        </w:tc>
      </w:tr>
      <w:tr>
        <w:trPr>
          <w:trHeight w:val="613" w:hRule="exact"/>
        </w:trPr>
        <w:tc>
          <w:tcPr>
            <w:tcW w:w="1848" w:type="dxa"/>
            <w:tcBorders>
              <w:top w:val="nil"/>
              <w:left w:val="nil"/>
              <w:bottom w:val="nil"/>
              <w:right w:val="nil"/>
            </w:tcBorders>
          </w:tcPr>
          <w:p>
            <w:pPr>
              <w:pStyle w:val="TableParagraph"/>
              <w:spacing w:before="156"/>
              <w:ind w:left="107"/>
              <w:rPr>
                <w:sz w:val="24"/>
              </w:rPr>
            </w:pPr>
            <w:r>
              <w:rPr>
                <w:sz w:val="24"/>
              </w:rPr>
              <w:t>Esteroles</w:t>
            </w:r>
          </w:p>
        </w:tc>
        <w:tc>
          <w:tcPr>
            <w:tcW w:w="1075" w:type="dxa"/>
            <w:tcBorders>
              <w:top w:val="nil"/>
              <w:left w:val="nil"/>
              <w:bottom w:val="nil"/>
              <w:right w:val="nil"/>
            </w:tcBorders>
          </w:tcPr>
          <w:p>
            <w:pPr>
              <w:pStyle w:val="TableParagraph"/>
              <w:spacing w:before="156"/>
              <w:ind w:right="88"/>
              <w:jc w:val="center"/>
              <w:rPr>
                <w:sz w:val="24"/>
              </w:rPr>
            </w:pPr>
            <w:r>
              <w:rPr>
                <w:w w:val="99"/>
                <w:sz w:val="24"/>
              </w:rPr>
              <w:t>-</w:t>
            </w:r>
          </w:p>
        </w:tc>
        <w:tc>
          <w:tcPr>
            <w:tcW w:w="1205" w:type="dxa"/>
            <w:tcBorders>
              <w:top w:val="nil"/>
              <w:left w:val="nil"/>
              <w:bottom w:val="nil"/>
              <w:right w:val="nil"/>
            </w:tcBorders>
          </w:tcPr>
          <w:p>
            <w:pPr>
              <w:pStyle w:val="TableParagraph"/>
              <w:spacing w:before="156"/>
              <w:ind w:left="292" w:right="230"/>
              <w:jc w:val="center"/>
              <w:rPr>
                <w:sz w:val="24"/>
              </w:rPr>
            </w:pPr>
            <w:r>
              <w:rPr>
                <w:sz w:val="24"/>
              </w:rPr>
              <w:t>0.1</w:t>
            </w:r>
          </w:p>
        </w:tc>
        <w:tc>
          <w:tcPr>
            <w:tcW w:w="1346" w:type="dxa"/>
            <w:tcBorders>
              <w:top w:val="nil"/>
              <w:left w:val="nil"/>
              <w:bottom w:val="nil"/>
              <w:right w:val="nil"/>
            </w:tcBorders>
          </w:tcPr>
          <w:p>
            <w:pPr>
              <w:pStyle w:val="TableParagraph"/>
              <w:spacing w:before="156"/>
              <w:ind w:right="9"/>
              <w:jc w:val="center"/>
              <w:rPr>
                <w:sz w:val="24"/>
              </w:rPr>
            </w:pPr>
            <w:r>
              <w:rPr>
                <w:w w:val="99"/>
                <w:sz w:val="24"/>
              </w:rPr>
              <w:t>-</w:t>
            </w:r>
          </w:p>
        </w:tc>
        <w:tc>
          <w:tcPr>
            <w:tcW w:w="1191" w:type="dxa"/>
            <w:tcBorders>
              <w:top w:val="nil"/>
              <w:left w:val="nil"/>
              <w:bottom w:val="nil"/>
              <w:right w:val="nil"/>
            </w:tcBorders>
          </w:tcPr>
          <w:p>
            <w:pPr>
              <w:pStyle w:val="TableParagraph"/>
              <w:spacing w:before="156"/>
              <w:ind w:right="424"/>
              <w:jc w:val="right"/>
              <w:rPr>
                <w:sz w:val="24"/>
              </w:rPr>
            </w:pPr>
            <w:r>
              <w:rPr>
                <w:sz w:val="24"/>
              </w:rPr>
              <w:t>0.06</w:t>
            </w:r>
          </w:p>
        </w:tc>
        <w:tc>
          <w:tcPr>
            <w:tcW w:w="1142" w:type="dxa"/>
            <w:tcBorders>
              <w:top w:val="nil"/>
              <w:left w:val="nil"/>
              <w:bottom w:val="nil"/>
              <w:right w:val="nil"/>
            </w:tcBorders>
          </w:tcPr>
          <w:p>
            <w:pPr>
              <w:pStyle w:val="TableParagraph"/>
              <w:spacing w:before="156"/>
              <w:jc w:val="center"/>
              <w:rPr>
                <w:sz w:val="24"/>
              </w:rPr>
            </w:pPr>
            <w:r>
              <w:rPr>
                <w:w w:val="99"/>
                <w:sz w:val="24"/>
              </w:rPr>
              <w:t>-</w:t>
            </w:r>
          </w:p>
        </w:tc>
        <w:tc>
          <w:tcPr>
            <w:tcW w:w="1249" w:type="dxa"/>
            <w:tcBorders>
              <w:top w:val="nil"/>
              <w:left w:val="nil"/>
              <w:bottom w:val="nil"/>
              <w:right w:val="nil"/>
            </w:tcBorders>
          </w:tcPr>
          <w:p>
            <w:pPr>
              <w:pStyle w:val="TableParagraph"/>
              <w:spacing w:before="156"/>
              <w:ind w:left="28"/>
              <w:jc w:val="center"/>
              <w:rPr>
                <w:sz w:val="24"/>
              </w:rPr>
            </w:pPr>
            <w:r>
              <w:rPr>
                <w:w w:val="99"/>
                <w:sz w:val="24"/>
              </w:rPr>
              <w:t>-</w:t>
            </w:r>
          </w:p>
        </w:tc>
      </w:tr>
      <w:tr>
        <w:trPr>
          <w:trHeight w:val="613" w:hRule="exact"/>
        </w:trPr>
        <w:tc>
          <w:tcPr>
            <w:tcW w:w="1848" w:type="dxa"/>
            <w:tcBorders>
              <w:top w:val="nil"/>
              <w:left w:val="nil"/>
              <w:bottom w:val="nil"/>
              <w:right w:val="nil"/>
            </w:tcBorders>
          </w:tcPr>
          <w:p>
            <w:pPr>
              <w:pStyle w:val="TableParagraph"/>
              <w:spacing w:before="155"/>
              <w:ind w:left="107"/>
              <w:rPr>
                <w:sz w:val="24"/>
              </w:rPr>
            </w:pPr>
            <w:r>
              <w:rPr>
                <w:sz w:val="24"/>
              </w:rPr>
              <w:t>Colesterol</w:t>
            </w:r>
          </w:p>
        </w:tc>
        <w:tc>
          <w:tcPr>
            <w:tcW w:w="1075" w:type="dxa"/>
            <w:tcBorders>
              <w:top w:val="nil"/>
              <w:left w:val="nil"/>
              <w:bottom w:val="nil"/>
              <w:right w:val="nil"/>
            </w:tcBorders>
          </w:tcPr>
          <w:p>
            <w:pPr>
              <w:pStyle w:val="TableParagraph"/>
              <w:spacing w:before="155"/>
              <w:ind w:right="371"/>
              <w:jc w:val="right"/>
              <w:rPr>
                <w:sz w:val="24"/>
              </w:rPr>
            </w:pPr>
            <w:r>
              <w:rPr>
                <w:sz w:val="24"/>
              </w:rPr>
              <w:t>0.31</w:t>
            </w:r>
          </w:p>
        </w:tc>
        <w:tc>
          <w:tcPr>
            <w:tcW w:w="1205" w:type="dxa"/>
            <w:tcBorders>
              <w:top w:val="nil"/>
              <w:left w:val="nil"/>
              <w:bottom w:val="nil"/>
              <w:right w:val="nil"/>
            </w:tcBorders>
          </w:tcPr>
          <w:p>
            <w:pPr>
              <w:pStyle w:val="TableParagraph"/>
              <w:spacing w:before="155"/>
              <w:ind w:left="292" w:right="230"/>
              <w:jc w:val="center"/>
              <w:rPr>
                <w:sz w:val="24"/>
              </w:rPr>
            </w:pPr>
            <w:r>
              <w:rPr>
                <w:sz w:val="24"/>
              </w:rPr>
              <w:t>0.3</w:t>
            </w:r>
          </w:p>
        </w:tc>
        <w:tc>
          <w:tcPr>
            <w:tcW w:w="1346" w:type="dxa"/>
            <w:tcBorders>
              <w:top w:val="nil"/>
              <w:left w:val="nil"/>
              <w:bottom w:val="nil"/>
              <w:right w:val="nil"/>
            </w:tcBorders>
          </w:tcPr>
          <w:p>
            <w:pPr>
              <w:pStyle w:val="TableParagraph"/>
              <w:spacing w:before="155"/>
              <w:ind w:left="233" w:right="243"/>
              <w:jc w:val="center"/>
              <w:rPr>
                <w:sz w:val="24"/>
              </w:rPr>
            </w:pPr>
            <w:r>
              <w:rPr>
                <w:sz w:val="24"/>
              </w:rPr>
              <w:t>0.25</w:t>
            </w:r>
          </w:p>
        </w:tc>
        <w:tc>
          <w:tcPr>
            <w:tcW w:w="1191" w:type="dxa"/>
            <w:tcBorders>
              <w:top w:val="nil"/>
              <w:left w:val="nil"/>
              <w:bottom w:val="nil"/>
              <w:right w:val="nil"/>
            </w:tcBorders>
          </w:tcPr>
          <w:p>
            <w:pPr>
              <w:pStyle w:val="TableParagraph"/>
              <w:spacing w:before="155"/>
              <w:ind w:left="385" w:right="465"/>
              <w:jc w:val="center"/>
              <w:rPr>
                <w:sz w:val="24"/>
              </w:rPr>
            </w:pPr>
            <w:r>
              <w:rPr>
                <w:sz w:val="24"/>
              </w:rPr>
              <w:t>0.6</w:t>
            </w:r>
          </w:p>
        </w:tc>
        <w:tc>
          <w:tcPr>
            <w:tcW w:w="1142" w:type="dxa"/>
            <w:tcBorders>
              <w:top w:val="nil"/>
              <w:left w:val="nil"/>
              <w:bottom w:val="nil"/>
              <w:right w:val="nil"/>
            </w:tcBorders>
          </w:tcPr>
          <w:p>
            <w:pPr>
              <w:pStyle w:val="TableParagraph"/>
              <w:spacing w:before="155"/>
              <w:ind w:left="330" w:right="331"/>
              <w:jc w:val="center"/>
              <w:rPr>
                <w:sz w:val="24"/>
              </w:rPr>
            </w:pPr>
            <w:r>
              <w:rPr>
                <w:sz w:val="24"/>
              </w:rPr>
              <w:t>1.6</w:t>
            </w:r>
          </w:p>
        </w:tc>
        <w:tc>
          <w:tcPr>
            <w:tcW w:w="1249" w:type="dxa"/>
            <w:tcBorders>
              <w:top w:val="nil"/>
              <w:left w:val="nil"/>
              <w:bottom w:val="nil"/>
              <w:right w:val="nil"/>
            </w:tcBorders>
          </w:tcPr>
          <w:p>
            <w:pPr>
              <w:pStyle w:val="TableParagraph"/>
              <w:spacing w:before="155"/>
              <w:ind w:left="28"/>
              <w:jc w:val="center"/>
              <w:rPr>
                <w:sz w:val="24"/>
              </w:rPr>
            </w:pPr>
            <w:r>
              <w:rPr>
                <w:w w:val="99"/>
                <w:sz w:val="24"/>
              </w:rPr>
              <w:t>-</w:t>
            </w:r>
          </w:p>
        </w:tc>
      </w:tr>
      <w:tr>
        <w:trPr>
          <w:trHeight w:val="615" w:hRule="exact"/>
        </w:trPr>
        <w:tc>
          <w:tcPr>
            <w:tcW w:w="1848" w:type="dxa"/>
            <w:tcBorders>
              <w:top w:val="nil"/>
              <w:left w:val="nil"/>
              <w:bottom w:val="nil"/>
              <w:right w:val="nil"/>
            </w:tcBorders>
          </w:tcPr>
          <w:p>
            <w:pPr>
              <w:pStyle w:val="TableParagraph"/>
              <w:spacing w:before="156"/>
              <w:ind w:left="107"/>
              <w:rPr>
                <w:sz w:val="24"/>
              </w:rPr>
            </w:pPr>
            <w:r>
              <w:rPr>
                <w:sz w:val="24"/>
              </w:rPr>
              <w:t>AG libres</w:t>
            </w:r>
          </w:p>
        </w:tc>
        <w:tc>
          <w:tcPr>
            <w:tcW w:w="1075" w:type="dxa"/>
            <w:tcBorders>
              <w:top w:val="nil"/>
              <w:left w:val="nil"/>
              <w:bottom w:val="nil"/>
              <w:right w:val="nil"/>
            </w:tcBorders>
          </w:tcPr>
          <w:p>
            <w:pPr>
              <w:pStyle w:val="TableParagraph"/>
              <w:spacing w:before="156"/>
              <w:ind w:right="311"/>
              <w:jc w:val="right"/>
              <w:rPr>
                <w:sz w:val="24"/>
              </w:rPr>
            </w:pPr>
            <w:r>
              <w:rPr>
                <w:sz w:val="24"/>
              </w:rPr>
              <w:t>0.027</w:t>
            </w:r>
          </w:p>
        </w:tc>
        <w:tc>
          <w:tcPr>
            <w:tcW w:w="1205" w:type="dxa"/>
            <w:tcBorders>
              <w:top w:val="nil"/>
              <w:left w:val="nil"/>
              <w:bottom w:val="nil"/>
              <w:right w:val="nil"/>
            </w:tcBorders>
          </w:tcPr>
          <w:p>
            <w:pPr>
              <w:pStyle w:val="TableParagraph"/>
              <w:spacing w:before="156"/>
              <w:ind w:left="292" w:right="230"/>
              <w:jc w:val="center"/>
              <w:rPr>
                <w:sz w:val="24"/>
              </w:rPr>
            </w:pPr>
            <w:r>
              <w:rPr>
                <w:sz w:val="24"/>
              </w:rPr>
              <w:t>0.5</w:t>
            </w:r>
          </w:p>
        </w:tc>
        <w:tc>
          <w:tcPr>
            <w:tcW w:w="1346" w:type="dxa"/>
            <w:tcBorders>
              <w:top w:val="nil"/>
              <w:left w:val="nil"/>
              <w:bottom w:val="nil"/>
              <w:right w:val="nil"/>
            </w:tcBorders>
          </w:tcPr>
          <w:p>
            <w:pPr>
              <w:pStyle w:val="TableParagraph"/>
              <w:spacing w:before="156"/>
              <w:ind w:left="233" w:right="243"/>
              <w:jc w:val="center"/>
              <w:rPr>
                <w:sz w:val="24"/>
              </w:rPr>
            </w:pPr>
            <w:r>
              <w:rPr>
                <w:sz w:val="24"/>
              </w:rPr>
              <w:t>0.4</w:t>
            </w:r>
          </w:p>
        </w:tc>
        <w:tc>
          <w:tcPr>
            <w:tcW w:w="1191" w:type="dxa"/>
            <w:tcBorders>
              <w:top w:val="nil"/>
              <w:left w:val="nil"/>
              <w:bottom w:val="nil"/>
              <w:right w:val="nil"/>
            </w:tcBorders>
          </w:tcPr>
          <w:p>
            <w:pPr>
              <w:pStyle w:val="TableParagraph"/>
              <w:spacing w:before="156"/>
              <w:ind w:left="385" w:right="465"/>
              <w:jc w:val="center"/>
              <w:rPr>
                <w:sz w:val="24"/>
              </w:rPr>
            </w:pPr>
            <w:r>
              <w:rPr>
                <w:sz w:val="24"/>
              </w:rPr>
              <w:t>0.2</w:t>
            </w:r>
          </w:p>
        </w:tc>
        <w:tc>
          <w:tcPr>
            <w:tcW w:w="1142" w:type="dxa"/>
            <w:tcBorders>
              <w:top w:val="nil"/>
              <w:left w:val="nil"/>
              <w:bottom w:val="nil"/>
              <w:right w:val="nil"/>
            </w:tcBorders>
          </w:tcPr>
          <w:p>
            <w:pPr>
              <w:pStyle w:val="TableParagraph"/>
              <w:spacing w:before="156"/>
              <w:ind w:left="330" w:right="331"/>
              <w:jc w:val="center"/>
              <w:rPr>
                <w:sz w:val="24"/>
              </w:rPr>
            </w:pPr>
            <w:r>
              <w:rPr>
                <w:sz w:val="24"/>
              </w:rPr>
              <w:t>3.1</w:t>
            </w:r>
          </w:p>
        </w:tc>
        <w:tc>
          <w:tcPr>
            <w:tcW w:w="1249" w:type="dxa"/>
            <w:tcBorders>
              <w:top w:val="nil"/>
              <w:left w:val="nil"/>
              <w:bottom w:val="nil"/>
              <w:right w:val="nil"/>
            </w:tcBorders>
          </w:tcPr>
          <w:p>
            <w:pPr>
              <w:pStyle w:val="TableParagraph"/>
              <w:spacing w:before="156"/>
              <w:ind w:left="331" w:right="304"/>
              <w:jc w:val="center"/>
              <w:rPr>
                <w:sz w:val="24"/>
              </w:rPr>
            </w:pPr>
            <w:r>
              <w:rPr>
                <w:sz w:val="24"/>
              </w:rPr>
              <w:t>1.3</w:t>
            </w:r>
          </w:p>
        </w:tc>
      </w:tr>
      <w:tr>
        <w:trPr>
          <w:trHeight w:val="781" w:hRule="exact"/>
        </w:trPr>
        <w:tc>
          <w:tcPr>
            <w:tcW w:w="1848" w:type="dxa"/>
            <w:tcBorders>
              <w:top w:val="nil"/>
              <w:left w:val="nil"/>
              <w:right w:val="nil"/>
            </w:tcBorders>
          </w:tcPr>
          <w:p>
            <w:pPr>
              <w:pStyle w:val="TableParagraph"/>
              <w:spacing w:before="156"/>
              <w:ind w:left="107"/>
              <w:rPr>
                <w:sz w:val="24"/>
              </w:rPr>
            </w:pPr>
            <w:r>
              <w:rPr>
                <w:sz w:val="24"/>
              </w:rPr>
              <w:t>Fosfolípidos</w:t>
            </w:r>
          </w:p>
        </w:tc>
        <w:tc>
          <w:tcPr>
            <w:tcW w:w="1075" w:type="dxa"/>
            <w:tcBorders>
              <w:top w:val="nil"/>
              <w:left w:val="nil"/>
              <w:right w:val="nil"/>
            </w:tcBorders>
          </w:tcPr>
          <w:p>
            <w:pPr>
              <w:pStyle w:val="TableParagraph"/>
              <w:spacing w:before="156"/>
              <w:ind w:left="341"/>
              <w:rPr>
                <w:sz w:val="24"/>
              </w:rPr>
            </w:pPr>
            <w:r>
              <w:rPr>
                <w:sz w:val="24"/>
              </w:rPr>
              <w:t>0.6</w:t>
            </w:r>
          </w:p>
        </w:tc>
        <w:tc>
          <w:tcPr>
            <w:tcW w:w="1205" w:type="dxa"/>
            <w:tcBorders>
              <w:top w:val="nil"/>
              <w:left w:val="nil"/>
              <w:right w:val="nil"/>
            </w:tcBorders>
          </w:tcPr>
          <w:p>
            <w:pPr>
              <w:pStyle w:val="TableParagraph"/>
              <w:spacing w:before="156"/>
              <w:ind w:left="292" w:right="230"/>
              <w:jc w:val="center"/>
              <w:rPr>
                <w:sz w:val="24"/>
              </w:rPr>
            </w:pPr>
            <w:r>
              <w:rPr>
                <w:sz w:val="24"/>
              </w:rPr>
              <w:t>0.5</w:t>
            </w:r>
          </w:p>
        </w:tc>
        <w:tc>
          <w:tcPr>
            <w:tcW w:w="1346" w:type="dxa"/>
            <w:tcBorders>
              <w:top w:val="nil"/>
              <w:left w:val="nil"/>
              <w:right w:val="nil"/>
            </w:tcBorders>
          </w:tcPr>
          <w:p>
            <w:pPr>
              <w:pStyle w:val="TableParagraph"/>
              <w:spacing w:before="156"/>
              <w:ind w:left="233" w:right="243"/>
              <w:jc w:val="center"/>
              <w:rPr>
                <w:sz w:val="24"/>
              </w:rPr>
            </w:pPr>
            <w:r>
              <w:rPr>
                <w:sz w:val="24"/>
              </w:rPr>
              <w:t>0.26</w:t>
            </w:r>
          </w:p>
        </w:tc>
        <w:tc>
          <w:tcPr>
            <w:tcW w:w="1191" w:type="dxa"/>
            <w:tcBorders>
              <w:top w:val="nil"/>
              <w:left w:val="nil"/>
              <w:right w:val="nil"/>
            </w:tcBorders>
          </w:tcPr>
          <w:p>
            <w:pPr>
              <w:pStyle w:val="TableParagraph"/>
              <w:spacing w:before="156"/>
              <w:ind w:left="385" w:right="465"/>
              <w:jc w:val="center"/>
              <w:rPr>
                <w:sz w:val="24"/>
              </w:rPr>
            </w:pPr>
            <w:r>
              <w:rPr>
                <w:sz w:val="24"/>
              </w:rPr>
              <w:t>1.6</w:t>
            </w:r>
          </w:p>
        </w:tc>
        <w:tc>
          <w:tcPr>
            <w:tcW w:w="1142" w:type="dxa"/>
            <w:tcBorders>
              <w:top w:val="nil"/>
              <w:left w:val="nil"/>
              <w:right w:val="nil"/>
            </w:tcBorders>
          </w:tcPr>
          <w:p>
            <w:pPr>
              <w:pStyle w:val="TableParagraph"/>
              <w:spacing w:before="156"/>
              <w:ind w:left="330" w:right="331"/>
              <w:jc w:val="center"/>
              <w:rPr>
                <w:sz w:val="24"/>
              </w:rPr>
            </w:pPr>
            <w:r>
              <w:rPr>
                <w:sz w:val="24"/>
              </w:rPr>
              <w:t>0.7</w:t>
            </w:r>
          </w:p>
        </w:tc>
        <w:tc>
          <w:tcPr>
            <w:tcW w:w="1249" w:type="dxa"/>
            <w:tcBorders>
              <w:top w:val="nil"/>
              <w:left w:val="nil"/>
              <w:right w:val="nil"/>
            </w:tcBorders>
          </w:tcPr>
          <w:p>
            <w:pPr>
              <w:pStyle w:val="TableParagraph"/>
              <w:spacing w:before="156"/>
              <w:ind w:left="331" w:right="304"/>
              <w:jc w:val="center"/>
              <w:rPr>
                <w:sz w:val="24"/>
              </w:rPr>
            </w:pPr>
            <w:r>
              <w:rPr>
                <w:sz w:val="24"/>
              </w:rPr>
              <w:t>15.3</w:t>
            </w:r>
          </w:p>
        </w:tc>
      </w:tr>
    </w:tbl>
    <w:p>
      <w:pPr>
        <w:spacing w:line="226" w:lineRule="exact" w:before="0"/>
        <w:ind w:left="212" w:right="0" w:firstLine="0"/>
        <w:jc w:val="both"/>
        <w:rPr>
          <w:sz w:val="20"/>
        </w:rPr>
      </w:pPr>
      <w:r>
        <w:rPr>
          <w:sz w:val="20"/>
        </w:rPr>
        <w:t>Adaptado de Fox et al. (2000).</w:t>
      </w:r>
    </w:p>
    <w:p>
      <w:pPr>
        <w:pStyle w:val="BodyText"/>
        <w:rPr>
          <w:sz w:val="27"/>
        </w:rPr>
      </w:pPr>
    </w:p>
    <w:p>
      <w:pPr>
        <w:pStyle w:val="BodyText"/>
        <w:spacing w:line="480" w:lineRule="auto"/>
        <w:ind w:left="212" w:right="229"/>
        <w:jc w:val="both"/>
      </w:pPr>
      <w:r>
        <w:rPr/>
        <w:t>La leche contiene concentraciones relativamente bajas de colesterol, altos niveles de colesterol en la dieta son considerados indeseables para la salud humana. Las vacas transfieren  carotenoides  de  la  dieta  a  la  leche  y  por  lo  tanto  su  grasa  tiene  un color</w:t>
      </w:r>
    </w:p>
    <w:p>
      <w:pPr>
        <w:spacing w:after="0" w:line="480" w:lineRule="auto"/>
        <w:jc w:val="both"/>
        <w:sectPr>
          <w:pgSz w:w="12240" w:h="15840"/>
          <w:pgMar w:header="1150" w:footer="1336" w:top="1340" w:bottom="1520" w:left="1660" w:right="1300"/>
        </w:sectPr>
      </w:pPr>
    </w:p>
    <w:p>
      <w:pPr>
        <w:pStyle w:val="BodyText"/>
        <w:rPr>
          <w:sz w:val="20"/>
        </w:rPr>
      </w:pPr>
    </w:p>
    <w:p>
      <w:pPr>
        <w:pStyle w:val="BodyText"/>
        <w:spacing w:before="4"/>
        <w:rPr>
          <w:sz w:val="19"/>
        </w:rPr>
      </w:pPr>
    </w:p>
    <w:p>
      <w:pPr>
        <w:pStyle w:val="BodyText"/>
        <w:spacing w:line="480" w:lineRule="auto"/>
        <w:ind w:left="152" w:right="146"/>
        <w:jc w:val="both"/>
      </w:pPr>
      <w:r>
        <w:rPr/>
        <w:t>amarillento, la intensidad dependerá de la concentración de carotenoides que haya en su dieta; los forrajes frescos, especialmente el trébol y la alfalfa son ricos en carotenoides (Fox y McSweeney, 1998). Las ovejas y cabras no transfieren carotenoides a su leche y por consecuencia la grasa de su leche y sus productos son más blancos, comparado con la grasa de las vacas (Fox et al., 2000).</w:t>
      </w:r>
    </w:p>
    <w:p>
      <w:pPr>
        <w:pStyle w:val="BodyText"/>
        <w:spacing w:line="480" w:lineRule="auto" w:before="207"/>
        <w:ind w:left="152" w:right="147"/>
        <w:jc w:val="both"/>
      </w:pPr>
      <w:r>
        <w:rPr/>
        <w:t>Los lípidos de la leche de los bovinos se encuentran empaquetados dentro de glóbulos grasos rodeados de una capa de fosfolípidos que mientras permanezca intacta la leche permanecerá en emulsión (Wattiaux, 2005). Su origen inicia con la síntesis de triglicéridos en el retículo endoplasmático liso, seguido por su agregación en el retículo endoplasmático rugoso, conformando al núcleo del glóbulo de grasa que se encuentran casi exclusivamente compuesto por triglicéridos con pequeñas cantidades de colesterol, vitaminas y otros componentes (Angulo et al., 2012).</w:t>
      </w:r>
    </w:p>
    <w:p>
      <w:pPr>
        <w:pStyle w:val="BodyText"/>
        <w:spacing w:line="480" w:lineRule="auto" w:before="207"/>
        <w:ind w:left="152" w:right="148"/>
        <w:jc w:val="both"/>
      </w:pPr>
      <w:r>
        <w:rPr/>
        <w:t>La concentración de grasa en la leche de vacas difiere entre razas, la Holstein presenta la menor proporción media (37 g/kg), mientras que la parda alpina presenta un 41.6 g/kg y las denominadas razas mantequeras superiores aún, 48.7 y 51.3 g/kg en las razas Guernsey y Jersey, respectivamente (Gibson, 1989). Dentro de cada raza, se han descrito variaciones individuales con la fase de lactación y la edad. En una fase inicial de lactación, el porcentaje de grasa en leche es elevado, reduciéndose posteriormente (2 a 3 meses) para incrementar posteriormente de forma gradual. Finalmente hay un ligero incremento en el porcentaje  de  grasa  con  la  edad,  hasta  que  el  animal  alcanza  su  madurez  (3   </w:t>
      </w:r>
      <w:r>
        <w:rPr>
          <w:spacing w:val="52"/>
        </w:rPr>
        <w:t> </w:t>
      </w:r>
      <w:r>
        <w:rPr/>
        <w:t>años).</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2" w:lineRule="auto"/>
        <w:ind w:left="152" w:right="149"/>
        <w:jc w:val="both"/>
      </w:pPr>
      <w:r>
        <w:rPr/>
        <w:t>Posteriormente declina en forma paulatina (0.2% por lactación), siendo esta disminución paralela a la de los sólidos no grasos (Fox et al., 2000).</w:t>
      </w:r>
    </w:p>
    <w:p>
      <w:pPr>
        <w:pStyle w:val="BodyText"/>
        <w:spacing w:line="480" w:lineRule="auto" w:before="204"/>
        <w:ind w:left="152" w:right="143"/>
        <w:jc w:val="both"/>
      </w:pPr>
      <w:r>
        <w:rPr/>
        <w:t>La grasa de la leche y los productos lácteos contribuyen de modo importante al consumo de AG y vitaminas en la dieta humana, asimismo tiene un papel crítico en los atributos sensoriales de estos alimentos (Demment y Allen, 2004; Chen et al., 2004; Chilliard y Ferlay, 2004). Existe una apreciación del consumidor de que los productos de los  rumiantes, como la leche, tienen un alto contenido de grasa y son considerados causantes de algunas enfermedades de humanos; en este sentido, en países desarrollados, el alto  consumo de AG saturados está asociado con la leche y productos lácteos (Valsta et al., 2005), lo cual ha contribuido a una imagen negativa para estos productos. La grasa en leche típicamente contiene una alta proporción de AG saturados (70-75%), AG monoinsaturados (20-25%) y cantidades pequeñas de AGPI (5%) (Lock y Shingfield, 2004). Menos de 40% de los AG saturados están considerados dentro de la categoría de ser poco saludables (Elgersma et al.,</w:t>
      </w:r>
      <w:r>
        <w:rPr>
          <w:spacing w:val="-5"/>
        </w:rPr>
        <w:t> </w:t>
      </w:r>
      <w:r>
        <w:rPr/>
        <w:t>2006).</w:t>
      </w:r>
    </w:p>
    <w:p>
      <w:pPr>
        <w:pStyle w:val="BodyText"/>
        <w:spacing w:line="480" w:lineRule="auto" w:before="207"/>
        <w:ind w:left="152" w:right="144"/>
        <w:jc w:val="both"/>
      </w:pPr>
      <w:r>
        <w:rPr/>
        <w:t>La grasa de la leche se caracteriza por la existencia de AG de longitud media (C8:0 a C12:0). En los rumiantes predominan los AG de bajo peso molecular como el butanoíco (C4:0) y hexanoíco (C6:0) que constituyen el 0.05% de los AGV sobre una base molar. Los AG en leche tienen doble origen: 1) Los triglicéridos circulantes en sangre en forma de lipoproteínas procedentes de la grasa de la ración, y 2) Las reservas corporales, cuando el animal se encuentra en balance de energía negativo (Angulo et al., 2012). Casi la mitad de la grasa en leche es derivada del metabolismo de lípidos en la glándula mamaria. Estos </w:t>
      </w:r>
      <w:r>
        <w:rPr>
          <w:spacing w:val="18"/>
        </w:rPr>
        <w:t> </w:t>
      </w:r>
      <w:r>
        <w:rPr/>
        <w:t>AG</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4"/>
        <w:jc w:val="both"/>
      </w:pPr>
      <w:r>
        <w:rPr/>
        <w:t>provienen principalmente de las lipoproteínas ricas en triglicéridos. Un aumento en la dieta de AG con más de 16 carbones (AG de cadena larga), aumenta su secreción en la leche, pero también inhibe la síntesis de AG de cadena corta y media (Wattiaux, 2005). La energía requerida para la síntesis de grasa y lactosa proviene de la combustión de cetonas, pero el acetato y la glucosa también pueden ser utilizados como fuentes de energía (Arbiza y De Lucas, 2001).</w:t>
      </w:r>
    </w:p>
    <w:p>
      <w:pPr>
        <w:pStyle w:val="BodyText"/>
        <w:spacing w:line="480" w:lineRule="auto" w:before="207"/>
        <w:ind w:left="152" w:right="145"/>
        <w:jc w:val="both"/>
      </w:pPr>
      <w:r>
        <w:rPr/>
        <w:t>La composición de AG de la leche de los rumiantes generalmente no es el reflejo de la composición de los AG de su dieta, como en muchas otras especies, debido a que los  lípidos de su dieta son alterados por el metabolismo de las bacterias en el rumen y uno de los mayores cambios es la biohidrogenación de AGPI (Bauman y Griinari, 2003). Los lípidos son fuente concentrada de energía disponible para el animal una vez que llegan al intestino delgado, pero en rumiantes no son una fuente de energía para que los microorganismos sinteticen sus</w:t>
      </w:r>
      <w:r>
        <w:rPr>
          <w:spacing w:val="-9"/>
        </w:rPr>
        <w:t> </w:t>
      </w:r>
      <w:r>
        <w:rPr/>
        <w:t>estructuras.</w:t>
      </w:r>
    </w:p>
    <w:p>
      <w:pPr>
        <w:pStyle w:val="BodyText"/>
        <w:spacing w:line="480" w:lineRule="auto" w:before="207"/>
        <w:ind w:left="152" w:right="146"/>
        <w:jc w:val="both"/>
      </w:pPr>
      <w:r>
        <w:rPr/>
        <w:t>Algunos AG se encuentran en los forrajes y en la leche en cantidades y en proporciones distintas. Para homogenizar el vocabulario de los diferentes AG se ha propuesto esta designación CX:Yn-Z, donde: X = número de carbonos; Y = número de dobles enlaces; Z = posición del primer doble enlace numerado del final de la cadena de carbonos. El símbolo omega minúscula (ω) también se ha utilizado frecuentemente (Cuadro 4).</w:t>
      </w:r>
    </w:p>
    <w:p>
      <w:pPr>
        <w:spacing w:after="0" w:line="480" w:lineRule="auto"/>
        <w:jc w:val="both"/>
        <w:sectPr>
          <w:pgSz w:w="12240" w:h="15840"/>
          <w:pgMar w:header="1150" w:footer="1336" w:top="1340" w:bottom="1520" w:left="1720" w:right="1380"/>
        </w:sectPr>
      </w:pPr>
    </w:p>
    <w:p>
      <w:pPr>
        <w:pStyle w:val="BodyText"/>
        <w:rPr>
          <w:sz w:val="20"/>
        </w:rPr>
      </w:pPr>
    </w:p>
    <w:p>
      <w:pPr>
        <w:pStyle w:val="BodyText"/>
        <w:rPr>
          <w:sz w:val="20"/>
        </w:rPr>
      </w:pPr>
    </w:p>
    <w:p>
      <w:pPr>
        <w:pStyle w:val="Heading1"/>
        <w:spacing w:line="360" w:lineRule="auto"/>
        <w:ind w:left="232" w:right="121"/>
      </w:pPr>
      <w:r>
        <w:rPr/>
        <w:t>Cuadro 4. Principales ácidos grasos saturados y cis-insaturados presentes en los forrajes y en la grasa de la leche.</w:t>
      </w:r>
    </w:p>
    <w:p>
      <w:pPr>
        <w:pStyle w:val="BodyText"/>
        <w:spacing w:before="10" w:after="1"/>
        <w:rPr>
          <w:b/>
          <w:sz w:val="17"/>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16"/>
        <w:gridCol w:w="1510"/>
        <w:gridCol w:w="1704"/>
        <w:gridCol w:w="1761"/>
        <w:gridCol w:w="2180"/>
      </w:tblGrid>
      <w:tr>
        <w:trPr>
          <w:trHeight w:val="845" w:hRule="exact"/>
        </w:trPr>
        <w:tc>
          <w:tcPr>
            <w:tcW w:w="1916" w:type="dxa"/>
            <w:tcBorders>
              <w:left w:val="nil"/>
              <w:right w:val="nil"/>
            </w:tcBorders>
          </w:tcPr>
          <w:p>
            <w:pPr>
              <w:pStyle w:val="TableParagraph"/>
              <w:spacing w:before="152"/>
              <w:ind w:left="628" w:right="634"/>
              <w:jc w:val="center"/>
              <w:rPr>
                <w:sz w:val="24"/>
              </w:rPr>
            </w:pPr>
            <w:r>
              <w:rPr>
                <w:sz w:val="24"/>
              </w:rPr>
              <w:t>Grupo</w:t>
            </w:r>
          </w:p>
        </w:tc>
        <w:tc>
          <w:tcPr>
            <w:tcW w:w="1510" w:type="dxa"/>
            <w:tcBorders>
              <w:left w:val="nil"/>
              <w:right w:val="nil"/>
            </w:tcBorders>
          </w:tcPr>
          <w:p>
            <w:pPr>
              <w:pStyle w:val="TableParagraph"/>
              <w:spacing w:before="152"/>
              <w:ind w:left="108" w:right="175"/>
              <w:jc w:val="center"/>
              <w:rPr>
                <w:sz w:val="24"/>
              </w:rPr>
            </w:pPr>
            <w:r>
              <w:rPr>
                <w:sz w:val="24"/>
              </w:rPr>
              <w:t>Abreviación</w:t>
            </w:r>
          </w:p>
        </w:tc>
        <w:tc>
          <w:tcPr>
            <w:tcW w:w="1704" w:type="dxa"/>
            <w:tcBorders>
              <w:left w:val="nil"/>
              <w:right w:val="nil"/>
            </w:tcBorders>
          </w:tcPr>
          <w:p>
            <w:pPr>
              <w:pStyle w:val="TableParagraph"/>
              <w:spacing w:before="152"/>
              <w:ind w:left="412"/>
              <w:rPr>
                <w:sz w:val="24"/>
              </w:rPr>
            </w:pPr>
            <w:r>
              <w:rPr>
                <w:sz w:val="24"/>
              </w:rPr>
              <w:t>Nombre</w:t>
            </w:r>
          </w:p>
        </w:tc>
        <w:tc>
          <w:tcPr>
            <w:tcW w:w="1761" w:type="dxa"/>
            <w:tcBorders>
              <w:left w:val="nil"/>
              <w:right w:val="nil"/>
            </w:tcBorders>
          </w:tcPr>
          <w:p>
            <w:pPr>
              <w:pStyle w:val="TableParagraph"/>
              <w:spacing w:before="137"/>
              <w:ind w:left="220" w:right="228"/>
              <w:jc w:val="center"/>
              <w:rPr>
                <w:sz w:val="16"/>
              </w:rPr>
            </w:pPr>
            <w:r>
              <w:rPr>
                <w:sz w:val="24"/>
              </w:rPr>
              <w:t>Designación</w:t>
            </w:r>
            <w:r>
              <w:rPr>
                <w:position w:val="9"/>
                <w:sz w:val="16"/>
              </w:rPr>
              <w:t>¶</w:t>
            </w:r>
          </w:p>
        </w:tc>
        <w:tc>
          <w:tcPr>
            <w:tcW w:w="2180" w:type="dxa"/>
            <w:tcBorders>
              <w:left w:val="nil"/>
              <w:right w:val="nil"/>
            </w:tcBorders>
          </w:tcPr>
          <w:p>
            <w:pPr>
              <w:pStyle w:val="TableParagraph"/>
              <w:spacing w:line="278" w:lineRule="auto"/>
              <w:ind w:left="250" w:right="197" w:firstLine="16"/>
              <w:rPr>
                <w:sz w:val="24"/>
              </w:rPr>
            </w:pPr>
            <w:r>
              <w:rPr>
                <w:sz w:val="24"/>
              </w:rPr>
              <w:t>Posición del (los) doble(s) enlace(s)</w:t>
            </w:r>
          </w:p>
        </w:tc>
      </w:tr>
      <w:tr>
        <w:trPr>
          <w:trHeight w:val="409" w:hRule="exact"/>
        </w:trPr>
        <w:tc>
          <w:tcPr>
            <w:tcW w:w="1916" w:type="dxa"/>
            <w:tcBorders>
              <w:left w:val="nil"/>
              <w:bottom w:val="nil"/>
              <w:right w:val="nil"/>
            </w:tcBorders>
          </w:tcPr>
          <w:p>
            <w:pPr>
              <w:pStyle w:val="TableParagraph"/>
              <w:spacing w:line="270" w:lineRule="exact"/>
              <w:ind w:left="122"/>
              <w:rPr>
                <w:sz w:val="24"/>
              </w:rPr>
            </w:pPr>
            <w:r>
              <w:rPr>
                <w:sz w:val="24"/>
              </w:rPr>
              <w:t>Saturado</w:t>
            </w:r>
          </w:p>
        </w:tc>
        <w:tc>
          <w:tcPr>
            <w:tcW w:w="1510" w:type="dxa"/>
            <w:tcBorders>
              <w:left w:val="nil"/>
              <w:bottom w:val="nil"/>
              <w:right w:val="nil"/>
            </w:tcBorders>
          </w:tcPr>
          <w:p>
            <w:pPr>
              <w:pStyle w:val="TableParagraph"/>
              <w:spacing w:line="270" w:lineRule="exact"/>
              <w:ind w:left="108" w:right="169"/>
              <w:jc w:val="center"/>
              <w:rPr>
                <w:sz w:val="24"/>
              </w:rPr>
            </w:pPr>
            <w:r>
              <w:rPr>
                <w:sz w:val="24"/>
              </w:rPr>
              <w:t>SFA</w:t>
            </w:r>
          </w:p>
        </w:tc>
        <w:tc>
          <w:tcPr>
            <w:tcW w:w="1704" w:type="dxa"/>
            <w:tcBorders>
              <w:left w:val="nil"/>
              <w:bottom w:val="nil"/>
              <w:right w:val="nil"/>
            </w:tcBorders>
          </w:tcPr>
          <w:p>
            <w:pPr>
              <w:pStyle w:val="TableParagraph"/>
              <w:spacing w:line="270" w:lineRule="exact"/>
              <w:ind w:left="412"/>
              <w:rPr>
                <w:sz w:val="24"/>
              </w:rPr>
            </w:pPr>
            <w:r>
              <w:rPr>
                <w:sz w:val="24"/>
              </w:rPr>
              <w:t>Butírico</w:t>
            </w:r>
          </w:p>
        </w:tc>
        <w:tc>
          <w:tcPr>
            <w:tcW w:w="1761" w:type="dxa"/>
            <w:tcBorders>
              <w:left w:val="nil"/>
              <w:bottom w:val="nil"/>
              <w:right w:val="nil"/>
            </w:tcBorders>
          </w:tcPr>
          <w:p>
            <w:pPr>
              <w:pStyle w:val="TableParagraph"/>
              <w:spacing w:line="270" w:lineRule="exact"/>
              <w:ind w:left="220" w:right="225"/>
              <w:jc w:val="center"/>
              <w:rPr>
                <w:sz w:val="24"/>
              </w:rPr>
            </w:pPr>
            <w:r>
              <w:rPr>
                <w:sz w:val="24"/>
              </w:rPr>
              <w:t>C4:0</w:t>
            </w:r>
          </w:p>
        </w:tc>
        <w:tc>
          <w:tcPr>
            <w:tcW w:w="2180" w:type="dxa"/>
            <w:tcBorders>
              <w:left w:val="nil"/>
              <w:bottom w:val="nil"/>
              <w:right w:val="nil"/>
            </w:tcBorders>
          </w:tcPr>
          <w:p>
            <w:pPr>
              <w:pStyle w:val="TableParagraph"/>
              <w:spacing w:line="270" w:lineRule="exact"/>
              <w:ind w:left="38"/>
              <w:jc w:val="center"/>
              <w:rPr>
                <w:sz w:val="24"/>
              </w:rPr>
            </w:pPr>
            <w:r>
              <w:rPr>
                <w:w w:val="99"/>
                <w:sz w:val="24"/>
              </w:rPr>
              <w:t>-</w:t>
            </w:r>
          </w:p>
        </w:tc>
      </w:tr>
      <w:tr>
        <w:trPr>
          <w:trHeight w:val="518" w:hRule="exact"/>
        </w:trPr>
        <w:tc>
          <w:tcPr>
            <w:tcW w:w="1916" w:type="dxa"/>
            <w:tcBorders>
              <w:top w:val="nil"/>
              <w:left w:val="nil"/>
              <w:bottom w:val="nil"/>
              <w:right w:val="nil"/>
            </w:tcBorders>
          </w:tcPr>
          <w:p>
            <w:pPr/>
          </w:p>
        </w:tc>
        <w:tc>
          <w:tcPr>
            <w:tcW w:w="1510" w:type="dxa"/>
            <w:tcBorders>
              <w:top w:val="nil"/>
              <w:left w:val="nil"/>
              <w:bottom w:val="nil"/>
              <w:right w:val="nil"/>
            </w:tcBorders>
          </w:tcPr>
          <w:p>
            <w:pPr/>
          </w:p>
        </w:tc>
        <w:tc>
          <w:tcPr>
            <w:tcW w:w="1704" w:type="dxa"/>
            <w:tcBorders>
              <w:top w:val="nil"/>
              <w:left w:val="nil"/>
              <w:bottom w:val="nil"/>
              <w:right w:val="nil"/>
            </w:tcBorders>
          </w:tcPr>
          <w:p>
            <w:pPr>
              <w:pStyle w:val="TableParagraph"/>
              <w:spacing w:before="108"/>
              <w:ind w:left="366"/>
              <w:rPr>
                <w:sz w:val="24"/>
              </w:rPr>
            </w:pPr>
            <w:r>
              <w:rPr>
                <w:sz w:val="24"/>
              </w:rPr>
              <w:t>Caproico</w:t>
            </w:r>
          </w:p>
        </w:tc>
        <w:tc>
          <w:tcPr>
            <w:tcW w:w="1761" w:type="dxa"/>
            <w:tcBorders>
              <w:top w:val="nil"/>
              <w:left w:val="nil"/>
              <w:bottom w:val="nil"/>
              <w:right w:val="nil"/>
            </w:tcBorders>
          </w:tcPr>
          <w:p>
            <w:pPr>
              <w:pStyle w:val="TableParagraph"/>
              <w:spacing w:before="108"/>
              <w:ind w:left="220" w:right="225"/>
              <w:jc w:val="center"/>
              <w:rPr>
                <w:sz w:val="24"/>
              </w:rPr>
            </w:pPr>
            <w:r>
              <w:rPr>
                <w:sz w:val="24"/>
              </w:rPr>
              <w:t>C6:0</w:t>
            </w:r>
          </w:p>
        </w:tc>
        <w:tc>
          <w:tcPr>
            <w:tcW w:w="2180" w:type="dxa"/>
            <w:tcBorders>
              <w:top w:val="nil"/>
              <w:left w:val="nil"/>
              <w:bottom w:val="nil"/>
              <w:right w:val="nil"/>
            </w:tcBorders>
          </w:tcPr>
          <w:p>
            <w:pPr>
              <w:pStyle w:val="TableParagraph"/>
              <w:spacing w:before="108"/>
              <w:ind w:left="38"/>
              <w:jc w:val="center"/>
              <w:rPr>
                <w:sz w:val="24"/>
              </w:rPr>
            </w:pPr>
            <w:r>
              <w:rPr>
                <w:w w:val="99"/>
                <w:sz w:val="24"/>
              </w:rPr>
              <w:t>-</w:t>
            </w:r>
          </w:p>
        </w:tc>
      </w:tr>
      <w:tr>
        <w:trPr>
          <w:trHeight w:val="518" w:hRule="exact"/>
        </w:trPr>
        <w:tc>
          <w:tcPr>
            <w:tcW w:w="1916" w:type="dxa"/>
            <w:tcBorders>
              <w:top w:val="nil"/>
              <w:left w:val="nil"/>
              <w:bottom w:val="nil"/>
              <w:right w:val="nil"/>
            </w:tcBorders>
          </w:tcPr>
          <w:p>
            <w:pPr/>
          </w:p>
        </w:tc>
        <w:tc>
          <w:tcPr>
            <w:tcW w:w="1510" w:type="dxa"/>
            <w:tcBorders>
              <w:top w:val="nil"/>
              <w:left w:val="nil"/>
              <w:bottom w:val="nil"/>
              <w:right w:val="nil"/>
            </w:tcBorders>
          </w:tcPr>
          <w:p>
            <w:pPr/>
          </w:p>
        </w:tc>
        <w:tc>
          <w:tcPr>
            <w:tcW w:w="1704" w:type="dxa"/>
            <w:tcBorders>
              <w:top w:val="nil"/>
              <w:left w:val="nil"/>
              <w:bottom w:val="nil"/>
              <w:right w:val="nil"/>
            </w:tcBorders>
          </w:tcPr>
          <w:p>
            <w:pPr>
              <w:pStyle w:val="TableParagraph"/>
              <w:spacing w:before="107"/>
              <w:ind w:left="359"/>
              <w:rPr>
                <w:sz w:val="24"/>
              </w:rPr>
            </w:pPr>
            <w:r>
              <w:rPr>
                <w:sz w:val="24"/>
              </w:rPr>
              <w:t>Caprílico</w:t>
            </w:r>
          </w:p>
        </w:tc>
        <w:tc>
          <w:tcPr>
            <w:tcW w:w="1761" w:type="dxa"/>
            <w:tcBorders>
              <w:top w:val="nil"/>
              <w:left w:val="nil"/>
              <w:bottom w:val="nil"/>
              <w:right w:val="nil"/>
            </w:tcBorders>
          </w:tcPr>
          <w:p>
            <w:pPr>
              <w:pStyle w:val="TableParagraph"/>
              <w:spacing w:before="107"/>
              <w:ind w:left="220" w:right="225"/>
              <w:jc w:val="center"/>
              <w:rPr>
                <w:sz w:val="24"/>
              </w:rPr>
            </w:pPr>
            <w:r>
              <w:rPr>
                <w:sz w:val="24"/>
              </w:rPr>
              <w:t>C8:0</w:t>
            </w:r>
          </w:p>
        </w:tc>
        <w:tc>
          <w:tcPr>
            <w:tcW w:w="2180" w:type="dxa"/>
            <w:tcBorders>
              <w:top w:val="nil"/>
              <w:left w:val="nil"/>
              <w:bottom w:val="nil"/>
              <w:right w:val="nil"/>
            </w:tcBorders>
          </w:tcPr>
          <w:p>
            <w:pPr>
              <w:pStyle w:val="TableParagraph"/>
              <w:spacing w:before="107"/>
              <w:ind w:left="38"/>
              <w:jc w:val="center"/>
              <w:rPr>
                <w:sz w:val="24"/>
              </w:rPr>
            </w:pPr>
            <w:r>
              <w:rPr>
                <w:w w:val="99"/>
                <w:sz w:val="24"/>
              </w:rPr>
              <w:t>-</w:t>
            </w:r>
          </w:p>
        </w:tc>
      </w:tr>
      <w:tr>
        <w:trPr>
          <w:trHeight w:val="518" w:hRule="exact"/>
        </w:trPr>
        <w:tc>
          <w:tcPr>
            <w:tcW w:w="1916" w:type="dxa"/>
            <w:tcBorders>
              <w:top w:val="nil"/>
              <w:left w:val="nil"/>
              <w:bottom w:val="nil"/>
              <w:right w:val="nil"/>
            </w:tcBorders>
          </w:tcPr>
          <w:p>
            <w:pPr/>
          </w:p>
        </w:tc>
        <w:tc>
          <w:tcPr>
            <w:tcW w:w="1510" w:type="dxa"/>
            <w:tcBorders>
              <w:top w:val="nil"/>
              <w:left w:val="nil"/>
              <w:bottom w:val="nil"/>
              <w:right w:val="nil"/>
            </w:tcBorders>
          </w:tcPr>
          <w:p>
            <w:pPr/>
          </w:p>
        </w:tc>
        <w:tc>
          <w:tcPr>
            <w:tcW w:w="1704" w:type="dxa"/>
            <w:tcBorders>
              <w:top w:val="nil"/>
              <w:left w:val="nil"/>
              <w:bottom w:val="nil"/>
              <w:right w:val="nil"/>
            </w:tcBorders>
          </w:tcPr>
          <w:p>
            <w:pPr>
              <w:pStyle w:val="TableParagraph"/>
              <w:spacing w:before="108"/>
              <w:ind w:left="426"/>
              <w:rPr>
                <w:sz w:val="24"/>
              </w:rPr>
            </w:pPr>
            <w:r>
              <w:rPr>
                <w:sz w:val="24"/>
              </w:rPr>
              <w:t>Cáprico</w:t>
            </w:r>
          </w:p>
        </w:tc>
        <w:tc>
          <w:tcPr>
            <w:tcW w:w="1761" w:type="dxa"/>
            <w:tcBorders>
              <w:top w:val="nil"/>
              <w:left w:val="nil"/>
              <w:bottom w:val="nil"/>
              <w:right w:val="nil"/>
            </w:tcBorders>
          </w:tcPr>
          <w:p>
            <w:pPr>
              <w:pStyle w:val="TableParagraph"/>
              <w:spacing w:before="108"/>
              <w:ind w:left="218" w:right="228"/>
              <w:jc w:val="center"/>
              <w:rPr>
                <w:sz w:val="24"/>
              </w:rPr>
            </w:pPr>
            <w:r>
              <w:rPr>
                <w:sz w:val="24"/>
              </w:rPr>
              <w:t>C10:0</w:t>
            </w:r>
          </w:p>
        </w:tc>
        <w:tc>
          <w:tcPr>
            <w:tcW w:w="2180" w:type="dxa"/>
            <w:tcBorders>
              <w:top w:val="nil"/>
              <w:left w:val="nil"/>
              <w:bottom w:val="nil"/>
              <w:right w:val="nil"/>
            </w:tcBorders>
          </w:tcPr>
          <w:p>
            <w:pPr>
              <w:pStyle w:val="TableParagraph"/>
              <w:spacing w:before="108"/>
              <w:ind w:left="38"/>
              <w:jc w:val="center"/>
              <w:rPr>
                <w:sz w:val="24"/>
              </w:rPr>
            </w:pPr>
            <w:r>
              <w:rPr>
                <w:w w:val="99"/>
                <w:sz w:val="24"/>
              </w:rPr>
              <w:t>-</w:t>
            </w:r>
          </w:p>
        </w:tc>
      </w:tr>
      <w:tr>
        <w:trPr>
          <w:trHeight w:val="517" w:hRule="exact"/>
        </w:trPr>
        <w:tc>
          <w:tcPr>
            <w:tcW w:w="1916" w:type="dxa"/>
            <w:tcBorders>
              <w:top w:val="nil"/>
              <w:left w:val="nil"/>
              <w:bottom w:val="nil"/>
              <w:right w:val="nil"/>
            </w:tcBorders>
          </w:tcPr>
          <w:p>
            <w:pPr/>
          </w:p>
        </w:tc>
        <w:tc>
          <w:tcPr>
            <w:tcW w:w="1510" w:type="dxa"/>
            <w:tcBorders>
              <w:top w:val="nil"/>
              <w:left w:val="nil"/>
              <w:bottom w:val="nil"/>
              <w:right w:val="nil"/>
            </w:tcBorders>
          </w:tcPr>
          <w:p>
            <w:pPr/>
          </w:p>
        </w:tc>
        <w:tc>
          <w:tcPr>
            <w:tcW w:w="1704" w:type="dxa"/>
            <w:tcBorders>
              <w:top w:val="nil"/>
              <w:left w:val="nil"/>
              <w:bottom w:val="nil"/>
              <w:right w:val="nil"/>
            </w:tcBorders>
          </w:tcPr>
          <w:p>
            <w:pPr>
              <w:pStyle w:val="TableParagraph"/>
              <w:spacing w:before="108"/>
              <w:ind w:left="433"/>
              <w:rPr>
                <w:sz w:val="24"/>
              </w:rPr>
            </w:pPr>
            <w:r>
              <w:rPr>
                <w:sz w:val="24"/>
              </w:rPr>
              <w:t>Láurico</w:t>
            </w:r>
          </w:p>
        </w:tc>
        <w:tc>
          <w:tcPr>
            <w:tcW w:w="1761" w:type="dxa"/>
            <w:tcBorders>
              <w:top w:val="nil"/>
              <w:left w:val="nil"/>
              <w:bottom w:val="nil"/>
              <w:right w:val="nil"/>
            </w:tcBorders>
          </w:tcPr>
          <w:p>
            <w:pPr>
              <w:pStyle w:val="TableParagraph"/>
              <w:spacing w:before="108"/>
              <w:ind w:left="218" w:right="228"/>
              <w:jc w:val="center"/>
              <w:rPr>
                <w:sz w:val="24"/>
              </w:rPr>
            </w:pPr>
            <w:r>
              <w:rPr>
                <w:sz w:val="24"/>
              </w:rPr>
              <w:t>C12:0</w:t>
            </w:r>
          </w:p>
        </w:tc>
        <w:tc>
          <w:tcPr>
            <w:tcW w:w="2180" w:type="dxa"/>
            <w:tcBorders>
              <w:top w:val="nil"/>
              <w:left w:val="nil"/>
              <w:bottom w:val="nil"/>
              <w:right w:val="nil"/>
            </w:tcBorders>
          </w:tcPr>
          <w:p>
            <w:pPr>
              <w:pStyle w:val="TableParagraph"/>
              <w:spacing w:before="108"/>
              <w:ind w:left="38"/>
              <w:jc w:val="center"/>
              <w:rPr>
                <w:sz w:val="24"/>
              </w:rPr>
            </w:pPr>
            <w:r>
              <w:rPr>
                <w:w w:val="99"/>
                <w:sz w:val="24"/>
              </w:rPr>
              <w:t>-</w:t>
            </w:r>
          </w:p>
        </w:tc>
      </w:tr>
      <w:tr>
        <w:trPr>
          <w:trHeight w:val="517" w:hRule="exact"/>
        </w:trPr>
        <w:tc>
          <w:tcPr>
            <w:tcW w:w="1916" w:type="dxa"/>
            <w:tcBorders>
              <w:top w:val="nil"/>
              <w:left w:val="nil"/>
              <w:bottom w:val="nil"/>
              <w:right w:val="nil"/>
            </w:tcBorders>
          </w:tcPr>
          <w:p>
            <w:pPr/>
          </w:p>
        </w:tc>
        <w:tc>
          <w:tcPr>
            <w:tcW w:w="1510" w:type="dxa"/>
            <w:tcBorders>
              <w:top w:val="nil"/>
              <w:left w:val="nil"/>
              <w:bottom w:val="nil"/>
              <w:right w:val="nil"/>
            </w:tcBorders>
          </w:tcPr>
          <w:p>
            <w:pPr/>
          </w:p>
        </w:tc>
        <w:tc>
          <w:tcPr>
            <w:tcW w:w="1704" w:type="dxa"/>
            <w:tcBorders>
              <w:top w:val="nil"/>
              <w:left w:val="nil"/>
              <w:bottom w:val="nil"/>
              <w:right w:val="nil"/>
            </w:tcBorders>
          </w:tcPr>
          <w:p>
            <w:pPr>
              <w:pStyle w:val="TableParagraph"/>
              <w:spacing w:before="107"/>
              <w:ind w:left="366"/>
              <w:rPr>
                <w:sz w:val="24"/>
              </w:rPr>
            </w:pPr>
            <w:r>
              <w:rPr>
                <w:sz w:val="24"/>
              </w:rPr>
              <w:t>Mirístico</w:t>
            </w:r>
          </w:p>
        </w:tc>
        <w:tc>
          <w:tcPr>
            <w:tcW w:w="1761" w:type="dxa"/>
            <w:tcBorders>
              <w:top w:val="nil"/>
              <w:left w:val="nil"/>
              <w:bottom w:val="nil"/>
              <w:right w:val="nil"/>
            </w:tcBorders>
          </w:tcPr>
          <w:p>
            <w:pPr>
              <w:pStyle w:val="TableParagraph"/>
              <w:spacing w:before="107"/>
              <w:ind w:left="218" w:right="228"/>
              <w:jc w:val="center"/>
              <w:rPr>
                <w:sz w:val="24"/>
              </w:rPr>
            </w:pPr>
            <w:r>
              <w:rPr>
                <w:sz w:val="24"/>
              </w:rPr>
              <w:t>C14:0</w:t>
            </w:r>
          </w:p>
        </w:tc>
        <w:tc>
          <w:tcPr>
            <w:tcW w:w="2180" w:type="dxa"/>
            <w:tcBorders>
              <w:top w:val="nil"/>
              <w:left w:val="nil"/>
              <w:bottom w:val="nil"/>
              <w:right w:val="nil"/>
            </w:tcBorders>
          </w:tcPr>
          <w:p>
            <w:pPr>
              <w:pStyle w:val="TableParagraph"/>
              <w:spacing w:before="107"/>
              <w:ind w:left="38"/>
              <w:jc w:val="center"/>
              <w:rPr>
                <w:sz w:val="24"/>
              </w:rPr>
            </w:pPr>
            <w:r>
              <w:rPr>
                <w:w w:val="99"/>
                <w:sz w:val="24"/>
              </w:rPr>
              <w:t>-</w:t>
            </w:r>
          </w:p>
        </w:tc>
      </w:tr>
      <w:tr>
        <w:trPr>
          <w:trHeight w:val="517" w:hRule="exact"/>
        </w:trPr>
        <w:tc>
          <w:tcPr>
            <w:tcW w:w="1916" w:type="dxa"/>
            <w:tcBorders>
              <w:top w:val="nil"/>
              <w:left w:val="nil"/>
              <w:bottom w:val="nil"/>
              <w:right w:val="nil"/>
            </w:tcBorders>
          </w:tcPr>
          <w:p>
            <w:pPr/>
          </w:p>
        </w:tc>
        <w:tc>
          <w:tcPr>
            <w:tcW w:w="1510" w:type="dxa"/>
            <w:tcBorders>
              <w:top w:val="nil"/>
              <w:left w:val="nil"/>
              <w:bottom w:val="nil"/>
              <w:right w:val="nil"/>
            </w:tcBorders>
          </w:tcPr>
          <w:p>
            <w:pPr/>
          </w:p>
        </w:tc>
        <w:tc>
          <w:tcPr>
            <w:tcW w:w="1704" w:type="dxa"/>
            <w:tcBorders>
              <w:top w:val="nil"/>
              <w:left w:val="nil"/>
              <w:bottom w:val="nil"/>
              <w:right w:val="nil"/>
            </w:tcBorders>
          </w:tcPr>
          <w:p>
            <w:pPr>
              <w:pStyle w:val="TableParagraph"/>
              <w:spacing w:before="108"/>
              <w:ind w:left="347"/>
              <w:rPr>
                <w:sz w:val="24"/>
              </w:rPr>
            </w:pPr>
            <w:r>
              <w:rPr>
                <w:sz w:val="24"/>
              </w:rPr>
              <w:t>Palmítico</w:t>
            </w:r>
          </w:p>
        </w:tc>
        <w:tc>
          <w:tcPr>
            <w:tcW w:w="1761" w:type="dxa"/>
            <w:tcBorders>
              <w:top w:val="nil"/>
              <w:left w:val="nil"/>
              <w:bottom w:val="nil"/>
              <w:right w:val="nil"/>
            </w:tcBorders>
          </w:tcPr>
          <w:p>
            <w:pPr>
              <w:pStyle w:val="TableParagraph"/>
              <w:spacing w:before="108"/>
              <w:ind w:left="218" w:right="228"/>
              <w:jc w:val="center"/>
              <w:rPr>
                <w:sz w:val="24"/>
              </w:rPr>
            </w:pPr>
            <w:r>
              <w:rPr>
                <w:sz w:val="24"/>
              </w:rPr>
              <w:t>C16:0</w:t>
            </w:r>
          </w:p>
        </w:tc>
        <w:tc>
          <w:tcPr>
            <w:tcW w:w="2180" w:type="dxa"/>
            <w:tcBorders>
              <w:top w:val="nil"/>
              <w:left w:val="nil"/>
              <w:bottom w:val="nil"/>
              <w:right w:val="nil"/>
            </w:tcBorders>
          </w:tcPr>
          <w:p>
            <w:pPr>
              <w:pStyle w:val="TableParagraph"/>
              <w:spacing w:before="108"/>
              <w:ind w:left="38"/>
              <w:jc w:val="center"/>
              <w:rPr>
                <w:sz w:val="24"/>
              </w:rPr>
            </w:pPr>
            <w:r>
              <w:rPr>
                <w:w w:val="99"/>
                <w:sz w:val="24"/>
              </w:rPr>
              <w:t>-</w:t>
            </w:r>
          </w:p>
        </w:tc>
      </w:tr>
      <w:tr>
        <w:trPr>
          <w:trHeight w:val="517" w:hRule="exact"/>
        </w:trPr>
        <w:tc>
          <w:tcPr>
            <w:tcW w:w="1916" w:type="dxa"/>
            <w:tcBorders>
              <w:top w:val="nil"/>
              <w:left w:val="nil"/>
              <w:bottom w:val="nil"/>
              <w:right w:val="nil"/>
            </w:tcBorders>
          </w:tcPr>
          <w:p>
            <w:pPr/>
          </w:p>
        </w:tc>
        <w:tc>
          <w:tcPr>
            <w:tcW w:w="1510" w:type="dxa"/>
            <w:tcBorders>
              <w:top w:val="nil"/>
              <w:left w:val="nil"/>
              <w:bottom w:val="nil"/>
              <w:right w:val="nil"/>
            </w:tcBorders>
          </w:tcPr>
          <w:p>
            <w:pPr/>
          </w:p>
        </w:tc>
        <w:tc>
          <w:tcPr>
            <w:tcW w:w="1704" w:type="dxa"/>
            <w:tcBorders>
              <w:top w:val="nil"/>
              <w:left w:val="nil"/>
              <w:bottom w:val="nil"/>
              <w:right w:val="nil"/>
            </w:tcBorders>
          </w:tcPr>
          <w:p>
            <w:pPr>
              <w:pStyle w:val="TableParagraph"/>
              <w:spacing w:before="107"/>
              <w:ind w:left="361"/>
              <w:rPr>
                <w:sz w:val="24"/>
              </w:rPr>
            </w:pPr>
            <w:r>
              <w:rPr>
                <w:sz w:val="24"/>
              </w:rPr>
              <w:t>Esteárico</w:t>
            </w:r>
          </w:p>
        </w:tc>
        <w:tc>
          <w:tcPr>
            <w:tcW w:w="1761" w:type="dxa"/>
            <w:tcBorders>
              <w:top w:val="nil"/>
              <w:left w:val="nil"/>
              <w:bottom w:val="nil"/>
              <w:right w:val="nil"/>
            </w:tcBorders>
          </w:tcPr>
          <w:p>
            <w:pPr>
              <w:pStyle w:val="TableParagraph"/>
              <w:spacing w:before="107"/>
              <w:ind w:left="218" w:right="228"/>
              <w:jc w:val="center"/>
              <w:rPr>
                <w:sz w:val="24"/>
              </w:rPr>
            </w:pPr>
            <w:r>
              <w:rPr>
                <w:sz w:val="24"/>
              </w:rPr>
              <w:t>C18:0</w:t>
            </w:r>
          </w:p>
        </w:tc>
        <w:tc>
          <w:tcPr>
            <w:tcW w:w="2180" w:type="dxa"/>
            <w:tcBorders>
              <w:top w:val="nil"/>
              <w:left w:val="nil"/>
              <w:bottom w:val="nil"/>
              <w:right w:val="nil"/>
            </w:tcBorders>
          </w:tcPr>
          <w:p>
            <w:pPr>
              <w:pStyle w:val="TableParagraph"/>
              <w:spacing w:before="107"/>
              <w:ind w:left="38"/>
              <w:jc w:val="center"/>
              <w:rPr>
                <w:sz w:val="24"/>
              </w:rPr>
            </w:pPr>
            <w:r>
              <w:rPr>
                <w:w w:val="99"/>
                <w:sz w:val="24"/>
              </w:rPr>
              <w:t>-</w:t>
            </w:r>
          </w:p>
        </w:tc>
      </w:tr>
      <w:tr>
        <w:trPr>
          <w:trHeight w:val="517" w:hRule="exact"/>
        </w:trPr>
        <w:tc>
          <w:tcPr>
            <w:tcW w:w="1916" w:type="dxa"/>
            <w:tcBorders>
              <w:top w:val="nil"/>
              <w:left w:val="nil"/>
              <w:bottom w:val="nil"/>
              <w:right w:val="nil"/>
            </w:tcBorders>
          </w:tcPr>
          <w:p>
            <w:pPr>
              <w:pStyle w:val="TableParagraph"/>
              <w:spacing w:before="108"/>
              <w:ind w:left="122"/>
              <w:rPr>
                <w:sz w:val="24"/>
              </w:rPr>
            </w:pPr>
            <w:r>
              <w:rPr>
                <w:sz w:val="24"/>
              </w:rPr>
              <w:t>Monoinsaturados</w:t>
            </w:r>
          </w:p>
        </w:tc>
        <w:tc>
          <w:tcPr>
            <w:tcW w:w="1510" w:type="dxa"/>
            <w:tcBorders>
              <w:top w:val="nil"/>
              <w:left w:val="nil"/>
              <w:bottom w:val="nil"/>
              <w:right w:val="nil"/>
            </w:tcBorders>
          </w:tcPr>
          <w:p>
            <w:pPr>
              <w:pStyle w:val="TableParagraph"/>
              <w:spacing w:before="108"/>
              <w:ind w:left="108" w:right="172"/>
              <w:jc w:val="center"/>
              <w:rPr>
                <w:sz w:val="24"/>
              </w:rPr>
            </w:pPr>
            <w:r>
              <w:rPr>
                <w:sz w:val="24"/>
              </w:rPr>
              <w:t>MUFA</w:t>
            </w:r>
          </w:p>
        </w:tc>
        <w:tc>
          <w:tcPr>
            <w:tcW w:w="1704" w:type="dxa"/>
            <w:tcBorders>
              <w:top w:val="nil"/>
              <w:left w:val="nil"/>
              <w:bottom w:val="nil"/>
              <w:right w:val="nil"/>
            </w:tcBorders>
          </w:tcPr>
          <w:p>
            <w:pPr>
              <w:pStyle w:val="TableParagraph"/>
              <w:spacing w:before="108"/>
              <w:ind w:left="198"/>
              <w:rPr>
                <w:sz w:val="24"/>
              </w:rPr>
            </w:pPr>
            <w:r>
              <w:rPr>
                <w:sz w:val="24"/>
              </w:rPr>
              <w:t>Palmitoleico</w:t>
            </w:r>
          </w:p>
        </w:tc>
        <w:tc>
          <w:tcPr>
            <w:tcW w:w="1761" w:type="dxa"/>
            <w:tcBorders>
              <w:top w:val="nil"/>
              <w:left w:val="nil"/>
              <w:bottom w:val="nil"/>
              <w:right w:val="nil"/>
            </w:tcBorders>
          </w:tcPr>
          <w:p>
            <w:pPr>
              <w:pStyle w:val="TableParagraph"/>
              <w:spacing w:before="108"/>
              <w:ind w:left="220" w:right="226"/>
              <w:jc w:val="center"/>
              <w:rPr>
                <w:sz w:val="24"/>
              </w:rPr>
            </w:pPr>
            <w:r>
              <w:rPr>
                <w:sz w:val="24"/>
              </w:rPr>
              <w:t>C16:1n-7</w:t>
            </w:r>
          </w:p>
        </w:tc>
        <w:tc>
          <w:tcPr>
            <w:tcW w:w="2180" w:type="dxa"/>
            <w:tcBorders>
              <w:top w:val="nil"/>
              <w:left w:val="nil"/>
              <w:bottom w:val="nil"/>
              <w:right w:val="nil"/>
            </w:tcBorders>
          </w:tcPr>
          <w:p>
            <w:pPr>
              <w:pStyle w:val="TableParagraph"/>
              <w:spacing w:before="108"/>
              <w:ind w:left="35"/>
              <w:jc w:val="center"/>
              <w:rPr>
                <w:sz w:val="24"/>
              </w:rPr>
            </w:pPr>
            <w:r>
              <w:rPr>
                <w:sz w:val="24"/>
              </w:rPr>
              <w:t>9</w:t>
            </w:r>
          </w:p>
        </w:tc>
      </w:tr>
      <w:tr>
        <w:trPr>
          <w:trHeight w:val="517" w:hRule="exact"/>
        </w:trPr>
        <w:tc>
          <w:tcPr>
            <w:tcW w:w="1916" w:type="dxa"/>
            <w:tcBorders>
              <w:top w:val="nil"/>
              <w:left w:val="nil"/>
              <w:bottom w:val="nil"/>
              <w:right w:val="nil"/>
            </w:tcBorders>
          </w:tcPr>
          <w:p>
            <w:pPr/>
          </w:p>
        </w:tc>
        <w:tc>
          <w:tcPr>
            <w:tcW w:w="1510" w:type="dxa"/>
            <w:tcBorders>
              <w:top w:val="nil"/>
              <w:left w:val="nil"/>
              <w:bottom w:val="nil"/>
              <w:right w:val="nil"/>
            </w:tcBorders>
          </w:tcPr>
          <w:p>
            <w:pPr/>
          </w:p>
        </w:tc>
        <w:tc>
          <w:tcPr>
            <w:tcW w:w="1704" w:type="dxa"/>
            <w:tcBorders>
              <w:top w:val="nil"/>
              <w:left w:val="nil"/>
              <w:bottom w:val="nil"/>
              <w:right w:val="nil"/>
            </w:tcBorders>
          </w:tcPr>
          <w:p>
            <w:pPr>
              <w:pStyle w:val="TableParagraph"/>
              <w:spacing w:before="107"/>
              <w:ind w:left="486"/>
              <w:rPr>
                <w:sz w:val="24"/>
              </w:rPr>
            </w:pPr>
            <w:r>
              <w:rPr>
                <w:sz w:val="24"/>
              </w:rPr>
              <w:t>Oleico</w:t>
            </w:r>
          </w:p>
        </w:tc>
        <w:tc>
          <w:tcPr>
            <w:tcW w:w="1761" w:type="dxa"/>
            <w:tcBorders>
              <w:top w:val="nil"/>
              <w:left w:val="nil"/>
              <w:bottom w:val="nil"/>
              <w:right w:val="nil"/>
            </w:tcBorders>
          </w:tcPr>
          <w:p>
            <w:pPr>
              <w:pStyle w:val="TableParagraph"/>
              <w:spacing w:before="107"/>
              <w:ind w:left="220" w:right="226"/>
              <w:jc w:val="center"/>
              <w:rPr>
                <w:sz w:val="24"/>
              </w:rPr>
            </w:pPr>
            <w:r>
              <w:rPr>
                <w:sz w:val="24"/>
              </w:rPr>
              <w:t>C18:1n-9</w:t>
            </w:r>
          </w:p>
        </w:tc>
        <w:tc>
          <w:tcPr>
            <w:tcW w:w="2180" w:type="dxa"/>
            <w:tcBorders>
              <w:top w:val="nil"/>
              <w:left w:val="nil"/>
              <w:bottom w:val="nil"/>
              <w:right w:val="nil"/>
            </w:tcBorders>
          </w:tcPr>
          <w:p>
            <w:pPr>
              <w:pStyle w:val="TableParagraph"/>
              <w:spacing w:before="107"/>
              <w:ind w:left="35"/>
              <w:jc w:val="center"/>
              <w:rPr>
                <w:sz w:val="24"/>
              </w:rPr>
            </w:pPr>
            <w:r>
              <w:rPr>
                <w:sz w:val="24"/>
              </w:rPr>
              <w:t>9</w:t>
            </w:r>
          </w:p>
        </w:tc>
      </w:tr>
      <w:tr>
        <w:trPr>
          <w:trHeight w:val="518" w:hRule="exact"/>
        </w:trPr>
        <w:tc>
          <w:tcPr>
            <w:tcW w:w="1916" w:type="dxa"/>
            <w:tcBorders>
              <w:top w:val="nil"/>
              <w:left w:val="nil"/>
              <w:bottom w:val="nil"/>
              <w:right w:val="nil"/>
            </w:tcBorders>
          </w:tcPr>
          <w:p>
            <w:pPr>
              <w:pStyle w:val="TableParagraph"/>
              <w:spacing w:before="108"/>
              <w:ind w:left="122"/>
              <w:rPr>
                <w:sz w:val="24"/>
              </w:rPr>
            </w:pPr>
            <w:r>
              <w:rPr>
                <w:sz w:val="24"/>
              </w:rPr>
              <w:t>Poliinsaturados</w:t>
            </w:r>
          </w:p>
        </w:tc>
        <w:tc>
          <w:tcPr>
            <w:tcW w:w="1510" w:type="dxa"/>
            <w:tcBorders>
              <w:top w:val="nil"/>
              <w:left w:val="nil"/>
              <w:bottom w:val="nil"/>
              <w:right w:val="nil"/>
            </w:tcBorders>
          </w:tcPr>
          <w:p>
            <w:pPr>
              <w:pStyle w:val="TableParagraph"/>
              <w:spacing w:before="108"/>
              <w:ind w:left="108" w:right="174"/>
              <w:jc w:val="center"/>
              <w:rPr>
                <w:sz w:val="24"/>
              </w:rPr>
            </w:pPr>
            <w:r>
              <w:rPr>
                <w:sz w:val="24"/>
              </w:rPr>
              <w:t>PUFA</w:t>
            </w:r>
          </w:p>
        </w:tc>
        <w:tc>
          <w:tcPr>
            <w:tcW w:w="1704" w:type="dxa"/>
            <w:tcBorders>
              <w:top w:val="nil"/>
              <w:left w:val="nil"/>
              <w:bottom w:val="nil"/>
              <w:right w:val="nil"/>
            </w:tcBorders>
          </w:tcPr>
          <w:p>
            <w:pPr>
              <w:pStyle w:val="TableParagraph"/>
              <w:spacing w:before="108"/>
              <w:ind w:left="347"/>
              <w:rPr>
                <w:sz w:val="24"/>
              </w:rPr>
            </w:pPr>
            <w:r>
              <w:rPr>
                <w:sz w:val="24"/>
              </w:rPr>
              <w:t>Linoleico</w:t>
            </w:r>
          </w:p>
        </w:tc>
        <w:tc>
          <w:tcPr>
            <w:tcW w:w="1761" w:type="dxa"/>
            <w:tcBorders>
              <w:top w:val="nil"/>
              <w:left w:val="nil"/>
              <w:bottom w:val="nil"/>
              <w:right w:val="nil"/>
            </w:tcBorders>
          </w:tcPr>
          <w:p>
            <w:pPr>
              <w:pStyle w:val="TableParagraph"/>
              <w:spacing w:before="108"/>
              <w:ind w:left="220" w:right="226"/>
              <w:jc w:val="center"/>
              <w:rPr>
                <w:sz w:val="24"/>
              </w:rPr>
            </w:pPr>
            <w:r>
              <w:rPr>
                <w:sz w:val="24"/>
              </w:rPr>
              <w:t>C18:2n-6</w:t>
            </w:r>
          </w:p>
        </w:tc>
        <w:tc>
          <w:tcPr>
            <w:tcW w:w="2180" w:type="dxa"/>
            <w:tcBorders>
              <w:top w:val="nil"/>
              <w:left w:val="nil"/>
              <w:bottom w:val="nil"/>
              <w:right w:val="nil"/>
            </w:tcBorders>
          </w:tcPr>
          <w:p>
            <w:pPr>
              <w:pStyle w:val="TableParagraph"/>
              <w:spacing w:before="108"/>
              <w:ind w:left="638" w:right="602"/>
              <w:jc w:val="center"/>
              <w:rPr>
                <w:sz w:val="24"/>
              </w:rPr>
            </w:pPr>
            <w:r>
              <w:rPr>
                <w:sz w:val="24"/>
              </w:rPr>
              <w:t>9,12</w:t>
            </w:r>
          </w:p>
        </w:tc>
      </w:tr>
      <w:tr>
        <w:trPr>
          <w:trHeight w:val="517" w:hRule="exact"/>
        </w:trPr>
        <w:tc>
          <w:tcPr>
            <w:tcW w:w="1916" w:type="dxa"/>
            <w:tcBorders>
              <w:top w:val="nil"/>
              <w:left w:val="nil"/>
              <w:bottom w:val="nil"/>
              <w:right w:val="nil"/>
            </w:tcBorders>
          </w:tcPr>
          <w:p>
            <w:pPr/>
          </w:p>
        </w:tc>
        <w:tc>
          <w:tcPr>
            <w:tcW w:w="1510" w:type="dxa"/>
            <w:tcBorders>
              <w:top w:val="nil"/>
              <w:left w:val="nil"/>
              <w:bottom w:val="nil"/>
              <w:right w:val="nil"/>
            </w:tcBorders>
          </w:tcPr>
          <w:p>
            <w:pPr/>
          </w:p>
        </w:tc>
        <w:tc>
          <w:tcPr>
            <w:tcW w:w="1704" w:type="dxa"/>
            <w:tcBorders>
              <w:top w:val="nil"/>
              <w:left w:val="nil"/>
              <w:bottom w:val="nil"/>
              <w:right w:val="nil"/>
            </w:tcBorders>
          </w:tcPr>
          <w:p>
            <w:pPr>
              <w:pStyle w:val="TableParagraph"/>
              <w:spacing w:before="108"/>
              <w:ind w:left="234"/>
              <w:rPr>
                <w:sz w:val="24"/>
              </w:rPr>
            </w:pPr>
            <w:r>
              <w:rPr>
                <w:sz w:val="24"/>
              </w:rPr>
              <w:t>γ-linolénico</w:t>
            </w:r>
          </w:p>
        </w:tc>
        <w:tc>
          <w:tcPr>
            <w:tcW w:w="1761" w:type="dxa"/>
            <w:tcBorders>
              <w:top w:val="nil"/>
              <w:left w:val="nil"/>
              <w:bottom w:val="nil"/>
              <w:right w:val="nil"/>
            </w:tcBorders>
          </w:tcPr>
          <w:p>
            <w:pPr>
              <w:pStyle w:val="TableParagraph"/>
              <w:spacing w:before="108"/>
              <w:ind w:left="220" w:right="226"/>
              <w:jc w:val="center"/>
              <w:rPr>
                <w:sz w:val="24"/>
              </w:rPr>
            </w:pPr>
            <w:r>
              <w:rPr>
                <w:sz w:val="24"/>
              </w:rPr>
              <w:t>C18:3n-6</w:t>
            </w:r>
          </w:p>
        </w:tc>
        <w:tc>
          <w:tcPr>
            <w:tcW w:w="2180" w:type="dxa"/>
            <w:tcBorders>
              <w:top w:val="nil"/>
              <w:left w:val="nil"/>
              <w:bottom w:val="nil"/>
              <w:right w:val="nil"/>
            </w:tcBorders>
          </w:tcPr>
          <w:p>
            <w:pPr>
              <w:pStyle w:val="TableParagraph"/>
              <w:spacing w:before="108"/>
              <w:ind w:left="635" w:right="602"/>
              <w:jc w:val="center"/>
              <w:rPr>
                <w:sz w:val="24"/>
              </w:rPr>
            </w:pPr>
            <w:r>
              <w:rPr>
                <w:sz w:val="24"/>
              </w:rPr>
              <w:t>6,9,12</w:t>
            </w:r>
          </w:p>
        </w:tc>
      </w:tr>
      <w:tr>
        <w:trPr>
          <w:trHeight w:val="517" w:hRule="exact"/>
        </w:trPr>
        <w:tc>
          <w:tcPr>
            <w:tcW w:w="1916" w:type="dxa"/>
            <w:tcBorders>
              <w:top w:val="nil"/>
              <w:left w:val="nil"/>
              <w:bottom w:val="nil"/>
              <w:right w:val="nil"/>
            </w:tcBorders>
          </w:tcPr>
          <w:p>
            <w:pPr/>
          </w:p>
        </w:tc>
        <w:tc>
          <w:tcPr>
            <w:tcW w:w="1510" w:type="dxa"/>
            <w:tcBorders>
              <w:top w:val="nil"/>
              <w:left w:val="nil"/>
              <w:bottom w:val="nil"/>
              <w:right w:val="nil"/>
            </w:tcBorders>
          </w:tcPr>
          <w:p>
            <w:pPr/>
          </w:p>
        </w:tc>
        <w:tc>
          <w:tcPr>
            <w:tcW w:w="1704" w:type="dxa"/>
            <w:tcBorders>
              <w:top w:val="nil"/>
              <w:left w:val="nil"/>
              <w:bottom w:val="nil"/>
              <w:right w:val="nil"/>
            </w:tcBorders>
          </w:tcPr>
          <w:p>
            <w:pPr>
              <w:pStyle w:val="TableParagraph"/>
              <w:spacing w:before="107"/>
              <w:ind w:left="145"/>
              <w:rPr>
                <w:sz w:val="24"/>
              </w:rPr>
            </w:pPr>
            <w:r>
              <w:rPr>
                <w:sz w:val="24"/>
              </w:rPr>
              <w:t>Araquidónico</w:t>
            </w:r>
          </w:p>
        </w:tc>
        <w:tc>
          <w:tcPr>
            <w:tcW w:w="1761" w:type="dxa"/>
            <w:tcBorders>
              <w:top w:val="nil"/>
              <w:left w:val="nil"/>
              <w:bottom w:val="nil"/>
              <w:right w:val="nil"/>
            </w:tcBorders>
          </w:tcPr>
          <w:p>
            <w:pPr>
              <w:pStyle w:val="TableParagraph"/>
              <w:spacing w:before="107"/>
              <w:ind w:left="220" w:right="226"/>
              <w:jc w:val="center"/>
              <w:rPr>
                <w:sz w:val="24"/>
              </w:rPr>
            </w:pPr>
            <w:r>
              <w:rPr>
                <w:sz w:val="24"/>
              </w:rPr>
              <w:t>C20:4n-6</w:t>
            </w:r>
          </w:p>
        </w:tc>
        <w:tc>
          <w:tcPr>
            <w:tcW w:w="2180" w:type="dxa"/>
            <w:tcBorders>
              <w:top w:val="nil"/>
              <w:left w:val="nil"/>
              <w:bottom w:val="nil"/>
              <w:right w:val="nil"/>
            </w:tcBorders>
          </w:tcPr>
          <w:p>
            <w:pPr>
              <w:pStyle w:val="TableParagraph"/>
              <w:spacing w:before="107"/>
              <w:ind w:left="638" w:right="602"/>
              <w:jc w:val="center"/>
              <w:rPr>
                <w:sz w:val="24"/>
              </w:rPr>
            </w:pPr>
            <w:r>
              <w:rPr>
                <w:sz w:val="24"/>
              </w:rPr>
              <w:t>5.8.11.14</w:t>
            </w:r>
          </w:p>
        </w:tc>
      </w:tr>
      <w:tr>
        <w:trPr>
          <w:trHeight w:val="517" w:hRule="exact"/>
        </w:trPr>
        <w:tc>
          <w:tcPr>
            <w:tcW w:w="1916" w:type="dxa"/>
            <w:tcBorders>
              <w:top w:val="nil"/>
              <w:left w:val="nil"/>
              <w:bottom w:val="nil"/>
              <w:right w:val="nil"/>
            </w:tcBorders>
          </w:tcPr>
          <w:p>
            <w:pPr/>
          </w:p>
        </w:tc>
        <w:tc>
          <w:tcPr>
            <w:tcW w:w="1510" w:type="dxa"/>
            <w:tcBorders>
              <w:top w:val="nil"/>
              <w:left w:val="nil"/>
              <w:bottom w:val="nil"/>
              <w:right w:val="nil"/>
            </w:tcBorders>
          </w:tcPr>
          <w:p>
            <w:pPr/>
          </w:p>
        </w:tc>
        <w:tc>
          <w:tcPr>
            <w:tcW w:w="1704" w:type="dxa"/>
            <w:tcBorders>
              <w:top w:val="nil"/>
              <w:left w:val="nil"/>
              <w:bottom w:val="nil"/>
              <w:right w:val="nil"/>
            </w:tcBorders>
          </w:tcPr>
          <w:p>
            <w:pPr>
              <w:pStyle w:val="TableParagraph"/>
              <w:spacing w:before="108"/>
              <w:ind w:left="224"/>
              <w:rPr>
                <w:sz w:val="24"/>
              </w:rPr>
            </w:pPr>
            <w:r>
              <w:rPr>
                <w:sz w:val="24"/>
              </w:rPr>
              <w:t>α-linolénico</w:t>
            </w:r>
          </w:p>
        </w:tc>
        <w:tc>
          <w:tcPr>
            <w:tcW w:w="1761" w:type="dxa"/>
            <w:tcBorders>
              <w:top w:val="nil"/>
              <w:left w:val="nil"/>
              <w:bottom w:val="nil"/>
              <w:right w:val="nil"/>
            </w:tcBorders>
          </w:tcPr>
          <w:p>
            <w:pPr>
              <w:pStyle w:val="TableParagraph"/>
              <w:spacing w:before="108"/>
              <w:ind w:left="220" w:right="226"/>
              <w:jc w:val="center"/>
              <w:rPr>
                <w:sz w:val="24"/>
              </w:rPr>
            </w:pPr>
            <w:r>
              <w:rPr>
                <w:sz w:val="24"/>
              </w:rPr>
              <w:t>C18:3n-3</w:t>
            </w:r>
          </w:p>
        </w:tc>
        <w:tc>
          <w:tcPr>
            <w:tcW w:w="2180" w:type="dxa"/>
            <w:tcBorders>
              <w:top w:val="nil"/>
              <w:left w:val="nil"/>
              <w:bottom w:val="nil"/>
              <w:right w:val="nil"/>
            </w:tcBorders>
          </w:tcPr>
          <w:p>
            <w:pPr>
              <w:pStyle w:val="TableParagraph"/>
              <w:spacing w:before="108"/>
              <w:ind w:left="635" w:right="602"/>
              <w:jc w:val="center"/>
              <w:rPr>
                <w:sz w:val="24"/>
              </w:rPr>
            </w:pPr>
            <w:r>
              <w:rPr>
                <w:sz w:val="24"/>
              </w:rPr>
              <w:t>9,12,15</w:t>
            </w:r>
          </w:p>
        </w:tc>
      </w:tr>
      <w:tr>
        <w:trPr>
          <w:trHeight w:val="637" w:hRule="exact"/>
        </w:trPr>
        <w:tc>
          <w:tcPr>
            <w:tcW w:w="1916" w:type="dxa"/>
            <w:tcBorders>
              <w:top w:val="nil"/>
              <w:left w:val="nil"/>
              <w:right w:val="nil"/>
            </w:tcBorders>
          </w:tcPr>
          <w:p>
            <w:pPr/>
          </w:p>
        </w:tc>
        <w:tc>
          <w:tcPr>
            <w:tcW w:w="1510" w:type="dxa"/>
            <w:tcBorders>
              <w:top w:val="nil"/>
              <w:left w:val="nil"/>
              <w:right w:val="nil"/>
            </w:tcBorders>
          </w:tcPr>
          <w:p>
            <w:pPr/>
          </w:p>
        </w:tc>
        <w:tc>
          <w:tcPr>
            <w:tcW w:w="1704" w:type="dxa"/>
            <w:tcBorders>
              <w:top w:val="nil"/>
              <w:left w:val="nil"/>
              <w:right w:val="nil"/>
            </w:tcBorders>
          </w:tcPr>
          <w:p>
            <w:pPr>
              <w:pStyle w:val="TableParagraph"/>
              <w:spacing w:before="107"/>
              <w:ind w:left="145"/>
              <w:rPr>
                <w:sz w:val="24"/>
              </w:rPr>
            </w:pPr>
            <w:r>
              <w:rPr>
                <w:sz w:val="24"/>
              </w:rPr>
              <w:t>Estearidónico</w:t>
            </w:r>
          </w:p>
        </w:tc>
        <w:tc>
          <w:tcPr>
            <w:tcW w:w="1761" w:type="dxa"/>
            <w:tcBorders>
              <w:top w:val="nil"/>
              <w:left w:val="nil"/>
              <w:right w:val="nil"/>
            </w:tcBorders>
          </w:tcPr>
          <w:p>
            <w:pPr>
              <w:pStyle w:val="TableParagraph"/>
              <w:spacing w:before="107"/>
              <w:ind w:left="220" w:right="226"/>
              <w:jc w:val="center"/>
              <w:rPr>
                <w:sz w:val="24"/>
              </w:rPr>
            </w:pPr>
            <w:r>
              <w:rPr>
                <w:sz w:val="24"/>
              </w:rPr>
              <w:t>C18:4n-3</w:t>
            </w:r>
          </w:p>
        </w:tc>
        <w:tc>
          <w:tcPr>
            <w:tcW w:w="2180" w:type="dxa"/>
            <w:tcBorders>
              <w:top w:val="nil"/>
              <w:left w:val="nil"/>
              <w:right w:val="nil"/>
            </w:tcBorders>
          </w:tcPr>
          <w:p>
            <w:pPr>
              <w:pStyle w:val="TableParagraph"/>
              <w:spacing w:before="107"/>
              <w:ind w:left="638" w:right="602"/>
              <w:jc w:val="center"/>
              <w:rPr>
                <w:sz w:val="24"/>
              </w:rPr>
            </w:pPr>
            <w:r>
              <w:rPr>
                <w:sz w:val="24"/>
              </w:rPr>
              <w:t>6,9,12,15</w:t>
            </w:r>
          </w:p>
        </w:tc>
      </w:tr>
    </w:tbl>
    <w:p>
      <w:pPr>
        <w:spacing w:line="223" w:lineRule="exact" w:before="0"/>
        <w:ind w:left="232" w:right="121" w:firstLine="0"/>
        <w:jc w:val="left"/>
        <w:rPr>
          <w:sz w:val="20"/>
        </w:rPr>
      </w:pPr>
      <w:r>
        <w:rPr>
          <w:position w:val="7"/>
          <w:sz w:val="13"/>
        </w:rPr>
        <w:t>¶</w:t>
      </w:r>
      <w:r>
        <w:rPr>
          <w:sz w:val="20"/>
        </w:rPr>
        <w:t>CX:Yn-Z, X = número de carbonos; Y = número de dobles enlaces; Z = posición del primer doble enlace</w:t>
      </w:r>
    </w:p>
    <w:p>
      <w:pPr>
        <w:spacing w:line="362" w:lineRule="auto" w:before="115"/>
        <w:ind w:left="232" w:right="121" w:firstLine="0"/>
        <w:jc w:val="left"/>
        <w:rPr>
          <w:sz w:val="20"/>
        </w:rPr>
      </w:pPr>
      <w:r>
        <w:rPr>
          <w:sz w:val="20"/>
        </w:rPr>
        <w:t>numerado del final de la cadena de carbonos (ω-Z también es utilizado frecuentemente) (Adaptado de Kalac y Samkova, 2010).</w:t>
      </w:r>
    </w:p>
    <w:p>
      <w:pPr>
        <w:spacing w:after="0" w:line="362" w:lineRule="auto"/>
        <w:jc w:val="left"/>
        <w:rPr>
          <w:sz w:val="20"/>
        </w:rPr>
        <w:sectPr>
          <w:pgSz w:w="12240" w:h="15840"/>
          <w:pgMar w:header="1150" w:footer="1336" w:top="1340" w:bottom="1520" w:left="1640" w:right="1300"/>
        </w:sectPr>
      </w:pPr>
    </w:p>
    <w:p>
      <w:pPr>
        <w:pStyle w:val="BodyText"/>
        <w:rPr>
          <w:sz w:val="20"/>
        </w:rPr>
      </w:pPr>
    </w:p>
    <w:p>
      <w:pPr>
        <w:pStyle w:val="BodyText"/>
        <w:spacing w:before="9"/>
        <w:rPr>
          <w:sz w:val="19"/>
        </w:rPr>
      </w:pPr>
    </w:p>
    <w:p>
      <w:pPr>
        <w:pStyle w:val="Heading1"/>
        <w:numPr>
          <w:ilvl w:val="1"/>
          <w:numId w:val="6"/>
        </w:numPr>
        <w:tabs>
          <w:tab w:pos="573" w:val="left" w:leader="none"/>
        </w:tabs>
        <w:spacing w:line="240" w:lineRule="auto" w:before="0" w:after="0"/>
        <w:ind w:left="572" w:right="0" w:hanging="420"/>
        <w:jc w:val="both"/>
      </w:pPr>
      <w:bookmarkStart w:name="_bookmark11" w:id="19"/>
      <w:bookmarkEnd w:id="19"/>
      <w:r>
        <w:rPr>
          <w:b w:val="0"/>
        </w:rPr>
      </w:r>
      <w:bookmarkStart w:name="_bookmark11" w:id="20"/>
      <w:bookmarkEnd w:id="20"/>
      <w:r>
        <w:rPr/>
        <w:t>El</w:t>
      </w:r>
      <w:r>
        <w:rPr/>
        <w:t> ácido linoleico conjugado</w:t>
      </w:r>
      <w:r>
        <w:rPr>
          <w:spacing w:val="-7"/>
        </w:rPr>
        <w:t> </w:t>
      </w:r>
      <w:r>
        <w:rPr/>
        <w:t>(CLA)</w:t>
      </w:r>
    </w:p>
    <w:p>
      <w:pPr>
        <w:pStyle w:val="BodyText"/>
        <w:spacing w:before="6"/>
        <w:rPr>
          <w:b/>
          <w:sz w:val="23"/>
        </w:rPr>
      </w:pPr>
    </w:p>
    <w:p>
      <w:pPr>
        <w:pStyle w:val="BodyText"/>
        <w:spacing w:line="480" w:lineRule="auto"/>
        <w:ind w:left="152" w:right="165"/>
        <w:jc w:val="both"/>
      </w:pPr>
      <w:r>
        <w:rPr/>
        <w:t>Los AG están unidos al glicerol principalmente, así forman los complejos tri, di y monoglicéridos. Se han definido como cada uno de los ácidos orgánicos monocarboxílicos, generalmente con un número elevado de átomos de carbono. Los AG de cadena corta (&lt;12 carbonos) son sintetizados en la glándula mamaria pero los AG de cadena larga provienen en gran medida de la dieta. En el rumen suceden dos importantes procesos consecutivos de los lípidos: la lipolisis y la biohidrogenación. La lipolisis es la liberación de los AG del éster y la biohidrogenación es la reducción del número de dobles enlaces y la saturación de hidrogeno en los carbonos en la cadena del AG (Figura</w:t>
      </w:r>
      <w:r>
        <w:rPr>
          <w:spacing w:val="-9"/>
        </w:rPr>
        <w:t> </w:t>
      </w:r>
      <w:r>
        <w:rPr/>
        <w:t>5).</w:t>
      </w:r>
    </w:p>
    <w:p>
      <w:pPr>
        <w:pStyle w:val="BodyText"/>
        <w:spacing w:before="2"/>
        <w:rPr>
          <w:sz w:val="15"/>
        </w:rPr>
      </w:pPr>
      <w:r>
        <w:rPr/>
        <w:drawing>
          <wp:anchor distT="0" distB="0" distL="0" distR="0" allowOverlap="1" layoutInCell="1" locked="0" behindDoc="0" simplePos="0" relativeHeight="1192">
            <wp:simplePos x="0" y="0"/>
            <wp:positionH relativeFrom="page">
              <wp:posOffset>1188719</wp:posOffset>
            </wp:positionH>
            <wp:positionV relativeFrom="paragraph">
              <wp:posOffset>135956</wp:posOffset>
            </wp:positionV>
            <wp:extent cx="5690234" cy="2126932"/>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4" cstate="print"/>
                    <a:stretch>
                      <a:fillRect/>
                    </a:stretch>
                  </pic:blipFill>
                  <pic:spPr>
                    <a:xfrm>
                      <a:off x="0" y="0"/>
                      <a:ext cx="5690234" cy="2126932"/>
                    </a:xfrm>
                    <a:prstGeom prst="rect">
                      <a:avLst/>
                    </a:prstGeom>
                  </pic:spPr>
                </pic:pic>
              </a:graphicData>
            </a:graphic>
          </wp:anchor>
        </w:drawing>
      </w:r>
    </w:p>
    <w:p>
      <w:pPr>
        <w:pStyle w:val="BodyText"/>
        <w:spacing w:before="8"/>
      </w:pPr>
    </w:p>
    <w:p>
      <w:pPr>
        <w:pStyle w:val="BodyText"/>
        <w:ind w:left="951"/>
      </w:pPr>
      <w:r>
        <w:rPr/>
        <w:t>Figura 5. Lipolisis y biohidrogenación (Adaptado de Buccioni et al., 2012).</w:t>
      </w:r>
    </w:p>
    <w:p>
      <w:pPr>
        <w:pStyle w:val="BodyText"/>
      </w:pPr>
    </w:p>
    <w:p>
      <w:pPr>
        <w:pStyle w:val="BodyText"/>
      </w:pPr>
    </w:p>
    <w:p>
      <w:pPr>
        <w:pStyle w:val="BodyText"/>
        <w:spacing w:before="8"/>
        <w:rPr>
          <w:sz w:val="34"/>
        </w:rPr>
      </w:pPr>
    </w:p>
    <w:p>
      <w:pPr>
        <w:pStyle w:val="BodyText"/>
        <w:spacing w:line="480" w:lineRule="auto"/>
        <w:ind w:left="152" w:right="168"/>
        <w:jc w:val="both"/>
      </w:pPr>
      <w:r>
        <w:rPr/>
        <w:t>Los AG que escapan de la biohidrogenación pueden llegar a la glándula mamaria y ser secretados en la leche. En la leche de rumiantes se han identificado más de 400 ácidos grasos (Bauman et al., 2001), el AG que toma una mayor importancia es el ácido linoleico conjugado (CLA). Éste AG incluye una serie de isómeros posicionales (7,9; 8,10; 9,11;</w:t>
      </w:r>
    </w:p>
    <w:p>
      <w:pPr>
        <w:spacing w:after="0" w:line="480" w:lineRule="auto"/>
        <w:jc w:val="both"/>
        <w:sectPr>
          <w:pgSz w:w="12240" w:h="15840"/>
          <w:pgMar w:header="1150" w:footer="1336" w:top="1340" w:bottom="1520" w:left="1720" w:right="1360"/>
        </w:sectPr>
      </w:pPr>
    </w:p>
    <w:p>
      <w:pPr>
        <w:pStyle w:val="BodyText"/>
        <w:rPr>
          <w:sz w:val="20"/>
        </w:rPr>
      </w:pPr>
    </w:p>
    <w:p>
      <w:pPr>
        <w:pStyle w:val="BodyText"/>
        <w:spacing w:before="4"/>
        <w:rPr>
          <w:sz w:val="19"/>
        </w:rPr>
      </w:pPr>
    </w:p>
    <w:p>
      <w:pPr>
        <w:pStyle w:val="BodyText"/>
        <w:spacing w:line="477" w:lineRule="auto"/>
        <w:ind w:left="152" w:right="143"/>
        <w:jc w:val="both"/>
      </w:pPr>
      <w:r>
        <w:rPr/>
        <w:t>10,12 y 11,13) y geométricos (cis o trans) del AG linoleico (C18:2 c9 c12). Los dos isómeros mayoritarios que se encuentran de forma natural en los alimentos y que tienen actividad biológica son el C18:2 c9 t11 y el C18:2 t10 c12 (Haro et al., 2006). Los isómeros del CLA presentes en la leche pueden tener dos orígenes, una mínima parte proviene de la isomerización del C18:2 c9 c12 de la dieta que escapa de la biohidrogenación ruminal y la gran mayoría se forma en la glándula mamaria por acción principalmente de la enzima </w:t>
      </w:r>
      <w:r>
        <w:rPr>
          <w:spacing w:val="3"/>
        </w:rPr>
        <w:t>Δ</w:t>
      </w:r>
      <w:r>
        <w:rPr>
          <w:spacing w:val="3"/>
          <w:position w:val="9"/>
          <w:sz w:val="16"/>
        </w:rPr>
        <w:t>9 </w:t>
      </w:r>
      <w:r>
        <w:rPr/>
        <w:t>desaturasa utilizando el AG vaccénico (C18:1 t11) como sustrato (Figura 6). </w:t>
      </w:r>
      <w:r>
        <w:rPr>
          <w:spacing w:val="-3"/>
        </w:rPr>
        <w:t>La </w:t>
      </w:r>
      <w:r>
        <w:rPr/>
        <w:t>producción del C18:2 c9 t11 y del C18: 1 t11 por los rumiantes se ha descrito detalladamente en las revisiones de Bauman et al. (1999) y Buccioni et al. (2012). El C18:3 c9 c12 c15 se isomeriza a C18:3 c9 t11 c15, posteriormente se reduce a C18:2 t11 c15 y después a C18:1 t11 y por último al C18:0; similarmente el C18:2 c9 c12 se isomeriza en C18:2 c9 t11, después se reduce en C18:1 t11 y en su mayoría termina en C18:0. Los AG producidos en  el proceso de biohidrogenación del rumen se han encontrado en la leche, pero la mayor parte del C18:2 c9 t11 proviene de la síntesis </w:t>
      </w:r>
      <w:r>
        <w:rPr>
          <w:i/>
        </w:rPr>
        <w:t>de novo </w:t>
      </w:r>
      <w:r>
        <w:rPr/>
        <w:t>en la glándula mamaria por acción de la enzima Δ</w:t>
      </w:r>
      <w:r>
        <w:rPr>
          <w:position w:val="9"/>
          <w:sz w:val="16"/>
        </w:rPr>
        <w:t>9 </w:t>
      </w:r>
      <w:r>
        <w:rPr/>
        <w:t>desaturasa utilizando el C18:1 t11 como sustrato (Bauman et al., 1999; Sun y Gibbs.</w:t>
      </w:r>
      <w:r>
        <w:rPr>
          <w:spacing w:val="-1"/>
        </w:rPr>
        <w:t> </w:t>
      </w:r>
      <w:r>
        <w:rPr/>
        <w:t>2012).</w:t>
      </w:r>
    </w:p>
    <w:p>
      <w:pPr>
        <w:pStyle w:val="BodyText"/>
        <w:spacing w:line="477" w:lineRule="auto" w:before="209"/>
        <w:ind w:left="152" w:right="144"/>
        <w:jc w:val="both"/>
      </w:pPr>
      <w:r>
        <w:rPr/>
        <w:t>El C18:1 t11 es un mayoritario AG </w:t>
      </w:r>
      <w:r>
        <w:rPr>
          <w:i/>
        </w:rPr>
        <w:t>trans </w:t>
      </w:r>
      <w:r>
        <w:rPr/>
        <w:t>de la grasa de la leche, constituye alrededor de 1.7% (rango: 0.4-4%) del total de AG; éste es un intermediario de la biohidrogenación de los AGPI de 18 carbonos a C18:0 en el rumen y el mayor precursor del C18:2 c9 t11 en la grasa de la leche. El consumo del C18:1 t11 incrementa los niveles del C18:2 c9 t11 en el suero sanguíneo en humanos, lo que sugiere la acción de la enzima Δ</w:t>
      </w:r>
      <w:r>
        <w:rPr>
          <w:position w:val="9"/>
          <w:sz w:val="16"/>
        </w:rPr>
        <w:t>9 </w:t>
      </w:r>
      <w:r>
        <w:rPr/>
        <w:t>desaturasa sobre el C18:2 c9 t11 (Salminen et al., 1998; Adlof et al., 2000; Turpeinen et al., 2002). Una alta</w:t>
      </w:r>
    </w:p>
    <w:p>
      <w:pPr>
        <w:spacing w:after="0" w:line="477"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3"/>
        <w:jc w:val="both"/>
      </w:pPr>
      <w:r>
        <w:rPr/>
        <w:t>disponibilidad de C18:1 t11 en la dieta puede incrementar los niveles de C18:2 c9 t11 (vía desaturación en el hígado) en ratas en etapa de lactación; el C18:2 c9 t11 presente en su leche es fácilmente transferible a sus crías (Loor et al., 2002). Un mecanismo similar puede ocurrir en la etapa de lactación del humano.</w:t>
      </w:r>
    </w:p>
    <w:p>
      <w:pPr>
        <w:pStyle w:val="BodyText"/>
        <w:spacing w:before="3"/>
        <w:rPr>
          <w:sz w:val="15"/>
        </w:rPr>
      </w:pPr>
      <w:r>
        <w:rPr/>
        <w:drawing>
          <wp:anchor distT="0" distB="0" distL="0" distR="0" allowOverlap="1" layoutInCell="1" locked="0" behindDoc="0" simplePos="0" relativeHeight="1216">
            <wp:simplePos x="0" y="0"/>
            <wp:positionH relativeFrom="page">
              <wp:posOffset>1203960</wp:posOffset>
            </wp:positionH>
            <wp:positionV relativeFrom="paragraph">
              <wp:posOffset>136337</wp:posOffset>
            </wp:positionV>
            <wp:extent cx="5622323" cy="3218688"/>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5" cstate="print"/>
                    <a:stretch>
                      <a:fillRect/>
                    </a:stretch>
                  </pic:blipFill>
                  <pic:spPr>
                    <a:xfrm>
                      <a:off x="0" y="0"/>
                      <a:ext cx="5622323" cy="3218688"/>
                    </a:xfrm>
                    <a:prstGeom prst="rect">
                      <a:avLst/>
                    </a:prstGeom>
                  </pic:spPr>
                </pic:pic>
              </a:graphicData>
            </a:graphic>
          </wp:anchor>
        </w:drawing>
      </w:r>
    </w:p>
    <w:p>
      <w:pPr>
        <w:pStyle w:val="BodyText"/>
        <w:spacing w:before="4"/>
        <w:rPr>
          <w:sz w:val="22"/>
        </w:rPr>
      </w:pPr>
    </w:p>
    <w:p>
      <w:pPr>
        <w:pStyle w:val="BodyText"/>
        <w:ind w:left="970"/>
      </w:pPr>
      <w:r>
        <w:rPr/>
        <w:t>Figura 6. Formación de los isómeros más importantes del CLA en la leche.</w:t>
      </w:r>
    </w:p>
    <w:p>
      <w:pPr>
        <w:pStyle w:val="BodyText"/>
      </w:pPr>
    </w:p>
    <w:p>
      <w:pPr>
        <w:pStyle w:val="BodyText"/>
      </w:pPr>
    </w:p>
    <w:p>
      <w:pPr>
        <w:pStyle w:val="BodyText"/>
        <w:spacing w:before="7"/>
        <w:rPr>
          <w:sz w:val="34"/>
        </w:rPr>
      </w:pPr>
    </w:p>
    <w:p>
      <w:pPr>
        <w:pStyle w:val="BodyText"/>
        <w:spacing w:line="477" w:lineRule="auto"/>
        <w:ind w:left="152" w:right="149"/>
        <w:jc w:val="both"/>
      </w:pPr>
      <w:r>
        <w:rPr/>
        <w:t>En la isomerización del AG oleico (C18:1 c9) se han observado distintos conjugados que van desde C18:1 t6 hasta el t16 pudiendo reducirse y formar esteárico; el C18:1 t7 puede llegar a la glándula mamaria y ser desaturado por la enzima Δ</w:t>
      </w:r>
      <w:r>
        <w:rPr>
          <w:position w:val="9"/>
          <w:sz w:val="16"/>
        </w:rPr>
        <w:t>9 </w:t>
      </w:r>
      <w:r>
        <w:rPr/>
        <w:t>desaturasa y así formar el isómero C18:2 t7 c9, otro CLA. Mosley et al. (2002) observaron más de 50% del C18:1 c9 convertido en C18:0 en un estudio después de 48 h de incubación de éste AG.</w:t>
      </w:r>
    </w:p>
    <w:p>
      <w:pPr>
        <w:spacing w:after="0" w:line="477"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8"/>
        <w:jc w:val="both"/>
      </w:pPr>
      <w:r>
        <w:rPr/>
        <w:t>El AG linoleico se isómeriza a la vez en C18:2 c9 t11 y en C18:2 t10 c12, la producción de estos dependerá del pH ruminal y del crecimiento de microorganismos específicos, así encontramos mayor contenido de C18:2 c9 t11 en el rumen comparado con C18:2 t10 c12 cuando se alimenta mayormente con forrajes y de manera contraria cuando se alimenta con concentrados (Bauman et al., 1999).</w:t>
      </w:r>
    </w:p>
    <w:p>
      <w:pPr>
        <w:pStyle w:val="BodyText"/>
        <w:spacing w:before="3"/>
        <w:rPr>
          <w:sz w:val="15"/>
        </w:rPr>
      </w:pPr>
      <w:r>
        <w:rPr/>
        <w:drawing>
          <wp:anchor distT="0" distB="0" distL="0" distR="0" allowOverlap="1" layoutInCell="1" locked="0" behindDoc="0" simplePos="0" relativeHeight="1240">
            <wp:simplePos x="0" y="0"/>
            <wp:positionH relativeFrom="page">
              <wp:posOffset>1937004</wp:posOffset>
            </wp:positionH>
            <wp:positionV relativeFrom="paragraph">
              <wp:posOffset>136337</wp:posOffset>
            </wp:positionV>
            <wp:extent cx="4103265" cy="1490852"/>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16" cstate="print"/>
                    <a:stretch>
                      <a:fillRect/>
                    </a:stretch>
                  </pic:blipFill>
                  <pic:spPr>
                    <a:xfrm>
                      <a:off x="0" y="0"/>
                      <a:ext cx="4103265" cy="1490852"/>
                    </a:xfrm>
                    <a:prstGeom prst="rect">
                      <a:avLst/>
                    </a:prstGeom>
                  </pic:spPr>
                </pic:pic>
              </a:graphicData>
            </a:graphic>
          </wp:anchor>
        </w:drawing>
      </w:r>
    </w:p>
    <w:p>
      <w:pPr>
        <w:pStyle w:val="BodyText"/>
        <w:spacing w:before="3"/>
        <w:rPr>
          <w:sz w:val="28"/>
        </w:rPr>
      </w:pPr>
    </w:p>
    <w:p>
      <w:pPr>
        <w:pStyle w:val="BodyText"/>
        <w:spacing w:line="362" w:lineRule="auto"/>
        <w:ind w:left="4201" w:right="490" w:hanging="3690"/>
      </w:pPr>
      <w:r>
        <w:rPr/>
        <w:t>Figura 7. Estructura del ácido linoleico y sus isómeros más comunes biológicamente activos.</w:t>
      </w:r>
    </w:p>
    <w:p>
      <w:pPr>
        <w:pStyle w:val="BodyText"/>
      </w:pPr>
    </w:p>
    <w:p>
      <w:pPr>
        <w:pStyle w:val="BodyText"/>
      </w:pPr>
    </w:p>
    <w:p>
      <w:pPr>
        <w:pStyle w:val="BodyText"/>
        <w:spacing w:before="9"/>
        <w:rPr>
          <w:sz w:val="22"/>
        </w:rPr>
      </w:pPr>
    </w:p>
    <w:p>
      <w:pPr>
        <w:pStyle w:val="BodyText"/>
        <w:spacing w:line="480" w:lineRule="auto" w:before="1"/>
        <w:ind w:left="152" w:right="148"/>
        <w:jc w:val="both"/>
      </w:pPr>
      <w:r>
        <w:rPr/>
        <w:t>La ingestión de C18:2 c9 t11 por animales y el hombre no tiene efectos adversos con una intervención a largo plazo y puede en realidad ser beneficioso en la reducción de la grasa corporal y con efectos antiaterogénicos (Bhattacharya et al., 2006). La atención actual está en incrementar la concentración de AG deseables en los productos de rumiantes, así las enfermedades cardiovasculares podrían ser reducidas por el bajo consumo de AG saturados indeseables y/o por la alteración en el perfil de AG de la grasa consumida (Elgersma et al., 2006).</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4"/>
        <w:jc w:val="both"/>
      </w:pPr>
      <w:r>
        <w:rPr/>
        <w:t>El CLA está presente especialmente y de manera importante en los productos de los rumiantes, éste es un componente funcional que tiene efectos positivos sobre la salud humana y prevención de enfermedades (Parodi, 1997); entre las propiedades beneficiosas  se incluye la reducción de grasa corporal, alteración de la metabolización de nutrientes, efectos antidiabéticos, reducción en el desarrollo de ateroesclerosis, mejora en la mineralización ósea y la modulación del sistema inmune (Belury, 1995; Houseknecht et al., 1998). El principal isómero del CLA es el C18:2 c9 t11 que llega a representar entre el 75  al 90% del total de isómeros del CLA en leche (Belury, 2002; Bauman et al., 2006), el cual ha demostrado una reducción de la incidencia de tumores en modelos animales (Ip et al., 1999) y posiblemente en humanos (Aro et al., 2000; Belury, 2002). Aproximadamente 75% de nuestro consumo de CLA es aportado por los productos lácteos, y su presencia en leche está relacionada con la biohidrogenación de los AGPI en el rumen (Bauman et al., 2006).  Al igual que ocurre en los animales rumiantes, en el organismo humano (principalmente en la glándula mamaria) el C18:1 t11 puede convertirse en C18:2 c9 t11 por acción de la enzima Δ</w:t>
      </w:r>
      <w:r>
        <w:rPr>
          <w:position w:val="9"/>
          <w:sz w:val="16"/>
        </w:rPr>
        <w:t>9 </w:t>
      </w:r>
      <w:r>
        <w:rPr/>
        <w:t>desaturasa. Esta conversión contribuye a aumentar la cantidad de C18:2 c9 t11 disponible en el organismo, por lo que la ingesta dietética de C18:1 t11 debe tenerse en cuenta a la hora de predecir el estado del C18:2 c9 t11 (Turpeinen et al.,</w:t>
      </w:r>
      <w:r>
        <w:rPr>
          <w:spacing w:val="-10"/>
        </w:rPr>
        <w:t> </w:t>
      </w:r>
      <w:r>
        <w:rPr/>
        <w:t>2002).</w:t>
      </w:r>
    </w:p>
    <w:p>
      <w:pPr>
        <w:pStyle w:val="BodyText"/>
        <w:spacing w:line="480" w:lineRule="auto" w:before="207"/>
        <w:ind w:left="152" w:right="149"/>
        <w:jc w:val="both"/>
      </w:pPr>
      <w:r>
        <w:rPr/>
        <w:t>La Figura 8 muestra algunos beneficios que ha demostrado el CLA en modelos animales y probablemente este efecto sea similar en el organismo humano, así se tiene una reducción de carcinogénesis, prevención de la aterosclerosis, de diabetes mellitus, inmunomodulación y la reducción de la grasa</w:t>
      </w:r>
      <w:r>
        <w:rPr>
          <w:spacing w:val="-10"/>
        </w:rPr>
        <w:t> </w:t>
      </w:r>
      <w:r>
        <w:rPr/>
        <w:t>corporal.</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8"/>
        <w:jc w:val="both"/>
      </w:pPr>
      <w:r>
        <w:rPr/>
        <w:t>El C18:2 c9 t11 y los AGPI omega-3 de cadena larga han mostrado, tanto in vivo como in vitro, capacidad anticancerígena, </w:t>
      </w:r>
      <w:r>
        <w:rPr>
          <w:spacing w:val="-3"/>
        </w:rPr>
        <w:t>ya </w:t>
      </w:r>
      <w:r>
        <w:rPr/>
        <w:t>que ejercen un efecto directo sobre las distintas fases del desarrollo del tumor </w:t>
      </w:r>
      <w:r>
        <w:rPr>
          <w:spacing w:val="-3"/>
        </w:rPr>
        <w:t>y/o </w:t>
      </w:r>
      <w:r>
        <w:rPr/>
        <w:t>actúan en el sistema inmunitario del hospedador (Field y  Schely 2004). Estudios en animales de experimentación y con cultivos celulares muestran que el CLA puede eliminar o disminuir el desarrollo de tumores inducidos químicamente  en la glándula mamaria, piel y colon, si bien los posibles mecanismos específicos de inhibición de los distintos tumores son muy complejos (Lee et al.,</w:t>
      </w:r>
      <w:r>
        <w:rPr>
          <w:spacing w:val="-14"/>
        </w:rPr>
        <w:t> </w:t>
      </w:r>
      <w:r>
        <w:rPr/>
        <w:t>2005).</w:t>
      </w:r>
    </w:p>
    <w:p>
      <w:pPr>
        <w:pStyle w:val="BodyText"/>
        <w:spacing w:before="2"/>
        <w:rPr>
          <w:sz w:val="15"/>
        </w:rPr>
      </w:pPr>
      <w:r>
        <w:rPr/>
        <w:drawing>
          <wp:anchor distT="0" distB="0" distL="0" distR="0" allowOverlap="1" layoutInCell="1" locked="0" behindDoc="0" simplePos="0" relativeHeight="1264">
            <wp:simplePos x="0" y="0"/>
            <wp:positionH relativeFrom="page">
              <wp:posOffset>1226819</wp:posOffset>
            </wp:positionH>
            <wp:positionV relativeFrom="paragraph">
              <wp:posOffset>135956</wp:posOffset>
            </wp:positionV>
            <wp:extent cx="5264040" cy="3699510"/>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7" cstate="print"/>
                    <a:stretch>
                      <a:fillRect/>
                    </a:stretch>
                  </pic:blipFill>
                  <pic:spPr>
                    <a:xfrm>
                      <a:off x="0" y="0"/>
                      <a:ext cx="5264040" cy="3699510"/>
                    </a:xfrm>
                    <a:prstGeom prst="rect">
                      <a:avLst/>
                    </a:prstGeom>
                  </pic:spPr>
                </pic:pic>
              </a:graphicData>
            </a:graphic>
          </wp:anchor>
        </w:drawing>
      </w:r>
    </w:p>
    <w:p>
      <w:pPr>
        <w:pStyle w:val="BodyText"/>
      </w:pPr>
    </w:p>
    <w:p>
      <w:pPr>
        <w:pStyle w:val="BodyText"/>
        <w:spacing w:line="276" w:lineRule="auto" w:before="146"/>
        <w:ind w:left="2065" w:hanging="1517"/>
      </w:pPr>
      <w:r>
        <w:rPr/>
        <w:t>Figura 8. Aporte y posibles efectos benéficos del ácido linoleico conjugado sobre el organismo humano (Adaptado de Haro et al., 2006).</w:t>
      </w:r>
    </w:p>
    <w:p>
      <w:pPr>
        <w:spacing w:after="0" w:line="276" w:lineRule="auto"/>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6"/>
        <w:jc w:val="both"/>
      </w:pPr>
      <w:r>
        <w:rPr/>
        <w:t>El efecto lipolítico se relaciona principalmente con el C18:2 t10 c12, que presenta un importante efecto inhibidor de la lipoproteinlipasa, enzima responsable de la entrada de AG a los adipocitos, y un aumento de la actividad de la carnitina-palmitoiltransferasa I, enzima que limita la entrada de AG de cadena larga al interior de la mitocondria para su posterior oxidación (Pariza et al., 2001). De esta manera se incrementa la betaoxidación en el músculo esquelético favoreciendo la movilización del tejido adiposo, a la vez que se preservan las reservas proteicas; así se podría explicar la reducción del peso corporal (Haro et al., 2006). La inhibición de la actividad de la enzima lipoproteinlipasa también podría estar involucrada en el efecto modulador del peso corporal, ya que disminuiría la biodisponibilidad de los AG hacia los tejidos extra hepáticos (Lin et al., 2001).</w:t>
      </w:r>
    </w:p>
    <w:p>
      <w:pPr>
        <w:pStyle w:val="Heading1"/>
        <w:numPr>
          <w:ilvl w:val="1"/>
          <w:numId w:val="6"/>
        </w:numPr>
        <w:tabs>
          <w:tab w:pos="573" w:val="left" w:leader="none"/>
        </w:tabs>
        <w:spacing w:line="240" w:lineRule="auto" w:before="212" w:after="0"/>
        <w:ind w:left="572" w:right="0" w:hanging="420"/>
        <w:jc w:val="both"/>
      </w:pPr>
      <w:bookmarkStart w:name="_bookmark12" w:id="21"/>
      <w:bookmarkEnd w:id="21"/>
      <w:r>
        <w:rPr>
          <w:b w:val="0"/>
        </w:rPr>
      </w:r>
      <w:bookmarkStart w:name="_bookmark12" w:id="22"/>
      <w:bookmarkEnd w:id="22"/>
      <w:r>
        <w:rPr/>
        <w:t>M</w:t>
      </w:r>
      <w:r>
        <w:rPr/>
        <w:t>odificación del CLA en la leche de vacas en</w:t>
      </w:r>
      <w:r>
        <w:rPr>
          <w:spacing w:val="-13"/>
        </w:rPr>
        <w:t> </w:t>
      </w:r>
      <w:r>
        <w:rPr/>
        <w:t>pastoreo</w:t>
      </w:r>
    </w:p>
    <w:p>
      <w:pPr>
        <w:pStyle w:val="BodyText"/>
        <w:spacing w:before="7"/>
        <w:rPr>
          <w:b/>
          <w:sz w:val="23"/>
        </w:rPr>
      </w:pPr>
    </w:p>
    <w:p>
      <w:pPr>
        <w:pStyle w:val="BodyText"/>
        <w:spacing w:line="480" w:lineRule="auto"/>
        <w:ind w:left="152" w:right="148"/>
        <w:jc w:val="both"/>
      </w:pPr>
      <w:r>
        <w:rPr/>
        <w:t>Los factores ligados a la modificación de los componentes de la leche pueden estar agrupados en dos grandes categorías: 1) Intrinsecos o propios del animal los cuales  incluyen el genotipo, la edad, la etapa de lactación y la condición corporal; y 2) extrínsecos como la época del año, variaciones regionales, los sistemas de producción y la alimentación. Este último es la clave para producir una leche más saludable, así tenemos los diferentes efectos de la dieta sobre el metabolismo de los lípidos y a su vez pueden agruparse en tres clases según su método de acción: 1) factores que proporcionan estratos lipídicos para la biohidrogenación en el rumen (aceites vegetales, grasas de animales, semillas de oleaginosas); 2) factores que alteran el medio ambiente ruminal (forrajes, concentrados y aceites de pescado); 3) factores que combinan estratos lipídicos y modificación de la microbiota ruminal</w:t>
      </w:r>
      <w:r>
        <w:rPr>
          <w:spacing w:val="-9"/>
        </w:rPr>
        <w:t> </w:t>
      </w:r>
      <w:r>
        <w:rPr/>
        <w:t>(pasto).</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8"/>
        <w:jc w:val="both"/>
      </w:pPr>
      <w:r>
        <w:rPr/>
        <w:t>Existe un gran interés para alterar la composición de los AG de la leche bovina con el objetivo general de mejorar la salud a largo plazo de los consumidores (Kalac y Samkova, 2010). Bajo este contexto los investigadores e industria lechera se han dedicado al desarrollo de estrategias que alteren la composición de la grasa en leche, disminuyendo su contenido de AG saturados, particularmente de AG de cadena media C12:0, C14:0 y C16:0, e incrementando las concentraciones de C18:1 c9, AGPI omega-3 y CLA (específicamente el isómero C18:2 c9 t11) (Dewhurst et al., 2006). La manipulación de la dieta pueden  alterar el contenido de C18:2 c9 t11 en la grasa de la leche hasta cinco veces (Bauman et  al., 2001; Chilliard et al., 2001), aunque el contenido de C18:2 c9 11 no se ve afectado por el rendimiento de leche, contenido o rendimiento de grasa en la leche (Kelsey et al., 2003; Lock et al.,</w:t>
      </w:r>
      <w:r>
        <w:rPr>
          <w:spacing w:val="-5"/>
        </w:rPr>
        <w:t> </w:t>
      </w:r>
      <w:r>
        <w:rPr/>
        <w:t>2005).</w:t>
      </w:r>
    </w:p>
    <w:p>
      <w:pPr>
        <w:pStyle w:val="BodyText"/>
        <w:spacing w:line="480" w:lineRule="auto" w:before="207"/>
        <w:ind w:left="152" w:right="147"/>
        <w:jc w:val="both"/>
      </w:pPr>
      <w:r>
        <w:rPr/>
        <w:t>Estudios demuestran que rumiantes alimentados únicamente con pasto, los contenidos de CLA en leche de vaca son más altos que en donde se aportan dietas completas mezcladas (Kelly et al., 1998; Dhiman et al., 1999; White et al., 2001; Kay et al., 2005; Bargo et al., 2006) o suplementando concentrados (Loor et al., 2002; Schroeder et al., 2003;  Wijesundera et al., 2003); así mismo, el efecto de la cantidad de pasto ofrecido o asignación de pasto (Stanton et al., 1997; Loor et al., 2003) parece incrementar el nivel de CLA en la grasa de la leche del ganado vacuno. Así mismo, existe una relación positiva entre el nivel de pasto en la dieta y el contenido del CLA en la leche (Vibart et al. 2008; Morales- Almaráz et al. 2010). Kelly et al. (1998), en un experimento con vacas lecheras, donde gradualmente se disminuyó el alimento con dietas completas mezcladas y tuvieron acceso  al pastoreo hasta alimentar a las vacas con solo pastoreo, la concentración de C18:3 c9 </w:t>
      </w:r>
      <w:r>
        <w:rPr>
          <w:spacing w:val="50"/>
        </w:rPr>
        <w:t> </w:t>
      </w:r>
      <w:r>
        <w:rPr/>
        <w:t>c12</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ind w:left="152"/>
        <w:jc w:val="both"/>
        <w:rPr>
          <w:i/>
        </w:rPr>
      </w:pPr>
      <w:r>
        <w:rPr/>
        <w:t>c15 en la grasa de la leche se triplicó (9.5 </w:t>
      </w:r>
      <w:r>
        <w:rPr>
          <w:i/>
        </w:rPr>
        <w:t>vs </w:t>
      </w:r>
      <w:r>
        <w:rPr/>
        <w:t>3.1 mg/g) y el C18:2 c9 t11 se duplicó (10.9 </w:t>
      </w:r>
      <w:r>
        <w:rPr>
          <w:i/>
        </w:rPr>
        <w:t>vs</w:t>
      </w:r>
    </w:p>
    <w:p>
      <w:pPr>
        <w:pStyle w:val="BodyText"/>
        <w:rPr>
          <w:i/>
        </w:rPr>
      </w:pPr>
    </w:p>
    <w:p>
      <w:pPr>
        <w:pStyle w:val="BodyText"/>
        <w:spacing w:line="480" w:lineRule="auto"/>
        <w:ind w:left="152" w:right="144"/>
        <w:jc w:val="both"/>
      </w:pPr>
      <w:r>
        <w:rPr/>
        <w:t>5.4 mg/g). Por su parte, Dhiman et al. (1999) observaron un similar comportamiento, con solo pastoreo y una tercera parte de la dieta total en pastoreo hubo un aumento de alrededor de 150% del ácido linolenico y CLA (8.1 </w:t>
      </w:r>
      <w:r>
        <w:rPr>
          <w:i/>
        </w:rPr>
        <w:t>vs </w:t>
      </w:r>
      <w:r>
        <w:rPr/>
        <w:t>20.2 y 8.9 </w:t>
      </w:r>
      <w:r>
        <w:rPr>
          <w:i/>
        </w:rPr>
        <w:t>vs </w:t>
      </w:r>
      <w:r>
        <w:rPr/>
        <w:t>22.1 mg/g de AG, respectivamente). Vibart et al. (2008) observaron un aumento lineal (P&lt;0.01) de los AG C18:2 c9 t11 y C18:3 c9 c12 c15 en leche cuando en la dieta se aumentó el nivel de pasto de 0, 21, 32 hasta 41% del total de la ración; una tendencia similar observaron Morales- Almaráz et al. (2010) al alimentar vacas lecheras con dietas completas mezcladas, complementadas con 0, 6 y 12 horas de</w:t>
      </w:r>
      <w:r>
        <w:rPr>
          <w:spacing w:val="-8"/>
        </w:rPr>
        <w:t> </w:t>
      </w:r>
      <w:r>
        <w:rPr/>
        <w:t>pastoreo.</w:t>
      </w:r>
    </w:p>
    <w:p>
      <w:pPr>
        <w:pStyle w:val="Heading1"/>
        <w:spacing w:before="212"/>
        <w:ind w:left="152"/>
        <w:jc w:val="both"/>
      </w:pPr>
      <w:bookmarkStart w:name="_bookmark13" w:id="23"/>
      <w:bookmarkEnd w:id="23"/>
      <w:r>
        <w:rPr>
          <w:b w:val="0"/>
        </w:rPr>
      </w:r>
      <w:r>
        <w:rPr/>
        <w:t>2.5.1. La adición de lípidos en la dieta de vacas lecheras en pastoreo</w:t>
      </w:r>
    </w:p>
    <w:p>
      <w:pPr>
        <w:pStyle w:val="BodyText"/>
        <w:spacing w:before="6"/>
        <w:rPr>
          <w:b/>
          <w:sz w:val="23"/>
        </w:rPr>
      </w:pPr>
    </w:p>
    <w:p>
      <w:pPr>
        <w:pStyle w:val="BodyText"/>
        <w:spacing w:line="480" w:lineRule="auto"/>
        <w:ind w:left="152" w:right="144"/>
        <w:jc w:val="both"/>
      </w:pPr>
      <w:r>
        <w:rPr/>
        <w:t>La calidad y producción de leche por vacas en sistemas basados en pastoreo son más variables comparadas con sistemas en estabulación y alimentadas con dietas completas mezcladas; además, las vacas son menos pesadas y tienen una menor condición corporal. Esto sugiere que el consumo de energía es el nutriente más limitante para la producción de leche y una suplementación estratégica es necesaria para obtener rendimientos productivos más altos (Kolver y Muller, 1998; Bargo et al., 2002). Alimentos concentrados basados en almidón proveen energía fermentable y mejora el balance proteína/energía potencializando así la síntesis de proteína microbiana y con ello la producción de leche (Rearte y Pieroni, 2001; Bargo et al., 2003).</w:t>
      </w:r>
    </w:p>
    <w:p>
      <w:pPr>
        <w:pStyle w:val="BodyText"/>
        <w:spacing w:line="480" w:lineRule="auto" w:before="207"/>
        <w:ind w:left="152" w:right="151"/>
        <w:jc w:val="both"/>
      </w:pPr>
      <w:r>
        <w:rPr/>
        <w:t>El alto merito genético de vacas lecheras ha llevado consigo la complementación de su alimentación con mayores cantidades de cereales, pero cuando se suministra por periodos</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6"/>
        <w:jc w:val="both"/>
      </w:pPr>
      <w:r>
        <w:rPr/>
        <w:t>prolongados puede disminuir el pH ruminal, reducir la digestibilidad de la fibra, disminuir la relación de los AGV acético:propionico por lo que llevaría por consecuencia el riesgo de una acidosis ruminal y la disminución de la cantidad de grasa en la leche (Bargo et al., 2003). Una estrategia para reducir dichos problemas es la complementación con grasas en  la dieta de vacas lecheras en sistemas de pastoreo (Kellaway y Porter, 1993; Schroeder et al.,</w:t>
      </w:r>
      <w:r>
        <w:rPr>
          <w:spacing w:val="-4"/>
        </w:rPr>
        <w:t> </w:t>
      </w:r>
      <w:r>
        <w:rPr/>
        <w:t>2002).</w:t>
      </w:r>
    </w:p>
    <w:p>
      <w:pPr>
        <w:pStyle w:val="BodyText"/>
        <w:spacing w:before="209"/>
        <w:ind w:left="152"/>
        <w:jc w:val="both"/>
      </w:pPr>
      <w:r>
        <w:rPr/>
        <w:t>La complementación con lípidos en las dietas puede tener las siguientes ventajas:</w:t>
      </w:r>
    </w:p>
    <w:p>
      <w:pPr>
        <w:pStyle w:val="BodyText"/>
      </w:pPr>
    </w:p>
    <w:p>
      <w:pPr>
        <w:pStyle w:val="ListParagraph"/>
        <w:numPr>
          <w:ilvl w:val="0"/>
          <w:numId w:val="7"/>
        </w:numPr>
        <w:tabs>
          <w:tab w:pos="513" w:val="left" w:leader="none"/>
        </w:tabs>
        <w:spacing w:line="472" w:lineRule="auto" w:before="199" w:after="0"/>
        <w:ind w:left="512" w:right="149" w:hanging="360"/>
        <w:jc w:val="both"/>
        <w:rPr>
          <w:sz w:val="24"/>
        </w:rPr>
      </w:pPr>
      <w:r>
        <w:rPr>
          <w:sz w:val="24"/>
        </w:rPr>
        <w:t>Incrementar la densidad energética de las dietas, debido a que las grasas contienen tres veces más energía neta de lactación comparado con los alimentos ricos en proteína y carbohidratos (Palmquist,</w:t>
      </w:r>
      <w:r>
        <w:rPr>
          <w:spacing w:val="-5"/>
          <w:sz w:val="24"/>
        </w:rPr>
        <w:t> </w:t>
      </w:r>
      <w:r>
        <w:rPr>
          <w:sz w:val="24"/>
        </w:rPr>
        <w:t>1984).</w:t>
      </w:r>
    </w:p>
    <w:p>
      <w:pPr>
        <w:pStyle w:val="ListParagraph"/>
        <w:numPr>
          <w:ilvl w:val="0"/>
          <w:numId w:val="7"/>
        </w:numPr>
        <w:tabs>
          <w:tab w:pos="513" w:val="left" w:leader="none"/>
        </w:tabs>
        <w:spacing w:line="472" w:lineRule="auto" w:before="18" w:after="0"/>
        <w:ind w:left="512" w:right="144" w:hanging="360"/>
        <w:jc w:val="both"/>
        <w:rPr>
          <w:sz w:val="24"/>
        </w:rPr>
      </w:pPr>
      <w:r>
        <w:rPr>
          <w:sz w:val="24"/>
        </w:rPr>
        <w:t>Mejorar la eficiencia energética porque reduce la pérdida de energía como calor y metano (Jenkins, 1993) y los AG provenientes de las dietas pueden ser incorporados a  la grasa de la leche (Wu y Huber, 1994; Garnsworthy,</w:t>
      </w:r>
      <w:r>
        <w:rPr>
          <w:spacing w:val="-12"/>
          <w:sz w:val="24"/>
        </w:rPr>
        <w:t> </w:t>
      </w:r>
      <w:r>
        <w:rPr>
          <w:sz w:val="24"/>
        </w:rPr>
        <w:t>1997).</w:t>
      </w:r>
    </w:p>
    <w:p>
      <w:pPr>
        <w:pStyle w:val="ListParagraph"/>
        <w:numPr>
          <w:ilvl w:val="0"/>
          <w:numId w:val="7"/>
        </w:numPr>
        <w:tabs>
          <w:tab w:pos="513" w:val="left" w:leader="none"/>
        </w:tabs>
        <w:spacing w:line="463" w:lineRule="auto" w:before="20" w:after="0"/>
        <w:ind w:left="512" w:right="146" w:hanging="360"/>
        <w:jc w:val="both"/>
        <w:rPr>
          <w:sz w:val="24"/>
        </w:rPr>
      </w:pPr>
      <w:r>
        <w:rPr>
          <w:sz w:val="24"/>
        </w:rPr>
        <w:t>Reducir el riego de acidosis ruminal y una disminución del porcentaje de grasa en la leche por alimentación de altos niveles de granos en la dieta (Palmquist,</w:t>
      </w:r>
      <w:r>
        <w:rPr>
          <w:spacing w:val="-13"/>
          <w:sz w:val="24"/>
        </w:rPr>
        <w:t> </w:t>
      </w:r>
      <w:r>
        <w:rPr>
          <w:sz w:val="24"/>
        </w:rPr>
        <w:t>1988).</w:t>
      </w:r>
    </w:p>
    <w:p>
      <w:pPr>
        <w:pStyle w:val="ListParagraph"/>
        <w:numPr>
          <w:ilvl w:val="0"/>
          <w:numId w:val="7"/>
        </w:numPr>
        <w:tabs>
          <w:tab w:pos="513" w:val="left" w:leader="none"/>
        </w:tabs>
        <w:spacing w:line="465" w:lineRule="auto" w:before="31" w:after="0"/>
        <w:ind w:left="512" w:right="149" w:hanging="360"/>
        <w:jc w:val="both"/>
        <w:rPr>
          <w:sz w:val="24"/>
        </w:rPr>
      </w:pPr>
      <w:r>
        <w:rPr>
          <w:sz w:val="24"/>
        </w:rPr>
        <w:t>Mejorar la composición de grasa en la leche por incremento de AG insaturados de cadena larga, CLA y disminución de AG saturados (Parodi,</w:t>
      </w:r>
      <w:r>
        <w:rPr>
          <w:spacing w:val="-13"/>
          <w:sz w:val="24"/>
        </w:rPr>
        <w:t> </w:t>
      </w:r>
      <w:r>
        <w:rPr>
          <w:sz w:val="24"/>
        </w:rPr>
        <w:t>1999).</w:t>
      </w:r>
    </w:p>
    <w:p>
      <w:pPr>
        <w:pStyle w:val="BodyText"/>
        <w:spacing w:before="4"/>
        <w:rPr>
          <w:sz w:val="19"/>
        </w:rPr>
      </w:pPr>
    </w:p>
    <w:p>
      <w:pPr>
        <w:pStyle w:val="BodyText"/>
        <w:spacing w:line="480" w:lineRule="auto"/>
        <w:ind w:left="152" w:right="144"/>
        <w:jc w:val="both"/>
      </w:pPr>
      <w:r>
        <w:rPr/>
        <w:t>Cantidades moderadas de grasas saturadas tienden a aumentar la concentración de grasa de la leche en pequeña cantidad, los lípidos insaturados en grandes cantidades (&gt;8%) decrecen en su mayoría un 1% la grasa en leche (Sutton, 1989), pero contribuye a mejorar la calidad de la grasa de la leche (Lima et al., 2014). Por su parte, Chamberlain y Wilkinson (1996)</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2" w:lineRule="auto"/>
        <w:ind w:left="152" w:right="150"/>
        <w:jc w:val="both"/>
      </w:pPr>
      <w:r>
        <w:rPr/>
        <w:t>mencionan que la inclusión de más de un 6% sobre MS provoca un descenso en la actividad microbiana, reduciendo el consumo de alimento y la síntesis de grasa en la leche.</w:t>
      </w:r>
    </w:p>
    <w:p>
      <w:pPr>
        <w:pStyle w:val="BodyText"/>
        <w:spacing w:line="480" w:lineRule="auto" w:before="204"/>
        <w:ind w:left="152" w:right="144"/>
        <w:jc w:val="both"/>
      </w:pPr>
      <w:r>
        <w:rPr/>
        <w:t>La suplementación de lípidos en la dieta incrementa la producción de leche por vacas lecheras en pastoreo con forrajes de alta calidad. Hubo mejor respuesta en leche cuando se adicionó grasa saturada comparada con grasa insaturada y con lactación media comparada con lactación temprana en vacas. Ese incremento en la producción de leche probablemente esté relacionado con la mejora de la utilización de la energía (Schroeder et al., 2004). Chalupa et al. (1986) refieren que los AG insaturados tienden a tener efectos más negativos sobre el metabolismo de los microorganismos celulolíticos en el rumen comprado con los AG saturados. La concentración de la grasa de la leche fue incrementada con suplementos de grasa saturada y fue disminuida cuando se utilizó suplementos de grasa insaturada probablemente por la inhibición de la síntesis </w:t>
      </w:r>
      <w:r>
        <w:rPr>
          <w:i/>
        </w:rPr>
        <w:t>de novo </w:t>
      </w:r>
      <w:r>
        <w:rPr/>
        <w:t>en la glándula mamaría (Schroeder et al., 2004). Una ingesta elevada de AGPI por parte del animal se asocia a un incremento de las concentraciones de AG insaturados en la grasa de la leche </w:t>
      </w:r>
      <w:r>
        <w:rPr>
          <w:spacing w:val="-3"/>
        </w:rPr>
        <w:t>y, </w:t>
      </w:r>
      <w:r>
        <w:rPr/>
        <w:t>en particular, del CLA (Walker et al., 2004). </w:t>
      </w:r>
      <w:r>
        <w:rPr>
          <w:spacing w:val="-3"/>
        </w:rPr>
        <w:t>La </w:t>
      </w:r>
      <w:r>
        <w:rPr/>
        <w:t>concentración de proteína en leche se disminuye con la suplementación de grasa, además este efecto parece estar asociado con un efecto de  dilución al incrementar el volumen de leche (Schroeder et al., 2004). En este sentido, Eastridge y Firkins (1991) y Yang et al. (2009) concluyen que la presencia de AGPI inhibe la actividad y fermentación microbiana en el rumen y, Coppock y Wilks (1991) refieren  una disminución de la digestibilidad de la</w:t>
      </w:r>
      <w:r>
        <w:rPr>
          <w:spacing w:val="-8"/>
        </w:rPr>
        <w:t> </w:t>
      </w:r>
      <w:r>
        <w:rPr/>
        <w:t>fibra.</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8"/>
        <w:jc w:val="both"/>
      </w:pPr>
      <w:r>
        <w:rPr/>
        <w:t>En la Figura 9 se observa el efecto de la adición de grasa en la dieta sobre la producción de leche. Jenkins (2002) describe tres fases o posibles escenarios que ocurren con la adición de lípidos para la alimentación de vacas lecheras, la fase I muestra un incremento en el rendimiento de leche debido a la mayor densidad energética de la dieta, sin embargo, conforme se aumenta la grasa en la ración pueden ocurrir efectos negativos como digestibilidad reducida, disminución del consumo de materia seca y pobre digestibilidad de suplementos grasos (fase II), en la fase III estos efectos negativos dominan sobre el aumento de la oferta de energía trayendo consigo una disminución global de la producción de</w:t>
      </w:r>
      <w:r>
        <w:rPr>
          <w:spacing w:val="-4"/>
        </w:rPr>
        <w:t> </w:t>
      </w:r>
      <w:r>
        <w:rPr/>
        <w:t>leche.</w:t>
      </w:r>
    </w:p>
    <w:p>
      <w:pPr>
        <w:pStyle w:val="BodyText"/>
        <w:spacing w:before="2"/>
        <w:rPr>
          <w:sz w:val="15"/>
        </w:rPr>
      </w:pPr>
      <w:r>
        <w:rPr/>
        <w:drawing>
          <wp:anchor distT="0" distB="0" distL="0" distR="0" allowOverlap="1" layoutInCell="1" locked="0" behindDoc="0" simplePos="0" relativeHeight="1288">
            <wp:simplePos x="0" y="0"/>
            <wp:positionH relativeFrom="page">
              <wp:posOffset>2136648</wp:posOffset>
            </wp:positionH>
            <wp:positionV relativeFrom="paragraph">
              <wp:posOffset>135956</wp:posOffset>
            </wp:positionV>
            <wp:extent cx="3762340" cy="2342006"/>
            <wp:effectExtent l="0" t="0" r="0" b="0"/>
            <wp:wrapTopAndBottom/>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18" cstate="print"/>
                    <a:stretch>
                      <a:fillRect/>
                    </a:stretch>
                  </pic:blipFill>
                  <pic:spPr>
                    <a:xfrm>
                      <a:off x="0" y="0"/>
                      <a:ext cx="3762340" cy="2342006"/>
                    </a:xfrm>
                    <a:prstGeom prst="rect">
                      <a:avLst/>
                    </a:prstGeom>
                  </pic:spPr>
                </pic:pic>
              </a:graphicData>
            </a:graphic>
          </wp:anchor>
        </w:drawing>
      </w:r>
    </w:p>
    <w:p>
      <w:pPr>
        <w:pStyle w:val="BodyText"/>
        <w:spacing w:before="4"/>
        <w:rPr>
          <w:sz w:val="22"/>
        </w:rPr>
      </w:pPr>
    </w:p>
    <w:p>
      <w:pPr>
        <w:pStyle w:val="BodyText"/>
        <w:spacing w:line="360" w:lineRule="auto"/>
        <w:ind w:left="181" w:right="180"/>
        <w:jc w:val="center"/>
      </w:pPr>
      <w:r>
        <w:rPr/>
        <w:t>Figura 9. Modelo hipotético que describe los cambios en el rendimiento de leche cuando el contenido de grasa se incrementa en la dieta de vacas en lactación (Adaptado de Jenkins, 2002).</w:t>
      </w:r>
    </w:p>
    <w:p>
      <w:pPr>
        <w:pStyle w:val="BodyText"/>
      </w:pPr>
    </w:p>
    <w:p>
      <w:pPr>
        <w:pStyle w:val="BodyText"/>
      </w:pPr>
    </w:p>
    <w:p>
      <w:pPr>
        <w:pStyle w:val="BodyText"/>
        <w:spacing w:before="1"/>
        <w:rPr>
          <w:sz w:val="23"/>
        </w:rPr>
      </w:pPr>
    </w:p>
    <w:p>
      <w:pPr>
        <w:pStyle w:val="BodyText"/>
        <w:spacing w:line="480" w:lineRule="auto"/>
        <w:ind w:left="152" w:right="144"/>
        <w:jc w:val="both"/>
      </w:pPr>
      <w:r>
        <w:rPr/>
        <w:t>El empleo de aceite de pescado está estrechamente relacionado con una disminución de la producción láctea y del contenido graso total de la leche, además de ser ácidos grasos  </w:t>
      </w:r>
      <w:r>
        <w:rPr>
          <w:spacing w:val="55"/>
        </w:rPr>
        <w:t> </w:t>
      </w:r>
      <w:r>
        <w:rPr/>
        <w:t>más</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8"/>
        <w:jc w:val="both"/>
      </w:pPr>
      <w:r>
        <w:rPr/>
        <w:t>susceptibles a la oxidación (Haro et al., 2006). Similarmente, Kairenius et al. (2015) reportan un consumo de materia seca disminuido y baja producción de leche al día conforme se incrementa la adición de aceite de pescado en la dieta (0, 75, 150 y 300 g/d). La afectación del rendimiento productivo se debe a la interacción con los microorganismos del rumen (Jenkins, 1993). Para minimizar esta interacción, los lípidos incluidos a la dieta  se pueden “proteger” mediante procedimientos físicos o químicos (encapsulación, hidrogenación, sales de calcio y acilamidas) (Jenkins, 2004). Se ha observado que los lípidos protegidos tienen poco o ningún efecto negativo sobre la digestión de los componentes de la dieta (Silva et al., 2007; Gangliostro y Schroeder, 2007). El aporte de lípidos en la dieta en forma de grasas protegidas permite incrementar los AG disponibles para la absorción intestinal sin afectar los microorganismos del rumen (Jenkins y Bridges, 2007). Por el contrario, la inclusión de lípidos no protegidos en la dieta de los rumiantes puede afectar negativamente a la población microbiana del rumen con el consiguiente efecto sobre los parámetros de fermentación ruminal y la digestión de los componentes de la dieta (Sauvant y Bas, 2001). En incubaciones </w:t>
      </w:r>
      <w:r>
        <w:rPr>
          <w:i/>
        </w:rPr>
        <w:t>in vitro, </w:t>
      </w:r>
      <w:r>
        <w:rPr/>
        <w:t>los AG libres del cebo disminuyeron la relación acético:propiónico en comparación con el testigo, mientras que  los AG de sales de calcio no tuvieron efecto (Chalupa et al.,</w:t>
      </w:r>
      <w:r>
        <w:rPr>
          <w:spacing w:val="-10"/>
        </w:rPr>
        <w:t> </w:t>
      </w:r>
      <w:r>
        <w:rPr/>
        <w:t>1986).</w:t>
      </w:r>
    </w:p>
    <w:p>
      <w:pPr>
        <w:pStyle w:val="BodyText"/>
        <w:spacing w:line="480" w:lineRule="auto" w:before="207"/>
        <w:ind w:left="152" w:right="147"/>
        <w:jc w:val="both"/>
      </w:pPr>
      <w:r>
        <w:rPr/>
        <w:t>Ahora bien, la inclusión de lípidos vegetales en la dieta del ganado, además de cubrir parte de sus requerimientos energéticos, puede traer efectos benéficos a la salud del hombre por el aporte de AG insaturados a través de sus productos: carne, leche y sus derivados (Schmid et al., 2006; Martínez-Marín et al., 2013). La combinación de pastoreo más una dieta completa mezclada (TMR) para alimentar a vacas muestra una mayor producción de  </w:t>
      </w:r>
      <w:r>
        <w:rPr>
          <w:spacing w:val="23"/>
        </w:rPr>
        <w:t> </w:t>
      </w:r>
      <w:r>
        <w:rPr/>
        <w:t>leche</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6"/>
        <w:jc w:val="both"/>
      </w:pPr>
      <w:r>
        <w:rPr/>
        <w:t>(P&lt;0.05) comparado con solo pastoreo (Bargo et al., 2002) y no hubo diferencia (P&gt;0.05) cuando se comparó la alimentación con una TMR (Morales-Almaráz et al., 2010); pero existe una relación positiva entre el consumo de pasto y el contenido de AG insaturados en la leche, principalmente del C18:2 c9 t11 y del C18:1 t11 (Bargo et al., 2006; Morales- Almaráz et al., 2010; Castro-Hernández et al., 2014). La adición de lípidos en la dieta de vacas incrementa la concentración de éstos AG en la leche (Loor y Herbein, 2003; Gamma et al., 2008; Suksombat et al., 2014; Pirondini et al., 2015; Kairenius et al., 2015). La alimentación de vacas con fuentes ricas en los AG C18:2 c9 c12 y C18:3 c9 c12 c15 ha demostrado el incrementó del C18:2 c9 t11 y del C18:1 t11 en la leche; el desafío de la investigación es incrementar esos AG sin poner en riesgo la productividad y la salud de las vacas.</w:t>
      </w:r>
    </w:p>
    <w:p>
      <w:pPr>
        <w:pStyle w:val="BodyText"/>
        <w:spacing w:line="480" w:lineRule="auto" w:before="207"/>
        <w:ind w:left="152" w:right="147"/>
        <w:jc w:val="both"/>
      </w:pPr>
      <w:r>
        <w:rPr/>
        <w:t>Se ha observado una disminución de proteína en la leche de vacas en producción cuando se alimentan con la inclusión de semillas de oleaginosas o harina de pescado y extruidos de soya en su dieta, ricos en AGPI, los cambios se atribuyen al efecto dilución por aumento de la producción de leche (Lock y Shingfield, 2004), aunque probablemente también se deba a la disminución de aminoácidos que aporta la población microbiana afectada por la inclusión en la dieta de estos AGPI (Relling y Mattioli, 2007).</w:t>
      </w:r>
    </w:p>
    <w:p>
      <w:pPr>
        <w:pStyle w:val="BodyText"/>
        <w:spacing w:line="480" w:lineRule="auto" w:before="207"/>
        <w:ind w:left="152" w:right="145"/>
        <w:jc w:val="both"/>
      </w:pPr>
      <w:r>
        <w:rPr/>
        <w:t>Es de suma importancia el planteamiento de estrategias de alimentación en vacas con el objetivo de mejorar la calidad nutritiva de la leche, ya que es el producto lácteo que más se consume en el mundo (FAO, 2015).</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9"/>
        <w:rPr>
          <w:sz w:val="19"/>
        </w:rPr>
      </w:pPr>
    </w:p>
    <w:p>
      <w:pPr>
        <w:pStyle w:val="Heading1"/>
        <w:numPr>
          <w:ilvl w:val="2"/>
          <w:numId w:val="5"/>
        </w:numPr>
        <w:tabs>
          <w:tab w:pos="3825" w:val="left" w:leader="none"/>
        </w:tabs>
        <w:spacing w:line="240" w:lineRule="auto" w:before="0" w:after="0"/>
        <w:ind w:left="3825" w:right="0" w:hanging="401"/>
        <w:jc w:val="left"/>
      </w:pPr>
      <w:bookmarkStart w:name="_bookmark14" w:id="24"/>
      <w:bookmarkEnd w:id="24"/>
      <w:r>
        <w:rPr>
          <w:b w:val="0"/>
        </w:rPr>
      </w:r>
      <w:bookmarkStart w:name="_bookmark14" w:id="25"/>
      <w:bookmarkEnd w:id="25"/>
      <w:r>
        <w:rPr/>
        <w:t>JUSTI</w:t>
      </w:r>
      <w:r>
        <w:rPr/>
        <w:t>FICACIÓN</w:t>
      </w:r>
    </w:p>
    <w:p>
      <w:pPr>
        <w:pStyle w:val="BodyText"/>
        <w:spacing w:before="6"/>
        <w:rPr>
          <w:b/>
          <w:sz w:val="23"/>
        </w:rPr>
      </w:pPr>
    </w:p>
    <w:p>
      <w:pPr>
        <w:pStyle w:val="BodyText"/>
        <w:spacing w:line="480" w:lineRule="auto"/>
        <w:ind w:left="152" w:right="145"/>
        <w:jc w:val="both"/>
      </w:pPr>
      <w:r>
        <w:rPr/>
        <w:t>Las vacas producen leche y carne a partir de productos y subproductos agrícolas e industriales que no son usados directamente por el hombre. Sin embargo, el consumo por el hombre de carne y leche proveniente de rumiantes se ha relacionado con el incremento de enfermedades cardiovasculares por el alto contenido de ácidos grasos saturados (AGS) presentes en estos productos. Actualmente, es cada vez mayor el interés de la sociedad en la producción de productos alimenticios que además de cumplir su función nutricional en el organismo realicen acciones a favor de la salud del hombre. La producción de leche con  alto contenido de ácidos grasos insaturados (AGI), específicamente de los isómeros del ácido linoleico conjugado (CLA, </w:t>
      </w:r>
      <w:r>
        <w:rPr>
          <w:i/>
        </w:rPr>
        <w:t>por sus siglas en ingles</w:t>
      </w:r>
      <w:r>
        <w:rPr/>
        <w:t>) y del ácido graso (AG)  vaccénico, es una opción viable para disminuir la incidencia de enfermedades no infecciosas que padece la sociedad. El consumo de AGS procedentes de la leche se puede modificar a través de la alimentación de las vacas en producción como ha sido demostrado en diversas investigaciones en todo el mundo. El CLA y el AG vaccénico son encontrados naturalmente en la leche de los rumiantes, es posible incrementar estos AG con estrategias de alimentación que favorezcan las condiciones de su</w:t>
      </w:r>
      <w:r>
        <w:rPr>
          <w:spacing w:val="-12"/>
        </w:rPr>
        <w:t> </w:t>
      </w:r>
      <w:r>
        <w:rPr/>
        <w:t>producción.</w:t>
      </w:r>
    </w:p>
    <w:p>
      <w:pPr>
        <w:pStyle w:val="BodyText"/>
        <w:spacing w:line="480" w:lineRule="auto" w:before="207"/>
        <w:ind w:left="152" w:right="147"/>
        <w:jc w:val="both"/>
      </w:pPr>
      <w:r>
        <w:rPr/>
        <w:t>Se ha incrementado el contenido de AGI en la leche con la adición de lípidos en la dieta, la restricción de niveles de concentrado, la inclusión de dietas completas mezcladas a base de diferentes forrajes ensilados; pero existe un número limitado de estudios donde se utilice el pastoreo y más aún cuando se restringe el tiempo de permanencia en la pradera y medir el perfil de AG presentes en la leche. Por otro lado, la adición de lípidos en la dieta de vacas lecheras en pastoreo puede tener un doble beneficio, primero, incrementar la producción</w:t>
      </w:r>
      <w:r>
        <w:rPr>
          <w:spacing w:val="51"/>
        </w:rPr>
        <w:t> </w:t>
      </w:r>
      <w:r>
        <w:rPr/>
        <w:t>de</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8"/>
        <w:jc w:val="both"/>
      </w:pPr>
      <w:r>
        <w:rPr/>
        <w:t>leche por kilogramo de materia seca consumida ya que parte de los lípidos consumidos se aprovechan directamente para el gasto energético del animal, y segundo obtener una mayor producción de AGI de cadena larga en la leche, incluyendo el AG vaccénico y los isómeros del CLA.</w:t>
      </w:r>
    </w:p>
    <w:p>
      <w:pPr>
        <w:pStyle w:val="BodyText"/>
        <w:spacing w:line="480" w:lineRule="auto" w:before="207"/>
        <w:ind w:left="152" w:right="143"/>
        <w:jc w:val="both"/>
      </w:pPr>
      <w:r>
        <w:rPr/>
        <w:t>La alimentación de vacas con forrajes frescos incrementa la concentración del CLA y AG vaccénico en su leche por ser una fuente rica en el AG linolenico, precursor de estos; el pastoreo ha demostrado ser viable económicamente en el altiplano de México. Se ha observado que forrajes mejorados cultivados en la pradera pueden cubrir el requerimiento de proteína pero son deficientes en el aporte energético de vacas en producción, por ello la suplementación en el establo con fuentes energéticas, los concentrados a base de cereales y ensilado de maíz son una opción, así como la adición de aceites vegetales para cubrir este requerimiento energético. El aceite de soya por su concentración elevada de AG linoleico, representaría el sustrato adicional al del forraje de la pradera para que el animal permita potenciar la producción de AG benéficos secretados en la grasa de la</w:t>
      </w:r>
      <w:r>
        <w:rPr>
          <w:spacing w:val="-14"/>
        </w:rPr>
        <w:t> </w:t>
      </w:r>
      <w:r>
        <w:rPr/>
        <w:t>leche.</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9"/>
        <w:rPr>
          <w:sz w:val="19"/>
        </w:rPr>
      </w:pPr>
    </w:p>
    <w:p>
      <w:pPr>
        <w:pStyle w:val="Heading1"/>
        <w:numPr>
          <w:ilvl w:val="2"/>
          <w:numId w:val="5"/>
        </w:numPr>
        <w:tabs>
          <w:tab w:pos="4118" w:val="left" w:leader="none"/>
        </w:tabs>
        <w:spacing w:line="240" w:lineRule="auto" w:before="0" w:after="0"/>
        <w:ind w:left="4117" w:right="0" w:hanging="386"/>
        <w:jc w:val="left"/>
      </w:pPr>
      <w:bookmarkStart w:name="_bookmark15" w:id="26"/>
      <w:bookmarkEnd w:id="26"/>
      <w:r>
        <w:rPr>
          <w:b w:val="0"/>
        </w:rPr>
      </w:r>
      <w:bookmarkStart w:name="_bookmark15" w:id="27"/>
      <w:bookmarkEnd w:id="27"/>
      <w:r>
        <w:rPr/>
        <w:t>HI</w:t>
      </w:r>
      <w:r>
        <w:rPr/>
        <w:t>PÓTESIS</w:t>
      </w:r>
    </w:p>
    <w:p>
      <w:pPr>
        <w:pStyle w:val="BodyText"/>
        <w:spacing w:before="6"/>
        <w:rPr>
          <w:b/>
          <w:sz w:val="23"/>
        </w:rPr>
      </w:pPr>
    </w:p>
    <w:p>
      <w:pPr>
        <w:pStyle w:val="BodyText"/>
        <w:spacing w:line="480" w:lineRule="auto"/>
        <w:ind w:left="152" w:right="146"/>
        <w:jc w:val="both"/>
      </w:pPr>
      <w:r>
        <w:rPr/>
        <w:t>Las vacas lecheras en pastoreo con permanencia de 12 horas en la pradera y con la asignación de 22 kg de forraje (BS) incrementa el contenido de ácidos grasos insaturados  en su leche, especialmente del ácido linoleico conjugado y el ácido graso vaccénico, benéficos al hombre y se potencializa con la adición de aceite de soya en una  dieta completa mezclada ofrecida en el establo sin afectar su rendimiento</w:t>
      </w:r>
      <w:r>
        <w:rPr>
          <w:spacing w:val="-10"/>
        </w:rPr>
        <w:t> </w:t>
      </w:r>
      <w:r>
        <w:rPr/>
        <w:t>productivo.</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9"/>
        <w:rPr>
          <w:sz w:val="19"/>
        </w:rPr>
      </w:pPr>
    </w:p>
    <w:p>
      <w:pPr>
        <w:pStyle w:val="Heading1"/>
        <w:numPr>
          <w:ilvl w:val="2"/>
          <w:numId w:val="5"/>
        </w:numPr>
        <w:tabs>
          <w:tab w:pos="4029" w:val="left" w:leader="none"/>
        </w:tabs>
        <w:spacing w:line="240" w:lineRule="auto" w:before="0" w:after="0"/>
        <w:ind w:left="4029" w:right="0" w:hanging="293"/>
        <w:jc w:val="left"/>
      </w:pPr>
      <w:bookmarkStart w:name="_bookmark16" w:id="28"/>
      <w:bookmarkEnd w:id="28"/>
      <w:r>
        <w:rPr>
          <w:b w:val="0"/>
        </w:rPr>
      </w:r>
      <w:bookmarkStart w:name="_bookmark16" w:id="29"/>
      <w:bookmarkEnd w:id="29"/>
      <w:r>
        <w:rPr/>
        <w:t>O</w:t>
      </w:r>
      <w:r>
        <w:rPr/>
        <w:t>BJETIVOS</w:t>
      </w:r>
    </w:p>
    <w:p>
      <w:pPr>
        <w:pStyle w:val="BodyText"/>
        <w:spacing w:before="11"/>
        <w:rPr>
          <w:b/>
          <w:sz w:val="17"/>
        </w:rPr>
      </w:pPr>
    </w:p>
    <w:p>
      <w:pPr>
        <w:pStyle w:val="Heading1"/>
        <w:spacing w:before="69"/>
        <w:ind w:left="152"/>
      </w:pPr>
      <w:bookmarkStart w:name="_bookmark17" w:id="30"/>
      <w:bookmarkEnd w:id="30"/>
      <w:r>
        <w:rPr>
          <w:b w:val="0"/>
        </w:rPr>
      </w:r>
      <w:r>
        <w:rPr/>
        <w:t>Objetivo general</w:t>
      </w:r>
    </w:p>
    <w:p>
      <w:pPr>
        <w:pStyle w:val="BodyText"/>
        <w:spacing w:before="6"/>
        <w:rPr>
          <w:b/>
          <w:sz w:val="23"/>
        </w:rPr>
      </w:pPr>
    </w:p>
    <w:p>
      <w:pPr>
        <w:pStyle w:val="BodyText"/>
        <w:spacing w:line="480" w:lineRule="auto"/>
        <w:ind w:left="152" w:right="147"/>
        <w:jc w:val="both"/>
      </w:pPr>
      <w:r>
        <w:rPr/>
        <w:t>Evaluar la respuesta productiva, la composición química y el perfil de ácidos grasos en la leche de vacas en pastoreo con diferentes estrategias de alimentación basados en el tiempo de permanencia en la pradera y la adición de aceite de soya en dietas completas mezcladas.</w:t>
      </w:r>
    </w:p>
    <w:p>
      <w:pPr>
        <w:pStyle w:val="Heading1"/>
        <w:spacing w:before="212"/>
        <w:ind w:left="152"/>
      </w:pPr>
      <w:bookmarkStart w:name="_bookmark18" w:id="31"/>
      <w:bookmarkEnd w:id="31"/>
      <w:r>
        <w:rPr>
          <w:b w:val="0"/>
        </w:rPr>
      </w:r>
      <w:r>
        <w:rPr/>
        <w:t>Objetivos específicos</w:t>
      </w:r>
    </w:p>
    <w:p>
      <w:pPr>
        <w:pStyle w:val="BodyText"/>
        <w:spacing w:before="8"/>
        <w:rPr>
          <w:b/>
          <w:sz w:val="23"/>
        </w:rPr>
      </w:pPr>
    </w:p>
    <w:p>
      <w:pPr>
        <w:pStyle w:val="ListParagraph"/>
        <w:numPr>
          <w:ilvl w:val="0"/>
          <w:numId w:val="7"/>
        </w:numPr>
        <w:tabs>
          <w:tab w:pos="513" w:val="left" w:leader="none"/>
        </w:tabs>
        <w:spacing w:line="463" w:lineRule="auto" w:before="0" w:after="0"/>
        <w:ind w:left="512" w:right="154" w:hanging="360"/>
        <w:jc w:val="both"/>
        <w:rPr>
          <w:sz w:val="24"/>
        </w:rPr>
      </w:pPr>
      <w:r>
        <w:rPr>
          <w:sz w:val="24"/>
        </w:rPr>
        <w:t>Determinar el consumo de alimento en la pradera y en el establo de vacas lecheras en pastoreo con diferentes estrategias de</w:t>
      </w:r>
      <w:r>
        <w:rPr>
          <w:spacing w:val="-6"/>
          <w:sz w:val="24"/>
        </w:rPr>
        <w:t> </w:t>
      </w:r>
      <w:r>
        <w:rPr>
          <w:sz w:val="24"/>
        </w:rPr>
        <w:t>alimentación.</w:t>
      </w:r>
    </w:p>
    <w:p>
      <w:pPr>
        <w:pStyle w:val="ListParagraph"/>
        <w:numPr>
          <w:ilvl w:val="0"/>
          <w:numId w:val="7"/>
        </w:numPr>
        <w:tabs>
          <w:tab w:pos="513" w:val="left" w:leader="none"/>
        </w:tabs>
        <w:spacing w:line="463" w:lineRule="auto" w:before="31" w:after="0"/>
        <w:ind w:left="512" w:right="150" w:hanging="360"/>
        <w:jc w:val="both"/>
        <w:rPr>
          <w:sz w:val="24"/>
        </w:rPr>
      </w:pPr>
      <w:r>
        <w:rPr>
          <w:sz w:val="24"/>
        </w:rPr>
        <w:t>Medir el contenido de ácidos grasos de los alimentos ofertados al ganado lechero en pastoreo.</w:t>
      </w:r>
    </w:p>
    <w:p>
      <w:pPr>
        <w:pStyle w:val="ListParagraph"/>
        <w:numPr>
          <w:ilvl w:val="0"/>
          <w:numId w:val="7"/>
        </w:numPr>
        <w:tabs>
          <w:tab w:pos="513" w:val="left" w:leader="none"/>
        </w:tabs>
        <w:spacing w:line="470" w:lineRule="auto" w:before="31" w:after="0"/>
        <w:ind w:left="512" w:right="140" w:hanging="360"/>
        <w:jc w:val="both"/>
        <w:rPr>
          <w:sz w:val="24"/>
        </w:rPr>
      </w:pPr>
      <w:r>
        <w:rPr>
          <w:sz w:val="24"/>
        </w:rPr>
        <w:t>Medir el contenido de grasa, proteína y lactosa y el perfil de ácidos grasos de la grasa  de la leche de vacas con especial énfasis en los ácidos ruménico (C18:2 c9t11) y vaccénico (C18:1 t11) con diferentes estrategias de</w:t>
      </w:r>
      <w:r>
        <w:rPr>
          <w:spacing w:val="-13"/>
          <w:sz w:val="24"/>
        </w:rPr>
        <w:t> </w:t>
      </w:r>
      <w:r>
        <w:rPr>
          <w:sz w:val="24"/>
        </w:rPr>
        <w:t>alimentación.</w:t>
      </w:r>
    </w:p>
    <w:p>
      <w:pPr>
        <w:pStyle w:val="ListParagraph"/>
        <w:numPr>
          <w:ilvl w:val="0"/>
          <w:numId w:val="7"/>
        </w:numPr>
        <w:tabs>
          <w:tab w:pos="513" w:val="left" w:leader="none"/>
        </w:tabs>
        <w:spacing w:line="472" w:lineRule="auto" w:before="23" w:after="0"/>
        <w:ind w:left="512" w:right="153" w:hanging="360"/>
        <w:jc w:val="both"/>
        <w:rPr>
          <w:sz w:val="24"/>
        </w:rPr>
      </w:pPr>
      <w:r>
        <w:rPr>
          <w:sz w:val="24"/>
        </w:rPr>
        <w:t>Contrastar los diferentes tiempos de permanencia en la pradera sobre el consumo de alimento, composición química de la leche y perfil de ácidos grasos en la leche de vacas en</w:t>
      </w:r>
      <w:r>
        <w:rPr>
          <w:spacing w:val="-5"/>
          <w:sz w:val="24"/>
        </w:rPr>
        <w:t> </w:t>
      </w:r>
      <w:r>
        <w:rPr>
          <w:sz w:val="24"/>
        </w:rPr>
        <w:t>pastoreo</w:t>
      </w:r>
    </w:p>
    <w:p>
      <w:pPr>
        <w:pStyle w:val="ListParagraph"/>
        <w:numPr>
          <w:ilvl w:val="0"/>
          <w:numId w:val="7"/>
        </w:numPr>
        <w:tabs>
          <w:tab w:pos="513" w:val="left" w:leader="none"/>
        </w:tabs>
        <w:spacing w:line="472" w:lineRule="auto" w:before="20" w:after="0"/>
        <w:ind w:left="512" w:right="152" w:hanging="360"/>
        <w:jc w:val="both"/>
        <w:rPr>
          <w:sz w:val="24"/>
        </w:rPr>
      </w:pPr>
      <w:r>
        <w:rPr>
          <w:sz w:val="24"/>
        </w:rPr>
        <w:t>Determinar el efecto lineal o cuadrático de los ácidos grasos presentes en la leche de vacas en pastoreo cuando se adicionan diferentes niveles de aceite de soya en una dieta completa</w:t>
      </w:r>
      <w:r>
        <w:rPr>
          <w:spacing w:val="-5"/>
          <w:sz w:val="24"/>
        </w:rPr>
        <w:t> </w:t>
      </w:r>
      <w:r>
        <w:rPr>
          <w:sz w:val="24"/>
        </w:rPr>
        <w:t>mezclada.</w:t>
      </w:r>
    </w:p>
    <w:p>
      <w:pPr>
        <w:spacing w:after="0" w:line="472" w:lineRule="auto"/>
        <w:jc w:val="both"/>
        <w:rPr>
          <w:sz w:val="24"/>
        </w:rPr>
        <w:sectPr>
          <w:pgSz w:w="12240" w:h="15840"/>
          <w:pgMar w:header="1150" w:footer="1336" w:top="1340" w:bottom="1520" w:left="1720" w:right="1380"/>
        </w:sectPr>
      </w:pPr>
    </w:p>
    <w:p>
      <w:pPr>
        <w:pStyle w:val="BodyText"/>
        <w:rPr>
          <w:sz w:val="20"/>
        </w:rPr>
      </w:pPr>
    </w:p>
    <w:p>
      <w:pPr>
        <w:pStyle w:val="BodyText"/>
        <w:spacing w:before="9"/>
        <w:rPr>
          <w:sz w:val="19"/>
        </w:rPr>
      </w:pPr>
    </w:p>
    <w:p>
      <w:pPr>
        <w:pStyle w:val="Heading1"/>
        <w:numPr>
          <w:ilvl w:val="2"/>
          <w:numId w:val="5"/>
        </w:numPr>
        <w:tabs>
          <w:tab w:pos="3197" w:val="left" w:leader="none"/>
        </w:tabs>
        <w:spacing w:line="240" w:lineRule="auto" w:before="0" w:after="0"/>
        <w:ind w:left="3196" w:right="0" w:hanging="387"/>
        <w:jc w:val="left"/>
      </w:pPr>
      <w:bookmarkStart w:name="_bookmark19" w:id="32"/>
      <w:bookmarkEnd w:id="32"/>
      <w:r>
        <w:rPr>
          <w:b w:val="0"/>
        </w:rPr>
      </w:r>
      <w:bookmarkStart w:name="_bookmark19" w:id="33"/>
      <w:bookmarkEnd w:id="33"/>
      <w:r>
        <w:rPr/>
        <w:t>M</w:t>
      </w:r>
      <w:r>
        <w:rPr/>
        <w:t>ATERIALES Y</w:t>
      </w:r>
      <w:r>
        <w:rPr>
          <w:spacing w:val="-5"/>
        </w:rPr>
        <w:t> </w:t>
      </w:r>
      <w:r>
        <w:rPr/>
        <w:t>MÉTODOS</w:t>
      </w:r>
    </w:p>
    <w:p>
      <w:pPr>
        <w:pStyle w:val="BodyText"/>
        <w:spacing w:before="6"/>
        <w:rPr>
          <w:b/>
          <w:sz w:val="23"/>
        </w:rPr>
      </w:pPr>
    </w:p>
    <w:p>
      <w:pPr>
        <w:spacing w:line="480" w:lineRule="auto" w:before="0"/>
        <w:ind w:left="152" w:right="147" w:firstLine="0"/>
        <w:jc w:val="both"/>
        <w:rPr>
          <w:sz w:val="24"/>
        </w:rPr>
      </w:pPr>
      <w:r>
        <w:rPr>
          <w:sz w:val="24"/>
        </w:rPr>
        <w:t>Se realizaron dos experimentos con vacas lecheras en producción para incrementar el contenido de ácidos grasos poliinsaturados en leche, con especial énfasis en el ácido linoleico conjugado y el ácido graso vaccénico, con diferentes estrategias de alimentación basadas en el pastoreo. Ambos experimentos están presentados como artículos científicos en el Capítulo de Resultados, intitulados “</w:t>
      </w:r>
      <w:r>
        <w:rPr>
          <w:i/>
          <w:sz w:val="24"/>
        </w:rPr>
        <w:t>Pasture access times and milk fatty acid profile  </w:t>
      </w:r>
      <w:r>
        <w:rPr>
          <w:i/>
          <w:sz w:val="24"/>
        </w:rPr>
        <w:t>of dairy cows from central highland of Mexico</w:t>
      </w:r>
      <w:r>
        <w:rPr>
          <w:sz w:val="24"/>
        </w:rPr>
        <w:t>” (</w:t>
      </w:r>
      <w:r>
        <w:rPr>
          <w:b/>
          <w:sz w:val="24"/>
        </w:rPr>
        <w:t>experimento 1) </w:t>
      </w:r>
      <w:r>
        <w:rPr>
          <w:sz w:val="24"/>
        </w:rPr>
        <w:t>y “</w:t>
      </w:r>
      <w:r>
        <w:rPr>
          <w:i/>
          <w:sz w:val="24"/>
        </w:rPr>
        <w:t>Efecto del aceite de </w:t>
      </w:r>
      <w:r>
        <w:rPr>
          <w:i/>
          <w:sz w:val="24"/>
        </w:rPr>
        <w:t>soya sobre la concentración de ácidos grasos vaccénico y ruménico en leche de vacas en pastoreo</w:t>
      </w:r>
      <w:r>
        <w:rPr>
          <w:sz w:val="24"/>
        </w:rPr>
        <w:t>” (</w:t>
      </w:r>
      <w:r>
        <w:rPr>
          <w:b/>
          <w:sz w:val="24"/>
        </w:rPr>
        <w:t>experimento</w:t>
      </w:r>
      <w:r>
        <w:rPr>
          <w:b/>
          <w:spacing w:val="-7"/>
          <w:sz w:val="24"/>
        </w:rPr>
        <w:t> </w:t>
      </w:r>
      <w:r>
        <w:rPr>
          <w:b/>
          <w:sz w:val="24"/>
        </w:rPr>
        <w:t>2</w:t>
      </w:r>
      <w:r>
        <w:rPr>
          <w:sz w:val="24"/>
        </w:rPr>
        <w:t>).</w:t>
      </w:r>
    </w:p>
    <w:p>
      <w:pPr>
        <w:pStyle w:val="Heading1"/>
        <w:numPr>
          <w:ilvl w:val="1"/>
          <w:numId w:val="8"/>
        </w:numPr>
        <w:tabs>
          <w:tab w:pos="573" w:val="left" w:leader="none"/>
        </w:tabs>
        <w:spacing w:line="240" w:lineRule="auto" w:before="212" w:after="0"/>
        <w:ind w:left="572" w:right="0" w:hanging="420"/>
        <w:jc w:val="both"/>
      </w:pPr>
      <w:bookmarkStart w:name="_bookmark20" w:id="34"/>
      <w:bookmarkEnd w:id="34"/>
      <w:r>
        <w:rPr>
          <w:b w:val="0"/>
        </w:rPr>
      </w:r>
      <w:bookmarkStart w:name="_bookmark20" w:id="35"/>
      <w:bookmarkEnd w:id="35"/>
      <w:r>
        <w:rPr/>
        <w:t>Á</w:t>
      </w:r>
      <w:r>
        <w:rPr/>
        <w:t>rea de</w:t>
      </w:r>
      <w:r>
        <w:rPr>
          <w:spacing w:val="-4"/>
        </w:rPr>
        <w:t> </w:t>
      </w:r>
      <w:r>
        <w:rPr/>
        <w:t>estudio</w:t>
      </w:r>
    </w:p>
    <w:p>
      <w:pPr>
        <w:pStyle w:val="BodyText"/>
        <w:spacing w:before="6"/>
        <w:rPr>
          <w:b/>
          <w:sz w:val="23"/>
        </w:rPr>
      </w:pPr>
    </w:p>
    <w:p>
      <w:pPr>
        <w:pStyle w:val="BodyText"/>
        <w:spacing w:line="480" w:lineRule="auto"/>
        <w:ind w:left="152" w:right="146"/>
        <w:jc w:val="both"/>
      </w:pPr>
      <w:r>
        <w:rPr/>
        <w:t>El trabajo de campo de ambos experimentos se realizó en la posta zootécnica y los análisis de laboratorio se realizaron en el Departamento de Nutrición pertenecientes a la Facultad de Medicina Veterinaria y Zootecnia de la Universidad Autónoma del Estado de México. </w:t>
      </w:r>
      <w:r>
        <w:rPr>
          <w:spacing w:val="-3"/>
        </w:rPr>
        <w:t>La </w:t>
      </w:r>
      <w:r>
        <w:rPr/>
        <w:t>Facultad se localiza a 19° 24’ 48’’ latitud norte y 99° 40’ 45’’ longitud oeste, a una altura de 2632 metros sobre el nivel del mar, su clima es templado subhúmedo con lluvias en verano.</w:t>
      </w:r>
    </w:p>
    <w:p>
      <w:pPr>
        <w:pStyle w:val="Heading1"/>
        <w:numPr>
          <w:ilvl w:val="1"/>
          <w:numId w:val="8"/>
        </w:numPr>
        <w:tabs>
          <w:tab w:pos="573" w:val="left" w:leader="none"/>
        </w:tabs>
        <w:spacing w:line="240" w:lineRule="auto" w:before="212" w:after="0"/>
        <w:ind w:left="572" w:right="0" w:hanging="420"/>
        <w:jc w:val="both"/>
      </w:pPr>
      <w:bookmarkStart w:name="_bookmark21" w:id="36"/>
      <w:bookmarkEnd w:id="36"/>
      <w:r>
        <w:rPr>
          <w:b w:val="0"/>
        </w:rPr>
      </w:r>
      <w:bookmarkStart w:name="_bookmark21" w:id="37"/>
      <w:bookmarkEnd w:id="37"/>
      <w:r>
        <w:rPr/>
        <w:t>Ani</w:t>
      </w:r>
      <w:r>
        <w:rPr/>
        <w:t>males, diseño experimental y</w:t>
      </w:r>
      <w:r>
        <w:rPr>
          <w:spacing w:val="-9"/>
        </w:rPr>
        <w:t> </w:t>
      </w:r>
      <w:r>
        <w:rPr/>
        <w:t>tratamientos</w:t>
      </w:r>
    </w:p>
    <w:p>
      <w:pPr>
        <w:pStyle w:val="BodyText"/>
        <w:spacing w:before="6"/>
        <w:rPr>
          <w:b/>
          <w:sz w:val="23"/>
        </w:rPr>
      </w:pPr>
    </w:p>
    <w:p>
      <w:pPr>
        <w:pStyle w:val="BodyText"/>
        <w:spacing w:line="480" w:lineRule="auto"/>
        <w:ind w:left="152" w:right="145"/>
        <w:jc w:val="both"/>
      </w:pPr>
      <w:r>
        <w:rPr/>
        <w:t>En cada experimento se utilizaron seis vacas Holstein multíparas, en el experimento 1 su peso vivo (PV) fue de 615±36 kg y una producción de leche (PL) de 22.7±4.8 kg al día y en el experimento 2 tuvieron un PV de 602±45 kg y una PL de 23.0±2.9 kg al día. Las vacas  se  distribuyeron  aleatoriamente  en  un  cuadro  latino  repetido  3  x  3  con  tres </w:t>
      </w:r>
      <w:r>
        <w:rPr>
          <w:spacing w:val="39"/>
        </w:rPr>
        <w:t> </w:t>
      </w:r>
      <w:r>
        <w:rPr/>
        <w:t>periodos</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2"/>
        <w:jc w:val="both"/>
      </w:pPr>
      <w:r>
        <w:rPr/>
        <w:t>experimentales de 15 y 21 días, respectivamente para el experimento 1 y 2. Los últimos cinco días se midieron las variables estudiadas y el resto fue de adaptación a los tratamientos, tiempos de permanencia en la pradera para el experimentos 1, y a las dietas completas mezcladas (TMR, </w:t>
      </w:r>
      <w:r>
        <w:rPr>
          <w:i/>
        </w:rPr>
        <w:t>por sus siglas en inglés</w:t>
      </w:r>
      <w:r>
        <w:rPr/>
        <w:t>) con tres niveles de inclusión de aceite de soya en el experimento 2. Las vacas se manejaron de acuerdo con el reglamento interno de bioética y bienestar de la institución con fundamento en las normativas oficiales (NOM- 062-ZOO-1999; NOM-051-ZOO-1995). La alimentación, acorde a un sistema mixto o semiintensivo, estuvo constituida de pastoreo y en el establo se ofreció ensilado de maíz y concentrado o una TMR. El sistema de pastoreo fue rotacional, en praderas polífitas predominando especies de gramíneas principalmente </w:t>
      </w:r>
      <w:r>
        <w:rPr>
          <w:i/>
        </w:rPr>
        <w:t>Lolium perenne</w:t>
      </w:r>
      <w:r>
        <w:rPr/>
        <w:t>, </w:t>
      </w:r>
      <w:r>
        <w:rPr>
          <w:i/>
        </w:rPr>
        <w:t>Festuca arundinacea </w:t>
      </w:r>
      <w:r>
        <w:rPr/>
        <w:t>y </w:t>
      </w:r>
      <w:r>
        <w:rPr>
          <w:i/>
        </w:rPr>
        <w:t>Dactylis glomerata</w:t>
      </w:r>
      <w:r>
        <w:rPr/>
        <w:t>, y </w:t>
      </w:r>
      <w:r>
        <w:rPr>
          <w:i/>
        </w:rPr>
        <w:t>Trifolium repens </w:t>
      </w:r>
      <w:r>
        <w:rPr/>
        <w:t>como leguminosa, fertilizadas con 50 kg ha</w:t>
      </w:r>
      <w:r>
        <w:rPr>
          <w:position w:val="9"/>
          <w:sz w:val="16"/>
        </w:rPr>
        <w:t>-1 </w:t>
      </w:r>
      <w:r>
        <w:rPr/>
        <w:t>de urea cada mes.</w:t>
      </w:r>
    </w:p>
    <w:p>
      <w:pPr>
        <w:pStyle w:val="BodyText"/>
        <w:spacing w:line="480" w:lineRule="auto" w:before="207"/>
        <w:ind w:left="152" w:right="144"/>
        <w:jc w:val="both"/>
      </w:pPr>
      <w:r>
        <w:rPr/>
        <w:t>En el experimento 1, los tratamientos fueron: 1) 8h, pastoreo de 07:00 a 15:00 h; 2) 4+4h, pastoreo de 07:00 a 1100 h y 16:00 a 20:00 h; 3) 12h, pastoreo de 07:00 a 15:00 h y 16:00 a 20:00 h. En el experimento 2, los tratamientos fueron: en el establo se ofreció </w:t>
      </w:r>
      <w:r>
        <w:rPr>
          <w:i/>
        </w:rPr>
        <w:t>ad libitum </w:t>
      </w:r>
      <w:r>
        <w:rPr/>
        <w:t>una TMR sin aceite de soya (pTMR-0), con 3% de aceite de soya (pTMR-3) o con 6% de aceite de soya</w:t>
      </w:r>
      <w:r>
        <w:rPr>
          <w:spacing w:val="-6"/>
        </w:rPr>
        <w:t> </w:t>
      </w:r>
      <w:r>
        <w:rPr/>
        <w:t>(pTMR-6).</w:t>
      </w:r>
    </w:p>
    <w:p>
      <w:pPr>
        <w:pStyle w:val="Heading1"/>
        <w:numPr>
          <w:ilvl w:val="1"/>
          <w:numId w:val="8"/>
        </w:numPr>
        <w:tabs>
          <w:tab w:pos="573" w:val="left" w:leader="none"/>
        </w:tabs>
        <w:spacing w:line="240" w:lineRule="auto" w:before="212" w:after="0"/>
        <w:ind w:left="572" w:right="0" w:hanging="420"/>
        <w:jc w:val="both"/>
      </w:pPr>
      <w:bookmarkStart w:name="_bookmark22" w:id="38"/>
      <w:bookmarkEnd w:id="38"/>
      <w:r>
        <w:rPr>
          <w:b w:val="0"/>
        </w:rPr>
      </w:r>
      <w:bookmarkStart w:name="_bookmark22" w:id="39"/>
      <w:bookmarkEnd w:id="39"/>
      <w:r>
        <w:rPr/>
        <w:t>D</w:t>
      </w:r>
      <w:r>
        <w:rPr/>
        <w:t>esarrollo</w:t>
      </w:r>
      <w:r>
        <w:rPr>
          <w:spacing w:val="-6"/>
        </w:rPr>
        <w:t> </w:t>
      </w:r>
      <w:r>
        <w:rPr/>
        <w:t>experimental</w:t>
      </w:r>
    </w:p>
    <w:p>
      <w:pPr>
        <w:pStyle w:val="BodyText"/>
        <w:spacing w:before="6"/>
        <w:rPr>
          <w:b/>
          <w:sz w:val="23"/>
        </w:rPr>
      </w:pPr>
    </w:p>
    <w:p>
      <w:pPr>
        <w:pStyle w:val="BodyText"/>
        <w:spacing w:line="480" w:lineRule="auto"/>
        <w:ind w:left="152" w:right="151"/>
        <w:jc w:val="both"/>
      </w:pPr>
      <w:r>
        <w:rPr/>
        <w:t>Un día antes de iniciar la etapa de medición en cada periodo, se midió en la pradera la producción de biomasa forrajera para ajustar el tamaño de parcela en función de la asignación de pasto (22 kg de MS por vaca y día). La biomasa forrajera se determinó</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line="480" w:lineRule="auto" w:before="208"/>
        <w:ind w:left="152" w:right="145"/>
        <w:jc w:val="both"/>
      </w:pPr>
      <w:r>
        <w:rPr/>
        <w:t>colectando el forraje contenido en 1 m</w:t>
      </w:r>
      <w:r>
        <w:rPr>
          <w:position w:val="9"/>
          <w:sz w:val="16"/>
        </w:rPr>
        <w:t>2 </w:t>
      </w:r>
      <w:r>
        <w:rPr/>
        <w:t>para lo cual se utilizó un cuadrante de 0.25 m</w:t>
      </w:r>
      <w:r>
        <w:rPr>
          <w:position w:val="9"/>
          <w:sz w:val="16"/>
        </w:rPr>
        <w:t>2</w:t>
      </w:r>
      <w:r>
        <w:rPr/>
        <w:t>, el cual fue arrojado (en forma de zig-zag) en ocho ocasiones aleatoriamente en la pradera cortando a ras de suelo el forraje presente dentro del cuadrante, posteriormente fue pesado el pasto colectado y dividido entre dos. Al final de la recolección, las muestras se llevaron al laboratorio para determinar la MS en una estufa de aire forzado a 60°C por 24 h o con un horno de microondas según la técnica descrita por Teuber et al. (2007). El área de pastoreo en la pradera se delimitó con un cerco</w:t>
      </w:r>
      <w:r>
        <w:rPr>
          <w:spacing w:val="-8"/>
        </w:rPr>
        <w:t> </w:t>
      </w:r>
      <w:r>
        <w:rPr/>
        <w:t>eléctrico.</w:t>
      </w:r>
    </w:p>
    <w:p>
      <w:pPr>
        <w:pStyle w:val="BodyText"/>
        <w:spacing w:line="480" w:lineRule="auto" w:before="207"/>
        <w:ind w:left="152" w:right="150"/>
        <w:jc w:val="both"/>
      </w:pPr>
      <w:r>
        <w:rPr/>
        <w:t>Las vacas siempre tuvieron disponibilidad de agua. Se realizaron diariamente dos ordeños,  a las 06:00 y 15:00 h. Al inicio y final de la etapa de medición en todos los periodos los animales se pesaron después de la ordeña de la mañana con una báscula digital de</w:t>
      </w:r>
      <w:r>
        <w:rPr>
          <w:spacing w:val="-10"/>
        </w:rPr>
        <w:t> </w:t>
      </w:r>
      <w:r>
        <w:rPr/>
        <w:t>barras.</w:t>
      </w:r>
    </w:p>
    <w:p>
      <w:pPr>
        <w:pStyle w:val="BodyText"/>
        <w:spacing w:line="480" w:lineRule="auto" w:before="207"/>
        <w:ind w:left="152" w:right="144"/>
        <w:jc w:val="both"/>
      </w:pPr>
      <w:r>
        <w:rPr/>
        <w:t>En el experimento 1 (Figura 10), todas las vacas salieron a la pradera al termino del ordeño matutino (07:00 h). Las vacas en el tratamiento 4+4h permanecían en la pradera hasta las 11:00 h después fueron trasladadas al establo donde se les suministró ensilado de maíz </w:t>
      </w:r>
      <w:r>
        <w:rPr>
          <w:i/>
        </w:rPr>
        <w:t>ad </w:t>
      </w:r>
      <w:r>
        <w:rPr>
          <w:i/>
        </w:rPr>
        <w:t>libitum </w:t>
      </w:r>
      <w:r>
        <w:rPr/>
        <w:t>y 2.5 kg de concentrado en base húmeda (BH), estos animales permanecían en el establo hasta el ordeño vespertino (15:00 h) y al término de éste nuevamente eran trasladados a las praderas, donde permanecían de las 16:00 a las 20:00 h, posteriormente eran llevados al establo, donde se les ofertó nuevamente ensilado de maíz y el resto de concentrado (2.5 kg BH). Las vacas, en este tratamiento 4+4h, a las 24h solo se les ofertó ensilado de maíz </w:t>
      </w:r>
      <w:r>
        <w:rPr>
          <w:i/>
        </w:rPr>
        <w:t>ad libitum</w:t>
      </w:r>
      <w:r>
        <w:rPr/>
        <w:t>. En los tratamientos con 8h y 12h de pastoreo, las vacas permanecían en la pradera durante el intervalo entre ordeños (de 07:00 a 15:00h).</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50"/>
        <w:jc w:val="both"/>
      </w:pPr>
      <w:r>
        <w:rPr/>
        <w:t>Las vacas con 8h de pastoreo, terminado el ordeño vespertino fueron trasladadas al establo, donde permanecieron el resto del día. En el corral se les proporcionó ensilado de maíz ad libitum y 5.0 kg en BH de concentrado, dividido en dos comidas de 2.5 kg (16:00 y 20:00h).</w:t>
      </w:r>
    </w:p>
    <w:p>
      <w:pPr>
        <w:pStyle w:val="BodyText"/>
        <w:spacing w:line="480" w:lineRule="auto" w:before="207"/>
        <w:ind w:left="152" w:right="148"/>
        <w:jc w:val="both"/>
      </w:pPr>
      <w:r>
        <w:rPr/>
        <w:t>Las vacas con 12h de pastoreo, al término del ordeño vespertino, fueron trasladados a la pradera cuatro horas más de pastoreo (16:00 a 20:00h), y después fueron alojadas en el corral, ahí se les proporcionó, a las 20:00 y 24:00 h, ensilado de maíz ad libitum y 2.5 kg en BH de concentrado. A las vacas en los tratamientos 8h y 4+4h de pastoreo se les ofertó ensilado de maíz </w:t>
      </w:r>
      <w:r>
        <w:rPr>
          <w:i/>
        </w:rPr>
        <w:t>ad libitum </w:t>
      </w:r>
      <w:r>
        <w:rPr/>
        <w:t>a las 24 horas.</w:t>
      </w:r>
    </w:p>
    <w:p>
      <w:pPr>
        <w:pStyle w:val="BodyText"/>
        <w:spacing w:before="2"/>
        <w:rPr>
          <w:sz w:val="15"/>
        </w:rPr>
      </w:pPr>
      <w:r>
        <w:rPr/>
        <w:drawing>
          <wp:anchor distT="0" distB="0" distL="0" distR="0" allowOverlap="1" layoutInCell="1" locked="0" behindDoc="0" simplePos="0" relativeHeight="1312">
            <wp:simplePos x="0" y="0"/>
            <wp:positionH relativeFrom="page">
              <wp:posOffset>1266444</wp:posOffset>
            </wp:positionH>
            <wp:positionV relativeFrom="paragraph">
              <wp:posOffset>135956</wp:posOffset>
            </wp:positionV>
            <wp:extent cx="5515748" cy="3493770"/>
            <wp:effectExtent l="0" t="0" r="0" b="0"/>
            <wp:wrapTopAndBottom/>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19" cstate="print"/>
                    <a:stretch>
                      <a:fillRect/>
                    </a:stretch>
                  </pic:blipFill>
                  <pic:spPr>
                    <a:xfrm>
                      <a:off x="0" y="0"/>
                      <a:ext cx="5515748" cy="3493770"/>
                    </a:xfrm>
                    <a:prstGeom prst="rect">
                      <a:avLst/>
                    </a:prstGeom>
                  </pic:spPr>
                </pic:pic>
              </a:graphicData>
            </a:graphic>
          </wp:anchor>
        </w:drawing>
      </w:r>
    </w:p>
    <w:p>
      <w:pPr>
        <w:pStyle w:val="BodyText"/>
        <w:spacing w:before="1"/>
        <w:rPr>
          <w:sz w:val="33"/>
        </w:rPr>
      </w:pPr>
    </w:p>
    <w:p>
      <w:pPr>
        <w:pStyle w:val="BodyText"/>
        <w:spacing w:before="1"/>
        <w:ind w:left="2209"/>
      </w:pPr>
      <w:r>
        <w:rPr/>
        <w:t>Figura 10. Desarrollo experimental del estudio 1.</w:t>
      </w:r>
    </w:p>
    <w:p>
      <w:pPr>
        <w:spacing w:after="0"/>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5"/>
        <w:jc w:val="both"/>
      </w:pPr>
      <w:r>
        <w:rPr/>
        <w:t>En el experimento 2, las vacas permanecieron 12 h en la pradera (07:00-15:00 y 16:00- 20:00 h) y el resto del tiempo permanecieron en el establo donde se suministró </w:t>
      </w:r>
      <w:r>
        <w:rPr>
          <w:i/>
        </w:rPr>
        <w:t>ad libitum </w:t>
      </w:r>
      <w:r>
        <w:rPr/>
        <w:t>una TMR de acuerdo al tratamiento asignado. Para preparar la TMR, el aceite de soya se agregó con la porción del concentrado (cereales y oleaginosas), la TMR se preparó cada tercer día para evitar rancidez. El ensilado de maíz se incluyó al concentrado una hora antes de que las vacas entraran al establo.</w:t>
      </w:r>
    </w:p>
    <w:p>
      <w:pPr>
        <w:pStyle w:val="BodyText"/>
        <w:spacing w:line="480" w:lineRule="auto" w:before="207"/>
        <w:ind w:left="152" w:right="146"/>
        <w:jc w:val="both"/>
      </w:pPr>
      <w:r>
        <w:rPr/>
        <w:t>El consumo de ensilado de maíz y concentrado en el primer experimento y de la TMR en el segundo experimento ofrecido en estabulación se calculó por diferencia entre la oferta y rechazo. El consumo de forraje en la pradera se estimó mediante el método descrito por Macoon et al. (2003), a partir de los requerimientos de energía neta mediante el cálculo de los requerimientos de energía neta total del ganado lechero (ENL) estimados a partir de la aplicación de las ecuaciones de predicción del NRC (2001), y de los aportes de energía neta de los alimentos consumidos en la estabulación. Para dicha estimación se aplicó el procedimiento de ecuaciones de los requerimientos de energía neta total del ganado lechero incluyendo las necesidades de energía neta para:</w:t>
      </w:r>
    </w:p>
    <w:p>
      <w:pPr>
        <w:pStyle w:val="ListParagraph"/>
        <w:numPr>
          <w:ilvl w:val="0"/>
          <w:numId w:val="9"/>
        </w:numPr>
        <w:tabs>
          <w:tab w:pos="501" w:val="left" w:leader="none"/>
        </w:tabs>
        <w:spacing w:line="480" w:lineRule="auto" w:before="206" w:after="0"/>
        <w:ind w:left="152" w:right="154" w:firstLine="0"/>
        <w:jc w:val="both"/>
        <w:rPr>
          <w:sz w:val="24"/>
        </w:rPr>
      </w:pPr>
      <w:r>
        <w:rPr>
          <w:position w:val="2"/>
          <w:sz w:val="24"/>
        </w:rPr>
        <w:t>Lactación (ENL</w:t>
      </w:r>
      <w:r>
        <w:rPr>
          <w:sz w:val="16"/>
        </w:rPr>
        <w:t>L</w:t>
      </w:r>
      <w:r>
        <w:rPr>
          <w:position w:val="2"/>
          <w:sz w:val="24"/>
        </w:rPr>
        <w:t>), calculo basado en la producción diaria de leche (kg/d) y la </w:t>
      </w:r>
      <w:r>
        <w:rPr>
          <w:sz w:val="24"/>
        </w:rPr>
        <w:t>concentración de grasa en la leche,</w:t>
      </w:r>
      <w:r>
        <w:rPr>
          <w:spacing w:val="-6"/>
          <w:sz w:val="24"/>
        </w:rPr>
        <w:t> </w:t>
      </w:r>
      <w:r>
        <w:rPr>
          <w:sz w:val="24"/>
        </w:rPr>
        <w:t>así:</w:t>
      </w:r>
    </w:p>
    <w:p>
      <w:pPr>
        <w:pStyle w:val="BodyText"/>
        <w:spacing w:before="211"/>
        <w:ind w:left="860"/>
      </w:pPr>
      <w:r>
        <w:rPr>
          <w:position w:val="2"/>
        </w:rPr>
        <w:t>ENL</w:t>
      </w:r>
      <w:r>
        <w:rPr>
          <w:sz w:val="16"/>
        </w:rPr>
        <w:t>L </w:t>
      </w:r>
      <w:r>
        <w:rPr>
          <w:position w:val="2"/>
        </w:rPr>
        <w:t>= kg de leche por día * (0.3512 + [0.0962 * % grasa en leche])</w:t>
      </w:r>
    </w:p>
    <w:p>
      <w:pPr>
        <w:pStyle w:val="BodyText"/>
      </w:pPr>
    </w:p>
    <w:p>
      <w:pPr>
        <w:pStyle w:val="ListParagraph"/>
        <w:numPr>
          <w:ilvl w:val="0"/>
          <w:numId w:val="9"/>
        </w:numPr>
        <w:tabs>
          <w:tab w:pos="426" w:val="left" w:leader="none"/>
        </w:tabs>
        <w:spacing w:line="480" w:lineRule="auto" w:before="194" w:after="0"/>
        <w:ind w:left="152" w:right="151" w:firstLine="0"/>
        <w:jc w:val="both"/>
        <w:rPr>
          <w:sz w:val="24"/>
        </w:rPr>
      </w:pPr>
      <w:r>
        <w:rPr>
          <w:position w:val="2"/>
          <w:sz w:val="24"/>
        </w:rPr>
        <w:t>Mantenimiento (ENL</w:t>
      </w:r>
      <w:r>
        <w:rPr>
          <w:sz w:val="16"/>
        </w:rPr>
        <w:t>M</w:t>
      </w:r>
      <w:r>
        <w:rPr>
          <w:position w:val="2"/>
          <w:sz w:val="24"/>
        </w:rPr>
        <w:t>), basadas en el peso vivo (PV) del animal y el número de parto, </w:t>
      </w:r>
      <w:r>
        <w:rPr>
          <w:sz w:val="24"/>
        </w:rPr>
        <w:t>así:</w:t>
      </w:r>
    </w:p>
    <w:p>
      <w:pPr>
        <w:spacing w:after="0" w:line="480" w:lineRule="auto"/>
        <w:jc w:val="both"/>
        <w:rPr>
          <w:sz w:val="24"/>
        </w:rPr>
        <w:sectPr>
          <w:pgSz w:w="12240" w:h="15840"/>
          <w:pgMar w:header="1150" w:footer="1336" w:top="1340" w:bottom="1520" w:left="1720" w:right="1380"/>
        </w:sectPr>
      </w:pPr>
    </w:p>
    <w:p>
      <w:pPr>
        <w:pStyle w:val="BodyText"/>
        <w:rPr>
          <w:sz w:val="20"/>
        </w:rPr>
      </w:pPr>
    </w:p>
    <w:p>
      <w:pPr>
        <w:pStyle w:val="ListParagraph"/>
        <w:numPr>
          <w:ilvl w:val="1"/>
          <w:numId w:val="9"/>
        </w:numPr>
        <w:tabs>
          <w:tab w:pos="1106" w:val="left" w:leader="none"/>
        </w:tabs>
        <w:spacing w:line="240" w:lineRule="auto" w:before="209" w:after="0"/>
        <w:ind w:left="1105" w:right="0" w:hanging="245"/>
        <w:jc w:val="left"/>
        <w:rPr>
          <w:sz w:val="24"/>
        </w:rPr>
      </w:pPr>
      <w:r>
        <w:rPr>
          <w:position w:val="2"/>
          <w:sz w:val="24"/>
        </w:rPr>
        <w:t>primer parto: ENL</w:t>
      </w:r>
      <w:r>
        <w:rPr>
          <w:sz w:val="16"/>
        </w:rPr>
        <w:t>M  </w:t>
      </w:r>
      <w:r>
        <w:rPr>
          <w:position w:val="2"/>
          <w:sz w:val="24"/>
        </w:rPr>
        <w:t>= 1.2 (0,080 *</w:t>
      </w:r>
      <w:r>
        <w:rPr>
          <w:spacing w:val="-24"/>
          <w:position w:val="2"/>
          <w:sz w:val="24"/>
        </w:rPr>
        <w:t> </w:t>
      </w:r>
      <w:r>
        <w:rPr>
          <w:position w:val="2"/>
          <w:sz w:val="24"/>
        </w:rPr>
        <w:t>PV</w:t>
      </w:r>
      <w:r>
        <w:rPr>
          <w:position w:val="11"/>
          <w:sz w:val="16"/>
        </w:rPr>
        <w:t>0.75</w:t>
      </w:r>
      <w:r>
        <w:rPr>
          <w:position w:val="2"/>
          <w:sz w:val="24"/>
        </w:rPr>
        <w:t>)</w:t>
      </w:r>
    </w:p>
    <w:p>
      <w:pPr>
        <w:pStyle w:val="BodyText"/>
        <w:rPr>
          <w:sz w:val="26"/>
        </w:rPr>
      </w:pPr>
    </w:p>
    <w:p>
      <w:pPr>
        <w:pStyle w:val="ListParagraph"/>
        <w:numPr>
          <w:ilvl w:val="1"/>
          <w:numId w:val="9"/>
        </w:numPr>
        <w:tabs>
          <w:tab w:pos="1121" w:val="left" w:leader="none"/>
        </w:tabs>
        <w:spacing w:line="240" w:lineRule="auto" w:before="158" w:after="0"/>
        <w:ind w:left="1120" w:right="0" w:hanging="260"/>
        <w:jc w:val="left"/>
        <w:rPr>
          <w:sz w:val="24"/>
        </w:rPr>
      </w:pPr>
      <w:r>
        <w:rPr>
          <w:position w:val="2"/>
          <w:sz w:val="24"/>
        </w:rPr>
        <w:t>segundo parto: ENL</w:t>
      </w:r>
      <w:r>
        <w:rPr>
          <w:sz w:val="16"/>
        </w:rPr>
        <w:t>M  </w:t>
      </w:r>
      <w:r>
        <w:rPr>
          <w:position w:val="2"/>
          <w:sz w:val="24"/>
        </w:rPr>
        <w:t>= 1.1 (0,080 *</w:t>
      </w:r>
      <w:r>
        <w:rPr>
          <w:spacing w:val="-26"/>
          <w:position w:val="2"/>
          <w:sz w:val="24"/>
        </w:rPr>
        <w:t> </w:t>
      </w:r>
      <w:r>
        <w:rPr>
          <w:position w:val="2"/>
          <w:sz w:val="24"/>
        </w:rPr>
        <w:t>PV</w:t>
      </w:r>
      <w:r>
        <w:rPr>
          <w:position w:val="11"/>
          <w:sz w:val="16"/>
        </w:rPr>
        <w:t>0.75</w:t>
      </w:r>
      <w:r>
        <w:rPr>
          <w:position w:val="2"/>
          <w:sz w:val="24"/>
        </w:rPr>
        <w:t>)</w:t>
      </w:r>
    </w:p>
    <w:p>
      <w:pPr>
        <w:pStyle w:val="BodyText"/>
        <w:rPr>
          <w:sz w:val="26"/>
        </w:rPr>
      </w:pPr>
    </w:p>
    <w:p>
      <w:pPr>
        <w:pStyle w:val="ListParagraph"/>
        <w:numPr>
          <w:ilvl w:val="1"/>
          <w:numId w:val="9"/>
        </w:numPr>
        <w:tabs>
          <w:tab w:pos="1106" w:val="left" w:leader="none"/>
        </w:tabs>
        <w:spacing w:line="240" w:lineRule="auto" w:before="158" w:after="0"/>
        <w:ind w:left="1105" w:right="0" w:hanging="245"/>
        <w:jc w:val="left"/>
        <w:rPr>
          <w:sz w:val="16"/>
        </w:rPr>
      </w:pPr>
      <w:r>
        <w:rPr>
          <w:position w:val="2"/>
          <w:sz w:val="24"/>
        </w:rPr>
        <w:t>tercer parto o más: ENL</w:t>
      </w:r>
      <w:r>
        <w:rPr>
          <w:sz w:val="16"/>
        </w:rPr>
        <w:t>M  </w:t>
      </w:r>
      <w:r>
        <w:rPr>
          <w:position w:val="2"/>
          <w:sz w:val="24"/>
        </w:rPr>
        <w:t>= 0.080 *</w:t>
      </w:r>
      <w:r>
        <w:rPr>
          <w:spacing w:val="-26"/>
          <w:position w:val="2"/>
          <w:sz w:val="24"/>
        </w:rPr>
        <w:t> </w:t>
      </w:r>
      <w:r>
        <w:rPr>
          <w:position w:val="2"/>
          <w:sz w:val="24"/>
        </w:rPr>
        <w:t>PV</w:t>
      </w:r>
      <w:r>
        <w:rPr>
          <w:position w:val="11"/>
          <w:sz w:val="16"/>
        </w:rPr>
        <w:t>0.75</w:t>
      </w:r>
    </w:p>
    <w:p>
      <w:pPr>
        <w:pStyle w:val="BodyText"/>
        <w:rPr>
          <w:sz w:val="26"/>
        </w:rPr>
      </w:pPr>
    </w:p>
    <w:p>
      <w:pPr>
        <w:pStyle w:val="ListParagraph"/>
        <w:numPr>
          <w:ilvl w:val="0"/>
          <w:numId w:val="9"/>
        </w:numPr>
        <w:tabs>
          <w:tab w:pos="446" w:val="left" w:leader="none"/>
        </w:tabs>
        <w:spacing w:line="480" w:lineRule="auto" w:before="173" w:after="0"/>
        <w:ind w:left="152" w:right="149" w:firstLine="0"/>
        <w:jc w:val="both"/>
        <w:rPr>
          <w:sz w:val="24"/>
        </w:rPr>
      </w:pPr>
      <w:r>
        <w:rPr>
          <w:position w:val="2"/>
          <w:sz w:val="24"/>
        </w:rPr>
        <w:t>Cambio de Peso Corporal (ENL</w:t>
      </w:r>
      <w:r>
        <w:rPr>
          <w:sz w:val="16"/>
        </w:rPr>
        <w:t>BW</w:t>
      </w:r>
      <w:r>
        <w:rPr>
          <w:position w:val="2"/>
          <w:sz w:val="24"/>
        </w:rPr>
        <w:t>), de acuerdo con el NRC (2001) para la ganancia </w:t>
      </w:r>
      <w:r>
        <w:rPr>
          <w:sz w:val="24"/>
        </w:rPr>
        <w:t>promedio de peso fue asignado el requerimiento de ENL 5.12 Mcal/kg PV, mientras que para la pérdida de PV se previeron 4.92 Mcal/kg PV de energía disponible, adicional a la energía proporcionada por el</w:t>
      </w:r>
      <w:r>
        <w:rPr>
          <w:spacing w:val="-7"/>
          <w:sz w:val="24"/>
        </w:rPr>
        <w:t> </w:t>
      </w:r>
      <w:r>
        <w:rPr>
          <w:sz w:val="24"/>
        </w:rPr>
        <w:t>alimento.</w:t>
      </w:r>
    </w:p>
    <w:p>
      <w:pPr>
        <w:pStyle w:val="ListParagraph"/>
        <w:numPr>
          <w:ilvl w:val="0"/>
          <w:numId w:val="9"/>
        </w:numPr>
        <w:tabs>
          <w:tab w:pos="434" w:val="left" w:leader="none"/>
        </w:tabs>
        <w:spacing w:line="480" w:lineRule="auto" w:before="206" w:after="0"/>
        <w:ind w:left="152" w:right="150" w:firstLine="0"/>
        <w:jc w:val="both"/>
        <w:rPr>
          <w:sz w:val="24"/>
        </w:rPr>
      </w:pPr>
      <w:r>
        <w:rPr>
          <w:position w:val="2"/>
          <w:sz w:val="24"/>
        </w:rPr>
        <w:t>Actividad de Pastoreo (ENL</w:t>
      </w:r>
      <w:r>
        <w:rPr>
          <w:sz w:val="16"/>
        </w:rPr>
        <w:t>G</w:t>
      </w:r>
      <w:r>
        <w:rPr>
          <w:position w:val="2"/>
          <w:sz w:val="24"/>
        </w:rPr>
        <w:t>), este cálculo fue hecho usando la ecuación sugerida por </w:t>
      </w:r>
      <w:r>
        <w:rPr>
          <w:sz w:val="24"/>
        </w:rPr>
        <w:t>Rochinotti</w:t>
      </w:r>
      <w:r>
        <w:rPr>
          <w:spacing w:val="-2"/>
          <w:sz w:val="24"/>
        </w:rPr>
        <w:t> </w:t>
      </w:r>
      <w:r>
        <w:rPr>
          <w:sz w:val="24"/>
        </w:rPr>
        <w:t>(1998):</w:t>
      </w:r>
    </w:p>
    <w:p>
      <w:pPr>
        <w:pStyle w:val="BodyText"/>
        <w:spacing w:before="193"/>
        <w:ind w:left="860"/>
        <w:rPr>
          <w:sz w:val="16"/>
        </w:rPr>
      </w:pPr>
      <w:r>
        <w:rPr>
          <w:position w:val="2"/>
        </w:rPr>
        <w:t>ENL</w:t>
      </w:r>
      <w:r>
        <w:rPr>
          <w:sz w:val="16"/>
        </w:rPr>
        <w:t>G </w:t>
      </w:r>
      <w:r>
        <w:rPr>
          <w:position w:val="2"/>
        </w:rPr>
        <w:t>= 1.2 kcal * tiempo de pastoreo, h* PV</w:t>
      </w:r>
      <w:r>
        <w:rPr>
          <w:position w:val="11"/>
          <w:sz w:val="16"/>
        </w:rPr>
        <w:t>0.75</w:t>
      </w:r>
    </w:p>
    <w:p>
      <w:pPr>
        <w:pStyle w:val="BodyText"/>
        <w:rPr>
          <w:sz w:val="26"/>
        </w:rPr>
      </w:pPr>
    </w:p>
    <w:p>
      <w:pPr>
        <w:pStyle w:val="ListParagraph"/>
        <w:numPr>
          <w:ilvl w:val="0"/>
          <w:numId w:val="9"/>
        </w:numPr>
        <w:tabs>
          <w:tab w:pos="414" w:val="left" w:leader="none"/>
        </w:tabs>
        <w:spacing w:line="480" w:lineRule="auto" w:before="173" w:after="0"/>
        <w:ind w:left="152" w:right="150" w:firstLine="0"/>
        <w:jc w:val="both"/>
        <w:rPr>
          <w:sz w:val="24"/>
        </w:rPr>
      </w:pPr>
      <w:r>
        <w:rPr>
          <w:position w:val="2"/>
          <w:sz w:val="24"/>
        </w:rPr>
        <w:t>Actividad de desplazamiento o caminata (ENL</w:t>
      </w:r>
      <w:r>
        <w:rPr>
          <w:sz w:val="16"/>
        </w:rPr>
        <w:t>W</w:t>
      </w:r>
      <w:r>
        <w:rPr>
          <w:position w:val="2"/>
          <w:sz w:val="24"/>
        </w:rPr>
        <w:t>), calculado usando la estimación para el </w:t>
      </w:r>
      <w:r>
        <w:rPr>
          <w:sz w:val="24"/>
        </w:rPr>
        <w:t>caminar horizontal según el AFRC</w:t>
      </w:r>
      <w:r>
        <w:rPr>
          <w:spacing w:val="-9"/>
          <w:sz w:val="24"/>
        </w:rPr>
        <w:t> </w:t>
      </w:r>
      <w:r>
        <w:rPr>
          <w:sz w:val="24"/>
        </w:rPr>
        <w:t>(1993):</w:t>
      </w:r>
    </w:p>
    <w:p>
      <w:pPr>
        <w:pStyle w:val="BodyText"/>
        <w:spacing w:before="208"/>
        <w:ind w:left="860"/>
      </w:pPr>
      <w:r>
        <w:rPr>
          <w:position w:val="2"/>
        </w:rPr>
        <w:t>ENL</w:t>
      </w:r>
      <w:r>
        <w:rPr>
          <w:sz w:val="16"/>
        </w:rPr>
        <w:t>W </w:t>
      </w:r>
      <w:r>
        <w:rPr>
          <w:position w:val="2"/>
        </w:rPr>
        <w:t>= 0.62 cal/(kg PV*distancia)</w:t>
      </w:r>
    </w:p>
    <w:p>
      <w:pPr>
        <w:pStyle w:val="BodyText"/>
      </w:pPr>
    </w:p>
    <w:p>
      <w:pPr>
        <w:pStyle w:val="BodyText"/>
        <w:spacing w:line="482" w:lineRule="auto" w:before="195"/>
        <w:ind w:left="152" w:right="147"/>
        <w:jc w:val="both"/>
      </w:pPr>
      <w:r>
        <w:rPr/>
        <w:t>La distancia fue estimada de acuerdo al recorrido de la pradera a la sala de ordeño o viceversa. La distancia a la parcela fue de 200 m valor que fue multiplicado por el número de veces que caminaron esa distancia.</w:t>
      </w:r>
    </w:p>
    <w:p>
      <w:pPr>
        <w:pStyle w:val="BodyText"/>
        <w:spacing w:line="480" w:lineRule="auto" w:before="206"/>
        <w:ind w:left="152" w:right="151"/>
        <w:jc w:val="both"/>
      </w:pPr>
      <w:r>
        <w:rPr/>
        <w:t>El requerimiento de energía neta total es el sumatorio de las cinco estimaciones anteriores. La energía neta para lactación desde el consumo de forraje se estimó por diferencia entre los requerimientos de ENL menos la energía consumida por los alimentos suministrados</w:t>
      </w:r>
      <w:r>
        <w:rPr>
          <w:spacing w:val="46"/>
        </w:rPr>
        <w:t> </w:t>
      </w:r>
      <w:r>
        <w:rPr/>
        <w:t>en</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8"/>
        <w:jc w:val="both"/>
      </w:pPr>
      <w:r>
        <w:rPr/>
        <w:t>la estabulación. El contenido de energía neta de los alimentos fue calculado con las ecuaciones descritas por Menke y Steingass (1988) a partir del contenido de fibra detergente ácido</w:t>
      </w:r>
      <w:r>
        <w:rPr>
          <w:spacing w:val="-7"/>
        </w:rPr>
        <w:t> </w:t>
      </w:r>
      <w:r>
        <w:rPr/>
        <w:t>(FDA).</w:t>
      </w:r>
    </w:p>
    <w:p>
      <w:pPr>
        <w:pStyle w:val="BodyText"/>
        <w:spacing w:before="209"/>
        <w:ind w:left="860"/>
      </w:pPr>
      <w:r>
        <w:rPr/>
        <w:t>ENL = 9.07- 0.0097*FDA (g/kg DM).</w:t>
      </w:r>
    </w:p>
    <w:p>
      <w:pPr>
        <w:pStyle w:val="BodyText"/>
      </w:pPr>
    </w:p>
    <w:p>
      <w:pPr>
        <w:pStyle w:val="BodyText"/>
        <w:spacing w:line="480" w:lineRule="auto" w:before="197"/>
        <w:ind w:left="152" w:right="145"/>
        <w:jc w:val="both"/>
      </w:pPr>
      <w:r>
        <w:rPr/>
        <w:t>En la etapa de medición, de cada periodo, se muestreó el ensilado de maíz todos los días y solo una vez el concentrado en el primer experimento y en el caso de la TMR del experimento 2 se recolectaron muestras de tres días consecutivos de cada tratamiento; a la vez se muestreó el forraje de la pradera, siguiendo la técnica de pastoreo simulado descrita por Wayne (1964). Las muestras se conservaron en congelación (-4 °C) hasta su análisis. Así mismo, diariamente se registró la producción de leche individual en ambos ordeños. La leche se muestreó en cada ordeño y se obtuvo una alícuota (100 mL) por vaca para su análisis en el laboratorio.</w:t>
      </w:r>
    </w:p>
    <w:p>
      <w:pPr>
        <w:pStyle w:val="Heading1"/>
        <w:numPr>
          <w:ilvl w:val="1"/>
          <w:numId w:val="8"/>
        </w:numPr>
        <w:tabs>
          <w:tab w:pos="573" w:val="left" w:leader="none"/>
        </w:tabs>
        <w:spacing w:line="240" w:lineRule="auto" w:before="56" w:after="0"/>
        <w:ind w:left="572" w:right="0" w:hanging="420"/>
        <w:jc w:val="both"/>
      </w:pPr>
      <w:bookmarkStart w:name="_bookmark23" w:id="40"/>
      <w:bookmarkEnd w:id="40"/>
      <w:r>
        <w:rPr>
          <w:b w:val="0"/>
        </w:rPr>
      </w:r>
      <w:bookmarkStart w:name="_bookmark23" w:id="41"/>
      <w:bookmarkEnd w:id="41"/>
      <w:r>
        <w:rPr/>
        <w:t>Anális</w:t>
      </w:r>
      <w:r>
        <w:rPr/>
        <w:t>is de</w:t>
      </w:r>
      <w:r>
        <w:rPr>
          <w:spacing w:val="-6"/>
        </w:rPr>
        <w:t> </w:t>
      </w:r>
      <w:r>
        <w:rPr/>
        <w:t>laboratorio</w:t>
      </w:r>
    </w:p>
    <w:p>
      <w:pPr>
        <w:pStyle w:val="BodyText"/>
        <w:spacing w:before="6"/>
        <w:rPr>
          <w:b/>
          <w:sz w:val="23"/>
        </w:rPr>
      </w:pPr>
    </w:p>
    <w:p>
      <w:pPr>
        <w:pStyle w:val="BodyText"/>
        <w:spacing w:line="480" w:lineRule="auto"/>
        <w:ind w:left="152" w:right="145"/>
        <w:jc w:val="both"/>
      </w:pPr>
      <w:r>
        <w:rPr/>
        <w:t>Las muestras de los alimentos fueron secadas en estufa de aire forzado a 60 °C por 24 h, se molieron con malla de 2 mm y se determinó el contenido de materia seca y cenizas por pérdida de peso tras desecación de la muestra a 100 ± 1 °C en estufa de aire forzado durante 24 h, seguida de la incineración en la mufla a 600 °C por 4 h. El contenido de proteína cruda se determinó por el método Kjeldalh y el extracto etéreo según la AOAC (2012). El análisis de fibra detergente ácido (FDA), fibra detergente neutro (FDN) y lignina detergente ácido (LDA) se realizó con el método descrito por Van Soest et al.</w:t>
      </w:r>
      <w:r>
        <w:rPr>
          <w:spacing w:val="-14"/>
        </w:rPr>
        <w:t> </w:t>
      </w:r>
      <w:r>
        <w:rPr/>
        <w:t>(1991).</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8"/>
        <w:jc w:val="both"/>
      </w:pPr>
      <w:r>
        <w:rPr/>
        <w:t>El contenido de los ácidos grasos de los alimentos se determinó mediante la técnica de Sukhija y Palmquist (1988), con modificaciones de Palmquist y Jenkins (2003), utilizando ácido clorhídrico metanólico al 10% para la esterificación y hexano como solvente orgánico.</w:t>
      </w:r>
    </w:p>
    <w:p>
      <w:pPr>
        <w:pStyle w:val="BodyText"/>
        <w:spacing w:line="480" w:lineRule="auto" w:before="10"/>
        <w:ind w:left="152" w:right="150"/>
        <w:jc w:val="both"/>
      </w:pPr>
      <w:r>
        <w:rPr/>
        <w:t>El contenido de grasa, proteína y lactosa de la leche se determinó con un analizador Lactoscan (Milkotronic, LTD). Para el análisis de ácidos grasos en leche se extrajo la grasa por ultracentrifugación (Feng et al., 2004); la metilación se realizó de acuerdo con la metodología descrita por Christie (1982), con modificaciones de Chouinard et al. (1999).</w:t>
      </w:r>
    </w:p>
    <w:p>
      <w:pPr>
        <w:pStyle w:val="BodyText"/>
        <w:spacing w:line="480" w:lineRule="auto" w:before="10"/>
        <w:ind w:left="152" w:right="153"/>
        <w:jc w:val="both"/>
      </w:pPr>
      <w:r>
        <w:rPr/>
        <w:t>Los metil ésteres de los ácidos grasos de alimentos y leche se separaron y cuantificaron por cromatografía de gases (Perkin Elmer Clarus 500), con una columna capilar de 100 m x</w:t>
      </w:r>
    </w:p>
    <w:p>
      <w:pPr>
        <w:pStyle w:val="BodyText"/>
        <w:spacing w:line="480" w:lineRule="auto" w:before="10"/>
        <w:ind w:left="152" w:right="145"/>
        <w:jc w:val="both"/>
      </w:pPr>
      <w:r>
        <w:rPr/>
        <w:t>0.25 mm x 0.2 µm (SUPELCO TM-2560), utilizando nitrógeno como gas acarreador. El detector y el inyector se mantuvieron a 260°C, la temperatura inicial del horno fue 140°C por 5 min, aumentando 4°C por minuto hasta llegar a 240°C. Cada pico se identificó de acuerdo con los tiempos de retención de estándares de ésteres metílicos (Supelco 37 Component FAME Mix, trans-vaccenic acid y linoleic acid conjugated de SIGMA- ALDRICH). Los valores de ácidos grasos fueron calculados en g 100 g del total de ácidos grasos.</w:t>
      </w:r>
    </w:p>
    <w:p>
      <w:pPr>
        <w:pStyle w:val="Heading1"/>
        <w:numPr>
          <w:ilvl w:val="1"/>
          <w:numId w:val="8"/>
        </w:numPr>
        <w:tabs>
          <w:tab w:pos="573" w:val="left" w:leader="none"/>
        </w:tabs>
        <w:spacing w:line="240" w:lineRule="auto" w:before="56" w:after="0"/>
        <w:ind w:left="572" w:right="0" w:hanging="420"/>
        <w:jc w:val="both"/>
      </w:pPr>
      <w:bookmarkStart w:name="_bookmark24" w:id="42"/>
      <w:bookmarkEnd w:id="42"/>
      <w:r>
        <w:rPr>
          <w:b w:val="0"/>
        </w:rPr>
      </w:r>
      <w:bookmarkStart w:name="_bookmark24" w:id="43"/>
      <w:bookmarkEnd w:id="43"/>
      <w:r>
        <w:rPr/>
        <w:t>Anális</w:t>
      </w:r>
      <w:r>
        <w:rPr/>
        <w:t>is</w:t>
      </w:r>
      <w:r>
        <w:rPr>
          <w:spacing w:val="-2"/>
        </w:rPr>
        <w:t> </w:t>
      </w:r>
      <w:r>
        <w:rPr/>
        <w:t>estadístico</w:t>
      </w:r>
    </w:p>
    <w:p>
      <w:pPr>
        <w:pStyle w:val="BodyText"/>
        <w:spacing w:before="4"/>
        <w:rPr>
          <w:b/>
          <w:sz w:val="23"/>
        </w:rPr>
      </w:pPr>
    </w:p>
    <w:p>
      <w:pPr>
        <w:pStyle w:val="BodyText"/>
        <w:spacing w:line="480" w:lineRule="auto"/>
        <w:ind w:left="152" w:right="151"/>
        <w:jc w:val="both"/>
      </w:pPr>
      <w:r>
        <w:rPr/>
        <w:t>Los datos obtenidos en ambos experimentos fueron analizados con el procedimiento MIXTO de SAS con el modelo de cuadrado latino repetido 3 x 3 (Steel et al., 1997):</w:t>
      </w:r>
    </w:p>
    <w:p>
      <w:pPr>
        <w:spacing w:before="9"/>
        <w:ind w:left="860" w:right="0" w:firstLine="0"/>
        <w:jc w:val="left"/>
        <w:rPr>
          <w:sz w:val="16"/>
        </w:rPr>
      </w:pPr>
      <w:r>
        <w:rPr>
          <w:position w:val="2"/>
          <w:sz w:val="24"/>
        </w:rPr>
        <w:t>Y</w:t>
      </w:r>
      <w:r>
        <w:rPr>
          <w:sz w:val="16"/>
        </w:rPr>
        <w:t>ijkl </w:t>
      </w:r>
      <w:r>
        <w:rPr>
          <w:position w:val="2"/>
          <w:sz w:val="24"/>
        </w:rPr>
        <w:t>= μ + C</w:t>
      </w:r>
      <w:r>
        <w:rPr>
          <w:sz w:val="16"/>
        </w:rPr>
        <w:t>i </w:t>
      </w:r>
      <w:r>
        <w:rPr>
          <w:position w:val="2"/>
          <w:sz w:val="24"/>
        </w:rPr>
        <w:t>+ P</w:t>
      </w:r>
      <w:r>
        <w:rPr>
          <w:sz w:val="16"/>
        </w:rPr>
        <w:t>(i)j  </w:t>
      </w:r>
      <w:r>
        <w:rPr>
          <w:position w:val="2"/>
          <w:sz w:val="24"/>
        </w:rPr>
        <w:t>+ A</w:t>
      </w:r>
      <w:r>
        <w:rPr>
          <w:sz w:val="16"/>
        </w:rPr>
        <w:t>(i)k  </w:t>
      </w:r>
      <w:r>
        <w:rPr>
          <w:position w:val="2"/>
          <w:sz w:val="24"/>
        </w:rPr>
        <w:t>+ Tx</w:t>
      </w:r>
      <w:r>
        <w:rPr>
          <w:sz w:val="16"/>
        </w:rPr>
        <w:t>l </w:t>
      </w:r>
      <w:r>
        <w:rPr>
          <w:position w:val="2"/>
          <w:sz w:val="24"/>
        </w:rPr>
        <w:t>+ E</w:t>
      </w:r>
      <w:r>
        <w:rPr>
          <w:sz w:val="16"/>
        </w:rPr>
        <w:t>ijkl</w:t>
      </w:r>
    </w:p>
    <w:p>
      <w:pPr>
        <w:pStyle w:val="BodyText"/>
        <w:spacing w:before="9"/>
        <w:rPr>
          <w:sz w:val="23"/>
        </w:rPr>
      </w:pPr>
    </w:p>
    <w:p>
      <w:pPr>
        <w:pStyle w:val="BodyText"/>
        <w:ind w:left="152"/>
        <w:jc w:val="both"/>
      </w:pPr>
      <w:r>
        <w:rPr/>
        <w:t>Donde:</w:t>
      </w:r>
    </w:p>
    <w:p>
      <w:pPr>
        <w:spacing w:after="0"/>
        <w:jc w:val="both"/>
        <w:sectPr>
          <w:pgSz w:w="12240" w:h="15840"/>
          <w:pgMar w:header="1150" w:footer="1336" w:top="1340" w:bottom="1520" w:left="1720" w:right="1380"/>
        </w:sectPr>
      </w:pPr>
    </w:p>
    <w:p>
      <w:pPr>
        <w:pStyle w:val="BodyText"/>
        <w:rPr>
          <w:sz w:val="20"/>
        </w:rPr>
      </w:pPr>
    </w:p>
    <w:p>
      <w:pPr>
        <w:pStyle w:val="BodyText"/>
        <w:spacing w:before="3"/>
        <w:rPr>
          <w:sz w:val="19"/>
        </w:rPr>
      </w:pPr>
    </w:p>
    <w:p>
      <w:pPr>
        <w:pStyle w:val="BodyText"/>
        <w:spacing w:line="477" w:lineRule="auto" w:before="1"/>
        <w:ind w:left="860" w:right="4712"/>
      </w:pPr>
      <w:r>
        <w:rPr>
          <w:position w:val="2"/>
        </w:rPr>
        <w:t>Y</w:t>
      </w:r>
      <w:r>
        <w:rPr>
          <w:sz w:val="16"/>
        </w:rPr>
        <w:t>ijkl </w:t>
      </w:r>
      <w:r>
        <w:rPr>
          <w:position w:val="2"/>
        </w:rPr>
        <w:t>= es la respuesta de las variables </w:t>
      </w:r>
      <w:r>
        <w:rPr/>
        <w:t>μ = media general</w:t>
      </w:r>
    </w:p>
    <w:p>
      <w:pPr>
        <w:pStyle w:val="BodyText"/>
        <w:spacing w:line="477" w:lineRule="auto" w:before="12"/>
        <w:ind w:left="860" w:right="3126"/>
      </w:pPr>
      <w:r>
        <w:rPr>
          <w:position w:val="2"/>
        </w:rPr>
        <w:t>C</w:t>
      </w:r>
      <w:r>
        <w:rPr>
          <w:sz w:val="16"/>
        </w:rPr>
        <w:t>i </w:t>
      </w:r>
      <w:r>
        <w:rPr>
          <w:position w:val="2"/>
        </w:rPr>
        <w:t>= es el efecto aleatorio del i-ésimo cuadro (1, 2) P</w:t>
      </w:r>
      <w:r>
        <w:rPr>
          <w:sz w:val="16"/>
        </w:rPr>
        <w:t>(i)j </w:t>
      </w:r>
      <w:r>
        <w:rPr>
          <w:position w:val="2"/>
        </w:rPr>
        <w:t>= es el efecto fijo del periodo (1, 2, 3)</w:t>
      </w:r>
    </w:p>
    <w:p>
      <w:pPr>
        <w:pStyle w:val="BodyText"/>
        <w:spacing w:before="7"/>
        <w:ind w:left="860"/>
      </w:pPr>
      <w:r>
        <w:rPr>
          <w:position w:val="2"/>
        </w:rPr>
        <w:t>A</w:t>
      </w:r>
      <w:r>
        <w:rPr>
          <w:sz w:val="16"/>
        </w:rPr>
        <w:t>(i)k  </w:t>
      </w:r>
      <w:r>
        <w:rPr>
          <w:position w:val="2"/>
        </w:rPr>
        <w:t>= es el efecto aleatorio del animal (1, 2, 3)</w:t>
      </w:r>
    </w:p>
    <w:p>
      <w:pPr>
        <w:pStyle w:val="BodyText"/>
        <w:spacing w:before="9"/>
        <w:rPr>
          <w:sz w:val="23"/>
        </w:rPr>
      </w:pPr>
    </w:p>
    <w:p>
      <w:pPr>
        <w:pStyle w:val="BodyText"/>
        <w:spacing w:line="477" w:lineRule="auto"/>
        <w:ind w:left="1429" w:right="154" w:hanging="569"/>
      </w:pPr>
      <w:r>
        <w:rPr>
          <w:position w:val="2"/>
        </w:rPr>
        <w:t>Tx</w:t>
      </w:r>
      <w:r>
        <w:rPr>
          <w:sz w:val="16"/>
        </w:rPr>
        <w:t>l </w:t>
      </w:r>
      <w:r>
        <w:rPr>
          <w:position w:val="2"/>
        </w:rPr>
        <w:t>= es el efecto fijo del tratamiento (experimento 1: 8h, 4+4h y 12h; experimento </w:t>
      </w:r>
      <w:r>
        <w:rPr/>
        <w:t>2: pTMR-0, pTMR-3 y pTMR-6)</w:t>
      </w:r>
    </w:p>
    <w:p>
      <w:pPr>
        <w:pStyle w:val="BodyText"/>
        <w:spacing w:before="12"/>
        <w:ind w:left="860"/>
      </w:pPr>
      <w:r>
        <w:rPr>
          <w:position w:val="2"/>
        </w:rPr>
        <w:t>E</w:t>
      </w:r>
      <w:r>
        <w:rPr>
          <w:sz w:val="16"/>
        </w:rPr>
        <w:t>ijkl </w:t>
      </w:r>
      <w:r>
        <w:rPr>
          <w:position w:val="2"/>
        </w:rPr>
        <w:t>= es el error residual</w:t>
      </w:r>
    </w:p>
    <w:p>
      <w:pPr>
        <w:pStyle w:val="BodyText"/>
        <w:spacing w:before="9"/>
        <w:rPr>
          <w:sz w:val="23"/>
        </w:rPr>
      </w:pPr>
    </w:p>
    <w:p>
      <w:pPr>
        <w:pStyle w:val="BodyText"/>
        <w:spacing w:line="480" w:lineRule="auto"/>
        <w:ind w:left="152" w:right="155"/>
        <w:jc w:val="both"/>
      </w:pPr>
      <w:r>
        <w:rPr/>
        <w:t>Se realizaron contrastes ortogonales para comparar los diferentes tiempos de permanencia en la pradera de las vacas Holstein (P ≤ 0.05).</w:t>
      </w:r>
    </w:p>
    <w:p>
      <w:pPr>
        <w:pStyle w:val="BodyText"/>
        <w:spacing w:line="480" w:lineRule="auto" w:before="10"/>
        <w:ind w:left="152" w:right="147"/>
        <w:jc w:val="both"/>
      </w:pPr>
      <w:r>
        <w:rPr/>
        <w:t>También se realizó un análisis de polinomios ortogonales para evaluar los efectos lineal y cuadrático de la adición de aceite de soya en la dieta completa mezclada de vacas lecheras en pastoreo (P ≤ 0.05).</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9"/>
        <w:rPr>
          <w:sz w:val="19"/>
        </w:rPr>
      </w:pPr>
    </w:p>
    <w:p>
      <w:pPr>
        <w:pStyle w:val="Heading1"/>
        <w:numPr>
          <w:ilvl w:val="2"/>
          <w:numId w:val="5"/>
        </w:numPr>
        <w:tabs>
          <w:tab w:pos="3998" w:val="left" w:leader="none"/>
        </w:tabs>
        <w:spacing w:line="240" w:lineRule="auto" w:before="0" w:after="0"/>
        <w:ind w:left="3997" w:right="0" w:hanging="480"/>
        <w:jc w:val="left"/>
      </w:pPr>
      <w:bookmarkStart w:name="_bookmark25" w:id="44"/>
      <w:bookmarkEnd w:id="44"/>
      <w:r>
        <w:rPr>
          <w:b w:val="0"/>
        </w:rPr>
      </w:r>
      <w:bookmarkStart w:name="_bookmark25" w:id="45"/>
      <w:bookmarkEnd w:id="45"/>
      <w:r>
        <w:rPr/>
        <w:t>RESULTA</w:t>
      </w:r>
      <w:r>
        <w:rPr/>
        <w:t>DOS</w:t>
      </w:r>
    </w:p>
    <w:p>
      <w:pPr>
        <w:pStyle w:val="BodyText"/>
        <w:spacing w:before="6"/>
        <w:rPr>
          <w:b/>
          <w:sz w:val="23"/>
        </w:rPr>
      </w:pPr>
    </w:p>
    <w:p>
      <w:pPr>
        <w:pStyle w:val="BodyText"/>
        <w:spacing w:line="480" w:lineRule="auto"/>
        <w:ind w:left="152" w:right="147"/>
        <w:jc w:val="both"/>
      </w:pPr>
      <w:r>
        <w:rPr/>
        <w:t>En este capítulo se presentan los artículos enviados a las revistas de Journal of Applied Animal Research y AGROCIENCIA; se incluye la carta de recepción del artículo correspondiente al primer experimento, y la carta de aceptación del artículo correspondiente al segundo experimento.</w:t>
      </w:r>
    </w:p>
    <w:p>
      <w:pPr>
        <w:pStyle w:val="Heading1"/>
        <w:spacing w:line="276" w:lineRule="auto" w:before="215" w:after="3"/>
        <w:ind w:left="1138" w:right="154" w:hanging="807"/>
      </w:pPr>
      <w:bookmarkStart w:name="_bookmark26" w:id="46"/>
      <w:bookmarkEnd w:id="46"/>
      <w:r>
        <w:rPr>
          <w:b w:val="0"/>
        </w:rPr>
      </w:r>
      <w:r>
        <w:rPr>
          <w:i/>
        </w:rPr>
        <w:t>ARTÍCULO 1: </w:t>
      </w:r>
      <w:r>
        <w:rPr/>
        <w:t>PASTURE ACCESS TIMES AND MILK FATTY ACID PROFILE OF DAIRY COWS FROM CENTRAL HIGHLAND OF MEXICO</w:t>
      </w:r>
    </w:p>
    <w:p>
      <w:pPr>
        <w:pStyle w:val="BodyText"/>
        <w:ind w:left="356"/>
        <w:rPr>
          <w:sz w:val="20"/>
        </w:rPr>
      </w:pPr>
      <w:r>
        <w:rPr>
          <w:sz w:val="20"/>
        </w:rPr>
        <w:drawing>
          <wp:inline distT="0" distB="0" distL="0" distR="0">
            <wp:extent cx="5311353" cy="4164996"/>
            <wp:effectExtent l="0" t="0" r="0" b="0"/>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20" cstate="print"/>
                    <a:stretch>
                      <a:fillRect/>
                    </a:stretch>
                  </pic:blipFill>
                  <pic:spPr>
                    <a:xfrm>
                      <a:off x="0" y="0"/>
                      <a:ext cx="5311353" cy="4164996"/>
                    </a:xfrm>
                    <a:prstGeom prst="rect">
                      <a:avLst/>
                    </a:prstGeom>
                  </pic:spPr>
                </pic:pic>
              </a:graphicData>
            </a:graphic>
          </wp:inline>
        </w:drawing>
      </w:r>
      <w:r>
        <w:rPr>
          <w:sz w:val="20"/>
        </w:rPr>
      </w:r>
    </w:p>
    <w:p>
      <w:pPr>
        <w:spacing w:after="0"/>
        <w:rPr>
          <w:sz w:val="20"/>
        </w:rPr>
        <w:sectPr>
          <w:pgSz w:w="12240" w:h="15840"/>
          <w:pgMar w:header="1150" w:footer="1336" w:top="1340" w:bottom="1520" w:left="1720" w:right="1380"/>
        </w:sectPr>
      </w:pPr>
    </w:p>
    <w:p>
      <w:pPr>
        <w:pStyle w:val="BodyText"/>
        <w:rPr>
          <w:b/>
          <w:sz w:val="20"/>
        </w:rPr>
      </w:pPr>
    </w:p>
    <w:p>
      <w:pPr>
        <w:pStyle w:val="BodyText"/>
        <w:spacing w:before="9"/>
        <w:rPr>
          <w:b/>
          <w:sz w:val="19"/>
        </w:rPr>
      </w:pPr>
    </w:p>
    <w:p>
      <w:pPr>
        <w:spacing w:line="480" w:lineRule="auto" w:before="0"/>
        <w:ind w:left="4197" w:right="0" w:hanging="4035"/>
        <w:jc w:val="left"/>
        <w:rPr>
          <w:b/>
          <w:sz w:val="24"/>
        </w:rPr>
      </w:pPr>
      <w:r>
        <w:rPr>
          <w:b/>
          <w:sz w:val="24"/>
        </w:rPr>
        <w:t>Pasture access times and milk fatty acid profile of dairy cows from central highland of Mexico</w:t>
      </w:r>
    </w:p>
    <w:p>
      <w:pPr>
        <w:pStyle w:val="BodyText"/>
        <w:spacing w:line="465" w:lineRule="auto"/>
        <w:ind w:left="152" w:right="604"/>
        <w:rPr>
          <w:sz w:val="16"/>
        </w:rPr>
      </w:pPr>
      <w:r>
        <w:rPr/>
        <w:t>Rodolfo Vieyra-Alberto</w:t>
      </w:r>
      <w:r>
        <w:rPr>
          <w:position w:val="9"/>
          <w:sz w:val="16"/>
        </w:rPr>
        <w:t>1</w:t>
      </w:r>
      <w:r>
        <w:rPr/>
        <w:t>, Horacio Castro-Hernández</w:t>
      </w:r>
      <w:r>
        <w:rPr>
          <w:position w:val="9"/>
          <w:sz w:val="16"/>
        </w:rPr>
        <w:t>1</w:t>
      </w:r>
      <w:r>
        <w:rPr/>
        <w:t>, Carlos Manuel Arriaga-Jordán</w:t>
      </w:r>
      <w:r>
        <w:rPr>
          <w:position w:val="9"/>
          <w:sz w:val="16"/>
        </w:rPr>
        <w:t>2</w:t>
      </w:r>
      <w:r>
        <w:rPr/>
        <w:t>, Ignacio Arturo Domínguez-Vara</w:t>
      </w:r>
      <w:r>
        <w:rPr>
          <w:position w:val="9"/>
          <w:sz w:val="16"/>
        </w:rPr>
        <w:t>3 </w:t>
      </w:r>
      <w:r>
        <w:rPr/>
        <w:t>and Ernesto Morales-Almaráz</w:t>
      </w:r>
      <w:r>
        <w:rPr>
          <w:position w:val="9"/>
          <w:sz w:val="16"/>
        </w:rPr>
        <w:t>3*</w:t>
      </w:r>
    </w:p>
    <w:p>
      <w:pPr>
        <w:pStyle w:val="BodyText"/>
        <w:spacing w:line="480" w:lineRule="auto"/>
        <w:ind w:left="152" w:right="684"/>
      </w:pPr>
      <w:r>
        <w:rPr>
          <w:position w:val="9"/>
          <w:sz w:val="16"/>
        </w:rPr>
        <w:t>1 </w:t>
      </w:r>
      <w:r>
        <w:rPr/>
        <w:t>Programa de Maestría y Doctorado en Ciencias Agropecuarias y Recursos Naturales, Facultad de Medicina Veterinaria y Zootecnia, Universidad Autónoma del Estado de México, Instituto Literario 100, C.P. 50000, Toluca, Estado de México, México.</w:t>
      </w:r>
    </w:p>
    <w:p>
      <w:pPr>
        <w:pStyle w:val="BodyText"/>
        <w:spacing w:line="480" w:lineRule="auto"/>
        <w:ind w:left="152" w:right="723"/>
      </w:pPr>
      <w:r>
        <w:rPr>
          <w:position w:val="9"/>
          <w:sz w:val="16"/>
        </w:rPr>
        <w:t>2 </w:t>
      </w:r>
      <w:r>
        <w:rPr/>
        <w:t>Instituto de Ciencias Agropecuarias y Rurales, Universidad Autónoma del Estado de México, Instituto Literario 100, C.P. 50000, Toluca, Estado de México, México.</w:t>
      </w:r>
    </w:p>
    <w:p>
      <w:pPr>
        <w:pStyle w:val="BodyText"/>
        <w:spacing w:line="480" w:lineRule="auto"/>
        <w:ind w:left="152" w:right="296"/>
      </w:pPr>
      <w:r>
        <w:rPr>
          <w:position w:val="9"/>
          <w:sz w:val="16"/>
        </w:rPr>
        <w:t>3 </w:t>
      </w:r>
      <w:r>
        <w:rPr/>
        <w:t>Departamento de Nutrición Animal, Facultad de Medicina Veterinaria y Zootecnia, Universidad Autónoma del Estado de México, Instituto Literario 100, C.P. 50000, Toluca, Estado de México, México.</w:t>
      </w:r>
    </w:p>
    <w:p>
      <w:pPr>
        <w:spacing w:line="286" w:lineRule="exact" w:before="0"/>
        <w:ind w:left="152" w:right="0" w:firstLine="0"/>
        <w:jc w:val="left"/>
        <w:rPr>
          <w:sz w:val="24"/>
        </w:rPr>
      </w:pPr>
      <w:r>
        <w:rPr>
          <w:position w:val="9"/>
          <w:sz w:val="16"/>
        </w:rPr>
        <w:t>*</w:t>
      </w:r>
      <w:r>
        <w:rPr>
          <w:b/>
          <w:sz w:val="24"/>
        </w:rPr>
        <w:t>Corresponding author</w:t>
      </w:r>
      <w:r>
        <w:rPr>
          <w:sz w:val="24"/>
        </w:rPr>
        <w:t>. Email address: </w:t>
      </w:r>
      <w:hyperlink r:id="rId21">
        <w:r>
          <w:rPr>
            <w:color w:val="0000FF"/>
            <w:sz w:val="24"/>
            <w:u w:val="single" w:color="0000FF"/>
          </w:rPr>
          <w:t>emoralesa@uaemex.mx</w:t>
        </w:r>
      </w:hyperlink>
    </w:p>
    <w:p>
      <w:pPr>
        <w:pStyle w:val="BodyText"/>
        <w:spacing w:before="11"/>
        <w:rPr>
          <w:sz w:val="17"/>
        </w:rPr>
      </w:pPr>
    </w:p>
    <w:p>
      <w:pPr>
        <w:pStyle w:val="BodyText"/>
        <w:spacing w:before="69"/>
        <w:ind w:left="152"/>
        <w:jc w:val="both"/>
      </w:pPr>
      <w:r>
        <w:rPr/>
        <w:t>Telephone and Fax. +52 (722) 2965548 ext. 148</w:t>
      </w:r>
    </w:p>
    <w:p>
      <w:pPr>
        <w:pStyle w:val="BodyText"/>
        <w:spacing w:before="2"/>
      </w:pPr>
    </w:p>
    <w:p>
      <w:pPr>
        <w:spacing w:before="0"/>
        <w:ind w:left="152" w:right="0" w:firstLine="0"/>
        <w:jc w:val="both"/>
        <w:rPr>
          <w:sz w:val="24"/>
        </w:rPr>
      </w:pPr>
      <w:r>
        <w:rPr>
          <w:b/>
          <w:sz w:val="24"/>
        </w:rPr>
        <w:t>Short title</w:t>
      </w:r>
      <w:r>
        <w:rPr>
          <w:sz w:val="24"/>
        </w:rPr>
        <w:t>: Pasture access times and milk fatty acids</w:t>
      </w:r>
    </w:p>
    <w:p>
      <w:pPr>
        <w:pStyle w:val="BodyText"/>
      </w:pPr>
    </w:p>
    <w:p>
      <w:pPr>
        <w:pStyle w:val="BodyText"/>
      </w:pPr>
    </w:p>
    <w:p>
      <w:pPr>
        <w:pStyle w:val="BodyText"/>
      </w:pPr>
    </w:p>
    <w:p>
      <w:pPr>
        <w:pStyle w:val="BodyText"/>
        <w:spacing w:line="480" w:lineRule="auto" w:before="197"/>
        <w:ind w:left="152" w:right="150"/>
        <w:jc w:val="both"/>
      </w:pPr>
      <w:r>
        <w:rPr>
          <w:b/>
        </w:rPr>
        <w:t>Abstract</w:t>
      </w:r>
      <w:r>
        <w:rPr/>
        <w:t>. The objective was to assess the effect of different access times to pasture of grazing dairy cows on its milk yield and fatty acid (FA) profile. Six multiparous Holstein cows were used in a repeated 3 x 3 Latin Square design. Treatments were: 1) Eight hours grazing (8h), 2) Eight hours of grazing divided in two periods (4+4h), and 3) Twelve hours of grazing (12h). Cows were fed maize silage and concentrates when confined in a free pen. There was no effect (</w:t>
      </w:r>
      <w:r>
        <w:rPr>
          <w:i/>
        </w:rPr>
        <w:t>P &gt; </w:t>
      </w:r>
      <w:r>
        <w:rPr/>
        <w:t>0.05) on milk FA profile between 8h and 4+4h treatments. Only a</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7"/>
        <w:jc w:val="both"/>
      </w:pPr>
      <w:r>
        <w:rPr/>
        <w:t>higher (</w:t>
      </w:r>
      <w:r>
        <w:rPr>
          <w:i/>
        </w:rPr>
        <w:t>P &lt; </w:t>
      </w:r>
      <w:r>
        <w:rPr/>
        <w:t>0.05) concentration of C18:2 c9t11 and higher total polyunsaturated FA in milk from cows 12h compared to others treatments were observed. Cows grazing 8h and 4+4h had 36.3 and 27.9% higher (</w:t>
      </w:r>
      <w:r>
        <w:rPr>
          <w:i/>
        </w:rPr>
        <w:t>P &lt; </w:t>
      </w:r>
      <w:r>
        <w:rPr/>
        <w:t>0.05) intake of maize silage compared to cows grazing  12h, but total DM intake was not affected (17.3 ± 1.9 kg/d; </w:t>
      </w:r>
      <w:r>
        <w:rPr>
          <w:i/>
        </w:rPr>
        <w:t>P </w:t>
      </w:r>
      <w:r>
        <w:rPr/>
        <w:t>&gt; 0.05). There were no differences (</w:t>
      </w:r>
      <w:r>
        <w:rPr>
          <w:i/>
        </w:rPr>
        <w:t>P &gt; </w:t>
      </w:r>
      <w:r>
        <w:rPr/>
        <w:t>0.05) in milk yield and chemical composition with different access times  to pasture. It is concluded that allowing 12h of grazing to dairy cows increased the concentration of C18:2 c9t11 in milk without affecting milk</w:t>
      </w:r>
      <w:r>
        <w:rPr>
          <w:spacing w:val="-15"/>
        </w:rPr>
        <w:t> </w:t>
      </w:r>
      <w:r>
        <w:rPr/>
        <w:t>yield.</w:t>
      </w:r>
    </w:p>
    <w:p>
      <w:pPr>
        <w:pStyle w:val="BodyText"/>
        <w:spacing w:before="10"/>
        <w:ind w:left="152"/>
        <w:jc w:val="both"/>
      </w:pPr>
      <w:r>
        <w:rPr/>
        <w:t>Keywords: rumenic acid, milk fatty acids, Holstein cows, grazing</w:t>
      </w:r>
    </w:p>
    <w:p>
      <w:pPr>
        <w:pStyle w:val="BodyText"/>
      </w:pPr>
    </w:p>
    <w:p>
      <w:pPr>
        <w:pStyle w:val="ListParagraph"/>
        <w:numPr>
          <w:ilvl w:val="0"/>
          <w:numId w:val="10"/>
        </w:numPr>
        <w:tabs>
          <w:tab w:pos="395" w:val="left" w:leader="none"/>
        </w:tabs>
        <w:spacing w:line="240" w:lineRule="auto" w:before="0" w:after="0"/>
        <w:ind w:left="394" w:right="0" w:hanging="242"/>
        <w:jc w:val="both"/>
        <w:rPr>
          <w:sz w:val="24"/>
        </w:rPr>
      </w:pPr>
      <w:r>
        <w:rPr>
          <w:sz w:val="24"/>
        </w:rPr>
        <w:t>Introduction</w:t>
      </w:r>
    </w:p>
    <w:p>
      <w:pPr>
        <w:pStyle w:val="BodyText"/>
      </w:pPr>
    </w:p>
    <w:p>
      <w:pPr>
        <w:pStyle w:val="BodyText"/>
        <w:spacing w:line="480" w:lineRule="auto"/>
        <w:ind w:left="152" w:right="145"/>
        <w:jc w:val="both"/>
      </w:pPr>
      <w:r>
        <w:rPr/>
        <w:t>There has been an increasing interest over the past years in the content of polyunsaturated fatty acids (FA) of cow milk due to their beneficial effects on human health. Food products derived from ruminants are naturally rich in conjugated linoleic (especially the isomer C18:2 c9t11 or rumenic acid), vaccenic (C18:1 t11) and linolenic (C18:3 c9c12c15) acids; the proportional variation of these acids is closely linked to the diet (Buccioni </w:t>
      </w:r>
      <w:r>
        <w:rPr>
          <w:i/>
        </w:rPr>
        <w:t>et al</w:t>
      </w:r>
      <w:r>
        <w:rPr/>
        <w:t>. 2012). Milk from grazing cows fed fresh forages has a higher concentration of C18:2 c9t11 and C18:3 c9c12c15, compared to cows in confinement (White </w:t>
      </w:r>
      <w:r>
        <w:rPr>
          <w:i/>
        </w:rPr>
        <w:t>et al</w:t>
      </w:r>
      <w:r>
        <w:rPr/>
        <w:t>. 2001; Morales-Almaráz </w:t>
      </w:r>
      <w:r>
        <w:rPr>
          <w:i/>
        </w:rPr>
        <w:t>et </w:t>
      </w:r>
      <w:r>
        <w:rPr>
          <w:i/>
        </w:rPr>
        <w:t>al</w:t>
      </w:r>
      <w:r>
        <w:rPr/>
        <w:t>. 2011; Buccioni </w:t>
      </w:r>
      <w:r>
        <w:rPr>
          <w:i/>
        </w:rPr>
        <w:t>et al</w:t>
      </w:r>
      <w:r>
        <w:rPr/>
        <w:t>. 2012); the increase in grazing times leads to an increase in the content of these acids in milk (Kelly </w:t>
      </w:r>
      <w:r>
        <w:rPr>
          <w:i/>
        </w:rPr>
        <w:t>et al</w:t>
      </w:r>
      <w:r>
        <w:rPr/>
        <w:t>. 1998; Dhiman </w:t>
      </w:r>
      <w:r>
        <w:rPr>
          <w:i/>
        </w:rPr>
        <w:t>et al</w:t>
      </w:r>
      <w:r>
        <w:rPr/>
        <w:t>. 1999; Morales-Almaráz </w:t>
      </w:r>
      <w:r>
        <w:rPr>
          <w:i/>
        </w:rPr>
        <w:t>et </w:t>
      </w:r>
      <w:r>
        <w:rPr>
          <w:i/>
        </w:rPr>
        <w:t>al</w:t>
      </w:r>
      <w:r>
        <w:rPr/>
        <w:t>. 2010). In the central highlands of Mexico several investigations have evaluated feeding strategies in dairy cows offering limited concentrates and conserved forages with a variable response on milk yield (Guadarrama-Estrada </w:t>
      </w:r>
      <w:r>
        <w:rPr>
          <w:i/>
        </w:rPr>
        <w:t>et al</w:t>
      </w:r>
      <w:r>
        <w:rPr/>
        <w:t>. 2007; Hernández-Ortega </w:t>
      </w:r>
      <w:r>
        <w:rPr>
          <w:i/>
        </w:rPr>
        <w:t>et al</w:t>
      </w:r>
      <w:r>
        <w:rPr/>
        <w:t>. 2011; Albarrán </w:t>
      </w:r>
      <w:r>
        <w:rPr>
          <w:i/>
        </w:rPr>
        <w:t>et al</w:t>
      </w:r>
      <w:r>
        <w:rPr/>
        <w:t>. 2012), but fatty acid profile of milk has not been studied. When corn   silage</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4"/>
        <w:jc w:val="both"/>
      </w:pPr>
      <w:r>
        <w:rPr/>
        <w:t>supplementation has been evaluated in grazing cattle, Pérez-Prieto et al. (2011) found a greater effect on pasture intake than on milk production, and the substitution rate is higher when pasture allowance (PA) is greater; nevertheless, pasture intake was not affected by  PA (30 versus 18 kg DM/d). Decreasing feed intake, because of a lower pasture height (low PA) is total or partially compensated by the animal, increasing the grazing time (Hodgson  et al. 1994). Pasture allowance causes a greater effect on pasture intake than on grazing  time of prairie; grazing time does not seem to be by itself an adjustable variable to maintain forage intake (Pérez-Prieto and Delagarde 2013). Dairy cattle is able to adapt its behaviour in the prairie according to grazing conditions (Pérez-Prieto et al. 2011). Reduction in grazing time owe to restriction time in the prairie, could be partially compensated by an increment in intake rate (Kennedy et al. 2009; Pérez-Ramírez et al.</w:t>
      </w:r>
      <w:r>
        <w:rPr>
          <w:spacing w:val="-14"/>
        </w:rPr>
        <w:t> </w:t>
      </w:r>
      <w:r>
        <w:rPr/>
        <w:t>2009).</w:t>
      </w:r>
    </w:p>
    <w:p>
      <w:pPr>
        <w:pStyle w:val="BodyText"/>
        <w:spacing w:line="480" w:lineRule="auto" w:before="10"/>
        <w:ind w:left="152" w:right="147"/>
        <w:jc w:val="both"/>
      </w:pPr>
      <w:r>
        <w:rPr/>
        <w:t>When access time to pasture was reduced from 8 to 4 h, there was a decrease in herbage DM intake, milk yield, and milk fat content (Pérez-Ramírez et al. 2008; Mattiauda et al. 2013). In addition, dividing the 8h access time to pasture in two periods (4+4h), resulted in differences in protein and lactose yield (Mattiauda et al. 2013). Other authors have observed a decrease of milk yield by reduction of access time to prairie from 16h to 8h (Chilibostre et al. 2004) and from 21 to 8h (Delaby et al. 2008). Contrary, Kennedy et al. (2009) did not observed effect on milk yield with the restriction of access of dairy cows to prairie from 22 to 8h. However, information the FA profile in milk by reducing or splitting the access time to pasture is lacking yet. In dairy cows with access to the prairie at the end of milking, it would be expected a higher PI, and consumption of precursors for the synthesis of functional components in milk fat, like has been reported by </w:t>
      </w:r>
      <w:r>
        <w:rPr>
          <w:spacing w:val="26"/>
        </w:rPr>
        <w:t> </w:t>
      </w:r>
      <w:r>
        <w:rPr/>
        <w:t>Morales-Almaráz</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5"/>
        <w:jc w:val="both"/>
      </w:pPr>
      <w:r>
        <w:rPr/>
        <w:t>et al. (2010). Thus, the limited access time to prairie to dairy cows supplemented with corn silage and concentrate modifies its production and milk fat fatty acid composition, which is important as a healthy factor for consumers. The objective of this study was to assess the effect of different access times to pasture on the yield, chemical composition and fatty acid profile of milk in grazing dairy cows.</w:t>
      </w:r>
    </w:p>
    <w:p>
      <w:pPr>
        <w:pStyle w:val="Heading1"/>
        <w:numPr>
          <w:ilvl w:val="0"/>
          <w:numId w:val="10"/>
        </w:numPr>
        <w:tabs>
          <w:tab w:pos="393" w:val="left" w:leader="none"/>
        </w:tabs>
        <w:spacing w:line="240" w:lineRule="auto" w:before="15" w:after="0"/>
        <w:ind w:left="392" w:right="0" w:hanging="240"/>
        <w:jc w:val="both"/>
      </w:pPr>
      <w:r>
        <w:rPr/>
        <w:t>Materials and</w:t>
      </w:r>
      <w:r>
        <w:rPr>
          <w:spacing w:val="-6"/>
        </w:rPr>
        <w:t> </w:t>
      </w:r>
      <w:r>
        <w:rPr/>
        <w:t>methods</w:t>
      </w:r>
    </w:p>
    <w:p>
      <w:pPr>
        <w:pStyle w:val="BodyText"/>
        <w:rPr>
          <w:b/>
        </w:rPr>
      </w:pPr>
    </w:p>
    <w:p>
      <w:pPr>
        <w:pStyle w:val="ListParagraph"/>
        <w:numPr>
          <w:ilvl w:val="1"/>
          <w:numId w:val="10"/>
        </w:numPr>
        <w:tabs>
          <w:tab w:pos="573" w:val="left" w:leader="none"/>
        </w:tabs>
        <w:spacing w:line="240" w:lineRule="auto" w:before="0" w:after="0"/>
        <w:ind w:left="572" w:right="0" w:hanging="420"/>
        <w:jc w:val="both"/>
        <w:rPr>
          <w:b/>
          <w:sz w:val="24"/>
        </w:rPr>
      </w:pPr>
      <w:r>
        <w:rPr>
          <w:b/>
          <w:sz w:val="24"/>
        </w:rPr>
        <w:t>Study</w:t>
      </w:r>
      <w:r>
        <w:rPr>
          <w:b/>
          <w:spacing w:val="-3"/>
          <w:sz w:val="24"/>
        </w:rPr>
        <w:t> </w:t>
      </w:r>
      <w:r>
        <w:rPr>
          <w:b/>
          <w:sz w:val="24"/>
        </w:rPr>
        <w:t>area</w:t>
      </w:r>
    </w:p>
    <w:p>
      <w:pPr>
        <w:pStyle w:val="BodyText"/>
        <w:spacing w:before="6"/>
        <w:rPr>
          <w:b/>
          <w:sz w:val="23"/>
        </w:rPr>
      </w:pPr>
    </w:p>
    <w:p>
      <w:pPr>
        <w:pStyle w:val="BodyText"/>
        <w:spacing w:line="480" w:lineRule="auto"/>
        <w:ind w:left="152" w:right="147"/>
        <w:jc w:val="both"/>
      </w:pPr>
      <w:r>
        <w:rPr/>
        <w:t>Work was carried out between April and June 2012, at the farm of the of Faculty of Veterinary Medicine and Animal Science of the Autonomous University of the State of Mexico, located at 19° 24’ 48’’ N and 99° 40’ 45’’ W, and altitude of 2632 m above sea level; sub-humid temperate climate with rains in summer, and mean temperatures for April, May and June were 14.8, 16.8 and 16.3°C, and a rainfall of 9.0, 20.1 and 130.1 mm respectively (INEGI 2005; SMN 2012). This experiment was carried out under the supervision and approval of the Academic Ethical Committee of that Faculty.</w:t>
      </w:r>
    </w:p>
    <w:p>
      <w:pPr>
        <w:pStyle w:val="Heading1"/>
        <w:numPr>
          <w:ilvl w:val="1"/>
          <w:numId w:val="10"/>
        </w:numPr>
        <w:tabs>
          <w:tab w:pos="573" w:val="left" w:leader="none"/>
        </w:tabs>
        <w:spacing w:line="240" w:lineRule="auto" w:before="15" w:after="0"/>
        <w:ind w:left="572" w:right="0" w:hanging="420"/>
        <w:jc w:val="both"/>
      </w:pPr>
      <w:r>
        <w:rPr/>
        <w:t>Cows, diets and</w:t>
      </w:r>
      <w:r>
        <w:rPr>
          <w:spacing w:val="-9"/>
        </w:rPr>
        <w:t> </w:t>
      </w:r>
      <w:r>
        <w:rPr/>
        <w:t>treatments</w:t>
      </w:r>
    </w:p>
    <w:p>
      <w:pPr>
        <w:pStyle w:val="BodyText"/>
        <w:spacing w:before="6"/>
        <w:rPr>
          <w:b/>
          <w:sz w:val="23"/>
        </w:rPr>
      </w:pPr>
    </w:p>
    <w:p>
      <w:pPr>
        <w:pStyle w:val="BodyText"/>
        <w:ind w:left="152"/>
        <w:jc w:val="both"/>
      </w:pPr>
      <w:r>
        <w:rPr/>
        <w:t>Six multiparous Holstein cows (615.0 ± 36.0 kg live-weight and a mean milk yield of   22.7</w:t>
      </w:r>
    </w:p>
    <w:p>
      <w:pPr>
        <w:pStyle w:val="BodyText"/>
      </w:pPr>
    </w:p>
    <w:p>
      <w:pPr>
        <w:pStyle w:val="BodyText"/>
        <w:spacing w:line="480" w:lineRule="auto"/>
        <w:ind w:left="152" w:right="147"/>
        <w:jc w:val="both"/>
      </w:pPr>
      <w:r>
        <w:rPr/>
        <w:t>± 4.8 kg/d) were allotted to a repeated 3 x 3 Latin Square design. Feeding system was based of concentrate and maize silage (indoor), and herbage intake was under a rotational grazing system, with a prairie of </w:t>
      </w:r>
      <w:r>
        <w:rPr>
          <w:i/>
        </w:rPr>
        <w:t>Festuca arundinacea</w:t>
      </w:r>
      <w:r>
        <w:rPr/>
        <w:t>, </w:t>
      </w:r>
      <w:r>
        <w:rPr>
          <w:i/>
        </w:rPr>
        <w:t>Dactylis glomerata</w:t>
      </w:r>
      <w:r>
        <w:rPr/>
        <w:t>, </w:t>
      </w:r>
      <w:r>
        <w:rPr>
          <w:i/>
        </w:rPr>
        <w:t>Lolium perenne</w:t>
      </w:r>
      <w:r>
        <w:rPr/>
        <w:t>, and </w:t>
      </w:r>
      <w:r>
        <w:rPr>
          <w:i/>
        </w:rPr>
        <w:t>Trifolium repens</w:t>
      </w:r>
      <w:r>
        <w:rPr/>
        <w:t>. Fresh pasture was assigned every day. Maize silage was offered </w:t>
      </w:r>
      <w:r>
        <w:rPr>
          <w:i/>
        </w:rPr>
        <w:t>ad  </w:t>
      </w:r>
      <w:r>
        <w:rPr>
          <w:i/>
        </w:rPr>
        <w:t>libitum </w:t>
      </w:r>
      <w:r>
        <w:rPr/>
        <w:t>in troughs, as well as 4.48 kg DM/cow/d of concentrate (Table 1) offered individually in two meals. Cows had free access to water. Times of access to pasture </w:t>
      </w:r>
      <w:r>
        <w:rPr>
          <w:spacing w:val="53"/>
        </w:rPr>
        <w:t> </w:t>
      </w:r>
      <w:r>
        <w:rPr/>
        <w:t>were:</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ind w:left="152"/>
        <w:jc w:val="both"/>
      </w:pPr>
      <w:r>
        <w:rPr/>
        <w:t>1) </w:t>
      </w:r>
      <w:r>
        <w:rPr>
          <w:b/>
        </w:rPr>
        <w:t>8h (</w:t>
      </w:r>
      <w:r>
        <w:rPr/>
        <w:t>07:00 to 15:00h), 2) </w:t>
      </w:r>
      <w:r>
        <w:rPr>
          <w:b/>
        </w:rPr>
        <w:t>4+4h </w:t>
      </w:r>
      <w:r>
        <w:rPr/>
        <w:t>(07:00 to 11:00 h and 16:00 to 20:00h), and 3) </w:t>
      </w:r>
      <w:r>
        <w:rPr>
          <w:b/>
        </w:rPr>
        <w:t>12h</w:t>
      </w:r>
      <w:r>
        <w:rPr>
          <w:b/>
          <w:spacing w:val="50"/>
        </w:rPr>
        <w:t> </w:t>
      </w:r>
      <w:r>
        <w:rPr/>
        <w:t>(07:00</w:t>
      </w:r>
    </w:p>
    <w:p>
      <w:pPr>
        <w:pStyle w:val="BodyText"/>
      </w:pPr>
    </w:p>
    <w:p>
      <w:pPr>
        <w:pStyle w:val="BodyText"/>
        <w:spacing w:line="480" w:lineRule="auto"/>
        <w:ind w:left="152" w:right="145"/>
        <w:jc w:val="both"/>
      </w:pPr>
      <w:r>
        <w:rPr/>
        <w:t>to 15:00 h and from 16:00 to 20:00 h). All cows were managed as one group in the same pasture, according to treatments (time of access to pasture).</w:t>
      </w:r>
    </w:p>
    <w:p>
      <w:pPr>
        <w:pStyle w:val="Heading1"/>
        <w:numPr>
          <w:ilvl w:val="1"/>
          <w:numId w:val="10"/>
        </w:numPr>
        <w:tabs>
          <w:tab w:pos="573" w:val="left" w:leader="none"/>
        </w:tabs>
        <w:spacing w:line="240" w:lineRule="auto" w:before="15" w:after="0"/>
        <w:ind w:left="572" w:right="0" w:hanging="420"/>
        <w:jc w:val="both"/>
      </w:pPr>
      <w:r>
        <w:rPr/>
        <w:t>Experimental</w:t>
      </w:r>
      <w:r>
        <w:rPr>
          <w:spacing w:val="-7"/>
        </w:rPr>
        <w:t> </w:t>
      </w:r>
      <w:r>
        <w:rPr/>
        <w:t>procedure</w:t>
      </w:r>
    </w:p>
    <w:p>
      <w:pPr>
        <w:pStyle w:val="BodyText"/>
        <w:spacing w:before="6"/>
        <w:rPr>
          <w:b/>
          <w:sz w:val="23"/>
        </w:rPr>
      </w:pPr>
    </w:p>
    <w:p>
      <w:pPr>
        <w:pStyle w:val="BodyText"/>
        <w:spacing w:line="480" w:lineRule="auto"/>
        <w:ind w:left="152" w:right="147"/>
        <w:jc w:val="both"/>
      </w:pPr>
      <w:r>
        <w:rPr/>
        <w:t>The study comprised three experimental periods of 15 days each one (10 days for adaptation and 5 days for sample collection). Cows were milked twice a day (06:00 and 15:00 h), and were weighed at the beginning and end of each experimental</w:t>
      </w:r>
      <w:r>
        <w:rPr>
          <w:spacing w:val="-9"/>
        </w:rPr>
        <w:t> </w:t>
      </w:r>
      <w:r>
        <w:rPr/>
        <w:t>period.</w:t>
      </w:r>
    </w:p>
    <w:p>
      <w:pPr>
        <w:pStyle w:val="BodyText"/>
        <w:spacing w:line="480" w:lineRule="auto" w:before="10"/>
        <w:ind w:left="152" w:right="150"/>
        <w:jc w:val="both"/>
      </w:pPr>
      <w:r>
        <w:rPr/>
        <w:t>Herbage mass in the pasture was estimated on day before to each measurement stage per period, and it was used for adjusting the size of grazing plots to meet assigned herbage allowances of 22 kg DM/cow/d.</w:t>
      </w:r>
    </w:p>
    <w:p>
      <w:pPr>
        <w:pStyle w:val="BodyText"/>
        <w:spacing w:line="480" w:lineRule="auto" w:before="10"/>
        <w:ind w:left="152" w:right="150"/>
        <w:jc w:val="both"/>
      </w:pPr>
      <w:r>
        <w:rPr/>
        <w:t>Maize silage and concentrate intake was measured individually by difference between offered and refusals, and milk yield was individually recorded daily.</w:t>
      </w:r>
    </w:p>
    <w:p>
      <w:pPr>
        <w:pStyle w:val="BodyText"/>
        <w:spacing w:line="480" w:lineRule="auto" w:before="10"/>
        <w:ind w:left="152" w:right="147"/>
        <w:jc w:val="both"/>
      </w:pPr>
      <w:r>
        <w:rPr/>
        <w:t>Grass intake was estimated by the method described by Macoon et al. (2003) based on net </w:t>
      </w:r>
      <w:r>
        <w:rPr>
          <w:position w:val="2"/>
        </w:rPr>
        <w:t>energy requirements for dairy cattle (NE</w:t>
      </w:r>
      <w:r>
        <w:rPr>
          <w:sz w:val="16"/>
        </w:rPr>
        <w:t>L</w:t>
      </w:r>
      <w:r>
        <w:rPr>
          <w:position w:val="2"/>
        </w:rPr>
        <w:t>) (NRC 2001), and the net energy supplied by the </w:t>
      </w:r>
      <w:r>
        <w:rPr/>
        <w:t>indoor feeds intake. Net energy content of feeds (herbage, maize silage and concentrate) was calculated from equations described by Menke and Steingass (1988), from acid detergent fibre (ADF) content.</w:t>
      </w:r>
    </w:p>
    <w:p>
      <w:pPr>
        <w:pStyle w:val="BodyText"/>
        <w:spacing w:line="480" w:lineRule="auto" w:before="11"/>
        <w:ind w:left="152" w:right="142"/>
        <w:jc w:val="both"/>
      </w:pPr>
      <w:r>
        <w:rPr/>
        <w:t>Maize silage was sampled daily at the time of feeding from individual troughs during the collection phase, while the concentrate was sampled once per period. Grass was sampled by simulated grazing (hand plucking) (Wayne 1964), before the beginning of pasture grazing cows. All samples were kept at -20ºC until their laboratory analysis. Milk was sampled individually at each milking (50 mL) and an aliquot was taken for chemical analysis.</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9"/>
        <w:rPr>
          <w:sz w:val="19"/>
        </w:rPr>
      </w:pPr>
    </w:p>
    <w:p>
      <w:pPr>
        <w:pStyle w:val="Heading1"/>
        <w:numPr>
          <w:ilvl w:val="1"/>
          <w:numId w:val="10"/>
        </w:numPr>
        <w:tabs>
          <w:tab w:pos="573" w:val="left" w:leader="none"/>
        </w:tabs>
        <w:spacing w:line="240" w:lineRule="auto" w:before="0" w:after="0"/>
        <w:ind w:left="572" w:right="0" w:hanging="420"/>
        <w:jc w:val="both"/>
      </w:pPr>
      <w:r>
        <w:rPr/>
        <w:t>Chemical</w:t>
      </w:r>
      <w:r>
        <w:rPr>
          <w:spacing w:val="-3"/>
        </w:rPr>
        <w:t> </w:t>
      </w:r>
      <w:r>
        <w:rPr/>
        <w:t>analysis</w:t>
      </w:r>
    </w:p>
    <w:p>
      <w:pPr>
        <w:pStyle w:val="BodyText"/>
        <w:spacing w:before="6"/>
        <w:rPr>
          <w:b/>
          <w:sz w:val="23"/>
        </w:rPr>
      </w:pPr>
    </w:p>
    <w:p>
      <w:pPr>
        <w:pStyle w:val="BodyText"/>
        <w:spacing w:line="480" w:lineRule="auto"/>
        <w:ind w:left="152" w:right="142"/>
        <w:jc w:val="both"/>
      </w:pPr>
      <w:r>
        <w:rPr/>
        <w:t>Feed samples (maize silage, concentrate and herbage) were dried in a draught oven at 60°C for 24 h, ground with a 2 mm sieve and conserved in plastic bags. DM and ash content were determined by loss weight after drying at 100 ± 1°C in a draught oven for 24 h, followed by incineration at 600°C for 4 h in a furnace. Crude protein content was determined by the Kjeldahl method (AOAC 2012); ADF, NDF and ADL were determined according to Van Soest et al. (1991). Fatty acid content in feeds was determined on freeze-dried samples and following the technique described by Sukhija and Palmquist (1988), modified by Palmquist and Jenkins (2003), using methanolic hydrochloric acid at 10% for esterifying FA, and using hexane as an organic solvent. Methyl esters of FA were separated and quantified by gas chromatography (Perkin Elmer Clarus 500), with a capillary column 100 m x 0.25 mm x 0.2 µm (SUPELCO TM-2560), using nitrogen as a carrier gas. The detector and injector were kept at 260°C, and the initial oven temperature was 140°C for five minutes, increasing 4°C per minute up to 240°C. </w:t>
      </w:r>
      <w:r>
        <w:rPr>
          <w:color w:val="292425"/>
        </w:rPr>
        <w:t>Each peak was identified from retention times of standard methyled esters </w:t>
      </w:r>
      <w:r>
        <w:rPr/>
        <w:t>(Supelco 37, FAME MIX analytical SIGMA USA). Fatty acids are  reported in g/100 g</w:t>
      </w:r>
      <w:r>
        <w:rPr>
          <w:position w:val="9"/>
          <w:sz w:val="16"/>
        </w:rPr>
        <w:t>-1 </w:t>
      </w:r>
      <w:r>
        <w:rPr/>
        <w:t>of total</w:t>
      </w:r>
      <w:r>
        <w:rPr>
          <w:spacing w:val="12"/>
        </w:rPr>
        <w:t> </w:t>
      </w:r>
      <w:r>
        <w:rPr/>
        <w:t>FA.</w:t>
      </w:r>
    </w:p>
    <w:p>
      <w:pPr>
        <w:pStyle w:val="BodyText"/>
        <w:spacing w:line="480" w:lineRule="auto"/>
        <w:ind w:left="152" w:right="145"/>
        <w:jc w:val="both"/>
      </w:pPr>
      <w:r>
        <w:rPr/>
        <w:t>Milk composition (fat, protein and lactose) was determined with the ultrasound analyser Lactoscan (Milkotronic, LTD). Milk fat was isolated before FA determination following  the method of Feng et al. (2004); methylation was carried out according to the methodology described by Christie (1982), modified by Chouinard et al. (1999). Methyled esters of FA were quantified in the same way as for</w:t>
      </w:r>
      <w:r>
        <w:rPr>
          <w:spacing w:val="-9"/>
        </w:rPr>
        <w:t> </w:t>
      </w:r>
      <w:r>
        <w:rPr/>
        <w:t>feeds.</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9"/>
        <w:rPr>
          <w:sz w:val="19"/>
        </w:rPr>
      </w:pPr>
    </w:p>
    <w:p>
      <w:pPr>
        <w:pStyle w:val="Heading1"/>
        <w:numPr>
          <w:ilvl w:val="1"/>
          <w:numId w:val="10"/>
        </w:numPr>
        <w:tabs>
          <w:tab w:pos="573" w:val="left" w:leader="none"/>
        </w:tabs>
        <w:spacing w:line="240" w:lineRule="auto" w:before="0" w:after="0"/>
        <w:ind w:left="572" w:right="0" w:hanging="420"/>
        <w:jc w:val="both"/>
      </w:pPr>
      <w:r>
        <w:rPr/>
        <w:t>Statistical</w:t>
      </w:r>
      <w:r>
        <w:rPr>
          <w:spacing w:val="-3"/>
        </w:rPr>
        <w:t> </w:t>
      </w:r>
      <w:r>
        <w:rPr/>
        <w:t>analysis</w:t>
      </w:r>
    </w:p>
    <w:p>
      <w:pPr>
        <w:pStyle w:val="BodyText"/>
        <w:spacing w:before="6"/>
        <w:rPr>
          <w:b/>
          <w:sz w:val="23"/>
        </w:rPr>
      </w:pPr>
    </w:p>
    <w:p>
      <w:pPr>
        <w:pStyle w:val="BodyText"/>
        <w:spacing w:line="477" w:lineRule="auto"/>
        <w:ind w:left="152" w:right="145"/>
        <w:jc w:val="both"/>
      </w:pPr>
      <w:r>
        <w:rPr/>
        <w:t>Data were analysed in a Latin Square Design (Steel et al. 1997) using PROC MIXED </w:t>
      </w:r>
      <w:r>
        <w:rPr>
          <w:position w:val="2"/>
        </w:rPr>
        <w:t>procedure (SAS 2006). The statistical model was: Y</w:t>
      </w:r>
      <w:r>
        <w:rPr>
          <w:sz w:val="16"/>
        </w:rPr>
        <w:t>ijkl </w:t>
      </w:r>
      <w:r>
        <w:rPr>
          <w:position w:val="2"/>
        </w:rPr>
        <w:t>= μ + S</w:t>
      </w:r>
      <w:r>
        <w:rPr>
          <w:sz w:val="16"/>
        </w:rPr>
        <w:t>i </w:t>
      </w:r>
      <w:r>
        <w:rPr>
          <w:position w:val="2"/>
        </w:rPr>
        <w:t>+ P</w:t>
      </w:r>
      <w:r>
        <w:rPr>
          <w:sz w:val="16"/>
        </w:rPr>
        <w:t>(i)j </w:t>
      </w:r>
      <w:r>
        <w:rPr>
          <w:position w:val="2"/>
        </w:rPr>
        <w:t>+ C</w:t>
      </w:r>
      <w:r>
        <w:rPr>
          <w:sz w:val="16"/>
        </w:rPr>
        <w:t>(i)k </w:t>
      </w:r>
      <w:r>
        <w:rPr>
          <w:position w:val="2"/>
        </w:rPr>
        <w:t>+ TP</w:t>
      </w:r>
      <w:r>
        <w:rPr>
          <w:sz w:val="16"/>
        </w:rPr>
        <w:t>l </w:t>
      </w:r>
      <w:r>
        <w:rPr>
          <w:position w:val="2"/>
        </w:rPr>
        <w:t>+ E</w:t>
      </w:r>
      <w:r>
        <w:rPr>
          <w:sz w:val="16"/>
        </w:rPr>
        <w:t>ijkl, </w:t>
      </w:r>
      <w:r>
        <w:rPr>
          <w:position w:val="2"/>
        </w:rPr>
        <w:t>where: Y</w:t>
      </w:r>
      <w:r>
        <w:rPr>
          <w:sz w:val="16"/>
        </w:rPr>
        <w:t>ijkl </w:t>
      </w:r>
      <w:r>
        <w:rPr>
          <w:position w:val="2"/>
        </w:rPr>
        <w:t>= response variable; μ = general mean; S</w:t>
      </w:r>
      <w:r>
        <w:rPr>
          <w:sz w:val="16"/>
        </w:rPr>
        <w:t>i </w:t>
      </w:r>
      <w:r>
        <w:rPr>
          <w:position w:val="2"/>
        </w:rPr>
        <w:t>= effect of square ( i: 1, 2); P</w:t>
      </w:r>
      <w:r>
        <w:rPr>
          <w:sz w:val="16"/>
        </w:rPr>
        <w:t>(i)j </w:t>
      </w:r>
      <w:r>
        <w:rPr>
          <w:position w:val="2"/>
        </w:rPr>
        <w:t>= effect of period (j = 1, 2, 3); C</w:t>
      </w:r>
      <w:r>
        <w:rPr>
          <w:sz w:val="16"/>
        </w:rPr>
        <w:t>(i)k </w:t>
      </w:r>
      <w:r>
        <w:rPr>
          <w:position w:val="2"/>
        </w:rPr>
        <w:t>= effect of cow (k = 1, 2, 3) within square; TP</w:t>
      </w:r>
      <w:r>
        <w:rPr>
          <w:sz w:val="16"/>
        </w:rPr>
        <w:t>l </w:t>
      </w:r>
      <w:r>
        <w:rPr>
          <w:position w:val="2"/>
        </w:rPr>
        <w:t>= effect of time of access time to pasture (l = 1, 2, 3); and E</w:t>
      </w:r>
      <w:r>
        <w:rPr>
          <w:sz w:val="16"/>
        </w:rPr>
        <w:t>ijkl </w:t>
      </w:r>
      <w:r>
        <w:rPr>
          <w:position w:val="2"/>
        </w:rPr>
        <w:t>= random error term. Orthogonal </w:t>
      </w:r>
      <w:r>
        <w:rPr/>
        <w:t>contrasts were carried out to determine differences due to grazing times. Differences were designated as significant at (</w:t>
      </w:r>
      <w:r>
        <w:rPr>
          <w:i/>
        </w:rPr>
        <w:t>P ≤ </w:t>
      </w:r>
      <w:r>
        <w:rPr/>
        <w:t>0.05).</w:t>
      </w:r>
    </w:p>
    <w:p>
      <w:pPr>
        <w:pStyle w:val="Heading1"/>
        <w:numPr>
          <w:ilvl w:val="0"/>
          <w:numId w:val="10"/>
        </w:numPr>
        <w:tabs>
          <w:tab w:pos="393" w:val="left" w:leader="none"/>
        </w:tabs>
        <w:spacing w:line="240" w:lineRule="auto" w:before="17" w:after="0"/>
        <w:ind w:left="392" w:right="0" w:hanging="240"/>
        <w:jc w:val="both"/>
      </w:pPr>
      <w:r>
        <w:rPr/>
        <w:t>Results and</w:t>
      </w:r>
      <w:r>
        <w:rPr>
          <w:spacing w:val="-9"/>
        </w:rPr>
        <w:t> </w:t>
      </w:r>
      <w:r>
        <w:rPr/>
        <w:t>discussion</w:t>
      </w:r>
    </w:p>
    <w:p>
      <w:pPr>
        <w:pStyle w:val="BodyText"/>
        <w:spacing w:before="6"/>
        <w:rPr>
          <w:b/>
          <w:sz w:val="23"/>
        </w:rPr>
      </w:pPr>
    </w:p>
    <w:p>
      <w:pPr>
        <w:pStyle w:val="BodyText"/>
        <w:spacing w:line="480" w:lineRule="auto"/>
        <w:ind w:left="152" w:right="148"/>
        <w:jc w:val="both"/>
      </w:pPr>
      <w:r>
        <w:rPr/>
        <w:t>Fatty acid content of concentrate and maize silage showed as main fatty acids C16:0, C18:1 c9 and C18:2 c9c12, with around 87% of total FA; while in herbage, the most abundant acid was C18:3 c9c12c15, followed by C16:0 and C18:2 c9c12 (Table</w:t>
      </w:r>
      <w:r>
        <w:rPr>
          <w:spacing w:val="-10"/>
        </w:rPr>
        <w:t> </w:t>
      </w:r>
      <w:r>
        <w:rPr/>
        <w:t>1).</w:t>
      </w:r>
    </w:p>
    <w:p>
      <w:pPr>
        <w:pStyle w:val="BodyText"/>
        <w:spacing w:line="480" w:lineRule="auto" w:before="10"/>
        <w:ind w:left="152" w:right="144"/>
        <w:jc w:val="both"/>
      </w:pPr>
      <w:r>
        <w:rPr/>
        <w:t>DM intake of the cows is shown in Table 2. Treatments </w:t>
      </w:r>
      <w:r>
        <w:rPr>
          <w:b/>
        </w:rPr>
        <w:t>8h </w:t>
      </w:r>
      <w:r>
        <w:rPr/>
        <w:t>and </w:t>
      </w:r>
      <w:r>
        <w:rPr>
          <w:b/>
        </w:rPr>
        <w:t>4+4h </w:t>
      </w:r>
      <w:r>
        <w:rPr/>
        <w:t>showed 36.3 and 27.9% more (P ˂ 0.05) DM intake of maize silage, compared to </w:t>
      </w:r>
      <w:r>
        <w:rPr>
          <w:b/>
        </w:rPr>
        <w:t>12h </w:t>
      </w:r>
      <w:r>
        <w:rPr/>
        <w:t>of grazing. Herbage DM intake by dairy cows was 2.5 times higher (P &lt; 0.05) in </w:t>
      </w:r>
      <w:r>
        <w:rPr>
          <w:b/>
        </w:rPr>
        <w:t>12h </w:t>
      </w:r>
      <w:r>
        <w:rPr/>
        <w:t>compared to </w:t>
      </w:r>
      <w:r>
        <w:rPr>
          <w:b/>
        </w:rPr>
        <w:t>8h </w:t>
      </w:r>
      <w:r>
        <w:rPr/>
        <w:t>of  grazing. However, total DM intake was not affected (P &gt; 0.05) by treatments (17.29 ± 1.86 kg DM/cow/d). Mattiauda et al. (2013) reported that restricting grazing time from eight to four hours, there were no differences in maize silage intake (4.5 kg/d), but there was difference in total DM intake (19.1 versus 17.1 kg/d). Time at grazing affect the ingestive behaviour of cows under confinement. The higher herbage intake in treatment 12h means that cows were able to meet their nutritional requirements, without the need of compensating any reduced intake of maize silage due to reduced time indoor. Similar to</w:t>
      </w:r>
      <w:r>
        <w:rPr>
          <w:spacing w:val="3"/>
        </w:rPr>
        <w:t> </w:t>
      </w:r>
      <w:r>
        <w:rPr/>
        <w:t>our</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50"/>
        <w:jc w:val="both"/>
      </w:pPr>
      <w:r>
        <w:rPr/>
        <w:t>results, Pérez-Ramírez et al. (2008) and Mattiauda et al. (2013) observed a decrease in herbage intake of 18.6 and 19.9% when access time to pasture was restricted from eight to four hours per day. Morales-Almaráz et al. (2010) reported differences in herbage intake when grazing time was increased from 6 to 12 h (5.00 and 8.56 kg DM/d) but there were no differences in total DM intake (23.2 and 23.0 kg/d), nor in milk yields (35.4 and 33.6 kg DM/d) in Holstein cows fed indoor a total mixed ration based on maize silage.</w:t>
      </w:r>
    </w:p>
    <w:p>
      <w:pPr>
        <w:pStyle w:val="BodyText"/>
        <w:spacing w:line="480" w:lineRule="auto" w:before="10"/>
        <w:ind w:left="152" w:right="149"/>
        <w:jc w:val="both"/>
      </w:pPr>
      <w:r>
        <w:rPr/>
        <w:t>In this study, there were no differences (P &gt; 0.05) in milk yield nor its chemical composition among treatments (Table 2). Other authors, Pérez-Ramírez et al. (2008) and Mattiauda et al. (2013) reported in dairy cows a decreasing in milk yields of 4.9 and 5.1%, when grazing time was reduced from 8 to 4 h. Hernández-Mendo and Leaver (2004) reported that milk yield and ingestive behaviour to different combinations of grazing time and indoor feeding are affected, among other factors, by season of the year, sward height, and level of concentrate supplementation, which will affect potential DM intake due to substitution</w:t>
      </w:r>
      <w:r>
        <w:rPr>
          <w:spacing w:val="-6"/>
        </w:rPr>
        <w:t> </w:t>
      </w:r>
      <w:r>
        <w:rPr/>
        <w:t>effects.</w:t>
      </w:r>
    </w:p>
    <w:p>
      <w:pPr>
        <w:pStyle w:val="BodyText"/>
        <w:spacing w:line="480" w:lineRule="auto" w:before="10"/>
        <w:ind w:left="152" w:right="144"/>
        <w:jc w:val="both"/>
      </w:pPr>
      <w:r>
        <w:rPr/>
        <w:t>There are several ways to increase the concentration of desired FA in ruminant food products, such as increasing the amount (i.e., intake) or concentration of their precursors in the diet, reducing the extent of bio hydrogenation in the rumen, and/or enhancing activity of the delta 9 desaturase enzyme that converts C18:1 t11 into C18:2 c9t11 in the udder of cow. Rumen microorganism use biohydrogenation as a defence means against toxicity of unsaturated FA from feeds (Buccioni et al. 2012); the C18:3 c9c12c15 acid is isomerised to C18:3 c9t11c15, and further reduced to C18:2 t11c15 and then to C18:1 t11, ending in C18:0. Also, the C18:2 c9c12 acid is isomerised to C18:2 c9t11, followed by a reduction</w:t>
      </w:r>
      <w:r>
        <w:rPr>
          <w:spacing w:val="50"/>
        </w:rPr>
        <w:t> </w:t>
      </w:r>
      <w:r>
        <w:rPr/>
        <w:t>to</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8"/>
        <w:jc w:val="both"/>
      </w:pPr>
      <w:r>
        <w:rPr/>
        <w:t>C18:1t11, and finally to C18:0 (Buccioni et al. 2012). In the present study it was observed that C18:3 c9c12c15 concentration in herbage (52.3 g/100 g FA) are in the range of 50-75% which is indicated by Elgersma et al. (2006) for fresh grass with high proportion of these fatty acids.</w:t>
      </w:r>
    </w:p>
    <w:p>
      <w:pPr>
        <w:pStyle w:val="BodyText"/>
        <w:spacing w:line="480" w:lineRule="auto" w:before="10"/>
        <w:ind w:left="152" w:right="150"/>
        <w:jc w:val="both"/>
      </w:pPr>
      <w:r>
        <w:rPr/>
        <w:t>Access time to grazing did not affect the milk FA profile (Table 3), but concentration of C18:2 c9t11 acid increased (19.5 and 14.6%) when cows had maximal access time to pasture (</w:t>
      </w:r>
      <w:r>
        <w:rPr>
          <w:b/>
        </w:rPr>
        <w:t>12h</w:t>
      </w:r>
      <w:r>
        <w:rPr/>
        <w:t>), compared to </w:t>
      </w:r>
      <w:r>
        <w:rPr>
          <w:b/>
        </w:rPr>
        <w:t>8h </w:t>
      </w:r>
      <w:r>
        <w:rPr/>
        <w:t>and </w:t>
      </w:r>
      <w:r>
        <w:rPr>
          <w:b/>
        </w:rPr>
        <w:t>4+4h</w:t>
      </w:r>
      <w:r>
        <w:rPr/>
        <w:t>.</w:t>
      </w:r>
    </w:p>
    <w:p>
      <w:pPr>
        <w:pStyle w:val="BodyText"/>
        <w:spacing w:line="480" w:lineRule="auto" w:before="10"/>
        <w:ind w:left="152" w:right="149"/>
        <w:jc w:val="both"/>
      </w:pPr>
      <w:r>
        <w:rPr/>
        <w:t>Previous studies have showed a similar relationship of C18:2c9t11 acid, being higher in milk and higher in herbage as well (Kelly et al. 1998; Dhiman et al. 1999; Vibart et al. 2008). Kelly et al. (1998) found that in dairy cows with a gradual reduction in access time  to total mixed rations and increased access time to pasture till cows that were fed completely at pasture, concentration of C18:3 c9c12c15 acid in milk fat increased three times (9.5 versus 3.1 mg/g) and C18:2 c9t11 acid two times (10.9 versus 5.4 mg/g).  Dhiman et al. (1999) observed a similar response comparing full grazing against a third of the diet from grazing, which resulted in a content of nearly 150% more CLA in the full grass treatment compared to partial grazing (8.9 versus 22.1</w:t>
      </w:r>
      <w:r>
        <w:rPr>
          <w:spacing w:val="-18"/>
        </w:rPr>
        <w:t> </w:t>
      </w:r>
      <w:r>
        <w:rPr/>
        <w:t>mg/g).</w:t>
      </w:r>
    </w:p>
    <w:p>
      <w:pPr>
        <w:pStyle w:val="BodyText"/>
        <w:spacing w:line="480" w:lineRule="auto" w:before="10"/>
        <w:ind w:left="152" w:right="147"/>
        <w:jc w:val="both"/>
      </w:pPr>
      <w:r>
        <w:rPr/>
        <w:t>Vibart et al. (2008) observed a lineal increase of FA C18:2 c9t11 and C18:3 c9c12c15 in milk when grass was increased in the diet from 0 to 21, 32 and 41% of dairy cows total ration; a similar trend to that was reported by Morales-Almaráz et al. (2010) feeding dairy cows with total mixed rations complemented with 0, 6 and 12 h of grazing.</w:t>
      </w:r>
    </w:p>
    <w:p>
      <w:pPr>
        <w:pStyle w:val="BodyText"/>
        <w:spacing w:line="480" w:lineRule="auto" w:before="10"/>
        <w:ind w:left="152" w:right="148"/>
        <w:jc w:val="both"/>
      </w:pPr>
      <w:r>
        <w:rPr/>
        <w:t>When dairy cows intakes herbage of high nutritional quality, the presence of a high content of  intermediate  products  (C18:2  and  C18:1)  and  a  low  concentration  of  C18:0  in the</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9"/>
        <w:jc w:val="both"/>
      </w:pPr>
      <w:r>
        <w:rPr/>
        <w:t>ruminal fluid, it could indicates that the last step of biohydrogenation is inhibited (Sun &amp; Gibbs 2012). </w:t>
      </w:r>
      <w:r>
        <w:rPr>
          <w:spacing w:val="-3"/>
        </w:rPr>
        <w:t>In </w:t>
      </w:r>
      <w:r>
        <w:rPr/>
        <w:t>the rumen of dairy cows grazing high quality pastures, there is a greater production of C18:1 t11 acid due to a decrease in ruminal pH, compared with cows grazing at low quality pasture (Palladino et al. 2014). Qiu et al. (2004) cited by Palladino et al. (2014) reported that when the ruminal pH is low, there is an accumulation of C18:1 t11  acid and a decrease in the concentration of C18:0</w:t>
      </w:r>
      <w:r>
        <w:rPr>
          <w:spacing w:val="-12"/>
        </w:rPr>
        <w:t> </w:t>
      </w:r>
      <w:r>
        <w:rPr/>
        <w:t>acid.</w:t>
      </w:r>
    </w:p>
    <w:p>
      <w:pPr>
        <w:pStyle w:val="BodyText"/>
        <w:spacing w:line="480" w:lineRule="auto" w:before="10"/>
        <w:ind w:left="152" w:right="148"/>
        <w:jc w:val="both"/>
      </w:pPr>
      <w:r>
        <w:rPr/>
        <w:t>Out of the total content of C18:2 c9t11 acid in cow milk, a small amount comes from the isomerisation of C18:2 c9c12 in the rumen, and most of it comes from </w:t>
      </w:r>
      <w:r>
        <w:rPr>
          <w:i/>
        </w:rPr>
        <w:t>de novo </w:t>
      </w:r>
      <w:r>
        <w:rPr/>
        <w:t>synthesis in the mammary gland by the action of the delta 9 desaturase enzyme, using C18:1 t11 acid as a substrate (Griinari &amp; Bauman 1999). In the work herein reported, there was a trend (P = 0.06) in the C18:1 t11 acid increasing in milk in the </w:t>
      </w:r>
      <w:r>
        <w:rPr>
          <w:b/>
        </w:rPr>
        <w:t>12h </w:t>
      </w:r>
      <w:r>
        <w:rPr/>
        <w:t>grazing time, and a higher content of C18:2 c9t11 acid, which would indicate a higher availability of C18:1 t11 acid as a substrate for the synthesis of C18:2 c9t11 in the mammary gland tissue, or a lower capability or efficiency in cows with less access time to pasture. This may explain the higher content of C18:2 c9t11 acid and a trend (P = 0.06) of higher C18:1 t11 acid in milk fat when cows were on treatment </w:t>
      </w:r>
      <w:r>
        <w:rPr>
          <w:b/>
        </w:rPr>
        <w:t>12h </w:t>
      </w:r>
      <w:r>
        <w:rPr/>
        <w:t>of grazing time, being the content of C18:1 t11  </w:t>
      </w:r>
      <w:r>
        <w:rPr>
          <w:spacing w:val="56"/>
        </w:rPr>
        <w:t> </w:t>
      </w:r>
      <w:r>
        <w:rPr/>
        <w:t>acid</w:t>
      </w:r>
    </w:p>
    <w:p>
      <w:pPr>
        <w:pStyle w:val="BodyText"/>
        <w:spacing w:line="480" w:lineRule="auto" w:before="10"/>
        <w:ind w:left="152" w:right="148"/>
        <w:jc w:val="both"/>
      </w:pPr>
      <w:r>
        <w:rPr/>
        <w:t>12.5 and 21.3% higher than other treatments (Table 3). As mentioned before, the action of the delta 9 desaturase enzyme in the mammary gland, seems to be the main route for C18:2 c9t11 acid synthesis in milk (Kay et al. 2004). In this process, this enzyme uses C18:1 t11, produced by biohydrogenation of C18:2 c9c12 and C18:3 c9c12c15 acids as a substrate, which tended to be higher in milk in treatment </w:t>
      </w:r>
      <w:r>
        <w:rPr>
          <w:b/>
        </w:rPr>
        <w:t>12h</w:t>
      </w:r>
      <w:r>
        <w:rPr/>
        <w:t>, probably derived from a higher pasture intake and therefore more C18:3 c9c12c15 acid ingested. Palladino et al. (2014) found a</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50"/>
        <w:jc w:val="both"/>
      </w:pPr>
      <w:r>
        <w:rPr/>
        <w:t>higher concentrations of C18:1 t11 in rumen when pasture allowance was 20 kg DM/cow/d, which was attributed to a higher intake of C18:3 c9c12c15, precursor of this fatty acid. The higher concentration of C18:1 t11 acid in rumen might have improved its flow into the small intestine, and its absorption and de-saturation in the mammary gland for the synthesis of C18:2 c9t11 acid.</w:t>
      </w:r>
    </w:p>
    <w:p>
      <w:pPr>
        <w:pStyle w:val="ListParagraph"/>
        <w:numPr>
          <w:ilvl w:val="0"/>
          <w:numId w:val="10"/>
        </w:numPr>
        <w:tabs>
          <w:tab w:pos="393" w:val="left" w:leader="none"/>
        </w:tabs>
        <w:spacing w:line="240" w:lineRule="auto" w:before="15" w:after="0"/>
        <w:ind w:left="392" w:right="0" w:hanging="240"/>
        <w:jc w:val="both"/>
        <w:rPr>
          <w:b/>
          <w:i/>
          <w:sz w:val="24"/>
        </w:rPr>
      </w:pPr>
      <w:r>
        <w:rPr>
          <w:b/>
          <w:i/>
          <w:sz w:val="24"/>
        </w:rPr>
        <w:t>Conclusion</w:t>
      </w:r>
    </w:p>
    <w:p>
      <w:pPr>
        <w:pStyle w:val="BodyText"/>
        <w:spacing w:before="6"/>
        <w:rPr>
          <w:b/>
          <w:i/>
          <w:sz w:val="23"/>
        </w:rPr>
      </w:pPr>
    </w:p>
    <w:p>
      <w:pPr>
        <w:pStyle w:val="BodyText"/>
        <w:spacing w:line="480" w:lineRule="auto"/>
        <w:ind w:left="152" w:right="151"/>
        <w:jc w:val="both"/>
      </w:pPr>
      <w:r>
        <w:rPr/>
        <w:t>The concentration of C18:2 c9t11 was increased in milk fat of cows with more grazing access time, but without effect on milk yield. Giving access of grazing time of eight or two periods of four hours did not modify milk fatty acid profile in dairy cows.</w:t>
      </w:r>
    </w:p>
    <w:p>
      <w:pPr>
        <w:pStyle w:val="Heading1"/>
        <w:spacing w:before="15"/>
        <w:ind w:left="152"/>
        <w:jc w:val="both"/>
      </w:pPr>
      <w:r>
        <w:rPr/>
        <w:t>Acknowledgements</w:t>
      </w:r>
    </w:p>
    <w:p>
      <w:pPr>
        <w:pStyle w:val="BodyText"/>
        <w:spacing w:before="6"/>
        <w:rPr>
          <w:b/>
          <w:sz w:val="23"/>
        </w:rPr>
      </w:pPr>
    </w:p>
    <w:p>
      <w:pPr>
        <w:pStyle w:val="BodyText"/>
        <w:spacing w:line="480" w:lineRule="auto"/>
        <w:ind w:left="152" w:right="147"/>
        <w:jc w:val="both"/>
      </w:pPr>
      <w:r>
        <w:rPr/>
        <w:t>Authors are grateful to the Mexican Ministry of Education (</w:t>
      </w:r>
      <w:r>
        <w:rPr>
          <w:i/>
        </w:rPr>
        <w:t>Secretaria de Educación </w:t>
      </w:r>
      <w:r>
        <w:rPr>
          <w:i/>
        </w:rPr>
        <w:t>Pública) </w:t>
      </w:r>
      <w:r>
        <w:rPr/>
        <w:t>for the funding of this research Project [grant 103.5/11/6732]. Our gratitude also  to the Mexican Council for Science and Technology (CONACYT) for providing the grant that enabled the postgraduate studies of Rodolfo Vieyra</w:t>
      </w:r>
      <w:r>
        <w:rPr>
          <w:spacing w:val="-11"/>
        </w:rPr>
        <w:t> </w:t>
      </w:r>
      <w:r>
        <w:rPr/>
        <w:t>Alberto.</w:t>
      </w:r>
    </w:p>
    <w:p>
      <w:pPr>
        <w:pStyle w:val="Heading1"/>
        <w:spacing w:before="15"/>
        <w:ind w:left="152"/>
        <w:jc w:val="both"/>
      </w:pPr>
      <w:r>
        <w:rPr/>
        <w:t>References</w:t>
      </w:r>
    </w:p>
    <w:p>
      <w:pPr>
        <w:pStyle w:val="BodyText"/>
        <w:spacing w:before="6"/>
        <w:rPr>
          <w:b/>
          <w:sz w:val="23"/>
        </w:rPr>
      </w:pPr>
    </w:p>
    <w:p>
      <w:pPr>
        <w:pStyle w:val="BodyText"/>
        <w:spacing w:line="480" w:lineRule="auto"/>
        <w:ind w:left="435" w:right="148" w:hanging="284"/>
        <w:jc w:val="both"/>
      </w:pPr>
      <w:r>
        <w:rPr/>
        <w:t>Albarrán PB, García A, Espinoza A, Espinosa E, Arriaga JCM. 2012. Maize silage in the dry season for grazing dairy cows in small-scale production systems in Mexico’s highlands. </w:t>
      </w:r>
      <w:r>
        <w:rPr>
          <w:i/>
        </w:rPr>
        <w:t>Indian Journal Animal Research </w:t>
      </w:r>
      <w:r>
        <w:rPr>
          <w:b/>
        </w:rPr>
        <w:t>46</w:t>
      </w:r>
      <w:r>
        <w:rPr/>
        <w:t>, 317-324.</w:t>
      </w:r>
    </w:p>
    <w:p>
      <w:pPr>
        <w:spacing w:before="8"/>
        <w:ind w:left="152" w:right="0" w:firstLine="0"/>
        <w:jc w:val="both"/>
        <w:rPr>
          <w:sz w:val="24"/>
        </w:rPr>
      </w:pPr>
      <w:r>
        <w:rPr>
          <w:sz w:val="24"/>
        </w:rPr>
        <w:t>AOAC (Association of Ofﬁcial Analytical Chemists) 2012. </w:t>
      </w:r>
      <w:r>
        <w:rPr>
          <w:i/>
          <w:sz w:val="24"/>
        </w:rPr>
        <w:t>Ofﬁcial methods of analysis</w:t>
      </w:r>
      <w:r>
        <w:rPr>
          <w:sz w:val="24"/>
        </w:rPr>
        <w:t>.</w:t>
      </w:r>
    </w:p>
    <w:p>
      <w:pPr>
        <w:pStyle w:val="BodyText"/>
      </w:pPr>
    </w:p>
    <w:p>
      <w:pPr>
        <w:pStyle w:val="BodyText"/>
        <w:ind w:left="435"/>
      </w:pPr>
      <w:r>
        <w:rPr/>
        <w:t>19th edn. AOAC: International, USA.</w:t>
      </w:r>
    </w:p>
    <w:p>
      <w:pPr>
        <w:spacing w:after="0"/>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435" w:right="145" w:hanging="284"/>
        <w:jc w:val="both"/>
      </w:pPr>
      <w:r>
        <w:rPr/>
        <w:t>Buccioni A, Decandia M, Minieri S, Molle G, Cabiddu A. 2012. Lipid metabolism in the rumen: New insights on lipolysis and bio hydrogenation with an emphasis on the role of endogenous plant factors. </w:t>
      </w:r>
      <w:r>
        <w:rPr>
          <w:i/>
        </w:rPr>
        <w:t>Animal Feed Science and Technology </w:t>
      </w:r>
      <w:r>
        <w:rPr>
          <w:b/>
        </w:rPr>
        <w:t>174</w:t>
      </w:r>
      <w:r>
        <w:rPr/>
        <w:t>, 1-25.</w:t>
      </w:r>
    </w:p>
    <w:p>
      <w:pPr>
        <w:pStyle w:val="BodyText"/>
        <w:spacing w:line="480" w:lineRule="auto" w:before="10"/>
        <w:ind w:left="435" w:right="145" w:hanging="284"/>
        <w:jc w:val="both"/>
      </w:pPr>
      <w:r>
        <w:rPr/>
        <w:t>Chilibroste P, Mattiauda DA, Elizondo F, Coster A. 2004. Herbage allowance and grazing session allocation of dairy cows– effects on milk production and composition. In Proc. 2nd Symp. Grassl. Ecophysiol. Graz. Ecol., Curitiba, Brazil.</w:t>
      </w:r>
    </w:p>
    <w:p>
      <w:pPr>
        <w:pStyle w:val="BodyText"/>
        <w:spacing w:line="480" w:lineRule="auto" w:before="10"/>
        <w:ind w:left="435" w:right="153" w:hanging="284"/>
        <w:jc w:val="both"/>
      </w:pPr>
      <w:r>
        <w:rPr/>
        <w:t>Chistie WW. 1982. A simple procedure for rapid transmethylation of glycerolipids and cholesterol esters. </w:t>
      </w:r>
      <w:r>
        <w:rPr>
          <w:i/>
        </w:rPr>
        <w:t>Journal of Lipid Research </w:t>
      </w:r>
      <w:r>
        <w:rPr>
          <w:b/>
        </w:rPr>
        <w:t>23</w:t>
      </w:r>
      <w:r>
        <w:rPr/>
        <w:t>, 1072-1075.</w:t>
      </w:r>
    </w:p>
    <w:p>
      <w:pPr>
        <w:pStyle w:val="BodyText"/>
        <w:spacing w:line="480" w:lineRule="auto" w:before="10"/>
        <w:ind w:left="435" w:right="149" w:hanging="284"/>
        <w:jc w:val="both"/>
      </w:pPr>
      <w:r>
        <w:rPr/>
        <w:t>Chouinard PY, Louise C, Barbano DM, Metzger LE, Bauman DE. 1999. Conjugated linoleic acids alter milk fatty acid composition and inhibit milk fat secretion in dairy cows. </w:t>
      </w:r>
      <w:r>
        <w:rPr>
          <w:i/>
        </w:rPr>
        <w:t>Journal of Nutrition </w:t>
      </w:r>
      <w:r>
        <w:rPr>
          <w:b/>
        </w:rPr>
        <w:t>129</w:t>
      </w:r>
      <w:r>
        <w:rPr/>
        <w:t>, 1579-1584.</w:t>
      </w:r>
    </w:p>
    <w:p>
      <w:pPr>
        <w:pStyle w:val="BodyText"/>
        <w:spacing w:line="480" w:lineRule="auto" w:before="10"/>
        <w:ind w:left="435" w:right="151" w:hanging="284"/>
        <w:jc w:val="both"/>
      </w:pPr>
      <w:r>
        <w:rPr/>
        <w:t>Delaby L, Peyraud JL, Pérez-Ramírez E, Delagarde R. 2008. Effect and carryover effect of spring  grazing access  time on  dairy cow performance.  Grassland  Science in    Europe</w:t>
      </w:r>
    </w:p>
    <w:p>
      <w:pPr>
        <w:pStyle w:val="BodyText"/>
        <w:spacing w:before="10"/>
        <w:ind w:left="435"/>
      </w:pPr>
      <w:r>
        <w:rPr/>
        <w:t>.13:759-761.</w:t>
      </w:r>
    </w:p>
    <w:p>
      <w:pPr>
        <w:pStyle w:val="BodyText"/>
      </w:pPr>
    </w:p>
    <w:p>
      <w:pPr>
        <w:pStyle w:val="BodyText"/>
        <w:spacing w:line="480" w:lineRule="auto"/>
        <w:ind w:left="435" w:right="146" w:hanging="284"/>
        <w:jc w:val="both"/>
      </w:pPr>
      <w:r>
        <w:rPr/>
        <w:t>Dhiman TR, Anand GR, Satter LD, Pariza MW. 1999. Conjugated linoleic acid content of milk from cows fed different diets. </w:t>
      </w:r>
      <w:r>
        <w:rPr>
          <w:i/>
        </w:rPr>
        <w:t>Journal of Dairy Science </w:t>
      </w:r>
      <w:r>
        <w:rPr>
          <w:b/>
        </w:rPr>
        <w:t>82</w:t>
      </w:r>
      <w:r>
        <w:rPr/>
        <w:t>, 2146-2156.</w:t>
      </w:r>
    </w:p>
    <w:p>
      <w:pPr>
        <w:pStyle w:val="BodyText"/>
        <w:spacing w:before="10"/>
        <w:ind w:left="152"/>
      </w:pPr>
      <w:r>
        <w:rPr/>
        <w:t>Elgersma A, Tamminga S, Ellen G. 2006. Modifying milk composition through forage.</w:t>
      </w:r>
    </w:p>
    <w:p>
      <w:pPr>
        <w:pStyle w:val="BodyText"/>
      </w:pPr>
    </w:p>
    <w:p>
      <w:pPr>
        <w:spacing w:before="0"/>
        <w:ind w:left="435" w:right="0" w:firstLine="0"/>
        <w:jc w:val="left"/>
        <w:rPr>
          <w:sz w:val="24"/>
        </w:rPr>
      </w:pPr>
      <w:r>
        <w:rPr>
          <w:i/>
          <w:sz w:val="24"/>
        </w:rPr>
        <w:t>Animal Feed Science and Technology </w:t>
      </w:r>
      <w:r>
        <w:rPr>
          <w:b/>
          <w:sz w:val="24"/>
        </w:rPr>
        <w:t>131</w:t>
      </w:r>
      <w:r>
        <w:rPr>
          <w:sz w:val="24"/>
        </w:rPr>
        <w:t>, 207-225.</w:t>
      </w:r>
    </w:p>
    <w:p>
      <w:pPr>
        <w:pStyle w:val="BodyText"/>
        <w:spacing w:before="9"/>
        <w:rPr>
          <w:sz w:val="23"/>
        </w:rPr>
      </w:pPr>
    </w:p>
    <w:p>
      <w:pPr>
        <w:pStyle w:val="BodyText"/>
        <w:spacing w:line="480" w:lineRule="auto"/>
        <w:ind w:left="39" w:right="149"/>
        <w:jc w:val="right"/>
      </w:pPr>
      <w:r>
        <w:rPr/>
        <w:t>Feng S, Lock AL, Garnsworthy PC. 2004. Technical note: A rapid lipid separation method for determining fatty acid composition of milk. </w:t>
      </w:r>
      <w:r>
        <w:rPr>
          <w:i/>
        </w:rPr>
        <w:t>Journal of Dairy Science </w:t>
      </w:r>
      <w:r>
        <w:rPr>
          <w:b/>
        </w:rPr>
        <w:t>87</w:t>
      </w:r>
      <w:r>
        <w:rPr/>
        <w:t>, 3785-3788. Griinari JM, Bauman DE. 1999. Biosynthesis of conjugated linoleic acid and its</w:t>
      </w:r>
      <w:r>
        <w:rPr>
          <w:w w:val="99"/>
        </w:rPr>
        <w:t> </w:t>
      </w:r>
      <w:r>
        <w:rPr/>
        <w:t>incorporation  into  meat  and  milk  in  ruminants.  In:  Yurawecz  MP,  Mossoba   MM,</w:t>
      </w:r>
    </w:p>
    <w:p>
      <w:pPr>
        <w:spacing w:after="0" w:line="480" w:lineRule="auto"/>
        <w:jc w:val="right"/>
        <w:sectPr>
          <w:pgSz w:w="12240" w:h="15840"/>
          <w:pgMar w:header="1150" w:footer="1336" w:top="1340" w:bottom="1520" w:left="1720" w:right="1380"/>
        </w:sectPr>
      </w:pPr>
    </w:p>
    <w:p>
      <w:pPr>
        <w:pStyle w:val="BodyText"/>
        <w:rPr>
          <w:sz w:val="20"/>
        </w:rPr>
      </w:pPr>
    </w:p>
    <w:p>
      <w:pPr>
        <w:pStyle w:val="BodyText"/>
        <w:spacing w:before="4"/>
        <w:rPr>
          <w:sz w:val="19"/>
        </w:rPr>
      </w:pPr>
    </w:p>
    <w:p>
      <w:pPr>
        <w:spacing w:line="480" w:lineRule="auto" w:before="0"/>
        <w:ind w:left="435" w:right="0" w:firstLine="0"/>
        <w:jc w:val="left"/>
        <w:rPr>
          <w:sz w:val="24"/>
        </w:rPr>
      </w:pPr>
      <w:r>
        <w:rPr>
          <w:sz w:val="24"/>
        </w:rPr>
        <w:t>Kramer JKG, Pariza MW, Nelson GJ (eds), </w:t>
      </w:r>
      <w:r>
        <w:rPr>
          <w:i/>
          <w:sz w:val="24"/>
        </w:rPr>
        <w:t>Advances in Conjugated Linoleic Acid </w:t>
      </w:r>
      <w:r>
        <w:rPr>
          <w:i/>
          <w:sz w:val="24"/>
        </w:rPr>
        <w:t>Research</w:t>
      </w:r>
      <w:r>
        <w:rPr>
          <w:sz w:val="24"/>
        </w:rPr>
        <w:t>. pp. 180-200. AOCS Press, USA.</w:t>
      </w:r>
    </w:p>
    <w:p>
      <w:pPr>
        <w:pStyle w:val="BodyText"/>
        <w:spacing w:line="480" w:lineRule="auto" w:before="10"/>
        <w:ind w:left="435" w:right="146" w:hanging="284"/>
        <w:jc w:val="both"/>
      </w:pPr>
      <w:r>
        <w:rPr/>
        <w:t>Guadarrama-Estrada J, Espinoza A, González CE, Arriaga CM. 2007. Inclusion of maize or oats-vetch silage for grazing dairy cows in small-scale campesino systems in the highlands of central Mexico. </w:t>
      </w:r>
      <w:r>
        <w:rPr>
          <w:i/>
        </w:rPr>
        <w:t>Journal Applied of Animal Research </w:t>
      </w:r>
      <w:r>
        <w:rPr>
          <w:b/>
        </w:rPr>
        <w:t>32</w:t>
      </w:r>
      <w:r>
        <w:rPr/>
        <w:t>, 19-23.</w:t>
      </w:r>
    </w:p>
    <w:p>
      <w:pPr>
        <w:pStyle w:val="BodyText"/>
        <w:spacing w:line="480" w:lineRule="auto" w:before="11"/>
        <w:ind w:left="435" w:right="146" w:hanging="284"/>
        <w:jc w:val="both"/>
      </w:pPr>
      <w:r>
        <w:rPr/>
        <w:t>Hernandez-Mendo O, Leaver JD. 2004. Effect of replacing time available for grazing with time available for eating maize silage and soybean meal on milk yield and feeding behaviour in dairy cows. </w:t>
      </w:r>
      <w:r>
        <w:rPr>
          <w:i/>
        </w:rPr>
        <w:t>Grass and Forage Science </w:t>
      </w:r>
      <w:r>
        <w:rPr>
          <w:b/>
        </w:rPr>
        <w:t>59</w:t>
      </w:r>
      <w:r>
        <w:rPr/>
        <w:t>, 318-330</w:t>
      </w:r>
    </w:p>
    <w:p>
      <w:pPr>
        <w:pStyle w:val="BodyText"/>
        <w:spacing w:line="480" w:lineRule="auto" w:before="10"/>
        <w:ind w:left="435" w:right="148" w:hanging="284"/>
        <w:jc w:val="both"/>
      </w:pPr>
      <w:r>
        <w:rPr/>
        <w:t>Hernández-Ortega M, Heredia-Nava D, Espinoza-Ortega A, Sánchez-Vera E, Arriaga- Jordán CM. 2011. Effect of silage from ryegrass intercropped with winter or common vetch for grazing dairy cows in small-scale dairy systems in Mexico. </w:t>
      </w:r>
      <w:r>
        <w:rPr>
          <w:i/>
        </w:rPr>
        <w:t>Tropical Animal </w:t>
      </w:r>
      <w:r>
        <w:rPr>
          <w:i/>
        </w:rPr>
        <w:t>Health and Production </w:t>
      </w:r>
      <w:r>
        <w:rPr>
          <w:b/>
        </w:rPr>
        <w:t>43</w:t>
      </w:r>
      <w:r>
        <w:rPr/>
        <w:t>, 947-954.</w:t>
      </w:r>
    </w:p>
    <w:p>
      <w:pPr>
        <w:pStyle w:val="BodyText"/>
        <w:spacing w:line="480" w:lineRule="auto" w:before="10"/>
        <w:ind w:left="435" w:right="146" w:hanging="284"/>
        <w:jc w:val="both"/>
      </w:pPr>
      <w:r>
        <w:rPr/>
        <w:t>Hodgson J, Clark DA, Mitchell RJ. 1994. Foraging behaviour in grazing animals and its impact on plant communities. In: Fahey GC, Collins M, Mertens DR, Moser LE. (Eds.) Forage Quality, Evaluation, and Utilization: Agronomy, Crop Science and Soil Science Societies of America, pp. 796–827.</w:t>
      </w:r>
    </w:p>
    <w:p>
      <w:pPr>
        <w:pStyle w:val="BodyText"/>
        <w:spacing w:line="480" w:lineRule="auto" w:before="10"/>
        <w:ind w:left="435" w:right="149" w:hanging="284"/>
        <w:jc w:val="both"/>
      </w:pPr>
      <w:r>
        <w:rPr/>
        <w:t>Intituto Nacional de Estadistica y Geografia (INEGI). 2005. Territorio nacional. [Verified 14 January 2012]. Available at </w:t>
      </w:r>
      <w:hyperlink r:id="rId22">
        <w:r>
          <w:rPr/>
          <w:t>www.inegi.org.mx</w:t>
        </w:r>
      </w:hyperlink>
    </w:p>
    <w:p>
      <w:pPr>
        <w:pStyle w:val="BodyText"/>
        <w:spacing w:line="480" w:lineRule="auto" w:before="8"/>
        <w:ind w:left="435" w:right="150" w:hanging="284"/>
        <w:jc w:val="both"/>
      </w:pPr>
      <w:r>
        <w:rPr/>
        <w:t>Kelly ML, Kolver ES, Bauman DE, Van Amburgh ME, Muller LD. 1998. Effect of intake of pasture on concentrations of conjugated linoleic acid in milk of lactating cows. </w:t>
      </w:r>
      <w:r>
        <w:rPr>
          <w:i/>
        </w:rPr>
        <w:t>Journal of Dairy Science </w:t>
      </w:r>
      <w:r>
        <w:rPr>
          <w:b/>
        </w:rPr>
        <w:t>81</w:t>
      </w:r>
      <w:r>
        <w:rPr/>
        <w:t>, 1630-1636.</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435" w:right="149" w:hanging="284"/>
        <w:jc w:val="both"/>
      </w:pPr>
      <w:r>
        <w:rPr/>
        <w:t>Kennedy E, McEvoy M, Murphy JP, O'Donovan M. 2009. Effect of restricted access time to pasture on dairy cow milk production, grazing behavior, and dry matter intake. J  Dairy Sci.</w:t>
      </w:r>
      <w:r>
        <w:rPr>
          <w:spacing w:val="-6"/>
        </w:rPr>
        <w:t> </w:t>
      </w:r>
      <w:r>
        <w:rPr/>
        <w:t>92:168-176.</w:t>
      </w:r>
    </w:p>
    <w:p>
      <w:pPr>
        <w:pStyle w:val="BodyText"/>
        <w:spacing w:line="480" w:lineRule="auto" w:before="10"/>
        <w:ind w:left="435" w:right="145" w:hanging="284"/>
        <w:jc w:val="both"/>
      </w:pPr>
      <w:r>
        <w:rPr/>
        <w:t>Macoon B, Sollenberger E, Moore E, Staples R, Fike H, Portier M. 2003. Comparison of three techniques for estimating the forage intake of lactating dairy cows on pasture. </w:t>
      </w:r>
      <w:r>
        <w:rPr>
          <w:i/>
        </w:rPr>
        <w:t>Journal Animal Science </w:t>
      </w:r>
      <w:r>
        <w:rPr>
          <w:b/>
        </w:rPr>
        <w:t>81</w:t>
      </w:r>
      <w:r>
        <w:rPr/>
        <w:t>, 2357-2366.</w:t>
      </w:r>
    </w:p>
    <w:p>
      <w:pPr>
        <w:pStyle w:val="BodyText"/>
        <w:spacing w:line="480" w:lineRule="auto" w:before="10"/>
        <w:ind w:left="435" w:right="148" w:hanging="284"/>
        <w:jc w:val="both"/>
      </w:pPr>
      <w:r>
        <w:rPr/>
        <w:t>Mattiauda DA, Tamminga S, Gibb MJ, Soca P, Bentancur O, Chilibroste P. 2013. Restricting access time at pasture and time of grazing allocation for Holstein dairy cows: ingestive behaviour, dry matter intake and milk production. </w:t>
      </w:r>
      <w:r>
        <w:rPr>
          <w:i/>
        </w:rPr>
        <w:t>Livestock Science </w:t>
      </w:r>
      <w:r>
        <w:rPr>
          <w:b/>
        </w:rPr>
        <w:t>152</w:t>
      </w:r>
      <w:r>
        <w:rPr/>
        <w:t>, 53- 62.</w:t>
      </w:r>
    </w:p>
    <w:p>
      <w:pPr>
        <w:pStyle w:val="BodyText"/>
        <w:spacing w:line="480" w:lineRule="auto" w:before="10"/>
        <w:ind w:left="435" w:right="149" w:hanging="284"/>
        <w:jc w:val="both"/>
      </w:pPr>
      <w:r>
        <w:rPr/>
        <w:t>Menke H, Steingass H. 1988. Estimation of energetic feed value obtained from chemical analysis and in vitro gas production using rumen fluid. </w:t>
      </w:r>
      <w:r>
        <w:rPr>
          <w:i/>
        </w:rPr>
        <w:t>Animal Research Development </w:t>
      </w:r>
      <w:r>
        <w:rPr>
          <w:b/>
        </w:rPr>
        <w:t>28</w:t>
      </w:r>
      <w:r>
        <w:rPr/>
        <w:t>, 7-55.</w:t>
      </w:r>
    </w:p>
    <w:p>
      <w:pPr>
        <w:pStyle w:val="BodyText"/>
        <w:spacing w:line="480" w:lineRule="auto" w:before="10"/>
        <w:ind w:left="435" w:right="153" w:hanging="284"/>
        <w:jc w:val="both"/>
      </w:pPr>
      <w:r>
        <w:rPr/>
        <w:t>Morales-Almaráz E, Soldado A, González A, Martínez A, Domínguez I, De la Roza B, Vicente F. 2010. Improving the fatty acid profile of dairy cow milk by combining grazing with feeding on total mixed ration. </w:t>
      </w:r>
      <w:r>
        <w:rPr>
          <w:i/>
        </w:rPr>
        <w:t>Journal Dairy Research </w:t>
      </w:r>
      <w:r>
        <w:rPr>
          <w:b/>
        </w:rPr>
        <w:t>77</w:t>
      </w:r>
      <w:r>
        <w:rPr/>
        <w:t>, 225-230.</w:t>
      </w:r>
    </w:p>
    <w:p>
      <w:pPr>
        <w:spacing w:before="10"/>
        <w:ind w:left="152" w:right="0" w:firstLine="0"/>
        <w:jc w:val="left"/>
        <w:rPr>
          <w:sz w:val="24"/>
        </w:rPr>
      </w:pPr>
      <w:r>
        <w:rPr>
          <w:sz w:val="24"/>
        </w:rPr>
        <w:t>NRC (National Research Council). 2001. </w:t>
      </w:r>
      <w:r>
        <w:rPr>
          <w:i/>
          <w:sz w:val="24"/>
        </w:rPr>
        <w:t>Nutrient Requirements of Dairy Cattle</w:t>
      </w:r>
      <w:r>
        <w:rPr>
          <w:sz w:val="24"/>
        </w:rPr>
        <w:t>. 7th edn.</w:t>
      </w:r>
    </w:p>
    <w:p>
      <w:pPr>
        <w:pStyle w:val="BodyText"/>
      </w:pPr>
    </w:p>
    <w:p>
      <w:pPr>
        <w:pStyle w:val="BodyText"/>
        <w:ind w:left="435"/>
      </w:pPr>
      <w:r>
        <w:rPr/>
        <w:t>National Academic Press, Washington, DC, USA.</w:t>
      </w:r>
    </w:p>
    <w:p>
      <w:pPr>
        <w:pStyle w:val="BodyText"/>
        <w:spacing w:before="9"/>
        <w:rPr>
          <w:sz w:val="23"/>
        </w:rPr>
      </w:pPr>
    </w:p>
    <w:p>
      <w:pPr>
        <w:spacing w:line="480" w:lineRule="auto" w:before="0"/>
        <w:ind w:left="435" w:right="148" w:hanging="284"/>
        <w:jc w:val="both"/>
        <w:rPr>
          <w:sz w:val="24"/>
        </w:rPr>
      </w:pPr>
      <w:r>
        <w:rPr>
          <w:sz w:val="24"/>
        </w:rPr>
        <w:t>Palmquist DL, Jenkins TC. 2003. Challenges with fast and fatty acid methods. </w:t>
      </w:r>
      <w:r>
        <w:rPr>
          <w:i/>
          <w:sz w:val="24"/>
        </w:rPr>
        <w:t>Journal of </w:t>
      </w:r>
      <w:r>
        <w:rPr>
          <w:i/>
          <w:sz w:val="24"/>
        </w:rPr>
        <w:t>Animal Science </w:t>
      </w:r>
      <w:r>
        <w:rPr>
          <w:b/>
          <w:sz w:val="24"/>
        </w:rPr>
        <w:t>81</w:t>
      </w:r>
      <w:r>
        <w:rPr>
          <w:sz w:val="24"/>
        </w:rPr>
        <w:t>, 3250-3254.</w:t>
      </w:r>
    </w:p>
    <w:p>
      <w:pPr>
        <w:spacing w:after="0" w:line="480" w:lineRule="auto"/>
        <w:jc w:val="both"/>
        <w:rPr>
          <w:sz w:val="24"/>
        </w:rPr>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435" w:right="145" w:hanging="284"/>
        <w:jc w:val="both"/>
      </w:pPr>
      <w:r>
        <w:rPr/>
        <w:t>Pérez-Ramírez E, Delagarde R, Delaby L. 2008. Herbage intake and behavioural adaptation of grazing dairy cows by restricting time at pasture under two feeding regimes. </w:t>
      </w:r>
      <w:r>
        <w:rPr>
          <w:i/>
        </w:rPr>
        <w:t>Animal  </w:t>
      </w:r>
      <w:r>
        <w:rPr>
          <w:b/>
        </w:rPr>
        <w:t>2</w:t>
      </w:r>
      <w:r>
        <w:rPr/>
        <w:t>,</w:t>
      </w:r>
      <w:r>
        <w:rPr>
          <w:spacing w:val="-1"/>
        </w:rPr>
        <w:t> </w:t>
      </w:r>
      <w:r>
        <w:rPr/>
        <w:t>1384-1392.</w:t>
      </w:r>
    </w:p>
    <w:p>
      <w:pPr>
        <w:pStyle w:val="BodyText"/>
        <w:spacing w:line="480" w:lineRule="auto" w:before="10"/>
        <w:ind w:left="435" w:right="147" w:hanging="284"/>
        <w:jc w:val="both"/>
      </w:pPr>
      <w:r>
        <w:rPr/>
        <w:t>Pérez-Ramírez, E., Peyraud, J.L., Delagarde, R., 2009. Restricting daily time at pasture at low and high pasture allowance: effects on pasture intake and behavioral adaptation of lactating dairy cows. J Dairy Sci. 92:3331–3340.</w:t>
      </w:r>
    </w:p>
    <w:p>
      <w:pPr>
        <w:pStyle w:val="BodyText"/>
        <w:spacing w:line="480" w:lineRule="auto" w:before="10"/>
        <w:ind w:left="435" w:right="144" w:hanging="284"/>
        <w:jc w:val="both"/>
      </w:pPr>
      <w:r>
        <w:rPr/>
        <w:t>Pérez-Prieto LA, Delagarde R. 2013. Meta-analysis of the effect of pasture allowance on pasture intake, milk production, and grazing behavior of dairy cows grazing temperate grasslands. J Dairy Sci. 96:6671–6689.</w:t>
      </w:r>
    </w:p>
    <w:p>
      <w:pPr>
        <w:pStyle w:val="BodyText"/>
        <w:spacing w:line="480" w:lineRule="auto" w:before="10"/>
        <w:ind w:left="435" w:right="150" w:hanging="284"/>
        <w:jc w:val="both"/>
      </w:pPr>
      <w:r>
        <w:rPr/>
        <w:t>Pérez-Prieto LA, Peyraud JL, Delagarde R. 2011. Substitution rate and milk yield response to corn silage supplementation of late-lactation dairy cows grazing low mass pastures at 2 daily allowances in autumn J Dairy Sci. 94:3592–3604.</w:t>
      </w:r>
    </w:p>
    <w:p>
      <w:pPr>
        <w:pStyle w:val="BodyText"/>
        <w:spacing w:line="480" w:lineRule="auto" w:before="10"/>
        <w:ind w:left="435" w:right="149" w:hanging="284"/>
        <w:jc w:val="both"/>
      </w:pPr>
      <w:r>
        <w:rPr/>
        <w:t>SAS (Statistical Analysis System). 2006. ‘SAS/STATTM User's Guide. Statistical Analysis System Institute Inc. Cary, North Caroline, USA.</w:t>
      </w:r>
    </w:p>
    <w:p>
      <w:pPr>
        <w:pStyle w:val="BodyText"/>
        <w:spacing w:line="480" w:lineRule="auto" w:before="10"/>
        <w:ind w:left="435" w:right="149" w:hanging="284"/>
        <w:jc w:val="both"/>
      </w:pPr>
      <w:r>
        <w:rPr/>
        <w:t>Sistema Meteorológico Nacional (SMN). 2012. Temperatura y precipitación. (Verified: 07 November 2012). Available at </w:t>
      </w:r>
      <w:hyperlink r:id="rId23">
        <w:r>
          <w:rPr/>
          <w:t>www.smn.conagua.gob.mx.</w:t>
        </w:r>
      </w:hyperlink>
    </w:p>
    <w:p>
      <w:pPr>
        <w:spacing w:line="480" w:lineRule="auto" w:before="10"/>
        <w:ind w:left="435" w:right="149" w:hanging="284"/>
        <w:jc w:val="both"/>
        <w:rPr>
          <w:sz w:val="24"/>
        </w:rPr>
      </w:pPr>
      <w:r>
        <w:rPr>
          <w:sz w:val="24"/>
        </w:rPr>
        <w:t>Sukhija PS, Palmquist DL. 1988. Rapid method for determination of total fatty acid content and composition of feedstuffs and feces. </w:t>
      </w:r>
      <w:r>
        <w:rPr>
          <w:i/>
          <w:sz w:val="24"/>
        </w:rPr>
        <w:t>Journal of Agricultural  and Food Chemistry </w:t>
      </w:r>
      <w:r>
        <w:rPr>
          <w:b/>
          <w:sz w:val="24"/>
        </w:rPr>
        <w:t>36</w:t>
      </w:r>
      <w:r>
        <w:rPr>
          <w:sz w:val="24"/>
        </w:rPr>
        <w:t>, 1202-1206.</w:t>
      </w:r>
    </w:p>
    <w:p>
      <w:pPr>
        <w:spacing w:line="480" w:lineRule="auto" w:before="10"/>
        <w:ind w:left="435" w:right="146" w:hanging="284"/>
        <w:jc w:val="both"/>
        <w:rPr>
          <w:sz w:val="24"/>
        </w:rPr>
      </w:pPr>
      <w:r>
        <w:rPr>
          <w:sz w:val="24"/>
        </w:rPr>
        <w:t>Sun XQ, Gibbs SJ. 2012. Diurnal variation in fatty acid profiles in rumen digesta from  dairy cows grazing high-quality pasture. </w:t>
      </w:r>
      <w:r>
        <w:rPr>
          <w:i/>
          <w:sz w:val="24"/>
        </w:rPr>
        <w:t>Animal Feed Science and Technology </w:t>
      </w:r>
      <w:r>
        <w:rPr>
          <w:b/>
          <w:sz w:val="24"/>
        </w:rPr>
        <w:t>177</w:t>
      </w:r>
      <w:r>
        <w:rPr>
          <w:sz w:val="24"/>
        </w:rPr>
        <w:t>, 152- 160.</w:t>
      </w:r>
    </w:p>
    <w:p>
      <w:pPr>
        <w:spacing w:after="0" w:line="480" w:lineRule="auto"/>
        <w:jc w:val="both"/>
        <w:rPr>
          <w:sz w:val="24"/>
        </w:rPr>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435" w:right="148" w:hanging="284"/>
        <w:jc w:val="both"/>
      </w:pPr>
      <w:r>
        <w:rPr/>
        <w:t>Van Soest PJ, Roberson JB, Lewis BA. 1991. Methods for dietary fibre, neutral detergent and non-starch polysaccharides in relation to animal nutrition. </w:t>
      </w:r>
      <w:r>
        <w:rPr>
          <w:i/>
        </w:rPr>
        <w:t>Journal of Dairy Science </w:t>
      </w:r>
      <w:r>
        <w:rPr>
          <w:b/>
        </w:rPr>
        <w:t>74</w:t>
      </w:r>
      <w:r>
        <w:rPr/>
        <w:t>, 3583-3897.</w:t>
      </w:r>
    </w:p>
    <w:p>
      <w:pPr>
        <w:pStyle w:val="BodyText"/>
        <w:spacing w:line="480" w:lineRule="auto" w:before="10"/>
        <w:ind w:left="435" w:right="147" w:hanging="284"/>
        <w:jc w:val="both"/>
      </w:pPr>
      <w:r>
        <w:rPr/>
        <w:t>Vibart RE, Fellner V, Burns JC, Huntington GB, Green Jr JT. 2008. Performance of lactating dairy cows fed varying levels of total mixed ration and pasture. </w:t>
      </w:r>
      <w:r>
        <w:rPr>
          <w:i/>
        </w:rPr>
        <w:t>Journal of </w:t>
      </w:r>
      <w:r>
        <w:rPr>
          <w:i/>
        </w:rPr>
        <w:t>Dairy Research </w:t>
      </w:r>
      <w:r>
        <w:rPr>
          <w:b/>
        </w:rPr>
        <w:t>75</w:t>
      </w:r>
      <w:r>
        <w:rPr/>
        <w:t>, 471-480.</w:t>
      </w:r>
    </w:p>
    <w:p>
      <w:pPr>
        <w:pStyle w:val="BodyText"/>
        <w:spacing w:line="480" w:lineRule="auto" w:before="10"/>
        <w:ind w:left="435" w:right="147" w:hanging="284"/>
        <w:jc w:val="both"/>
      </w:pPr>
      <w:r>
        <w:rPr/>
        <w:t>Wayne CC. 1964. Symposium on nutrition of forages and pastures: Collecting samples representative of ingested material of grazing animals for nutritional studies. </w:t>
      </w:r>
      <w:r>
        <w:rPr>
          <w:i/>
        </w:rPr>
        <w:t>Journal </w:t>
      </w:r>
      <w:r>
        <w:rPr>
          <w:i/>
        </w:rPr>
        <w:t>Animal Science </w:t>
      </w:r>
      <w:r>
        <w:rPr>
          <w:b/>
        </w:rPr>
        <w:t>23</w:t>
      </w:r>
      <w:r>
        <w:rPr/>
        <w:t>, 265-270.</w:t>
      </w:r>
    </w:p>
    <w:p>
      <w:pPr>
        <w:pStyle w:val="BodyText"/>
        <w:spacing w:line="480" w:lineRule="auto" w:before="10"/>
        <w:ind w:left="435" w:right="148" w:hanging="284"/>
        <w:jc w:val="both"/>
      </w:pPr>
      <w:r>
        <w:rPr/>
        <w:t>White SL, Bertrand JA, Wade MR, Washburn SP, Green JT, Jenkins TC. 2001. Comparison of fatty acid content of milk from Jersey and Holstein cows consuming pasture or a total mixed ration. </w:t>
      </w:r>
      <w:r>
        <w:rPr>
          <w:i/>
        </w:rPr>
        <w:t>Journal of Dairy Science </w:t>
      </w:r>
      <w:r>
        <w:rPr>
          <w:b/>
        </w:rPr>
        <w:t>84</w:t>
      </w:r>
      <w:r>
        <w:rPr/>
        <w:t>,</w:t>
      </w:r>
      <w:r>
        <w:rPr>
          <w:spacing w:val="-9"/>
        </w:rPr>
        <w:t> </w:t>
      </w:r>
      <w:r>
        <w:rPr/>
        <w:t>2295-2301.</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9"/>
        <w:rPr>
          <w:sz w:val="19"/>
        </w:rPr>
      </w:pPr>
    </w:p>
    <w:p>
      <w:pPr>
        <w:pStyle w:val="Heading1"/>
        <w:ind w:left="232" w:right="121"/>
      </w:pPr>
      <w:r>
        <w:rPr/>
        <w:t>Table 1. Ingredients, chemical composition and fatty acid content of feeds.</w:t>
      </w:r>
    </w:p>
    <w:p>
      <w:pPr>
        <w:pStyle w:val="BodyText"/>
        <w:spacing w:before="10"/>
        <w:rPr>
          <w:b/>
          <w:sz w:val="20"/>
        </w:rPr>
      </w:pPr>
      <w:r>
        <w:rPr/>
        <w:pict>
          <v:group style="position:absolute;margin-left:87.973999pt;margin-top:13.954268pt;width:453.35pt;height:.5pt;mso-position-horizontal-relative:page;mso-position-vertical-relative:paragraph;z-index:1336;mso-wrap-distance-left:0;mso-wrap-distance-right:0" coordorigin="1759,279" coordsize="9067,10">
            <v:line style="position:absolute" from="1764,284" to="5413,284" stroked="true" strokeweight=".48pt" strokecolor="#000000"/>
            <v:line style="position:absolute" from="5413,284" to="5423,284" stroked="true" strokeweight=".48pt" strokecolor="#000000"/>
            <v:line style="position:absolute" from="5423,284" to="7621,284" stroked="true" strokeweight=".48pt" strokecolor="#000000"/>
            <v:line style="position:absolute" from="7621,284" to="7631,284" stroked="true" strokeweight=".48pt" strokecolor="#000000"/>
            <v:line style="position:absolute" from="7631,284" to="9433,284" stroked="true" strokeweight=".48pt" strokecolor="#000000"/>
            <v:line style="position:absolute" from="9433,284" to="9443,284" stroked="true" strokeweight=".48pt" strokecolor="#000000"/>
            <v:line style="position:absolute" from="9443,284" to="10821,284" stroked="true" strokeweight=".48pt" strokecolor="#000000"/>
            <w10:wrap type="topAndBottom"/>
          </v:group>
        </w:pict>
      </w:r>
    </w:p>
    <w:p>
      <w:pPr>
        <w:pStyle w:val="BodyText"/>
        <w:rPr>
          <w:b/>
          <w:sz w:val="20"/>
        </w:rPr>
      </w:pPr>
    </w:p>
    <w:p>
      <w:pPr>
        <w:pStyle w:val="BodyText"/>
        <w:spacing w:before="11"/>
        <w:rPr>
          <w:b/>
          <w:sz w:val="20"/>
        </w:rPr>
      </w:pPr>
    </w:p>
    <w:tbl>
      <w:tblPr>
        <w:tblW w:w="0" w:type="auto"/>
        <w:jc w:val="left"/>
        <w:tblInd w:w="1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34"/>
        <w:gridCol w:w="2106"/>
        <w:gridCol w:w="1923"/>
        <w:gridCol w:w="1394"/>
      </w:tblGrid>
      <w:tr>
        <w:trPr>
          <w:trHeight w:val="774" w:hRule="exact"/>
        </w:trPr>
        <w:tc>
          <w:tcPr>
            <w:tcW w:w="3634" w:type="dxa"/>
            <w:tcBorders>
              <w:bottom w:val="single" w:sz="4" w:space="0" w:color="000000"/>
            </w:tcBorders>
          </w:tcPr>
          <w:p>
            <w:pPr>
              <w:pStyle w:val="TableParagraph"/>
              <w:spacing w:line="245" w:lineRule="exact"/>
              <w:ind w:left="107"/>
              <w:rPr>
                <w:sz w:val="24"/>
              </w:rPr>
            </w:pPr>
            <w:r>
              <w:rPr>
                <w:sz w:val="24"/>
              </w:rPr>
              <w:t>Item</w:t>
            </w:r>
          </w:p>
        </w:tc>
        <w:tc>
          <w:tcPr>
            <w:tcW w:w="2106" w:type="dxa"/>
            <w:tcBorders>
              <w:bottom w:val="single" w:sz="4" w:space="0" w:color="000000"/>
            </w:tcBorders>
          </w:tcPr>
          <w:p>
            <w:pPr>
              <w:pStyle w:val="TableParagraph"/>
              <w:spacing w:line="245" w:lineRule="exact"/>
              <w:ind w:left="514" w:right="392"/>
              <w:jc w:val="center"/>
              <w:rPr>
                <w:sz w:val="24"/>
              </w:rPr>
            </w:pPr>
            <w:r>
              <w:rPr>
                <w:sz w:val="24"/>
              </w:rPr>
              <w:t>Concentrate</w:t>
            </w:r>
          </w:p>
        </w:tc>
        <w:tc>
          <w:tcPr>
            <w:tcW w:w="1923" w:type="dxa"/>
            <w:tcBorders>
              <w:bottom w:val="single" w:sz="4" w:space="0" w:color="000000"/>
            </w:tcBorders>
          </w:tcPr>
          <w:p>
            <w:pPr>
              <w:pStyle w:val="TableParagraph"/>
              <w:spacing w:line="245" w:lineRule="exact"/>
              <w:ind w:left="391" w:right="271"/>
              <w:jc w:val="center"/>
              <w:rPr>
                <w:sz w:val="24"/>
              </w:rPr>
            </w:pPr>
            <w:r>
              <w:rPr>
                <w:sz w:val="24"/>
              </w:rPr>
              <w:t>Maize silage</w:t>
            </w:r>
          </w:p>
        </w:tc>
        <w:tc>
          <w:tcPr>
            <w:tcW w:w="1394" w:type="dxa"/>
            <w:tcBorders>
              <w:bottom w:val="single" w:sz="4" w:space="0" w:color="000000"/>
            </w:tcBorders>
          </w:tcPr>
          <w:p>
            <w:pPr>
              <w:pStyle w:val="TableParagraph"/>
              <w:spacing w:line="245" w:lineRule="exact"/>
              <w:ind w:left="272" w:right="269"/>
              <w:jc w:val="center"/>
              <w:rPr>
                <w:sz w:val="24"/>
              </w:rPr>
            </w:pPr>
            <w:r>
              <w:rPr>
                <w:sz w:val="24"/>
              </w:rPr>
              <w:t>Herbage</w:t>
            </w:r>
          </w:p>
        </w:tc>
      </w:tr>
      <w:tr>
        <w:trPr>
          <w:trHeight w:val="408" w:hRule="exact"/>
        </w:trPr>
        <w:tc>
          <w:tcPr>
            <w:tcW w:w="3634" w:type="dxa"/>
            <w:tcBorders>
              <w:top w:val="single" w:sz="4" w:space="0" w:color="000000"/>
            </w:tcBorders>
          </w:tcPr>
          <w:p>
            <w:pPr>
              <w:pStyle w:val="TableParagraph"/>
              <w:spacing w:line="270" w:lineRule="exact"/>
              <w:ind w:left="107"/>
              <w:rPr>
                <w:sz w:val="24"/>
              </w:rPr>
            </w:pPr>
            <w:r>
              <w:rPr>
                <w:sz w:val="24"/>
              </w:rPr>
              <w:t>Ingredients (g/100g DM)</w:t>
            </w:r>
          </w:p>
        </w:tc>
        <w:tc>
          <w:tcPr>
            <w:tcW w:w="2106" w:type="dxa"/>
            <w:tcBorders>
              <w:top w:val="single" w:sz="4" w:space="0" w:color="000000"/>
            </w:tcBorders>
          </w:tcPr>
          <w:p>
            <w:pPr/>
          </w:p>
        </w:tc>
        <w:tc>
          <w:tcPr>
            <w:tcW w:w="1923" w:type="dxa"/>
            <w:tcBorders>
              <w:top w:val="single" w:sz="4" w:space="0" w:color="000000"/>
            </w:tcBorders>
          </w:tcPr>
          <w:p>
            <w:pPr/>
          </w:p>
        </w:tc>
        <w:tc>
          <w:tcPr>
            <w:tcW w:w="1394" w:type="dxa"/>
            <w:tcBorders>
              <w:top w:val="single" w:sz="4" w:space="0" w:color="000000"/>
            </w:tcBorders>
          </w:tcPr>
          <w:p>
            <w:pPr/>
          </w:p>
        </w:tc>
      </w:tr>
      <w:tr>
        <w:trPr>
          <w:trHeight w:val="518" w:hRule="exact"/>
        </w:trPr>
        <w:tc>
          <w:tcPr>
            <w:tcW w:w="3634" w:type="dxa"/>
          </w:tcPr>
          <w:p>
            <w:pPr>
              <w:pStyle w:val="TableParagraph"/>
              <w:spacing w:before="107"/>
              <w:ind w:left="107"/>
              <w:rPr>
                <w:sz w:val="24"/>
              </w:rPr>
            </w:pPr>
            <w:r>
              <w:rPr>
                <w:sz w:val="24"/>
              </w:rPr>
              <w:t>Sorghum</w:t>
            </w:r>
          </w:p>
        </w:tc>
        <w:tc>
          <w:tcPr>
            <w:tcW w:w="2106" w:type="dxa"/>
          </w:tcPr>
          <w:p>
            <w:pPr>
              <w:pStyle w:val="TableParagraph"/>
              <w:spacing w:before="107"/>
              <w:ind w:left="514" w:right="390"/>
              <w:jc w:val="center"/>
              <w:rPr>
                <w:sz w:val="24"/>
              </w:rPr>
            </w:pPr>
            <w:r>
              <w:rPr>
                <w:sz w:val="24"/>
              </w:rPr>
              <w:t>48.7</w:t>
            </w:r>
          </w:p>
        </w:tc>
        <w:tc>
          <w:tcPr>
            <w:tcW w:w="1923" w:type="dxa"/>
          </w:tcPr>
          <w:p>
            <w:pPr/>
          </w:p>
        </w:tc>
        <w:tc>
          <w:tcPr>
            <w:tcW w:w="1394" w:type="dxa"/>
          </w:tcPr>
          <w:p>
            <w:pPr/>
          </w:p>
        </w:tc>
      </w:tr>
      <w:tr>
        <w:trPr>
          <w:trHeight w:val="519" w:hRule="exact"/>
        </w:trPr>
        <w:tc>
          <w:tcPr>
            <w:tcW w:w="3634" w:type="dxa"/>
          </w:tcPr>
          <w:p>
            <w:pPr>
              <w:pStyle w:val="TableParagraph"/>
              <w:spacing w:before="108"/>
              <w:ind w:left="107"/>
              <w:rPr>
                <w:sz w:val="24"/>
              </w:rPr>
            </w:pPr>
            <w:r>
              <w:rPr>
                <w:sz w:val="24"/>
              </w:rPr>
              <w:t>Soy bean meal</w:t>
            </w:r>
          </w:p>
        </w:tc>
        <w:tc>
          <w:tcPr>
            <w:tcW w:w="2106" w:type="dxa"/>
          </w:tcPr>
          <w:p>
            <w:pPr>
              <w:pStyle w:val="TableParagraph"/>
              <w:spacing w:before="108"/>
              <w:ind w:left="514" w:right="390"/>
              <w:jc w:val="center"/>
              <w:rPr>
                <w:sz w:val="24"/>
              </w:rPr>
            </w:pPr>
            <w:r>
              <w:rPr>
                <w:sz w:val="24"/>
              </w:rPr>
              <w:t>20.0</w:t>
            </w:r>
          </w:p>
        </w:tc>
        <w:tc>
          <w:tcPr>
            <w:tcW w:w="1923" w:type="dxa"/>
          </w:tcPr>
          <w:p>
            <w:pPr/>
          </w:p>
        </w:tc>
        <w:tc>
          <w:tcPr>
            <w:tcW w:w="1394" w:type="dxa"/>
          </w:tcPr>
          <w:p>
            <w:pPr/>
          </w:p>
        </w:tc>
      </w:tr>
      <w:tr>
        <w:trPr>
          <w:trHeight w:val="517" w:hRule="exact"/>
        </w:trPr>
        <w:tc>
          <w:tcPr>
            <w:tcW w:w="3634" w:type="dxa"/>
          </w:tcPr>
          <w:p>
            <w:pPr>
              <w:pStyle w:val="TableParagraph"/>
              <w:spacing w:before="108"/>
              <w:ind w:left="107"/>
              <w:rPr>
                <w:sz w:val="24"/>
              </w:rPr>
            </w:pPr>
            <w:r>
              <w:rPr>
                <w:sz w:val="24"/>
              </w:rPr>
              <w:t>Canola meal</w:t>
            </w:r>
          </w:p>
        </w:tc>
        <w:tc>
          <w:tcPr>
            <w:tcW w:w="2106" w:type="dxa"/>
          </w:tcPr>
          <w:p>
            <w:pPr>
              <w:pStyle w:val="TableParagraph"/>
              <w:spacing w:before="108"/>
              <w:ind w:left="514" w:right="390"/>
              <w:jc w:val="center"/>
              <w:rPr>
                <w:sz w:val="24"/>
              </w:rPr>
            </w:pPr>
            <w:r>
              <w:rPr>
                <w:sz w:val="24"/>
              </w:rPr>
              <w:t>14.8</w:t>
            </w:r>
          </w:p>
        </w:tc>
        <w:tc>
          <w:tcPr>
            <w:tcW w:w="1923" w:type="dxa"/>
          </w:tcPr>
          <w:p>
            <w:pPr/>
          </w:p>
        </w:tc>
        <w:tc>
          <w:tcPr>
            <w:tcW w:w="1394" w:type="dxa"/>
          </w:tcPr>
          <w:p>
            <w:pPr/>
          </w:p>
        </w:tc>
      </w:tr>
      <w:tr>
        <w:trPr>
          <w:trHeight w:val="503" w:hRule="exact"/>
        </w:trPr>
        <w:tc>
          <w:tcPr>
            <w:tcW w:w="3634" w:type="dxa"/>
          </w:tcPr>
          <w:p>
            <w:pPr>
              <w:pStyle w:val="TableParagraph"/>
              <w:spacing w:before="107"/>
              <w:ind w:left="107"/>
              <w:rPr>
                <w:sz w:val="24"/>
              </w:rPr>
            </w:pPr>
            <w:r>
              <w:rPr>
                <w:sz w:val="24"/>
              </w:rPr>
              <w:t>Wheat bran</w:t>
            </w:r>
          </w:p>
        </w:tc>
        <w:tc>
          <w:tcPr>
            <w:tcW w:w="2106" w:type="dxa"/>
          </w:tcPr>
          <w:p>
            <w:pPr>
              <w:pStyle w:val="TableParagraph"/>
              <w:spacing w:before="107"/>
              <w:ind w:left="514" w:right="390"/>
              <w:jc w:val="center"/>
              <w:rPr>
                <w:sz w:val="24"/>
              </w:rPr>
            </w:pPr>
            <w:r>
              <w:rPr>
                <w:sz w:val="24"/>
              </w:rPr>
              <w:t>14.7</w:t>
            </w:r>
          </w:p>
        </w:tc>
        <w:tc>
          <w:tcPr>
            <w:tcW w:w="1923" w:type="dxa"/>
          </w:tcPr>
          <w:p>
            <w:pPr/>
          </w:p>
        </w:tc>
        <w:tc>
          <w:tcPr>
            <w:tcW w:w="1394" w:type="dxa"/>
          </w:tcPr>
          <w:p>
            <w:pPr/>
          </w:p>
        </w:tc>
      </w:tr>
      <w:tr>
        <w:trPr>
          <w:trHeight w:val="531" w:hRule="exact"/>
        </w:trPr>
        <w:tc>
          <w:tcPr>
            <w:tcW w:w="3634" w:type="dxa"/>
          </w:tcPr>
          <w:p>
            <w:pPr>
              <w:pStyle w:val="TableParagraph"/>
              <w:spacing w:before="106"/>
              <w:ind w:left="107"/>
              <w:rPr>
                <w:sz w:val="16"/>
              </w:rPr>
            </w:pPr>
            <w:r>
              <w:rPr>
                <w:sz w:val="24"/>
              </w:rPr>
              <w:t>Minerals </w:t>
            </w:r>
            <w:r>
              <w:rPr>
                <w:position w:val="9"/>
                <w:sz w:val="16"/>
              </w:rPr>
              <w:t>†</w:t>
            </w:r>
          </w:p>
        </w:tc>
        <w:tc>
          <w:tcPr>
            <w:tcW w:w="2106" w:type="dxa"/>
          </w:tcPr>
          <w:p>
            <w:pPr>
              <w:pStyle w:val="TableParagraph"/>
              <w:spacing w:before="122"/>
              <w:ind w:left="514" w:right="390"/>
              <w:jc w:val="center"/>
              <w:rPr>
                <w:sz w:val="24"/>
              </w:rPr>
            </w:pPr>
            <w:r>
              <w:rPr>
                <w:sz w:val="24"/>
              </w:rPr>
              <w:t>1.8</w:t>
            </w:r>
          </w:p>
        </w:tc>
        <w:tc>
          <w:tcPr>
            <w:tcW w:w="1923" w:type="dxa"/>
          </w:tcPr>
          <w:p>
            <w:pPr/>
          </w:p>
        </w:tc>
        <w:tc>
          <w:tcPr>
            <w:tcW w:w="1394" w:type="dxa"/>
          </w:tcPr>
          <w:p>
            <w:pPr/>
          </w:p>
        </w:tc>
      </w:tr>
      <w:tr>
        <w:trPr>
          <w:trHeight w:val="517" w:hRule="exact"/>
        </w:trPr>
        <w:tc>
          <w:tcPr>
            <w:tcW w:w="3634" w:type="dxa"/>
          </w:tcPr>
          <w:p>
            <w:pPr>
              <w:pStyle w:val="TableParagraph"/>
              <w:spacing w:before="107"/>
              <w:ind w:left="107"/>
              <w:rPr>
                <w:sz w:val="24"/>
              </w:rPr>
            </w:pPr>
            <w:r>
              <w:rPr>
                <w:sz w:val="24"/>
              </w:rPr>
              <w:t>Chemical composition (%)</w:t>
            </w:r>
          </w:p>
        </w:tc>
        <w:tc>
          <w:tcPr>
            <w:tcW w:w="2106" w:type="dxa"/>
          </w:tcPr>
          <w:p>
            <w:pPr/>
          </w:p>
        </w:tc>
        <w:tc>
          <w:tcPr>
            <w:tcW w:w="1923" w:type="dxa"/>
          </w:tcPr>
          <w:p>
            <w:pPr/>
          </w:p>
        </w:tc>
        <w:tc>
          <w:tcPr>
            <w:tcW w:w="1394" w:type="dxa"/>
          </w:tcPr>
          <w:p>
            <w:pPr/>
          </w:p>
        </w:tc>
      </w:tr>
      <w:tr>
        <w:trPr>
          <w:trHeight w:val="517" w:hRule="exact"/>
        </w:trPr>
        <w:tc>
          <w:tcPr>
            <w:tcW w:w="3634" w:type="dxa"/>
          </w:tcPr>
          <w:p>
            <w:pPr>
              <w:pStyle w:val="TableParagraph"/>
              <w:spacing w:before="108"/>
              <w:ind w:left="107"/>
              <w:rPr>
                <w:sz w:val="24"/>
              </w:rPr>
            </w:pPr>
            <w:r>
              <w:rPr>
                <w:sz w:val="24"/>
              </w:rPr>
              <w:t>DM</w:t>
            </w:r>
          </w:p>
        </w:tc>
        <w:tc>
          <w:tcPr>
            <w:tcW w:w="2106" w:type="dxa"/>
          </w:tcPr>
          <w:p>
            <w:pPr>
              <w:pStyle w:val="TableParagraph"/>
              <w:spacing w:before="108"/>
              <w:ind w:left="514" w:right="390"/>
              <w:jc w:val="center"/>
              <w:rPr>
                <w:sz w:val="24"/>
              </w:rPr>
            </w:pPr>
            <w:r>
              <w:rPr>
                <w:sz w:val="24"/>
              </w:rPr>
              <w:t>89.6</w:t>
            </w:r>
          </w:p>
        </w:tc>
        <w:tc>
          <w:tcPr>
            <w:tcW w:w="1923" w:type="dxa"/>
          </w:tcPr>
          <w:p>
            <w:pPr>
              <w:pStyle w:val="TableParagraph"/>
              <w:spacing w:before="108"/>
              <w:ind w:left="391" w:right="267"/>
              <w:jc w:val="center"/>
              <w:rPr>
                <w:sz w:val="24"/>
              </w:rPr>
            </w:pPr>
            <w:r>
              <w:rPr>
                <w:sz w:val="24"/>
              </w:rPr>
              <w:t>31.0</w:t>
            </w:r>
          </w:p>
        </w:tc>
        <w:tc>
          <w:tcPr>
            <w:tcW w:w="1394" w:type="dxa"/>
          </w:tcPr>
          <w:p>
            <w:pPr>
              <w:pStyle w:val="TableParagraph"/>
              <w:spacing w:before="108"/>
              <w:ind w:left="272" w:right="268"/>
              <w:jc w:val="center"/>
              <w:rPr>
                <w:sz w:val="24"/>
              </w:rPr>
            </w:pPr>
            <w:r>
              <w:rPr>
                <w:sz w:val="24"/>
              </w:rPr>
              <w:t>28.7</w:t>
            </w:r>
          </w:p>
        </w:tc>
      </w:tr>
      <w:tr>
        <w:trPr>
          <w:trHeight w:val="517" w:hRule="exact"/>
        </w:trPr>
        <w:tc>
          <w:tcPr>
            <w:tcW w:w="3634" w:type="dxa"/>
          </w:tcPr>
          <w:p>
            <w:pPr>
              <w:pStyle w:val="TableParagraph"/>
              <w:spacing w:before="107"/>
              <w:ind w:left="107"/>
              <w:rPr>
                <w:sz w:val="24"/>
              </w:rPr>
            </w:pPr>
            <w:r>
              <w:rPr>
                <w:sz w:val="24"/>
              </w:rPr>
              <w:t>Organic matter (OM)</w:t>
            </w:r>
          </w:p>
        </w:tc>
        <w:tc>
          <w:tcPr>
            <w:tcW w:w="2106" w:type="dxa"/>
          </w:tcPr>
          <w:p>
            <w:pPr>
              <w:pStyle w:val="TableParagraph"/>
              <w:spacing w:before="107"/>
              <w:ind w:left="514" w:right="390"/>
              <w:jc w:val="center"/>
              <w:rPr>
                <w:sz w:val="24"/>
              </w:rPr>
            </w:pPr>
            <w:r>
              <w:rPr>
                <w:sz w:val="24"/>
              </w:rPr>
              <w:t>91.3</w:t>
            </w:r>
          </w:p>
        </w:tc>
        <w:tc>
          <w:tcPr>
            <w:tcW w:w="1923" w:type="dxa"/>
          </w:tcPr>
          <w:p>
            <w:pPr>
              <w:pStyle w:val="TableParagraph"/>
              <w:spacing w:before="107"/>
              <w:ind w:left="391" w:right="267"/>
              <w:jc w:val="center"/>
              <w:rPr>
                <w:sz w:val="24"/>
              </w:rPr>
            </w:pPr>
            <w:r>
              <w:rPr>
                <w:sz w:val="24"/>
              </w:rPr>
              <w:t>93.9</w:t>
            </w:r>
          </w:p>
        </w:tc>
        <w:tc>
          <w:tcPr>
            <w:tcW w:w="1394" w:type="dxa"/>
          </w:tcPr>
          <w:p>
            <w:pPr>
              <w:pStyle w:val="TableParagraph"/>
              <w:spacing w:before="107"/>
              <w:ind w:left="272" w:right="268"/>
              <w:jc w:val="center"/>
              <w:rPr>
                <w:sz w:val="24"/>
              </w:rPr>
            </w:pPr>
            <w:r>
              <w:rPr>
                <w:sz w:val="24"/>
              </w:rPr>
              <w:t>88.8</w:t>
            </w:r>
          </w:p>
        </w:tc>
      </w:tr>
      <w:tr>
        <w:trPr>
          <w:trHeight w:val="518" w:hRule="exact"/>
        </w:trPr>
        <w:tc>
          <w:tcPr>
            <w:tcW w:w="3634" w:type="dxa"/>
          </w:tcPr>
          <w:p>
            <w:pPr>
              <w:pStyle w:val="TableParagraph"/>
              <w:spacing w:before="108"/>
              <w:ind w:left="107"/>
              <w:rPr>
                <w:sz w:val="24"/>
              </w:rPr>
            </w:pPr>
            <w:r>
              <w:rPr>
                <w:sz w:val="24"/>
              </w:rPr>
              <w:t>Crude protein (CP)</w:t>
            </w:r>
          </w:p>
        </w:tc>
        <w:tc>
          <w:tcPr>
            <w:tcW w:w="2106" w:type="dxa"/>
          </w:tcPr>
          <w:p>
            <w:pPr>
              <w:pStyle w:val="TableParagraph"/>
              <w:spacing w:before="108"/>
              <w:ind w:left="514" w:right="390"/>
              <w:jc w:val="center"/>
              <w:rPr>
                <w:sz w:val="24"/>
              </w:rPr>
            </w:pPr>
            <w:r>
              <w:rPr>
                <w:sz w:val="24"/>
              </w:rPr>
              <w:t>20.4</w:t>
            </w:r>
          </w:p>
        </w:tc>
        <w:tc>
          <w:tcPr>
            <w:tcW w:w="1923" w:type="dxa"/>
          </w:tcPr>
          <w:p>
            <w:pPr>
              <w:pStyle w:val="TableParagraph"/>
              <w:spacing w:before="108"/>
              <w:ind w:left="391" w:right="267"/>
              <w:jc w:val="center"/>
              <w:rPr>
                <w:sz w:val="24"/>
              </w:rPr>
            </w:pPr>
            <w:r>
              <w:rPr>
                <w:sz w:val="24"/>
              </w:rPr>
              <w:t>6.7</w:t>
            </w:r>
          </w:p>
        </w:tc>
        <w:tc>
          <w:tcPr>
            <w:tcW w:w="1394" w:type="dxa"/>
          </w:tcPr>
          <w:p>
            <w:pPr>
              <w:pStyle w:val="TableParagraph"/>
              <w:spacing w:before="108"/>
              <w:ind w:left="272" w:right="268"/>
              <w:jc w:val="center"/>
              <w:rPr>
                <w:sz w:val="24"/>
              </w:rPr>
            </w:pPr>
            <w:r>
              <w:rPr>
                <w:sz w:val="24"/>
              </w:rPr>
              <w:t>16.2</w:t>
            </w:r>
          </w:p>
        </w:tc>
      </w:tr>
      <w:tr>
        <w:trPr>
          <w:trHeight w:val="517" w:hRule="exact"/>
        </w:trPr>
        <w:tc>
          <w:tcPr>
            <w:tcW w:w="3634" w:type="dxa"/>
          </w:tcPr>
          <w:p>
            <w:pPr>
              <w:pStyle w:val="TableParagraph"/>
              <w:spacing w:before="108"/>
              <w:ind w:left="107"/>
              <w:rPr>
                <w:sz w:val="24"/>
              </w:rPr>
            </w:pPr>
            <w:r>
              <w:rPr>
                <w:sz w:val="24"/>
              </w:rPr>
              <w:t>Neutral Detergent Fibre (NDF)</w:t>
            </w:r>
          </w:p>
        </w:tc>
        <w:tc>
          <w:tcPr>
            <w:tcW w:w="2106" w:type="dxa"/>
          </w:tcPr>
          <w:p>
            <w:pPr>
              <w:pStyle w:val="TableParagraph"/>
              <w:spacing w:before="108"/>
              <w:ind w:left="514" w:right="390"/>
              <w:jc w:val="center"/>
              <w:rPr>
                <w:sz w:val="24"/>
              </w:rPr>
            </w:pPr>
            <w:r>
              <w:rPr>
                <w:sz w:val="24"/>
              </w:rPr>
              <w:t>20.5</w:t>
            </w:r>
          </w:p>
        </w:tc>
        <w:tc>
          <w:tcPr>
            <w:tcW w:w="1923" w:type="dxa"/>
          </w:tcPr>
          <w:p>
            <w:pPr>
              <w:pStyle w:val="TableParagraph"/>
              <w:spacing w:before="108"/>
              <w:ind w:left="391" w:right="267"/>
              <w:jc w:val="center"/>
              <w:rPr>
                <w:sz w:val="24"/>
              </w:rPr>
            </w:pPr>
            <w:r>
              <w:rPr>
                <w:sz w:val="24"/>
              </w:rPr>
              <w:t>55.1</w:t>
            </w:r>
          </w:p>
        </w:tc>
        <w:tc>
          <w:tcPr>
            <w:tcW w:w="1394" w:type="dxa"/>
          </w:tcPr>
          <w:p>
            <w:pPr>
              <w:pStyle w:val="TableParagraph"/>
              <w:spacing w:before="108"/>
              <w:ind w:left="272" w:right="268"/>
              <w:jc w:val="center"/>
              <w:rPr>
                <w:sz w:val="24"/>
              </w:rPr>
            </w:pPr>
            <w:r>
              <w:rPr>
                <w:sz w:val="24"/>
              </w:rPr>
              <w:t>53.6</w:t>
            </w:r>
          </w:p>
        </w:tc>
      </w:tr>
      <w:tr>
        <w:trPr>
          <w:trHeight w:val="517" w:hRule="exact"/>
        </w:trPr>
        <w:tc>
          <w:tcPr>
            <w:tcW w:w="3634" w:type="dxa"/>
          </w:tcPr>
          <w:p>
            <w:pPr>
              <w:pStyle w:val="TableParagraph"/>
              <w:spacing w:before="107"/>
              <w:ind w:left="107"/>
              <w:rPr>
                <w:sz w:val="24"/>
              </w:rPr>
            </w:pPr>
            <w:r>
              <w:rPr>
                <w:sz w:val="24"/>
              </w:rPr>
              <w:t>Acid Detergent Fibre (ADF)</w:t>
            </w:r>
          </w:p>
        </w:tc>
        <w:tc>
          <w:tcPr>
            <w:tcW w:w="2106" w:type="dxa"/>
          </w:tcPr>
          <w:p>
            <w:pPr>
              <w:pStyle w:val="TableParagraph"/>
              <w:spacing w:before="107"/>
              <w:ind w:left="514" w:right="390"/>
              <w:jc w:val="center"/>
              <w:rPr>
                <w:sz w:val="24"/>
              </w:rPr>
            </w:pPr>
            <w:r>
              <w:rPr>
                <w:sz w:val="24"/>
              </w:rPr>
              <w:t>7.0</w:t>
            </w:r>
          </w:p>
        </w:tc>
        <w:tc>
          <w:tcPr>
            <w:tcW w:w="1923" w:type="dxa"/>
          </w:tcPr>
          <w:p>
            <w:pPr>
              <w:pStyle w:val="TableParagraph"/>
              <w:spacing w:before="107"/>
              <w:ind w:left="391" w:right="267"/>
              <w:jc w:val="center"/>
              <w:rPr>
                <w:sz w:val="24"/>
              </w:rPr>
            </w:pPr>
            <w:r>
              <w:rPr>
                <w:sz w:val="24"/>
              </w:rPr>
              <w:t>31.1</w:t>
            </w:r>
          </w:p>
        </w:tc>
        <w:tc>
          <w:tcPr>
            <w:tcW w:w="1394" w:type="dxa"/>
          </w:tcPr>
          <w:p>
            <w:pPr>
              <w:pStyle w:val="TableParagraph"/>
              <w:spacing w:before="107"/>
              <w:ind w:left="272" w:right="268"/>
              <w:jc w:val="center"/>
              <w:rPr>
                <w:sz w:val="24"/>
              </w:rPr>
            </w:pPr>
            <w:r>
              <w:rPr>
                <w:sz w:val="24"/>
              </w:rPr>
              <w:t>25.0</w:t>
            </w:r>
          </w:p>
        </w:tc>
      </w:tr>
      <w:tr>
        <w:trPr>
          <w:trHeight w:val="503" w:hRule="exact"/>
        </w:trPr>
        <w:tc>
          <w:tcPr>
            <w:tcW w:w="3634" w:type="dxa"/>
          </w:tcPr>
          <w:p>
            <w:pPr>
              <w:pStyle w:val="TableParagraph"/>
              <w:spacing w:before="108"/>
              <w:ind w:left="107"/>
              <w:rPr>
                <w:sz w:val="24"/>
              </w:rPr>
            </w:pPr>
            <w:r>
              <w:rPr>
                <w:sz w:val="24"/>
              </w:rPr>
              <w:t>Acid Detergent Lignin (ADL)</w:t>
            </w:r>
          </w:p>
        </w:tc>
        <w:tc>
          <w:tcPr>
            <w:tcW w:w="2106" w:type="dxa"/>
          </w:tcPr>
          <w:p>
            <w:pPr>
              <w:pStyle w:val="TableParagraph"/>
              <w:spacing w:before="108"/>
              <w:ind w:left="514" w:right="390"/>
              <w:jc w:val="center"/>
              <w:rPr>
                <w:sz w:val="24"/>
              </w:rPr>
            </w:pPr>
            <w:r>
              <w:rPr>
                <w:sz w:val="24"/>
              </w:rPr>
              <w:t>2.2</w:t>
            </w:r>
          </w:p>
        </w:tc>
        <w:tc>
          <w:tcPr>
            <w:tcW w:w="1923" w:type="dxa"/>
          </w:tcPr>
          <w:p>
            <w:pPr>
              <w:pStyle w:val="TableParagraph"/>
              <w:spacing w:before="108"/>
              <w:ind w:left="391" w:right="267"/>
              <w:jc w:val="center"/>
              <w:rPr>
                <w:sz w:val="24"/>
              </w:rPr>
            </w:pPr>
            <w:r>
              <w:rPr>
                <w:sz w:val="24"/>
              </w:rPr>
              <w:t>4.1</w:t>
            </w:r>
          </w:p>
        </w:tc>
        <w:tc>
          <w:tcPr>
            <w:tcW w:w="1394" w:type="dxa"/>
          </w:tcPr>
          <w:p>
            <w:pPr>
              <w:pStyle w:val="TableParagraph"/>
              <w:spacing w:before="108"/>
              <w:ind w:left="272" w:right="268"/>
              <w:jc w:val="center"/>
              <w:rPr>
                <w:sz w:val="24"/>
              </w:rPr>
            </w:pPr>
            <w:r>
              <w:rPr>
                <w:sz w:val="24"/>
              </w:rPr>
              <w:t>2.7</w:t>
            </w:r>
          </w:p>
        </w:tc>
      </w:tr>
      <w:tr>
        <w:trPr>
          <w:trHeight w:val="531" w:hRule="exact"/>
        </w:trPr>
        <w:tc>
          <w:tcPr>
            <w:tcW w:w="3634" w:type="dxa"/>
          </w:tcPr>
          <w:p>
            <w:pPr>
              <w:pStyle w:val="TableParagraph"/>
              <w:spacing w:before="105"/>
              <w:ind w:left="107"/>
              <w:rPr>
                <w:sz w:val="16"/>
              </w:rPr>
            </w:pPr>
            <w:r>
              <w:rPr>
                <w:sz w:val="24"/>
              </w:rPr>
              <w:t>Net energy (NEL), MJ/kg DM</w:t>
            </w:r>
            <w:r>
              <w:rPr>
                <w:position w:val="9"/>
                <w:sz w:val="16"/>
              </w:rPr>
              <w:t>‡</w:t>
            </w:r>
          </w:p>
        </w:tc>
        <w:tc>
          <w:tcPr>
            <w:tcW w:w="2106" w:type="dxa"/>
          </w:tcPr>
          <w:p>
            <w:pPr>
              <w:pStyle w:val="TableParagraph"/>
              <w:spacing w:before="120"/>
              <w:ind w:left="514" w:right="390"/>
              <w:jc w:val="center"/>
              <w:rPr>
                <w:sz w:val="24"/>
              </w:rPr>
            </w:pPr>
            <w:r>
              <w:rPr>
                <w:sz w:val="24"/>
              </w:rPr>
              <w:t>8.4</w:t>
            </w:r>
          </w:p>
        </w:tc>
        <w:tc>
          <w:tcPr>
            <w:tcW w:w="1923" w:type="dxa"/>
          </w:tcPr>
          <w:p>
            <w:pPr>
              <w:pStyle w:val="TableParagraph"/>
              <w:spacing w:before="120"/>
              <w:ind w:left="391" w:right="267"/>
              <w:jc w:val="center"/>
              <w:rPr>
                <w:sz w:val="24"/>
              </w:rPr>
            </w:pPr>
            <w:r>
              <w:rPr>
                <w:sz w:val="24"/>
              </w:rPr>
              <w:t>6.0</w:t>
            </w:r>
          </w:p>
        </w:tc>
        <w:tc>
          <w:tcPr>
            <w:tcW w:w="1394" w:type="dxa"/>
          </w:tcPr>
          <w:p>
            <w:pPr>
              <w:pStyle w:val="TableParagraph"/>
              <w:spacing w:before="120"/>
              <w:ind w:left="272" w:right="268"/>
              <w:jc w:val="center"/>
              <w:rPr>
                <w:sz w:val="24"/>
              </w:rPr>
            </w:pPr>
            <w:r>
              <w:rPr>
                <w:sz w:val="24"/>
              </w:rPr>
              <w:t>6.6</w:t>
            </w:r>
          </w:p>
        </w:tc>
      </w:tr>
      <w:tr>
        <w:trPr>
          <w:trHeight w:val="518" w:hRule="exact"/>
        </w:trPr>
        <w:tc>
          <w:tcPr>
            <w:tcW w:w="3634" w:type="dxa"/>
          </w:tcPr>
          <w:p>
            <w:pPr>
              <w:pStyle w:val="TableParagraph"/>
              <w:spacing w:before="108"/>
              <w:ind w:left="107"/>
              <w:rPr>
                <w:sz w:val="24"/>
              </w:rPr>
            </w:pPr>
            <w:r>
              <w:rPr>
                <w:sz w:val="24"/>
              </w:rPr>
              <w:t>Fatty acids (g/100g FA)</w:t>
            </w:r>
          </w:p>
        </w:tc>
        <w:tc>
          <w:tcPr>
            <w:tcW w:w="2106" w:type="dxa"/>
          </w:tcPr>
          <w:p>
            <w:pPr/>
          </w:p>
        </w:tc>
        <w:tc>
          <w:tcPr>
            <w:tcW w:w="1923" w:type="dxa"/>
          </w:tcPr>
          <w:p>
            <w:pPr/>
          </w:p>
        </w:tc>
        <w:tc>
          <w:tcPr>
            <w:tcW w:w="1394" w:type="dxa"/>
          </w:tcPr>
          <w:p>
            <w:pPr/>
          </w:p>
        </w:tc>
      </w:tr>
      <w:tr>
        <w:trPr>
          <w:trHeight w:val="518" w:hRule="exact"/>
        </w:trPr>
        <w:tc>
          <w:tcPr>
            <w:tcW w:w="3634" w:type="dxa"/>
          </w:tcPr>
          <w:p>
            <w:pPr>
              <w:pStyle w:val="TableParagraph"/>
              <w:spacing w:before="107"/>
              <w:ind w:left="107"/>
              <w:rPr>
                <w:sz w:val="24"/>
              </w:rPr>
            </w:pPr>
            <w:r>
              <w:rPr>
                <w:sz w:val="24"/>
              </w:rPr>
              <w:t>Lauric (C12:0)</w:t>
            </w:r>
          </w:p>
        </w:tc>
        <w:tc>
          <w:tcPr>
            <w:tcW w:w="2106" w:type="dxa"/>
          </w:tcPr>
          <w:p>
            <w:pPr>
              <w:pStyle w:val="TableParagraph"/>
              <w:spacing w:before="107"/>
              <w:ind w:left="514" w:right="390"/>
              <w:jc w:val="center"/>
              <w:rPr>
                <w:sz w:val="24"/>
              </w:rPr>
            </w:pPr>
            <w:r>
              <w:rPr>
                <w:sz w:val="24"/>
              </w:rPr>
              <w:t>0.05</w:t>
            </w:r>
          </w:p>
        </w:tc>
        <w:tc>
          <w:tcPr>
            <w:tcW w:w="1923" w:type="dxa"/>
          </w:tcPr>
          <w:p>
            <w:pPr>
              <w:pStyle w:val="TableParagraph"/>
              <w:spacing w:before="107"/>
              <w:ind w:left="391" w:right="267"/>
              <w:jc w:val="center"/>
              <w:rPr>
                <w:sz w:val="24"/>
              </w:rPr>
            </w:pPr>
            <w:r>
              <w:rPr>
                <w:sz w:val="24"/>
              </w:rPr>
              <w:t>0.35</w:t>
            </w:r>
          </w:p>
        </w:tc>
        <w:tc>
          <w:tcPr>
            <w:tcW w:w="1394" w:type="dxa"/>
          </w:tcPr>
          <w:p>
            <w:pPr>
              <w:pStyle w:val="TableParagraph"/>
              <w:spacing w:before="107"/>
              <w:ind w:left="272" w:right="268"/>
              <w:jc w:val="center"/>
              <w:rPr>
                <w:sz w:val="24"/>
              </w:rPr>
            </w:pPr>
            <w:r>
              <w:rPr>
                <w:sz w:val="24"/>
              </w:rPr>
              <w:t>1.26</w:t>
            </w:r>
          </w:p>
        </w:tc>
      </w:tr>
      <w:tr>
        <w:trPr>
          <w:trHeight w:val="518" w:hRule="exact"/>
        </w:trPr>
        <w:tc>
          <w:tcPr>
            <w:tcW w:w="3634" w:type="dxa"/>
          </w:tcPr>
          <w:p>
            <w:pPr>
              <w:pStyle w:val="TableParagraph"/>
              <w:spacing w:before="108"/>
              <w:ind w:left="107"/>
              <w:rPr>
                <w:sz w:val="24"/>
              </w:rPr>
            </w:pPr>
            <w:r>
              <w:rPr>
                <w:sz w:val="24"/>
              </w:rPr>
              <w:t>Tridecanoic (C13:0)</w:t>
            </w:r>
          </w:p>
        </w:tc>
        <w:tc>
          <w:tcPr>
            <w:tcW w:w="2106" w:type="dxa"/>
          </w:tcPr>
          <w:p>
            <w:pPr>
              <w:pStyle w:val="TableParagraph"/>
              <w:spacing w:before="108"/>
              <w:ind w:left="514" w:right="390"/>
              <w:jc w:val="center"/>
              <w:rPr>
                <w:sz w:val="24"/>
              </w:rPr>
            </w:pPr>
            <w:r>
              <w:rPr>
                <w:sz w:val="24"/>
              </w:rPr>
              <w:t>0.78</w:t>
            </w:r>
          </w:p>
        </w:tc>
        <w:tc>
          <w:tcPr>
            <w:tcW w:w="1923" w:type="dxa"/>
          </w:tcPr>
          <w:p>
            <w:pPr>
              <w:pStyle w:val="TableParagraph"/>
              <w:spacing w:before="108"/>
              <w:ind w:left="391" w:right="267"/>
              <w:jc w:val="center"/>
              <w:rPr>
                <w:sz w:val="24"/>
              </w:rPr>
            </w:pPr>
            <w:r>
              <w:rPr>
                <w:sz w:val="24"/>
              </w:rPr>
              <w:t>0.06</w:t>
            </w:r>
          </w:p>
        </w:tc>
        <w:tc>
          <w:tcPr>
            <w:tcW w:w="1394" w:type="dxa"/>
          </w:tcPr>
          <w:p>
            <w:pPr>
              <w:pStyle w:val="TableParagraph"/>
              <w:spacing w:before="108"/>
              <w:ind w:left="272" w:right="268"/>
              <w:jc w:val="center"/>
              <w:rPr>
                <w:sz w:val="24"/>
              </w:rPr>
            </w:pPr>
            <w:r>
              <w:rPr>
                <w:sz w:val="24"/>
              </w:rPr>
              <w:t>2.39</w:t>
            </w:r>
          </w:p>
        </w:tc>
      </w:tr>
      <w:tr>
        <w:trPr>
          <w:trHeight w:val="517" w:hRule="exact"/>
        </w:trPr>
        <w:tc>
          <w:tcPr>
            <w:tcW w:w="3634" w:type="dxa"/>
          </w:tcPr>
          <w:p>
            <w:pPr>
              <w:pStyle w:val="TableParagraph"/>
              <w:spacing w:before="108"/>
              <w:ind w:left="107"/>
              <w:rPr>
                <w:sz w:val="24"/>
              </w:rPr>
            </w:pPr>
            <w:r>
              <w:rPr>
                <w:sz w:val="24"/>
              </w:rPr>
              <w:t>Myristic (C14:0)</w:t>
            </w:r>
          </w:p>
        </w:tc>
        <w:tc>
          <w:tcPr>
            <w:tcW w:w="2106" w:type="dxa"/>
          </w:tcPr>
          <w:p>
            <w:pPr>
              <w:pStyle w:val="TableParagraph"/>
              <w:spacing w:before="108"/>
              <w:ind w:left="514" w:right="390"/>
              <w:jc w:val="center"/>
              <w:rPr>
                <w:sz w:val="24"/>
              </w:rPr>
            </w:pPr>
            <w:r>
              <w:rPr>
                <w:sz w:val="24"/>
              </w:rPr>
              <w:t>0.14</w:t>
            </w:r>
          </w:p>
        </w:tc>
        <w:tc>
          <w:tcPr>
            <w:tcW w:w="1923" w:type="dxa"/>
          </w:tcPr>
          <w:p>
            <w:pPr>
              <w:pStyle w:val="TableParagraph"/>
              <w:spacing w:before="108"/>
              <w:ind w:left="391" w:right="267"/>
              <w:jc w:val="center"/>
              <w:rPr>
                <w:sz w:val="24"/>
              </w:rPr>
            </w:pPr>
            <w:r>
              <w:rPr>
                <w:sz w:val="24"/>
              </w:rPr>
              <w:t>0.65</w:t>
            </w:r>
          </w:p>
        </w:tc>
        <w:tc>
          <w:tcPr>
            <w:tcW w:w="1394" w:type="dxa"/>
          </w:tcPr>
          <w:p>
            <w:pPr>
              <w:pStyle w:val="TableParagraph"/>
              <w:spacing w:before="108"/>
              <w:ind w:left="272" w:right="268"/>
              <w:jc w:val="center"/>
              <w:rPr>
                <w:sz w:val="24"/>
              </w:rPr>
            </w:pPr>
            <w:r>
              <w:rPr>
                <w:sz w:val="24"/>
              </w:rPr>
              <w:t>0.58</w:t>
            </w:r>
          </w:p>
        </w:tc>
      </w:tr>
      <w:tr>
        <w:trPr>
          <w:trHeight w:val="378" w:hRule="exact"/>
        </w:trPr>
        <w:tc>
          <w:tcPr>
            <w:tcW w:w="3634" w:type="dxa"/>
          </w:tcPr>
          <w:p>
            <w:pPr>
              <w:pStyle w:val="TableParagraph"/>
              <w:spacing w:before="107"/>
              <w:ind w:left="107"/>
              <w:rPr>
                <w:sz w:val="24"/>
              </w:rPr>
            </w:pPr>
            <w:r>
              <w:rPr>
                <w:sz w:val="24"/>
              </w:rPr>
              <w:t>Palmitic (C16:0)</w:t>
            </w:r>
          </w:p>
        </w:tc>
        <w:tc>
          <w:tcPr>
            <w:tcW w:w="2106" w:type="dxa"/>
          </w:tcPr>
          <w:p>
            <w:pPr>
              <w:pStyle w:val="TableParagraph"/>
              <w:spacing w:before="107"/>
              <w:ind w:left="514" w:right="390"/>
              <w:jc w:val="center"/>
              <w:rPr>
                <w:sz w:val="24"/>
              </w:rPr>
            </w:pPr>
            <w:r>
              <w:rPr>
                <w:sz w:val="24"/>
              </w:rPr>
              <w:t>18.75</w:t>
            </w:r>
          </w:p>
        </w:tc>
        <w:tc>
          <w:tcPr>
            <w:tcW w:w="1923" w:type="dxa"/>
          </w:tcPr>
          <w:p>
            <w:pPr>
              <w:pStyle w:val="TableParagraph"/>
              <w:spacing w:before="107"/>
              <w:ind w:left="391" w:right="267"/>
              <w:jc w:val="center"/>
              <w:rPr>
                <w:sz w:val="24"/>
              </w:rPr>
            </w:pPr>
            <w:r>
              <w:rPr>
                <w:sz w:val="24"/>
              </w:rPr>
              <w:t>17.48</w:t>
            </w:r>
          </w:p>
        </w:tc>
        <w:tc>
          <w:tcPr>
            <w:tcW w:w="1394" w:type="dxa"/>
          </w:tcPr>
          <w:p>
            <w:pPr>
              <w:pStyle w:val="TableParagraph"/>
              <w:spacing w:before="107"/>
              <w:ind w:left="272" w:right="268"/>
              <w:jc w:val="center"/>
              <w:rPr>
                <w:sz w:val="24"/>
              </w:rPr>
            </w:pPr>
            <w:r>
              <w:rPr>
                <w:sz w:val="24"/>
              </w:rPr>
              <w:t>16.26</w:t>
            </w:r>
          </w:p>
        </w:tc>
      </w:tr>
    </w:tbl>
    <w:p>
      <w:pPr>
        <w:spacing w:after="0"/>
        <w:jc w:val="center"/>
        <w:rPr>
          <w:sz w:val="24"/>
        </w:rPr>
        <w:sectPr>
          <w:pgSz w:w="12240" w:h="15840"/>
          <w:pgMar w:header="1150" w:footer="1336" w:top="1340" w:bottom="1520" w:left="1640" w:right="1300"/>
        </w:sectPr>
      </w:pPr>
    </w:p>
    <w:p>
      <w:pPr>
        <w:pStyle w:val="BodyText"/>
        <w:rPr>
          <w:b/>
          <w:sz w:val="20"/>
        </w:rPr>
      </w:pPr>
    </w:p>
    <w:p>
      <w:pPr>
        <w:pStyle w:val="BodyText"/>
        <w:spacing w:before="3"/>
        <w:rPr>
          <w:b/>
          <w:sz w:val="22"/>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91"/>
        <w:gridCol w:w="2480"/>
        <w:gridCol w:w="1807"/>
        <w:gridCol w:w="1470"/>
      </w:tblGrid>
      <w:tr>
        <w:trPr>
          <w:trHeight w:val="378" w:hRule="exact"/>
        </w:trPr>
        <w:tc>
          <w:tcPr>
            <w:tcW w:w="3291" w:type="dxa"/>
          </w:tcPr>
          <w:p>
            <w:pPr>
              <w:pStyle w:val="TableParagraph"/>
              <w:spacing w:line="245" w:lineRule="exact"/>
              <w:ind w:left="122"/>
              <w:rPr>
                <w:sz w:val="24"/>
              </w:rPr>
            </w:pPr>
            <w:r>
              <w:rPr>
                <w:sz w:val="24"/>
              </w:rPr>
              <w:t>Palmitoleic (C16:1)</w:t>
            </w:r>
          </w:p>
        </w:tc>
        <w:tc>
          <w:tcPr>
            <w:tcW w:w="2480" w:type="dxa"/>
          </w:tcPr>
          <w:p>
            <w:pPr>
              <w:pStyle w:val="TableParagraph"/>
              <w:spacing w:line="245" w:lineRule="exact"/>
              <w:ind w:right="796"/>
              <w:jc w:val="right"/>
              <w:rPr>
                <w:sz w:val="24"/>
              </w:rPr>
            </w:pPr>
            <w:r>
              <w:rPr>
                <w:sz w:val="24"/>
              </w:rPr>
              <w:t>0.38</w:t>
            </w:r>
          </w:p>
        </w:tc>
        <w:tc>
          <w:tcPr>
            <w:tcW w:w="1807" w:type="dxa"/>
          </w:tcPr>
          <w:p>
            <w:pPr>
              <w:pStyle w:val="TableParagraph"/>
              <w:spacing w:line="245" w:lineRule="exact"/>
              <w:ind w:right="587"/>
              <w:jc w:val="right"/>
              <w:rPr>
                <w:sz w:val="24"/>
              </w:rPr>
            </w:pPr>
            <w:r>
              <w:rPr>
                <w:sz w:val="24"/>
              </w:rPr>
              <w:t>0.38</w:t>
            </w:r>
          </w:p>
        </w:tc>
        <w:tc>
          <w:tcPr>
            <w:tcW w:w="1470" w:type="dxa"/>
          </w:tcPr>
          <w:p>
            <w:pPr>
              <w:pStyle w:val="TableParagraph"/>
              <w:spacing w:line="245" w:lineRule="exact"/>
              <w:ind w:left="509" w:right="380"/>
              <w:jc w:val="center"/>
              <w:rPr>
                <w:sz w:val="24"/>
              </w:rPr>
            </w:pPr>
            <w:r>
              <w:rPr>
                <w:sz w:val="24"/>
              </w:rPr>
              <w:t>2.45</w:t>
            </w:r>
          </w:p>
        </w:tc>
      </w:tr>
      <w:tr>
        <w:trPr>
          <w:trHeight w:val="517" w:hRule="exact"/>
        </w:trPr>
        <w:tc>
          <w:tcPr>
            <w:tcW w:w="3291" w:type="dxa"/>
          </w:tcPr>
          <w:p>
            <w:pPr>
              <w:pStyle w:val="TableParagraph"/>
              <w:spacing w:before="107"/>
              <w:ind w:left="122"/>
              <w:rPr>
                <w:sz w:val="24"/>
              </w:rPr>
            </w:pPr>
            <w:r>
              <w:rPr>
                <w:sz w:val="24"/>
              </w:rPr>
              <w:t>Estearic (C18:0)</w:t>
            </w:r>
          </w:p>
        </w:tc>
        <w:tc>
          <w:tcPr>
            <w:tcW w:w="2480" w:type="dxa"/>
          </w:tcPr>
          <w:p>
            <w:pPr>
              <w:pStyle w:val="TableParagraph"/>
              <w:spacing w:before="107"/>
              <w:ind w:right="796"/>
              <w:jc w:val="right"/>
              <w:rPr>
                <w:sz w:val="24"/>
              </w:rPr>
            </w:pPr>
            <w:r>
              <w:rPr>
                <w:sz w:val="24"/>
              </w:rPr>
              <w:t>3.50</w:t>
            </w:r>
          </w:p>
        </w:tc>
        <w:tc>
          <w:tcPr>
            <w:tcW w:w="1807" w:type="dxa"/>
          </w:tcPr>
          <w:p>
            <w:pPr>
              <w:pStyle w:val="TableParagraph"/>
              <w:spacing w:before="107"/>
              <w:ind w:right="587"/>
              <w:jc w:val="right"/>
              <w:rPr>
                <w:sz w:val="24"/>
              </w:rPr>
            </w:pPr>
            <w:r>
              <w:rPr>
                <w:sz w:val="24"/>
              </w:rPr>
              <w:t>4.82</w:t>
            </w:r>
          </w:p>
        </w:tc>
        <w:tc>
          <w:tcPr>
            <w:tcW w:w="1470" w:type="dxa"/>
          </w:tcPr>
          <w:p>
            <w:pPr>
              <w:pStyle w:val="TableParagraph"/>
              <w:spacing w:before="107"/>
              <w:ind w:left="509" w:right="380"/>
              <w:jc w:val="center"/>
              <w:rPr>
                <w:sz w:val="24"/>
              </w:rPr>
            </w:pPr>
            <w:r>
              <w:rPr>
                <w:sz w:val="24"/>
              </w:rPr>
              <w:t>1.94</w:t>
            </w:r>
          </w:p>
        </w:tc>
      </w:tr>
      <w:tr>
        <w:trPr>
          <w:trHeight w:val="518" w:hRule="exact"/>
        </w:trPr>
        <w:tc>
          <w:tcPr>
            <w:tcW w:w="3291" w:type="dxa"/>
          </w:tcPr>
          <w:p>
            <w:pPr>
              <w:pStyle w:val="TableParagraph"/>
              <w:spacing w:before="108"/>
              <w:ind w:left="122"/>
              <w:rPr>
                <w:sz w:val="24"/>
              </w:rPr>
            </w:pPr>
            <w:r>
              <w:rPr>
                <w:sz w:val="24"/>
              </w:rPr>
              <w:t>Oleic (C18:1n9c)</w:t>
            </w:r>
          </w:p>
        </w:tc>
        <w:tc>
          <w:tcPr>
            <w:tcW w:w="2480" w:type="dxa"/>
          </w:tcPr>
          <w:p>
            <w:pPr>
              <w:pStyle w:val="TableParagraph"/>
              <w:spacing w:before="108"/>
              <w:ind w:right="736"/>
              <w:jc w:val="right"/>
              <w:rPr>
                <w:sz w:val="24"/>
              </w:rPr>
            </w:pPr>
            <w:r>
              <w:rPr>
                <w:sz w:val="24"/>
              </w:rPr>
              <w:t>31.49</w:t>
            </w:r>
          </w:p>
        </w:tc>
        <w:tc>
          <w:tcPr>
            <w:tcW w:w="1807" w:type="dxa"/>
          </w:tcPr>
          <w:p>
            <w:pPr>
              <w:pStyle w:val="TableParagraph"/>
              <w:spacing w:before="108"/>
              <w:ind w:right="527"/>
              <w:jc w:val="right"/>
              <w:rPr>
                <w:sz w:val="24"/>
              </w:rPr>
            </w:pPr>
            <w:r>
              <w:rPr>
                <w:sz w:val="24"/>
              </w:rPr>
              <w:t>29.04</w:t>
            </w:r>
          </w:p>
        </w:tc>
        <w:tc>
          <w:tcPr>
            <w:tcW w:w="1470" w:type="dxa"/>
          </w:tcPr>
          <w:p>
            <w:pPr>
              <w:pStyle w:val="TableParagraph"/>
              <w:spacing w:before="108"/>
              <w:ind w:left="509" w:right="380"/>
              <w:jc w:val="center"/>
              <w:rPr>
                <w:sz w:val="24"/>
              </w:rPr>
            </w:pPr>
            <w:r>
              <w:rPr>
                <w:sz w:val="24"/>
              </w:rPr>
              <w:t>2.36</w:t>
            </w:r>
          </w:p>
        </w:tc>
      </w:tr>
      <w:tr>
        <w:trPr>
          <w:trHeight w:val="517" w:hRule="exact"/>
        </w:trPr>
        <w:tc>
          <w:tcPr>
            <w:tcW w:w="3291" w:type="dxa"/>
          </w:tcPr>
          <w:p>
            <w:pPr>
              <w:pStyle w:val="TableParagraph"/>
              <w:spacing w:before="108"/>
              <w:ind w:left="122"/>
              <w:rPr>
                <w:sz w:val="24"/>
              </w:rPr>
            </w:pPr>
            <w:r>
              <w:rPr>
                <w:sz w:val="24"/>
              </w:rPr>
              <w:t>Linoleic (C18:2n6c)</w:t>
            </w:r>
          </w:p>
        </w:tc>
        <w:tc>
          <w:tcPr>
            <w:tcW w:w="2480" w:type="dxa"/>
          </w:tcPr>
          <w:p>
            <w:pPr>
              <w:pStyle w:val="TableParagraph"/>
              <w:spacing w:before="108"/>
              <w:ind w:right="736"/>
              <w:jc w:val="right"/>
              <w:rPr>
                <w:sz w:val="24"/>
              </w:rPr>
            </w:pPr>
            <w:r>
              <w:rPr>
                <w:sz w:val="24"/>
              </w:rPr>
              <w:t>36.96</w:t>
            </w:r>
          </w:p>
        </w:tc>
        <w:tc>
          <w:tcPr>
            <w:tcW w:w="1807" w:type="dxa"/>
          </w:tcPr>
          <w:p>
            <w:pPr>
              <w:pStyle w:val="TableParagraph"/>
              <w:spacing w:before="108"/>
              <w:ind w:right="527"/>
              <w:jc w:val="right"/>
              <w:rPr>
                <w:sz w:val="24"/>
              </w:rPr>
            </w:pPr>
            <w:r>
              <w:rPr>
                <w:sz w:val="24"/>
              </w:rPr>
              <w:t>36.18</w:t>
            </w:r>
          </w:p>
        </w:tc>
        <w:tc>
          <w:tcPr>
            <w:tcW w:w="1470" w:type="dxa"/>
          </w:tcPr>
          <w:p>
            <w:pPr>
              <w:pStyle w:val="TableParagraph"/>
              <w:spacing w:before="108"/>
              <w:ind w:left="509" w:right="380"/>
              <w:jc w:val="center"/>
              <w:rPr>
                <w:sz w:val="24"/>
              </w:rPr>
            </w:pPr>
            <w:r>
              <w:rPr>
                <w:sz w:val="24"/>
              </w:rPr>
              <w:t>10.38</w:t>
            </w:r>
          </w:p>
        </w:tc>
      </w:tr>
      <w:tr>
        <w:trPr>
          <w:trHeight w:val="517" w:hRule="exact"/>
        </w:trPr>
        <w:tc>
          <w:tcPr>
            <w:tcW w:w="3291" w:type="dxa"/>
          </w:tcPr>
          <w:p>
            <w:pPr>
              <w:pStyle w:val="TableParagraph"/>
              <w:spacing w:before="107"/>
              <w:ind w:left="122"/>
              <w:rPr>
                <w:sz w:val="24"/>
              </w:rPr>
            </w:pPr>
            <w:r>
              <w:rPr>
                <w:sz w:val="24"/>
              </w:rPr>
              <w:t>Linolenic (C18:3n3)</w:t>
            </w:r>
          </w:p>
        </w:tc>
        <w:tc>
          <w:tcPr>
            <w:tcW w:w="2480" w:type="dxa"/>
          </w:tcPr>
          <w:p>
            <w:pPr>
              <w:pStyle w:val="TableParagraph"/>
              <w:spacing w:before="107"/>
              <w:ind w:right="796"/>
              <w:jc w:val="right"/>
              <w:rPr>
                <w:sz w:val="24"/>
              </w:rPr>
            </w:pPr>
            <w:r>
              <w:rPr>
                <w:sz w:val="24"/>
              </w:rPr>
              <w:t>2.64</w:t>
            </w:r>
          </w:p>
        </w:tc>
        <w:tc>
          <w:tcPr>
            <w:tcW w:w="1807" w:type="dxa"/>
          </w:tcPr>
          <w:p>
            <w:pPr>
              <w:pStyle w:val="TableParagraph"/>
              <w:spacing w:before="107"/>
              <w:ind w:right="587"/>
              <w:jc w:val="right"/>
              <w:rPr>
                <w:sz w:val="24"/>
              </w:rPr>
            </w:pPr>
            <w:r>
              <w:rPr>
                <w:sz w:val="24"/>
              </w:rPr>
              <w:t>3.99</w:t>
            </w:r>
          </w:p>
        </w:tc>
        <w:tc>
          <w:tcPr>
            <w:tcW w:w="1470" w:type="dxa"/>
          </w:tcPr>
          <w:p>
            <w:pPr>
              <w:pStyle w:val="TableParagraph"/>
              <w:spacing w:before="107"/>
              <w:ind w:left="509" w:right="380"/>
              <w:jc w:val="center"/>
              <w:rPr>
                <w:sz w:val="24"/>
              </w:rPr>
            </w:pPr>
            <w:r>
              <w:rPr>
                <w:sz w:val="24"/>
              </w:rPr>
              <w:t>52.28</w:t>
            </w:r>
          </w:p>
        </w:tc>
      </w:tr>
      <w:tr>
        <w:trPr>
          <w:trHeight w:val="635" w:hRule="exact"/>
        </w:trPr>
        <w:tc>
          <w:tcPr>
            <w:tcW w:w="3291" w:type="dxa"/>
          </w:tcPr>
          <w:p>
            <w:pPr>
              <w:pStyle w:val="TableParagraph"/>
              <w:spacing w:before="108"/>
              <w:ind w:left="122"/>
              <w:rPr>
                <w:sz w:val="24"/>
              </w:rPr>
            </w:pPr>
            <w:r>
              <w:rPr>
                <w:sz w:val="24"/>
              </w:rPr>
              <w:t>Other</w:t>
            </w:r>
          </w:p>
        </w:tc>
        <w:tc>
          <w:tcPr>
            <w:tcW w:w="2480" w:type="dxa"/>
          </w:tcPr>
          <w:p>
            <w:pPr>
              <w:pStyle w:val="TableParagraph"/>
              <w:spacing w:before="108"/>
              <w:ind w:right="796"/>
              <w:jc w:val="right"/>
              <w:rPr>
                <w:sz w:val="24"/>
              </w:rPr>
            </w:pPr>
            <w:r>
              <w:rPr>
                <w:sz w:val="24"/>
              </w:rPr>
              <w:t>5.31</w:t>
            </w:r>
          </w:p>
        </w:tc>
        <w:tc>
          <w:tcPr>
            <w:tcW w:w="1807" w:type="dxa"/>
          </w:tcPr>
          <w:p>
            <w:pPr>
              <w:pStyle w:val="TableParagraph"/>
              <w:spacing w:before="108"/>
              <w:ind w:right="587"/>
              <w:jc w:val="right"/>
              <w:rPr>
                <w:sz w:val="24"/>
              </w:rPr>
            </w:pPr>
            <w:r>
              <w:rPr>
                <w:sz w:val="24"/>
              </w:rPr>
              <w:t>7.05</w:t>
            </w:r>
          </w:p>
        </w:tc>
        <w:tc>
          <w:tcPr>
            <w:tcW w:w="1470" w:type="dxa"/>
          </w:tcPr>
          <w:p>
            <w:pPr>
              <w:pStyle w:val="TableParagraph"/>
              <w:spacing w:before="108"/>
              <w:ind w:left="509" w:right="380"/>
              <w:jc w:val="center"/>
              <w:rPr>
                <w:sz w:val="24"/>
              </w:rPr>
            </w:pPr>
            <w:r>
              <w:rPr>
                <w:sz w:val="24"/>
              </w:rPr>
              <w:t>10.10</w:t>
            </w:r>
          </w:p>
        </w:tc>
      </w:tr>
    </w:tbl>
    <w:p>
      <w:pPr>
        <w:pStyle w:val="BodyText"/>
        <w:spacing w:line="275" w:lineRule="exact"/>
        <w:ind w:left="232"/>
        <w:jc w:val="both"/>
      </w:pPr>
      <w:r>
        <w:rPr/>
        <w:pict>
          <v:group style="position:absolute;margin-left:87.253998pt;margin-top:-.25pt;width:454.05pt;height:.5pt;mso-position-horizontal-relative:page;mso-position-vertical-relative:paragraph;z-index:-128128" coordorigin="1745,-5" coordsize="9081,10">
            <v:line style="position:absolute" from="1750,0" to="5413,0" stroked="true" strokeweight=".48pt" strokecolor="#000000"/>
            <v:line style="position:absolute" from="5399,0" to="5408,0" stroked="true" strokeweight=".48pt" strokecolor="#000000"/>
            <v:line style="position:absolute" from="5408,0" to="7621,0" stroked="true" strokeweight=".48pt" strokecolor="#000000"/>
            <v:line style="position:absolute" from="7607,0" to="7617,0" stroked="true" strokeweight=".48pt" strokecolor="#000000"/>
            <v:line style="position:absolute" from="7617,0" to="9433,0" stroked="true" strokeweight=".48pt" strokecolor="#000000"/>
            <v:line style="position:absolute" from="9419,0" to="9429,0" stroked="true" strokeweight=".48pt" strokecolor="#000000"/>
            <v:line style="position:absolute" from="9429,0" to="10821,0" stroked="true" strokeweight=".48pt" strokecolor="#000000"/>
            <w10:wrap type="none"/>
          </v:group>
        </w:pict>
      </w:r>
      <w:r>
        <w:rPr>
          <w:position w:val="11"/>
          <w:sz w:val="16"/>
        </w:rPr>
        <w:t>† </w:t>
      </w:r>
      <w:r>
        <w:rPr>
          <w:position w:val="2"/>
        </w:rPr>
        <w:t>Multitec, lechero bovino® = Vitamin A: 231 UI, Vitamin D</w:t>
      </w:r>
      <w:r>
        <w:rPr>
          <w:sz w:val="16"/>
        </w:rPr>
        <w:t>3</w:t>
      </w:r>
      <w:r>
        <w:rPr>
          <w:position w:val="2"/>
        </w:rPr>
        <w:t>: 58.5 UI, Vitamin E: 566</w:t>
      </w:r>
    </w:p>
    <w:p>
      <w:pPr>
        <w:pStyle w:val="BodyText"/>
        <w:spacing w:before="9"/>
        <w:rPr>
          <w:sz w:val="23"/>
        </w:rPr>
      </w:pPr>
    </w:p>
    <w:p>
      <w:pPr>
        <w:pStyle w:val="BodyText"/>
        <w:ind w:left="232"/>
        <w:jc w:val="both"/>
      </w:pPr>
      <w:r>
        <w:rPr/>
        <w:t>mg, Copper: 400 mg, Iron: 2,560 mg, Manganese: 1,860 mg, Cobalt: 5.85 mg, Iodine:</w:t>
      </w:r>
    </w:p>
    <w:p>
      <w:pPr>
        <w:pStyle w:val="BodyText"/>
      </w:pPr>
    </w:p>
    <w:p>
      <w:pPr>
        <w:pStyle w:val="BodyText"/>
        <w:spacing w:line="480" w:lineRule="auto"/>
        <w:ind w:left="232" w:right="227"/>
        <w:jc w:val="both"/>
      </w:pPr>
      <w:r>
        <w:rPr/>
        <w:t>19.84 mg, Zinc: 2,000.16 mg, Selenium: 12 mg, Phosphorus: 38,220 mg, Magnesium: 39,959.92, Calcium carbonate: 194 g, Salt: 236.621 g, Sodium bicarbonate: 150 g, Sodium: 1,851.60 mg, Potassium: 2,439 mg.</w:t>
      </w:r>
    </w:p>
    <w:p>
      <w:pPr>
        <w:pStyle w:val="BodyText"/>
        <w:spacing w:line="480" w:lineRule="auto"/>
        <w:ind w:left="232" w:right="226"/>
        <w:jc w:val="both"/>
      </w:pPr>
      <w:r>
        <w:rPr>
          <w:position w:val="9"/>
          <w:sz w:val="16"/>
        </w:rPr>
        <w:t>‡ </w:t>
      </w:r>
      <w:r>
        <w:rPr/>
        <w:t>Estimated by equation proposed by Menke and Steingass (1988), NEL = (9.07- 0.0097*ADF (g/kg DM)).</w:t>
      </w:r>
    </w:p>
    <w:p>
      <w:pPr>
        <w:spacing w:after="0" w:line="480" w:lineRule="auto"/>
        <w:jc w:val="both"/>
        <w:sectPr>
          <w:pgSz w:w="12240" w:h="15840"/>
          <w:pgMar w:header="1150" w:footer="1336" w:top="1340" w:bottom="1520" w:left="1640" w:right="1300"/>
        </w:sectPr>
      </w:pPr>
    </w:p>
    <w:p>
      <w:pPr>
        <w:pStyle w:val="BodyText"/>
        <w:rPr>
          <w:sz w:val="20"/>
        </w:rPr>
      </w:pPr>
    </w:p>
    <w:p>
      <w:pPr>
        <w:pStyle w:val="BodyText"/>
        <w:spacing w:before="9"/>
        <w:rPr>
          <w:sz w:val="19"/>
        </w:rPr>
      </w:pPr>
    </w:p>
    <w:p>
      <w:pPr>
        <w:pStyle w:val="Heading1"/>
        <w:spacing w:line="482" w:lineRule="auto"/>
        <w:ind w:left="232" w:right="328"/>
      </w:pPr>
      <w:r>
        <w:rPr/>
        <w:t>Table 2. Daily feed intake, yield and composition milk of Holstein cows with different access time to pasture.</w:t>
      </w:r>
    </w:p>
    <w:p>
      <w:pPr>
        <w:pStyle w:val="BodyText"/>
        <w:spacing w:before="5"/>
        <w:rPr>
          <w:b/>
          <w:sz w:val="1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82"/>
        <w:gridCol w:w="884"/>
        <w:gridCol w:w="1176"/>
        <w:gridCol w:w="742"/>
        <w:gridCol w:w="1028"/>
        <w:gridCol w:w="1766"/>
        <w:gridCol w:w="1282"/>
      </w:tblGrid>
      <w:tr>
        <w:trPr>
          <w:trHeight w:val="456" w:hRule="exact"/>
        </w:trPr>
        <w:tc>
          <w:tcPr>
            <w:tcW w:w="2182" w:type="dxa"/>
            <w:vMerge w:val="restart"/>
            <w:tcBorders>
              <w:left w:val="nil"/>
            </w:tcBorders>
          </w:tcPr>
          <w:p>
            <w:pPr>
              <w:pStyle w:val="TableParagraph"/>
              <w:spacing w:before="1"/>
              <w:rPr>
                <w:b/>
                <w:sz w:val="24"/>
              </w:rPr>
            </w:pPr>
          </w:p>
          <w:p>
            <w:pPr>
              <w:pStyle w:val="TableParagraph"/>
              <w:ind w:left="115"/>
              <w:rPr>
                <w:sz w:val="24"/>
              </w:rPr>
            </w:pPr>
            <w:r>
              <w:rPr>
                <w:sz w:val="24"/>
              </w:rPr>
              <w:t>DMI (kg/d)</w:t>
            </w:r>
          </w:p>
        </w:tc>
        <w:tc>
          <w:tcPr>
            <w:tcW w:w="2801" w:type="dxa"/>
            <w:gridSpan w:val="3"/>
          </w:tcPr>
          <w:p>
            <w:pPr>
              <w:pStyle w:val="TableParagraph"/>
              <w:ind w:left="607"/>
              <w:rPr>
                <w:sz w:val="16"/>
              </w:rPr>
            </w:pPr>
            <w:r>
              <w:rPr>
                <w:sz w:val="24"/>
              </w:rPr>
              <w:t>Time at pasture</w:t>
            </w:r>
            <w:r>
              <w:rPr>
                <w:position w:val="9"/>
                <w:sz w:val="16"/>
              </w:rPr>
              <w:t>†</w:t>
            </w:r>
          </w:p>
        </w:tc>
        <w:tc>
          <w:tcPr>
            <w:tcW w:w="1028" w:type="dxa"/>
            <w:vMerge w:val="restart"/>
          </w:tcPr>
          <w:p>
            <w:pPr>
              <w:pStyle w:val="TableParagraph"/>
              <w:spacing w:before="1"/>
              <w:rPr>
                <w:b/>
                <w:sz w:val="24"/>
              </w:rPr>
            </w:pPr>
          </w:p>
          <w:p>
            <w:pPr>
              <w:pStyle w:val="TableParagraph"/>
              <w:ind w:left="259"/>
              <w:rPr>
                <w:sz w:val="24"/>
              </w:rPr>
            </w:pPr>
            <w:r>
              <w:rPr>
                <w:sz w:val="24"/>
              </w:rPr>
              <w:t>SEM</w:t>
            </w:r>
          </w:p>
        </w:tc>
        <w:tc>
          <w:tcPr>
            <w:tcW w:w="3048" w:type="dxa"/>
            <w:gridSpan w:val="2"/>
            <w:tcBorders>
              <w:right w:val="nil"/>
            </w:tcBorders>
          </w:tcPr>
          <w:p>
            <w:pPr>
              <w:pStyle w:val="TableParagraph"/>
              <w:spacing w:before="15"/>
              <w:ind w:left="1044" w:right="1053"/>
              <w:jc w:val="center"/>
              <w:rPr>
                <w:sz w:val="24"/>
              </w:rPr>
            </w:pPr>
            <w:r>
              <w:rPr>
                <w:sz w:val="24"/>
              </w:rPr>
              <w:t>Contrasts</w:t>
            </w:r>
          </w:p>
        </w:tc>
      </w:tr>
      <w:tr>
        <w:trPr>
          <w:trHeight w:val="526" w:hRule="exact"/>
        </w:trPr>
        <w:tc>
          <w:tcPr>
            <w:tcW w:w="2182" w:type="dxa"/>
            <w:vMerge/>
            <w:tcBorders>
              <w:left w:val="nil"/>
            </w:tcBorders>
          </w:tcPr>
          <w:p>
            <w:pPr/>
          </w:p>
        </w:tc>
        <w:tc>
          <w:tcPr>
            <w:tcW w:w="884" w:type="dxa"/>
          </w:tcPr>
          <w:p>
            <w:pPr>
              <w:pStyle w:val="TableParagraph"/>
              <w:spacing w:before="102"/>
              <w:ind w:left="296" w:right="298"/>
              <w:jc w:val="center"/>
              <w:rPr>
                <w:sz w:val="24"/>
              </w:rPr>
            </w:pPr>
            <w:r>
              <w:rPr>
                <w:sz w:val="24"/>
              </w:rPr>
              <w:t>8h</w:t>
            </w:r>
          </w:p>
        </w:tc>
        <w:tc>
          <w:tcPr>
            <w:tcW w:w="1176" w:type="dxa"/>
          </w:tcPr>
          <w:p>
            <w:pPr>
              <w:pStyle w:val="TableParagraph"/>
              <w:spacing w:before="102"/>
              <w:ind w:left="333"/>
              <w:rPr>
                <w:sz w:val="24"/>
              </w:rPr>
            </w:pPr>
            <w:r>
              <w:rPr>
                <w:sz w:val="24"/>
              </w:rPr>
              <w:t>4+4h</w:t>
            </w:r>
          </w:p>
        </w:tc>
        <w:tc>
          <w:tcPr>
            <w:tcW w:w="742" w:type="dxa"/>
          </w:tcPr>
          <w:p>
            <w:pPr>
              <w:pStyle w:val="TableParagraph"/>
              <w:spacing w:before="102"/>
              <w:ind w:left="166" w:right="166"/>
              <w:jc w:val="center"/>
              <w:rPr>
                <w:sz w:val="24"/>
              </w:rPr>
            </w:pPr>
            <w:r>
              <w:rPr>
                <w:sz w:val="24"/>
              </w:rPr>
              <w:t>12h</w:t>
            </w:r>
          </w:p>
        </w:tc>
        <w:tc>
          <w:tcPr>
            <w:tcW w:w="1028" w:type="dxa"/>
            <w:vMerge/>
          </w:tcPr>
          <w:p>
            <w:pPr/>
          </w:p>
        </w:tc>
        <w:tc>
          <w:tcPr>
            <w:tcW w:w="1766" w:type="dxa"/>
          </w:tcPr>
          <w:p>
            <w:pPr>
              <w:pStyle w:val="TableParagraph"/>
              <w:spacing w:before="102"/>
              <w:ind w:left="187" w:right="189"/>
              <w:jc w:val="center"/>
              <w:rPr>
                <w:sz w:val="24"/>
              </w:rPr>
            </w:pPr>
            <w:r>
              <w:rPr>
                <w:sz w:val="24"/>
              </w:rPr>
              <w:t>12h vs. others</w:t>
            </w:r>
          </w:p>
        </w:tc>
        <w:tc>
          <w:tcPr>
            <w:tcW w:w="1282" w:type="dxa"/>
            <w:tcBorders>
              <w:right w:val="nil"/>
            </w:tcBorders>
          </w:tcPr>
          <w:p>
            <w:pPr>
              <w:pStyle w:val="TableParagraph"/>
              <w:spacing w:before="102"/>
              <w:ind w:left="121" w:right="122"/>
              <w:jc w:val="center"/>
              <w:rPr>
                <w:sz w:val="24"/>
              </w:rPr>
            </w:pPr>
            <w:r>
              <w:rPr>
                <w:sz w:val="24"/>
              </w:rPr>
              <w:t>8h vs. 4x4</w:t>
            </w:r>
          </w:p>
        </w:tc>
      </w:tr>
      <w:tr>
        <w:trPr>
          <w:trHeight w:val="372" w:hRule="exact"/>
        </w:trPr>
        <w:tc>
          <w:tcPr>
            <w:tcW w:w="2182" w:type="dxa"/>
            <w:tcBorders>
              <w:left w:val="nil"/>
              <w:bottom w:val="nil"/>
              <w:right w:val="nil"/>
            </w:tcBorders>
          </w:tcPr>
          <w:p>
            <w:pPr>
              <w:pStyle w:val="TableParagraph"/>
              <w:spacing w:line="275" w:lineRule="exact"/>
              <w:ind w:left="115"/>
              <w:rPr>
                <w:sz w:val="24"/>
              </w:rPr>
            </w:pPr>
            <w:r>
              <w:rPr>
                <w:sz w:val="24"/>
              </w:rPr>
              <w:t>Maize silage</w:t>
            </w:r>
          </w:p>
        </w:tc>
        <w:tc>
          <w:tcPr>
            <w:tcW w:w="884" w:type="dxa"/>
            <w:tcBorders>
              <w:left w:val="nil"/>
              <w:bottom w:val="nil"/>
              <w:right w:val="nil"/>
            </w:tcBorders>
          </w:tcPr>
          <w:p>
            <w:pPr>
              <w:pStyle w:val="TableParagraph"/>
              <w:spacing w:line="275" w:lineRule="exact"/>
              <w:ind w:left="149" w:right="153"/>
              <w:jc w:val="center"/>
              <w:rPr>
                <w:sz w:val="24"/>
              </w:rPr>
            </w:pPr>
            <w:r>
              <w:rPr>
                <w:sz w:val="24"/>
              </w:rPr>
              <w:t>10.11</w:t>
            </w:r>
          </w:p>
        </w:tc>
        <w:tc>
          <w:tcPr>
            <w:tcW w:w="1176" w:type="dxa"/>
            <w:tcBorders>
              <w:left w:val="nil"/>
              <w:bottom w:val="nil"/>
              <w:right w:val="nil"/>
            </w:tcBorders>
          </w:tcPr>
          <w:p>
            <w:pPr>
              <w:pStyle w:val="TableParagraph"/>
              <w:spacing w:line="275" w:lineRule="exact"/>
              <w:ind w:left="374"/>
              <w:rPr>
                <w:sz w:val="24"/>
              </w:rPr>
            </w:pPr>
            <w:r>
              <w:rPr>
                <w:sz w:val="24"/>
              </w:rPr>
              <w:t>8.94</w:t>
            </w:r>
          </w:p>
        </w:tc>
        <w:tc>
          <w:tcPr>
            <w:tcW w:w="742" w:type="dxa"/>
            <w:tcBorders>
              <w:left w:val="nil"/>
              <w:bottom w:val="nil"/>
              <w:right w:val="nil"/>
            </w:tcBorders>
          </w:tcPr>
          <w:p>
            <w:pPr>
              <w:pStyle w:val="TableParagraph"/>
              <w:spacing w:line="275" w:lineRule="exact"/>
              <w:ind w:left="139" w:right="141"/>
              <w:jc w:val="center"/>
              <w:rPr>
                <w:sz w:val="24"/>
              </w:rPr>
            </w:pPr>
            <w:r>
              <w:rPr>
                <w:sz w:val="24"/>
              </w:rPr>
              <w:t>6.44</w:t>
            </w:r>
          </w:p>
        </w:tc>
        <w:tc>
          <w:tcPr>
            <w:tcW w:w="1028" w:type="dxa"/>
            <w:tcBorders>
              <w:left w:val="nil"/>
              <w:bottom w:val="nil"/>
              <w:right w:val="nil"/>
            </w:tcBorders>
          </w:tcPr>
          <w:p>
            <w:pPr>
              <w:pStyle w:val="TableParagraph"/>
              <w:spacing w:line="275" w:lineRule="exact"/>
              <w:ind w:left="161" w:right="165"/>
              <w:jc w:val="center"/>
              <w:rPr>
                <w:sz w:val="24"/>
              </w:rPr>
            </w:pPr>
            <w:r>
              <w:rPr>
                <w:sz w:val="24"/>
              </w:rPr>
              <w:t>0.7364</w:t>
            </w:r>
          </w:p>
        </w:tc>
        <w:tc>
          <w:tcPr>
            <w:tcW w:w="1766" w:type="dxa"/>
            <w:tcBorders>
              <w:left w:val="nil"/>
              <w:bottom w:val="nil"/>
              <w:right w:val="nil"/>
            </w:tcBorders>
          </w:tcPr>
          <w:p>
            <w:pPr>
              <w:pStyle w:val="TableParagraph"/>
              <w:spacing w:line="275" w:lineRule="exact"/>
              <w:ind w:left="530" w:right="535"/>
              <w:jc w:val="center"/>
              <w:rPr>
                <w:sz w:val="24"/>
              </w:rPr>
            </w:pPr>
            <w:r>
              <w:rPr>
                <w:sz w:val="24"/>
              </w:rPr>
              <w:t>0.0037</w:t>
            </w:r>
          </w:p>
        </w:tc>
        <w:tc>
          <w:tcPr>
            <w:tcW w:w="1282" w:type="dxa"/>
            <w:tcBorders>
              <w:left w:val="nil"/>
              <w:bottom w:val="nil"/>
              <w:right w:val="nil"/>
            </w:tcBorders>
          </w:tcPr>
          <w:p>
            <w:pPr>
              <w:pStyle w:val="TableParagraph"/>
              <w:spacing w:line="275" w:lineRule="exact"/>
              <w:ind w:left="290" w:right="291"/>
              <w:jc w:val="center"/>
              <w:rPr>
                <w:sz w:val="24"/>
              </w:rPr>
            </w:pPr>
            <w:r>
              <w:rPr>
                <w:sz w:val="24"/>
              </w:rPr>
              <w:t>0.2776</w:t>
            </w:r>
          </w:p>
        </w:tc>
      </w:tr>
      <w:tr>
        <w:trPr>
          <w:trHeight w:val="449" w:hRule="exact"/>
        </w:trPr>
        <w:tc>
          <w:tcPr>
            <w:tcW w:w="2182" w:type="dxa"/>
            <w:tcBorders>
              <w:top w:val="nil"/>
              <w:left w:val="nil"/>
              <w:bottom w:val="nil"/>
              <w:right w:val="nil"/>
            </w:tcBorders>
          </w:tcPr>
          <w:p>
            <w:pPr>
              <w:pStyle w:val="TableParagraph"/>
              <w:spacing w:before="76"/>
              <w:ind w:left="115"/>
              <w:rPr>
                <w:sz w:val="24"/>
              </w:rPr>
            </w:pPr>
            <w:r>
              <w:rPr>
                <w:sz w:val="24"/>
              </w:rPr>
              <w:t>Concentrate</w:t>
            </w:r>
          </w:p>
        </w:tc>
        <w:tc>
          <w:tcPr>
            <w:tcW w:w="884" w:type="dxa"/>
            <w:tcBorders>
              <w:top w:val="nil"/>
              <w:left w:val="nil"/>
              <w:bottom w:val="nil"/>
              <w:right w:val="nil"/>
            </w:tcBorders>
          </w:tcPr>
          <w:p>
            <w:pPr>
              <w:pStyle w:val="TableParagraph"/>
              <w:spacing w:before="76"/>
              <w:ind w:left="149" w:right="153"/>
              <w:jc w:val="center"/>
              <w:rPr>
                <w:sz w:val="24"/>
              </w:rPr>
            </w:pPr>
            <w:r>
              <w:rPr>
                <w:sz w:val="24"/>
              </w:rPr>
              <w:t>4.48</w:t>
            </w:r>
          </w:p>
        </w:tc>
        <w:tc>
          <w:tcPr>
            <w:tcW w:w="1176" w:type="dxa"/>
            <w:tcBorders>
              <w:top w:val="nil"/>
              <w:left w:val="nil"/>
              <w:bottom w:val="nil"/>
              <w:right w:val="nil"/>
            </w:tcBorders>
          </w:tcPr>
          <w:p>
            <w:pPr>
              <w:pStyle w:val="TableParagraph"/>
              <w:spacing w:before="76"/>
              <w:ind w:left="374"/>
              <w:rPr>
                <w:sz w:val="24"/>
              </w:rPr>
            </w:pPr>
            <w:r>
              <w:rPr>
                <w:sz w:val="24"/>
              </w:rPr>
              <w:t>4.48</w:t>
            </w:r>
          </w:p>
        </w:tc>
        <w:tc>
          <w:tcPr>
            <w:tcW w:w="742" w:type="dxa"/>
            <w:tcBorders>
              <w:top w:val="nil"/>
              <w:left w:val="nil"/>
              <w:bottom w:val="nil"/>
              <w:right w:val="nil"/>
            </w:tcBorders>
          </w:tcPr>
          <w:p>
            <w:pPr>
              <w:pStyle w:val="TableParagraph"/>
              <w:spacing w:before="76"/>
              <w:ind w:left="139" w:right="141"/>
              <w:jc w:val="center"/>
              <w:rPr>
                <w:sz w:val="24"/>
              </w:rPr>
            </w:pPr>
            <w:r>
              <w:rPr>
                <w:sz w:val="24"/>
              </w:rPr>
              <w:t>4.48</w:t>
            </w:r>
          </w:p>
        </w:tc>
        <w:tc>
          <w:tcPr>
            <w:tcW w:w="1028" w:type="dxa"/>
            <w:tcBorders>
              <w:top w:val="nil"/>
              <w:left w:val="nil"/>
              <w:bottom w:val="nil"/>
              <w:right w:val="nil"/>
            </w:tcBorders>
          </w:tcPr>
          <w:p>
            <w:pPr>
              <w:pStyle w:val="TableParagraph"/>
              <w:spacing w:before="76"/>
              <w:ind w:right="4"/>
              <w:jc w:val="center"/>
              <w:rPr>
                <w:sz w:val="24"/>
              </w:rPr>
            </w:pPr>
            <w:r>
              <w:rPr>
                <w:w w:val="99"/>
                <w:sz w:val="24"/>
              </w:rPr>
              <w:t>-</w:t>
            </w:r>
          </w:p>
        </w:tc>
        <w:tc>
          <w:tcPr>
            <w:tcW w:w="1766" w:type="dxa"/>
            <w:tcBorders>
              <w:top w:val="nil"/>
              <w:left w:val="nil"/>
              <w:bottom w:val="nil"/>
              <w:right w:val="nil"/>
            </w:tcBorders>
          </w:tcPr>
          <w:p>
            <w:pPr>
              <w:pStyle w:val="TableParagraph"/>
              <w:spacing w:before="76"/>
              <w:ind w:right="4"/>
              <w:jc w:val="center"/>
              <w:rPr>
                <w:sz w:val="24"/>
              </w:rPr>
            </w:pPr>
            <w:r>
              <w:rPr>
                <w:w w:val="99"/>
                <w:sz w:val="24"/>
              </w:rPr>
              <w:t>-</w:t>
            </w:r>
          </w:p>
        </w:tc>
        <w:tc>
          <w:tcPr>
            <w:tcW w:w="1282" w:type="dxa"/>
            <w:tcBorders>
              <w:top w:val="nil"/>
              <w:left w:val="nil"/>
              <w:bottom w:val="nil"/>
              <w:right w:val="nil"/>
            </w:tcBorders>
          </w:tcPr>
          <w:p>
            <w:pPr>
              <w:pStyle w:val="TableParagraph"/>
              <w:spacing w:before="76"/>
              <w:jc w:val="center"/>
              <w:rPr>
                <w:sz w:val="24"/>
              </w:rPr>
            </w:pPr>
            <w:r>
              <w:rPr>
                <w:w w:val="99"/>
                <w:sz w:val="24"/>
              </w:rPr>
              <w:t>-</w:t>
            </w:r>
          </w:p>
        </w:tc>
      </w:tr>
      <w:tr>
        <w:trPr>
          <w:trHeight w:val="455" w:hRule="exact"/>
        </w:trPr>
        <w:tc>
          <w:tcPr>
            <w:tcW w:w="2182" w:type="dxa"/>
            <w:tcBorders>
              <w:top w:val="nil"/>
              <w:left w:val="nil"/>
              <w:bottom w:val="nil"/>
              <w:right w:val="nil"/>
            </w:tcBorders>
          </w:tcPr>
          <w:p>
            <w:pPr>
              <w:pStyle w:val="TableParagraph"/>
              <w:spacing w:before="80"/>
              <w:ind w:left="115"/>
              <w:rPr>
                <w:sz w:val="24"/>
              </w:rPr>
            </w:pPr>
            <w:r>
              <w:rPr>
                <w:sz w:val="24"/>
              </w:rPr>
              <w:t>Herbage</w:t>
            </w:r>
          </w:p>
        </w:tc>
        <w:tc>
          <w:tcPr>
            <w:tcW w:w="884" w:type="dxa"/>
            <w:tcBorders>
              <w:top w:val="nil"/>
              <w:left w:val="nil"/>
              <w:bottom w:val="nil"/>
              <w:right w:val="nil"/>
            </w:tcBorders>
          </w:tcPr>
          <w:p>
            <w:pPr>
              <w:pStyle w:val="TableParagraph"/>
              <w:spacing w:before="80"/>
              <w:ind w:left="149" w:right="153"/>
              <w:jc w:val="center"/>
              <w:rPr>
                <w:sz w:val="24"/>
              </w:rPr>
            </w:pPr>
            <w:r>
              <w:rPr>
                <w:sz w:val="24"/>
              </w:rPr>
              <w:t>2.64</w:t>
            </w:r>
          </w:p>
        </w:tc>
        <w:tc>
          <w:tcPr>
            <w:tcW w:w="1176" w:type="dxa"/>
            <w:tcBorders>
              <w:top w:val="nil"/>
              <w:left w:val="nil"/>
              <w:bottom w:val="nil"/>
              <w:right w:val="nil"/>
            </w:tcBorders>
          </w:tcPr>
          <w:p>
            <w:pPr>
              <w:pStyle w:val="TableParagraph"/>
              <w:spacing w:before="80"/>
              <w:ind w:left="374"/>
              <w:rPr>
                <w:sz w:val="24"/>
              </w:rPr>
            </w:pPr>
            <w:r>
              <w:rPr>
                <w:sz w:val="24"/>
              </w:rPr>
              <w:t>3.70</w:t>
            </w:r>
          </w:p>
        </w:tc>
        <w:tc>
          <w:tcPr>
            <w:tcW w:w="742" w:type="dxa"/>
            <w:tcBorders>
              <w:top w:val="nil"/>
              <w:left w:val="nil"/>
              <w:bottom w:val="nil"/>
              <w:right w:val="nil"/>
            </w:tcBorders>
          </w:tcPr>
          <w:p>
            <w:pPr>
              <w:pStyle w:val="TableParagraph"/>
              <w:spacing w:before="80"/>
              <w:ind w:left="139" w:right="141"/>
              <w:jc w:val="center"/>
              <w:rPr>
                <w:sz w:val="24"/>
              </w:rPr>
            </w:pPr>
            <w:r>
              <w:rPr>
                <w:sz w:val="24"/>
              </w:rPr>
              <w:t>6.58</w:t>
            </w:r>
          </w:p>
        </w:tc>
        <w:tc>
          <w:tcPr>
            <w:tcW w:w="1028" w:type="dxa"/>
            <w:tcBorders>
              <w:top w:val="nil"/>
              <w:left w:val="nil"/>
              <w:bottom w:val="nil"/>
              <w:right w:val="nil"/>
            </w:tcBorders>
          </w:tcPr>
          <w:p>
            <w:pPr>
              <w:pStyle w:val="TableParagraph"/>
              <w:spacing w:before="80"/>
              <w:ind w:left="161" w:right="165"/>
              <w:jc w:val="center"/>
              <w:rPr>
                <w:sz w:val="24"/>
              </w:rPr>
            </w:pPr>
            <w:r>
              <w:rPr>
                <w:sz w:val="24"/>
              </w:rPr>
              <w:t>1.0299</w:t>
            </w:r>
          </w:p>
        </w:tc>
        <w:tc>
          <w:tcPr>
            <w:tcW w:w="1766" w:type="dxa"/>
            <w:tcBorders>
              <w:top w:val="nil"/>
              <w:left w:val="nil"/>
              <w:bottom w:val="nil"/>
              <w:right w:val="nil"/>
            </w:tcBorders>
          </w:tcPr>
          <w:p>
            <w:pPr>
              <w:pStyle w:val="TableParagraph"/>
              <w:spacing w:before="80"/>
              <w:ind w:left="530" w:right="535"/>
              <w:jc w:val="center"/>
              <w:rPr>
                <w:sz w:val="24"/>
              </w:rPr>
            </w:pPr>
            <w:r>
              <w:rPr>
                <w:sz w:val="24"/>
              </w:rPr>
              <w:t>0.0163</w:t>
            </w:r>
          </w:p>
        </w:tc>
        <w:tc>
          <w:tcPr>
            <w:tcW w:w="1282" w:type="dxa"/>
            <w:tcBorders>
              <w:top w:val="nil"/>
              <w:left w:val="nil"/>
              <w:bottom w:val="nil"/>
              <w:right w:val="nil"/>
            </w:tcBorders>
          </w:tcPr>
          <w:p>
            <w:pPr>
              <w:pStyle w:val="TableParagraph"/>
              <w:spacing w:before="80"/>
              <w:ind w:left="290" w:right="291"/>
              <w:jc w:val="center"/>
              <w:rPr>
                <w:sz w:val="24"/>
              </w:rPr>
            </w:pPr>
            <w:r>
              <w:rPr>
                <w:sz w:val="24"/>
              </w:rPr>
              <w:t>0.4780</w:t>
            </w:r>
          </w:p>
        </w:tc>
      </w:tr>
      <w:tr>
        <w:trPr>
          <w:trHeight w:val="455" w:hRule="exact"/>
        </w:trPr>
        <w:tc>
          <w:tcPr>
            <w:tcW w:w="2182" w:type="dxa"/>
            <w:tcBorders>
              <w:top w:val="nil"/>
              <w:left w:val="nil"/>
              <w:bottom w:val="nil"/>
              <w:right w:val="nil"/>
            </w:tcBorders>
          </w:tcPr>
          <w:p>
            <w:pPr>
              <w:pStyle w:val="TableParagraph"/>
              <w:spacing w:before="81"/>
              <w:ind w:left="115"/>
              <w:rPr>
                <w:sz w:val="24"/>
              </w:rPr>
            </w:pPr>
            <w:r>
              <w:rPr>
                <w:sz w:val="24"/>
              </w:rPr>
              <w:t>Total intake</w:t>
            </w:r>
          </w:p>
        </w:tc>
        <w:tc>
          <w:tcPr>
            <w:tcW w:w="884" w:type="dxa"/>
            <w:tcBorders>
              <w:top w:val="nil"/>
              <w:left w:val="nil"/>
              <w:bottom w:val="nil"/>
              <w:right w:val="nil"/>
            </w:tcBorders>
          </w:tcPr>
          <w:p>
            <w:pPr>
              <w:pStyle w:val="TableParagraph"/>
              <w:spacing w:before="81"/>
              <w:ind w:left="149" w:right="153"/>
              <w:jc w:val="center"/>
              <w:rPr>
                <w:sz w:val="24"/>
              </w:rPr>
            </w:pPr>
            <w:r>
              <w:rPr>
                <w:sz w:val="24"/>
              </w:rPr>
              <w:t>17.24</w:t>
            </w:r>
          </w:p>
        </w:tc>
        <w:tc>
          <w:tcPr>
            <w:tcW w:w="1176" w:type="dxa"/>
            <w:tcBorders>
              <w:top w:val="nil"/>
              <w:left w:val="nil"/>
              <w:bottom w:val="nil"/>
              <w:right w:val="nil"/>
            </w:tcBorders>
          </w:tcPr>
          <w:p>
            <w:pPr>
              <w:pStyle w:val="TableParagraph"/>
              <w:spacing w:before="81"/>
              <w:ind w:left="314"/>
              <w:rPr>
                <w:sz w:val="24"/>
              </w:rPr>
            </w:pPr>
            <w:r>
              <w:rPr>
                <w:sz w:val="24"/>
              </w:rPr>
              <w:t>17.13</w:t>
            </w:r>
          </w:p>
        </w:tc>
        <w:tc>
          <w:tcPr>
            <w:tcW w:w="742" w:type="dxa"/>
            <w:tcBorders>
              <w:top w:val="nil"/>
              <w:left w:val="nil"/>
              <w:bottom w:val="nil"/>
              <w:right w:val="nil"/>
            </w:tcBorders>
          </w:tcPr>
          <w:p>
            <w:pPr>
              <w:pStyle w:val="TableParagraph"/>
              <w:spacing w:before="81"/>
              <w:ind w:left="139" w:right="141"/>
              <w:jc w:val="center"/>
              <w:rPr>
                <w:sz w:val="24"/>
              </w:rPr>
            </w:pPr>
            <w:r>
              <w:rPr>
                <w:sz w:val="24"/>
              </w:rPr>
              <w:t>17.5</w:t>
            </w:r>
          </w:p>
        </w:tc>
        <w:tc>
          <w:tcPr>
            <w:tcW w:w="1028" w:type="dxa"/>
            <w:tcBorders>
              <w:top w:val="nil"/>
              <w:left w:val="nil"/>
              <w:bottom w:val="nil"/>
              <w:right w:val="nil"/>
            </w:tcBorders>
          </w:tcPr>
          <w:p>
            <w:pPr>
              <w:pStyle w:val="TableParagraph"/>
              <w:spacing w:before="81"/>
              <w:ind w:left="161" w:right="165"/>
              <w:jc w:val="center"/>
              <w:rPr>
                <w:sz w:val="24"/>
              </w:rPr>
            </w:pPr>
            <w:r>
              <w:rPr>
                <w:sz w:val="24"/>
              </w:rPr>
              <w:t>0.0855</w:t>
            </w:r>
          </w:p>
        </w:tc>
        <w:tc>
          <w:tcPr>
            <w:tcW w:w="1766" w:type="dxa"/>
            <w:tcBorders>
              <w:top w:val="nil"/>
              <w:left w:val="nil"/>
              <w:bottom w:val="nil"/>
              <w:right w:val="nil"/>
            </w:tcBorders>
          </w:tcPr>
          <w:p>
            <w:pPr>
              <w:pStyle w:val="TableParagraph"/>
              <w:spacing w:before="81"/>
              <w:ind w:left="530" w:right="535"/>
              <w:jc w:val="center"/>
              <w:rPr>
                <w:sz w:val="24"/>
              </w:rPr>
            </w:pPr>
            <w:r>
              <w:rPr>
                <w:sz w:val="24"/>
              </w:rPr>
              <w:t>0.7501</w:t>
            </w:r>
          </w:p>
        </w:tc>
        <w:tc>
          <w:tcPr>
            <w:tcW w:w="1282" w:type="dxa"/>
            <w:tcBorders>
              <w:top w:val="nil"/>
              <w:left w:val="nil"/>
              <w:bottom w:val="nil"/>
              <w:right w:val="nil"/>
            </w:tcBorders>
          </w:tcPr>
          <w:p>
            <w:pPr>
              <w:pStyle w:val="TableParagraph"/>
              <w:spacing w:before="81"/>
              <w:ind w:left="290" w:right="291"/>
              <w:jc w:val="center"/>
              <w:rPr>
                <w:sz w:val="24"/>
              </w:rPr>
            </w:pPr>
            <w:r>
              <w:rPr>
                <w:sz w:val="24"/>
              </w:rPr>
              <w:t>0.9244</w:t>
            </w:r>
          </w:p>
        </w:tc>
      </w:tr>
      <w:tr>
        <w:trPr>
          <w:trHeight w:val="454" w:hRule="exact"/>
        </w:trPr>
        <w:tc>
          <w:tcPr>
            <w:tcW w:w="2182" w:type="dxa"/>
            <w:tcBorders>
              <w:top w:val="nil"/>
              <w:left w:val="nil"/>
              <w:bottom w:val="nil"/>
              <w:right w:val="nil"/>
            </w:tcBorders>
          </w:tcPr>
          <w:p>
            <w:pPr>
              <w:pStyle w:val="TableParagraph"/>
              <w:spacing w:before="80"/>
              <w:ind w:left="115"/>
              <w:rPr>
                <w:sz w:val="24"/>
              </w:rPr>
            </w:pPr>
            <w:r>
              <w:rPr>
                <w:sz w:val="24"/>
              </w:rPr>
              <w:t>Intake (as % LW)</w:t>
            </w:r>
          </w:p>
        </w:tc>
        <w:tc>
          <w:tcPr>
            <w:tcW w:w="884" w:type="dxa"/>
            <w:tcBorders>
              <w:top w:val="nil"/>
              <w:left w:val="nil"/>
              <w:bottom w:val="nil"/>
              <w:right w:val="nil"/>
            </w:tcBorders>
          </w:tcPr>
          <w:p>
            <w:pPr>
              <w:pStyle w:val="TableParagraph"/>
              <w:spacing w:before="80"/>
              <w:ind w:left="149" w:right="153"/>
              <w:jc w:val="center"/>
              <w:rPr>
                <w:sz w:val="24"/>
              </w:rPr>
            </w:pPr>
            <w:r>
              <w:rPr>
                <w:sz w:val="24"/>
              </w:rPr>
              <w:t>2.81</w:t>
            </w:r>
          </w:p>
        </w:tc>
        <w:tc>
          <w:tcPr>
            <w:tcW w:w="1176" w:type="dxa"/>
            <w:tcBorders>
              <w:top w:val="nil"/>
              <w:left w:val="nil"/>
              <w:bottom w:val="nil"/>
              <w:right w:val="nil"/>
            </w:tcBorders>
          </w:tcPr>
          <w:p>
            <w:pPr>
              <w:pStyle w:val="TableParagraph"/>
              <w:spacing w:before="80"/>
              <w:ind w:left="374"/>
              <w:rPr>
                <w:sz w:val="24"/>
              </w:rPr>
            </w:pPr>
            <w:r>
              <w:rPr>
                <w:sz w:val="24"/>
              </w:rPr>
              <w:t>2.84</w:t>
            </w:r>
          </w:p>
        </w:tc>
        <w:tc>
          <w:tcPr>
            <w:tcW w:w="742" w:type="dxa"/>
            <w:tcBorders>
              <w:top w:val="nil"/>
              <w:left w:val="nil"/>
              <w:bottom w:val="nil"/>
              <w:right w:val="nil"/>
            </w:tcBorders>
          </w:tcPr>
          <w:p>
            <w:pPr>
              <w:pStyle w:val="TableParagraph"/>
              <w:spacing w:before="80"/>
              <w:ind w:left="139" w:right="141"/>
              <w:jc w:val="center"/>
              <w:rPr>
                <w:sz w:val="24"/>
              </w:rPr>
            </w:pPr>
            <w:r>
              <w:rPr>
                <w:sz w:val="24"/>
              </w:rPr>
              <w:t>2.85</w:t>
            </w:r>
          </w:p>
        </w:tc>
        <w:tc>
          <w:tcPr>
            <w:tcW w:w="1028" w:type="dxa"/>
            <w:tcBorders>
              <w:top w:val="nil"/>
              <w:left w:val="nil"/>
              <w:bottom w:val="nil"/>
              <w:right w:val="nil"/>
            </w:tcBorders>
          </w:tcPr>
          <w:p>
            <w:pPr>
              <w:pStyle w:val="TableParagraph"/>
              <w:spacing w:before="80"/>
              <w:ind w:left="161" w:right="165"/>
              <w:jc w:val="center"/>
              <w:rPr>
                <w:sz w:val="24"/>
              </w:rPr>
            </w:pPr>
            <w:r>
              <w:rPr>
                <w:sz w:val="24"/>
              </w:rPr>
              <w:t>0.1237</w:t>
            </w:r>
          </w:p>
        </w:tc>
        <w:tc>
          <w:tcPr>
            <w:tcW w:w="1766" w:type="dxa"/>
            <w:tcBorders>
              <w:top w:val="nil"/>
              <w:left w:val="nil"/>
              <w:bottom w:val="nil"/>
              <w:right w:val="nil"/>
            </w:tcBorders>
          </w:tcPr>
          <w:p>
            <w:pPr>
              <w:pStyle w:val="TableParagraph"/>
              <w:spacing w:before="80"/>
              <w:ind w:left="530" w:right="535"/>
              <w:jc w:val="center"/>
              <w:rPr>
                <w:sz w:val="24"/>
              </w:rPr>
            </w:pPr>
            <w:r>
              <w:rPr>
                <w:sz w:val="24"/>
              </w:rPr>
              <w:t>0.8839</w:t>
            </w:r>
          </w:p>
        </w:tc>
        <w:tc>
          <w:tcPr>
            <w:tcW w:w="1282" w:type="dxa"/>
            <w:tcBorders>
              <w:top w:val="nil"/>
              <w:left w:val="nil"/>
              <w:bottom w:val="nil"/>
              <w:right w:val="nil"/>
            </w:tcBorders>
          </w:tcPr>
          <w:p>
            <w:pPr>
              <w:pStyle w:val="TableParagraph"/>
              <w:spacing w:before="80"/>
              <w:ind w:left="290" w:right="291"/>
              <w:jc w:val="center"/>
              <w:rPr>
                <w:sz w:val="24"/>
              </w:rPr>
            </w:pPr>
            <w:r>
              <w:rPr>
                <w:sz w:val="24"/>
              </w:rPr>
              <w:t>0.8882</w:t>
            </w:r>
          </w:p>
        </w:tc>
      </w:tr>
      <w:tr>
        <w:trPr>
          <w:trHeight w:val="454" w:hRule="exact"/>
        </w:trPr>
        <w:tc>
          <w:tcPr>
            <w:tcW w:w="2182" w:type="dxa"/>
            <w:tcBorders>
              <w:top w:val="nil"/>
              <w:left w:val="nil"/>
              <w:bottom w:val="nil"/>
              <w:right w:val="nil"/>
            </w:tcBorders>
          </w:tcPr>
          <w:p>
            <w:pPr>
              <w:pStyle w:val="TableParagraph"/>
              <w:spacing w:before="80"/>
              <w:ind w:left="115"/>
              <w:rPr>
                <w:sz w:val="24"/>
              </w:rPr>
            </w:pPr>
            <w:r>
              <w:rPr>
                <w:sz w:val="24"/>
              </w:rPr>
              <w:t>Milk yield (kg/d)</w:t>
            </w:r>
          </w:p>
        </w:tc>
        <w:tc>
          <w:tcPr>
            <w:tcW w:w="884" w:type="dxa"/>
            <w:tcBorders>
              <w:top w:val="nil"/>
              <w:left w:val="nil"/>
              <w:bottom w:val="nil"/>
              <w:right w:val="nil"/>
            </w:tcBorders>
          </w:tcPr>
          <w:p>
            <w:pPr>
              <w:pStyle w:val="TableParagraph"/>
              <w:spacing w:before="80"/>
              <w:ind w:left="149" w:right="153"/>
              <w:jc w:val="center"/>
              <w:rPr>
                <w:sz w:val="24"/>
              </w:rPr>
            </w:pPr>
            <w:r>
              <w:rPr>
                <w:sz w:val="24"/>
              </w:rPr>
              <w:t>21.48</w:t>
            </w:r>
          </w:p>
        </w:tc>
        <w:tc>
          <w:tcPr>
            <w:tcW w:w="1176" w:type="dxa"/>
            <w:tcBorders>
              <w:top w:val="nil"/>
              <w:left w:val="nil"/>
              <w:bottom w:val="nil"/>
              <w:right w:val="nil"/>
            </w:tcBorders>
          </w:tcPr>
          <w:p>
            <w:pPr>
              <w:pStyle w:val="TableParagraph"/>
              <w:spacing w:before="80"/>
              <w:ind w:left="314"/>
              <w:rPr>
                <w:sz w:val="24"/>
              </w:rPr>
            </w:pPr>
            <w:r>
              <w:rPr>
                <w:sz w:val="24"/>
              </w:rPr>
              <w:t>21.96</w:t>
            </w:r>
          </w:p>
        </w:tc>
        <w:tc>
          <w:tcPr>
            <w:tcW w:w="742" w:type="dxa"/>
            <w:tcBorders>
              <w:top w:val="nil"/>
              <w:left w:val="nil"/>
              <w:bottom w:val="nil"/>
              <w:right w:val="nil"/>
            </w:tcBorders>
          </w:tcPr>
          <w:p>
            <w:pPr>
              <w:pStyle w:val="TableParagraph"/>
              <w:spacing w:before="80"/>
              <w:ind w:left="139" w:right="141"/>
              <w:jc w:val="center"/>
              <w:rPr>
                <w:sz w:val="24"/>
              </w:rPr>
            </w:pPr>
            <w:r>
              <w:rPr>
                <w:sz w:val="24"/>
              </w:rPr>
              <w:t>21.8</w:t>
            </w:r>
          </w:p>
        </w:tc>
        <w:tc>
          <w:tcPr>
            <w:tcW w:w="1028" w:type="dxa"/>
            <w:tcBorders>
              <w:top w:val="nil"/>
              <w:left w:val="nil"/>
              <w:bottom w:val="nil"/>
              <w:right w:val="nil"/>
            </w:tcBorders>
          </w:tcPr>
          <w:p>
            <w:pPr>
              <w:pStyle w:val="TableParagraph"/>
              <w:spacing w:before="80"/>
              <w:ind w:left="161" w:right="165"/>
              <w:jc w:val="center"/>
              <w:rPr>
                <w:sz w:val="24"/>
              </w:rPr>
            </w:pPr>
            <w:r>
              <w:rPr>
                <w:sz w:val="24"/>
              </w:rPr>
              <w:t>0.7748</w:t>
            </w:r>
          </w:p>
        </w:tc>
        <w:tc>
          <w:tcPr>
            <w:tcW w:w="1766" w:type="dxa"/>
            <w:tcBorders>
              <w:top w:val="nil"/>
              <w:left w:val="nil"/>
              <w:bottom w:val="nil"/>
              <w:right w:val="nil"/>
            </w:tcBorders>
          </w:tcPr>
          <w:p>
            <w:pPr>
              <w:pStyle w:val="TableParagraph"/>
              <w:spacing w:before="80"/>
              <w:ind w:left="530" w:right="535"/>
              <w:jc w:val="center"/>
              <w:rPr>
                <w:sz w:val="24"/>
              </w:rPr>
            </w:pPr>
            <w:r>
              <w:rPr>
                <w:sz w:val="24"/>
              </w:rPr>
              <w:t>0.8789</w:t>
            </w:r>
          </w:p>
        </w:tc>
        <w:tc>
          <w:tcPr>
            <w:tcW w:w="1282" w:type="dxa"/>
            <w:tcBorders>
              <w:top w:val="nil"/>
              <w:left w:val="nil"/>
              <w:bottom w:val="nil"/>
              <w:right w:val="nil"/>
            </w:tcBorders>
          </w:tcPr>
          <w:p>
            <w:pPr>
              <w:pStyle w:val="TableParagraph"/>
              <w:spacing w:before="80"/>
              <w:ind w:left="290" w:right="291"/>
              <w:jc w:val="center"/>
              <w:rPr>
                <w:sz w:val="24"/>
              </w:rPr>
            </w:pPr>
            <w:r>
              <w:rPr>
                <w:sz w:val="24"/>
              </w:rPr>
              <w:t>0.6646</w:t>
            </w:r>
          </w:p>
        </w:tc>
      </w:tr>
      <w:tr>
        <w:trPr>
          <w:trHeight w:val="454" w:hRule="exact"/>
        </w:trPr>
        <w:tc>
          <w:tcPr>
            <w:tcW w:w="2182" w:type="dxa"/>
            <w:tcBorders>
              <w:top w:val="nil"/>
              <w:left w:val="nil"/>
              <w:bottom w:val="nil"/>
              <w:right w:val="nil"/>
            </w:tcBorders>
          </w:tcPr>
          <w:p>
            <w:pPr>
              <w:pStyle w:val="TableParagraph"/>
              <w:spacing w:before="80"/>
              <w:ind w:left="115"/>
              <w:rPr>
                <w:sz w:val="24"/>
              </w:rPr>
            </w:pPr>
            <w:r>
              <w:rPr>
                <w:sz w:val="24"/>
              </w:rPr>
              <w:t>Fat (g/kg)</w:t>
            </w:r>
          </w:p>
        </w:tc>
        <w:tc>
          <w:tcPr>
            <w:tcW w:w="884" w:type="dxa"/>
            <w:tcBorders>
              <w:top w:val="nil"/>
              <w:left w:val="nil"/>
              <w:bottom w:val="nil"/>
              <w:right w:val="nil"/>
            </w:tcBorders>
          </w:tcPr>
          <w:p>
            <w:pPr>
              <w:pStyle w:val="TableParagraph"/>
              <w:spacing w:before="80"/>
              <w:ind w:left="149" w:right="153"/>
              <w:jc w:val="center"/>
              <w:rPr>
                <w:sz w:val="24"/>
              </w:rPr>
            </w:pPr>
            <w:r>
              <w:rPr>
                <w:sz w:val="24"/>
              </w:rPr>
              <w:t>42.2</w:t>
            </w:r>
          </w:p>
        </w:tc>
        <w:tc>
          <w:tcPr>
            <w:tcW w:w="1176" w:type="dxa"/>
            <w:tcBorders>
              <w:top w:val="nil"/>
              <w:left w:val="nil"/>
              <w:bottom w:val="nil"/>
              <w:right w:val="nil"/>
            </w:tcBorders>
          </w:tcPr>
          <w:p>
            <w:pPr>
              <w:pStyle w:val="TableParagraph"/>
              <w:spacing w:before="80"/>
              <w:ind w:left="374"/>
              <w:rPr>
                <w:sz w:val="24"/>
              </w:rPr>
            </w:pPr>
            <w:r>
              <w:rPr>
                <w:sz w:val="24"/>
              </w:rPr>
              <w:t>41.5</w:t>
            </w:r>
          </w:p>
        </w:tc>
        <w:tc>
          <w:tcPr>
            <w:tcW w:w="742" w:type="dxa"/>
            <w:tcBorders>
              <w:top w:val="nil"/>
              <w:left w:val="nil"/>
              <w:bottom w:val="nil"/>
              <w:right w:val="nil"/>
            </w:tcBorders>
          </w:tcPr>
          <w:p>
            <w:pPr>
              <w:pStyle w:val="TableParagraph"/>
              <w:spacing w:before="80"/>
              <w:ind w:left="139" w:right="141"/>
              <w:jc w:val="center"/>
              <w:rPr>
                <w:sz w:val="24"/>
              </w:rPr>
            </w:pPr>
            <w:r>
              <w:rPr>
                <w:sz w:val="24"/>
              </w:rPr>
              <w:t>41.9</w:t>
            </w:r>
          </w:p>
        </w:tc>
        <w:tc>
          <w:tcPr>
            <w:tcW w:w="1028" w:type="dxa"/>
            <w:tcBorders>
              <w:top w:val="nil"/>
              <w:left w:val="nil"/>
              <w:bottom w:val="nil"/>
              <w:right w:val="nil"/>
            </w:tcBorders>
          </w:tcPr>
          <w:p>
            <w:pPr>
              <w:pStyle w:val="TableParagraph"/>
              <w:spacing w:before="80"/>
              <w:ind w:left="161" w:right="165"/>
              <w:jc w:val="center"/>
              <w:rPr>
                <w:sz w:val="24"/>
              </w:rPr>
            </w:pPr>
            <w:r>
              <w:rPr>
                <w:sz w:val="24"/>
              </w:rPr>
              <w:t>0.7459</w:t>
            </w:r>
          </w:p>
        </w:tc>
        <w:tc>
          <w:tcPr>
            <w:tcW w:w="1766" w:type="dxa"/>
            <w:tcBorders>
              <w:top w:val="nil"/>
              <w:left w:val="nil"/>
              <w:bottom w:val="nil"/>
              <w:right w:val="nil"/>
            </w:tcBorders>
          </w:tcPr>
          <w:p>
            <w:pPr>
              <w:pStyle w:val="TableParagraph"/>
              <w:spacing w:before="80"/>
              <w:ind w:left="530" w:right="535"/>
              <w:jc w:val="center"/>
              <w:rPr>
                <w:sz w:val="24"/>
              </w:rPr>
            </w:pPr>
            <w:r>
              <w:rPr>
                <w:sz w:val="24"/>
              </w:rPr>
              <w:t>0.9811</w:t>
            </w:r>
          </w:p>
        </w:tc>
        <w:tc>
          <w:tcPr>
            <w:tcW w:w="1282" w:type="dxa"/>
            <w:tcBorders>
              <w:top w:val="nil"/>
              <w:left w:val="nil"/>
              <w:bottom w:val="nil"/>
              <w:right w:val="nil"/>
            </w:tcBorders>
          </w:tcPr>
          <w:p>
            <w:pPr>
              <w:pStyle w:val="TableParagraph"/>
              <w:spacing w:before="80"/>
              <w:ind w:left="290" w:right="291"/>
              <w:jc w:val="center"/>
              <w:rPr>
                <w:sz w:val="24"/>
              </w:rPr>
            </w:pPr>
            <w:r>
              <w:rPr>
                <w:sz w:val="24"/>
              </w:rPr>
              <w:t>0.5027</w:t>
            </w:r>
          </w:p>
        </w:tc>
      </w:tr>
      <w:tr>
        <w:trPr>
          <w:trHeight w:val="454" w:hRule="exact"/>
        </w:trPr>
        <w:tc>
          <w:tcPr>
            <w:tcW w:w="2182" w:type="dxa"/>
            <w:tcBorders>
              <w:top w:val="nil"/>
              <w:left w:val="nil"/>
              <w:bottom w:val="nil"/>
              <w:right w:val="nil"/>
            </w:tcBorders>
          </w:tcPr>
          <w:p>
            <w:pPr>
              <w:pStyle w:val="TableParagraph"/>
              <w:spacing w:before="80"/>
              <w:ind w:left="115"/>
              <w:rPr>
                <w:sz w:val="24"/>
              </w:rPr>
            </w:pPr>
            <w:r>
              <w:rPr>
                <w:sz w:val="24"/>
              </w:rPr>
              <w:t>Protein (g/kg)</w:t>
            </w:r>
          </w:p>
        </w:tc>
        <w:tc>
          <w:tcPr>
            <w:tcW w:w="884" w:type="dxa"/>
            <w:tcBorders>
              <w:top w:val="nil"/>
              <w:left w:val="nil"/>
              <w:bottom w:val="nil"/>
              <w:right w:val="nil"/>
            </w:tcBorders>
          </w:tcPr>
          <w:p>
            <w:pPr>
              <w:pStyle w:val="TableParagraph"/>
              <w:spacing w:before="80"/>
              <w:ind w:left="149" w:right="153"/>
              <w:jc w:val="center"/>
              <w:rPr>
                <w:sz w:val="24"/>
              </w:rPr>
            </w:pPr>
            <w:r>
              <w:rPr>
                <w:sz w:val="24"/>
              </w:rPr>
              <w:t>31.4</w:t>
            </w:r>
          </w:p>
        </w:tc>
        <w:tc>
          <w:tcPr>
            <w:tcW w:w="1176" w:type="dxa"/>
            <w:tcBorders>
              <w:top w:val="nil"/>
              <w:left w:val="nil"/>
              <w:bottom w:val="nil"/>
              <w:right w:val="nil"/>
            </w:tcBorders>
          </w:tcPr>
          <w:p>
            <w:pPr>
              <w:pStyle w:val="TableParagraph"/>
              <w:spacing w:before="80"/>
              <w:ind w:left="374"/>
              <w:rPr>
                <w:sz w:val="24"/>
              </w:rPr>
            </w:pPr>
            <w:r>
              <w:rPr>
                <w:sz w:val="24"/>
              </w:rPr>
              <w:t>31.2</w:t>
            </w:r>
          </w:p>
        </w:tc>
        <w:tc>
          <w:tcPr>
            <w:tcW w:w="742" w:type="dxa"/>
            <w:tcBorders>
              <w:top w:val="nil"/>
              <w:left w:val="nil"/>
              <w:bottom w:val="nil"/>
              <w:right w:val="nil"/>
            </w:tcBorders>
          </w:tcPr>
          <w:p>
            <w:pPr>
              <w:pStyle w:val="TableParagraph"/>
              <w:spacing w:before="80"/>
              <w:ind w:left="139" w:right="141"/>
              <w:jc w:val="center"/>
              <w:rPr>
                <w:sz w:val="24"/>
              </w:rPr>
            </w:pPr>
            <w:r>
              <w:rPr>
                <w:sz w:val="24"/>
              </w:rPr>
              <w:t>31.1</w:t>
            </w:r>
          </w:p>
        </w:tc>
        <w:tc>
          <w:tcPr>
            <w:tcW w:w="1028" w:type="dxa"/>
            <w:tcBorders>
              <w:top w:val="nil"/>
              <w:left w:val="nil"/>
              <w:bottom w:val="nil"/>
              <w:right w:val="nil"/>
            </w:tcBorders>
          </w:tcPr>
          <w:p>
            <w:pPr>
              <w:pStyle w:val="TableParagraph"/>
              <w:spacing w:before="80"/>
              <w:ind w:left="161" w:right="165"/>
              <w:jc w:val="center"/>
              <w:rPr>
                <w:sz w:val="24"/>
              </w:rPr>
            </w:pPr>
            <w:r>
              <w:rPr>
                <w:sz w:val="24"/>
              </w:rPr>
              <w:t>0.2989</w:t>
            </w:r>
          </w:p>
        </w:tc>
        <w:tc>
          <w:tcPr>
            <w:tcW w:w="1766" w:type="dxa"/>
            <w:tcBorders>
              <w:top w:val="nil"/>
              <w:left w:val="nil"/>
              <w:bottom w:val="nil"/>
              <w:right w:val="nil"/>
            </w:tcBorders>
          </w:tcPr>
          <w:p>
            <w:pPr>
              <w:pStyle w:val="TableParagraph"/>
              <w:spacing w:before="80"/>
              <w:ind w:left="530" w:right="535"/>
              <w:jc w:val="center"/>
              <w:rPr>
                <w:sz w:val="24"/>
              </w:rPr>
            </w:pPr>
            <w:r>
              <w:rPr>
                <w:sz w:val="24"/>
              </w:rPr>
              <w:t>0.5464</w:t>
            </w:r>
          </w:p>
        </w:tc>
        <w:tc>
          <w:tcPr>
            <w:tcW w:w="1282" w:type="dxa"/>
            <w:tcBorders>
              <w:top w:val="nil"/>
              <w:left w:val="nil"/>
              <w:bottom w:val="nil"/>
              <w:right w:val="nil"/>
            </w:tcBorders>
          </w:tcPr>
          <w:p>
            <w:pPr>
              <w:pStyle w:val="TableParagraph"/>
              <w:spacing w:before="80"/>
              <w:ind w:left="290" w:right="291"/>
              <w:jc w:val="center"/>
              <w:rPr>
                <w:sz w:val="24"/>
              </w:rPr>
            </w:pPr>
            <w:r>
              <w:rPr>
                <w:sz w:val="24"/>
              </w:rPr>
              <w:t>0.6770</w:t>
            </w:r>
          </w:p>
        </w:tc>
      </w:tr>
      <w:tr>
        <w:trPr>
          <w:trHeight w:val="543" w:hRule="exact"/>
        </w:trPr>
        <w:tc>
          <w:tcPr>
            <w:tcW w:w="2182" w:type="dxa"/>
            <w:tcBorders>
              <w:top w:val="nil"/>
              <w:left w:val="nil"/>
              <w:right w:val="nil"/>
            </w:tcBorders>
          </w:tcPr>
          <w:p>
            <w:pPr>
              <w:pStyle w:val="TableParagraph"/>
              <w:spacing w:before="80"/>
              <w:ind w:left="115"/>
              <w:rPr>
                <w:sz w:val="24"/>
              </w:rPr>
            </w:pPr>
            <w:r>
              <w:rPr>
                <w:sz w:val="24"/>
              </w:rPr>
              <w:t>Lactose (g/kg)</w:t>
            </w:r>
          </w:p>
        </w:tc>
        <w:tc>
          <w:tcPr>
            <w:tcW w:w="884" w:type="dxa"/>
            <w:tcBorders>
              <w:top w:val="nil"/>
              <w:left w:val="nil"/>
              <w:right w:val="nil"/>
            </w:tcBorders>
          </w:tcPr>
          <w:p>
            <w:pPr>
              <w:pStyle w:val="TableParagraph"/>
              <w:spacing w:before="80"/>
              <w:ind w:left="149" w:right="153"/>
              <w:jc w:val="center"/>
              <w:rPr>
                <w:sz w:val="24"/>
              </w:rPr>
            </w:pPr>
            <w:r>
              <w:rPr>
                <w:sz w:val="24"/>
              </w:rPr>
              <w:t>46.3</w:t>
            </w:r>
          </w:p>
        </w:tc>
        <w:tc>
          <w:tcPr>
            <w:tcW w:w="1176" w:type="dxa"/>
            <w:tcBorders>
              <w:top w:val="nil"/>
              <w:left w:val="nil"/>
              <w:right w:val="nil"/>
            </w:tcBorders>
          </w:tcPr>
          <w:p>
            <w:pPr>
              <w:pStyle w:val="TableParagraph"/>
              <w:spacing w:before="80"/>
              <w:ind w:left="374"/>
              <w:rPr>
                <w:sz w:val="24"/>
              </w:rPr>
            </w:pPr>
            <w:r>
              <w:rPr>
                <w:sz w:val="24"/>
              </w:rPr>
              <w:t>46.6</w:t>
            </w:r>
          </w:p>
        </w:tc>
        <w:tc>
          <w:tcPr>
            <w:tcW w:w="742" w:type="dxa"/>
            <w:tcBorders>
              <w:top w:val="nil"/>
              <w:left w:val="nil"/>
              <w:right w:val="nil"/>
            </w:tcBorders>
          </w:tcPr>
          <w:p>
            <w:pPr>
              <w:pStyle w:val="TableParagraph"/>
              <w:spacing w:before="80"/>
              <w:ind w:left="139" w:right="141"/>
              <w:jc w:val="center"/>
              <w:rPr>
                <w:sz w:val="24"/>
              </w:rPr>
            </w:pPr>
            <w:r>
              <w:rPr>
                <w:sz w:val="24"/>
              </w:rPr>
              <w:t>46.3</w:t>
            </w:r>
          </w:p>
        </w:tc>
        <w:tc>
          <w:tcPr>
            <w:tcW w:w="1028" w:type="dxa"/>
            <w:tcBorders>
              <w:top w:val="nil"/>
              <w:left w:val="nil"/>
              <w:right w:val="nil"/>
            </w:tcBorders>
          </w:tcPr>
          <w:p>
            <w:pPr>
              <w:pStyle w:val="TableParagraph"/>
              <w:spacing w:before="80"/>
              <w:ind w:left="161" w:right="165"/>
              <w:jc w:val="center"/>
              <w:rPr>
                <w:sz w:val="24"/>
              </w:rPr>
            </w:pPr>
            <w:r>
              <w:rPr>
                <w:sz w:val="24"/>
              </w:rPr>
              <w:t>0.3463</w:t>
            </w:r>
          </w:p>
        </w:tc>
        <w:tc>
          <w:tcPr>
            <w:tcW w:w="1766" w:type="dxa"/>
            <w:tcBorders>
              <w:top w:val="nil"/>
              <w:left w:val="nil"/>
              <w:right w:val="nil"/>
            </w:tcBorders>
          </w:tcPr>
          <w:p>
            <w:pPr>
              <w:pStyle w:val="TableParagraph"/>
              <w:spacing w:before="80"/>
              <w:ind w:left="530" w:right="535"/>
              <w:jc w:val="center"/>
              <w:rPr>
                <w:sz w:val="24"/>
              </w:rPr>
            </w:pPr>
            <w:r>
              <w:rPr>
                <w:sz w:val="24"/>
              </w:rPr>
              <w:t>0.7899</w:t>
            </w:r>
          </w:p>
        </w:tc>
        <w:tc>
          <w:tcPr>
            <w:tcW w:w="1282" w:type="dxa"/>
            <w:tcBorders>
              <w:top w:val="nil"/>
              <w:left w:val="nil"/>
              <w:right w:val="nil"/>
            </w:tcBorders>
          </w:tcPr>
          <w:p>
            <w:pPr>
              <w:pStyle w:val="TableParagraph"/>
              <w:spacing w:before="80"/>
              <w:ind w:left="290" w:right="291"/>
              <w:jc w:val="center"/>
              <w:rPr>
                <w:sz w:val="24"/>
              </w:rPr>
            </w:pPr>
            <w:r>
              <w:rPr>
                <w:sz w:val="24"/>
              </w:rPr>
              <w:t>0.5239</w:t>
            </w:r>
          </w:p>
        </w:tc>
      </w:tr>
    </w:tbl>
    <w:p>
      <w:pPr>
        <w:pStyle w:val="BodyText"/>
        <w:spacing w:line="273" w:lineRule="exact"/>
        <w:ind w:left="232" w:right="328"/>
      </w:pPr>
      <w:r>
        <w:rPr>
          <w:position w:val="9"/>
          <w:sz w:val="16"/>
        </w:rPr>
        <w:t>† </w:t>
      </w:r>
      <w:r>
        <w:rPr/>
        <w:t>Time at pasture: 8h = 0700 to 1500 h; 4+4h = 0700 to 1100 h and 1600 to 2000 h; 12h =</w:t>
      </w:r>
    </w:p>
    <w:p>
      <w:pPr>
        <w:pStyle w:val="BodyText"/>
      </w:pPr>
    </w:p>
    <w:p>
      <w:pPr>
        <w:pStyle w:val="BodyText"/>
        <w:ind w:left="232" w:right="328"/>
      </w:pPr>
      <w:r>
        <w:rPr/>
        <w:t>0700 to 1500 h and 1600 to 2000 h.</w:t>
      </w:r>
    </w:p>
    <w:p>
      <w:pPr>
        <w:spacing w:after="0"/>
        <w:sectPr>
          <w:pgSz w:w="12240" w:h="15840"/>
          <w:pgMar w:header="1150" w:footer="1336" w:top="1340" w:bottom="1520" w:left="1640" w:right="1320"/>
        </w:sectPr>
      </w:pPr>
    </w:p>
    <w:p>
      <w:pPr>
        <w:pStyle w:val="BodyText"/>
        <w:rPr>
          <w:sz w:val="20"/>
        </w:rPr>
      </w:pPr>
    </w:p>
    <w:p>
      <w:pPr>
        <w:pStyle w:val="BodyText"/>
        <w:spacing w:before="9"/>
        <w:rPr>
          <w:sz w:val="19"/>
        </w:rPr>
      </w:pPr>
    </w:p>
    <w:p>
      <w:pPr>
        <w:pStyle w:val="Heading1"/>
        <w:spacing w:line="480" w:lineRule="auto"/>
        <w:ind w:left="232" w:right="195"/>
      </w:pPr>
      <w:r>
        <w:rPr/>
        <w:t>Table 3. Fatty acid profile in milk of Holstein cows with different access time to pasture.</w:t>
      </w:r>
    </w:p>
    <w:p>
      <w:pPr>
        <w:pStyle w:val="BodyText"/>
        <w:spacing w:before="10"/>
        <w:rPr>
          <w:b/>
          <w:sz w:val="27"/>
        </w:rPr>
      </w:pPr>
    </w:p>
    <w:p>
      <w:pPr>
        <w:pStyle w:val="BodyText"/>
        <w:spacing w:line="20" w:lineRule="exact"/>
        <w:ind w:left="119"/>
        <w:rPr>
          <w:sz w:val="2"/>
        </w:rPr>
      </w:pPr>
      <w:r>
        <w:rPr>
          <w:sz w:val="2"/>
        </w:rPr>
        <w:pict>
          <v:group style="width:453.35pt;height:.5pt;mso-position-horizontal-relative:char;mso-position-vertical-relative:line" coordorigin="0,0" coordsize="9067,10">
            <v:line style="position:absolute" from="5,5" to="2033,5" stroked="true" strokeweight=".48pt" strokecolor="#000000"/>
            <v:line style="position:absolute" from="2033,5" to="2043,5" stroked="true" strokeweight=".48pt" strokecolor="#000000"/>
            <v:line style="position:absolute" from="2043,5" to="4973,5" stroked="true" strokeweight=".48pt" strokecolor="#000000"/>
            <v:line style="position:absolute" from="4974,5" to="4983,5" stroked="true" strokeweight=".48pt" strokecolor="#000000"/>
            <v:line style="position:absolute" from="4983,5" to="6006,5" stroked="true" strokeweight=".48pt" strokecolor="#000000"/>
            <v:line style="position:absolute" from="6006,5" to="6016,5" stroked="true" strokeweight=".48pt" strokecolor="#000000"/>
            <v:line style="position:absolute" from="6016,5" to="9062,5" stroked="true" strokeweight=".48pt" strokecolor="#000000"/>
          </v:group>
        </w:pict>
      </w:r>
      <w:r>
        <w:rPr>
          <w:sz w:val="2"/>
        </w:rPr>
      </w:r>
    </w:p>
    <w:p>
      <w:pPr>
        <w:spacing w:after="0" w:line="20" w:lineRule="exact"/>
        <w:rPr>
          <w:sz w:val="2"/>
        </w:rPr>
        <w:sectPr>
          <w:pgSz w:w="12240" w:h="15840"/>
          <w:pgMar w:header="1150" w:footer="1336" w:top="1340" w:bottom="1520" w:left="1640" w:right="1260"/>
        </w:sectPr>
      </w:pPr>
    </w:p>
    <w:p>
      <w:pPr>
        <w:spacing w:line="241" w:lineRule="exact" w:before="0"/>
        <w:ind w:left="700" w:right="-18" w:firstLine="0"/>
        <w:jc w:val="left"/>
        <w:rPr>
          <w:sz w:val="22"/>
        </w:rPr>
      </w:pPr>
      <w:r>
        <w:rPr>
          <w:sz w:val="22"/>
        </w:rPr>
        <w:t>Fatty acid</w:t>
      </w:r>
    </w:p>
    <w:p>
      <w:pPr>
        <w:spacing w:line="237" w:lineRule="exact" w:before="0"/>
        <w:ind w:left="700" w:right="-20" w:firstLine="0"/>
        <w:jc w:val="left"/>
        <w:rPr>
          <w:sz w:val="14"/>
        </w:rPr>
      </w:pPr>
      <w:r>
        <w:rPr/>
        <w:br w:type="column"/>
      </w:r>
      <w:r>
        <w:rPr>
          <w:sz w:val="22"/>
        </w:rPr>
        <w:t>Time at pasture</w:t>
      </w:r>
      <w:r>
        <w:rPr>
          <w:position w:val="8"/>
          <w:sz w:val="14"/>
        </w:rPr>
        <w:t>†</w:t>
      </w:r>
    </w:p>
    <w:p>
      <w:pPr>
        <w:spacing w:line="237" w:lineRule="exact" w:before="0"/>
        <w:ind w:left="700" w:right="0" w:firstLine="0"/>
        <w:jc w:val="left"/>
        <w:rPr>
          <w:sz w:val="22"/>
        </w:rPr>
      </w:pPr>
      <w:r>
        <w:rPr/>
        <w:br w:type="column"/>
      </w:r>
      <w:r>
        <w:rPr>
          <w:sz w:val="22"/>
        </w:rPr>
        <w:t>Contrast</w:t>
      </w:r>
    </w:p>
    <w:p>
      <w:pPr>
        <w:spacing w:after="0" w:line="237" w:lineRule="exact"/>
        <w:jc w:val="left"/>
        <w:rPr>
          <w:sz w:val="22"/>
        </w:rPr>
        <w:sectPr>
          <w:type w:val="continuous"/>
          <w:pgSz w:w="12240" w:h="15840"/>
          <w:pgMar w:top="3460" w:bottom="280" w:left="1640" w:right="1260"/>
          <w:cols w:num="3" w:equalWidth="0">
            <w:col w:w="1576" w:space="627"/>
            <w:col w:w="2139" w:space="2235"/>
            <w:col w:w="2763"/>
          </w:cols>
        </w:sectPr>
      </w:pPr>
    </w:p>
    <w:p>
      <w:pPr>
        <w:pStyle w:val="BodyText"/>
        <w:spacing w:before="5"/>
        <w:rPr>
          <w:sz w:val="17"/>
        </w:rPr>
      </w:pPr>
    </w:p>
    <w:p>
      <w:pPr>
        <w:spacing w:before="0"/>
        <w:ind w:left="590" w:right="-20" w:firstLine="0"/>
        <w:jc w:val="left"/>
        <w:rPr>
          <w:sz w:val="22"/>
        </w:rPr>
      </w:pPr>
      <w:r>
        <w:rPr>
          <w:sz w:val="22"/>
        </w:rPr>
        <w:t>(g/100g FA)</w:t>
      </w:r>
    </w:p>
    <w:p>
      <w:pPr>
        <w:tabs>
          <w:tab w:pos="1744" w:val="left" w:leader="none"/>
          <w:tab w:pos="2762" w:val="left" w:leader="none"/>
          <w:tab w:pos="3419" w:val="left" w:leader="none"/>
          <w:tab w:pos="3658" w:val="left" w:leader="none"/>
          <w:tab w:pos="4402" w:val="left" w:leader="none"/>
          <w:tab w:pos="4673" w:val="left" w:leader="none"/>
          <w:tab w:pos="6361" w:val="left" w:leader="none"/>
          <w:tab w:pos="7508" w:val="left" w:leader="none"/>
        </w:tabs>
        <w:spacing w:line="218" w:lineRule="auto" w:before="0"/>
        <w:ind w:left="833" w:right="106" w:hanging="404"/>
        <w:jc w:val="left"/>
        <w:rPr>
          <w:sz w:val="22"/>
        </w:rPr>
      </w:pPr>
      <w:r>
        <w:rPr/>
        <w:br w:type="column"/>
      </w:r>
      <w:r>
        <w:rPr>
          <w:w w:val="100"/>
          <w:sz w:val="22"/>
          <w:u w:val="single"/>
        </w:rPr>
        <w:t> </w:t>
      </w:r>
      <w:r>
        <w:rPr>
          <w:sz w:val="22"/>
          <w:u w:val="single"/>
        </w:rPr>
        <w:tab/>
        <w:tab/>
        <w:tab/>
        <w:tab/>
      </w:r>
      <w:r>
        <w:rPr>
          <w:sz w:val="22"/>
        </w:rPr>
        <w:tab/>
        <w:t>SEM</w:t>
        <w:tab/>
      </w:r>
      <w:r>
        <w:rPr>
          <w:sz w:val="22"/>
          <w:u w:val="single"/>
        </w:rPr>
        <w:tab/>
        <w:tab/>
        <w:tab/>
      </w:r>
      <w:r>
        <w:rPr>
          <w:sz w:val="22"/>
        </w:rPr>
        <w:t> 8h</w:t>
        <w:tab/>
        <w:t>4+4h</w:t>
        <w:tab/>
        <w:t>12h</w:t>
        <w:tab/>
        <w:tab/>
        <w:tab/>
        <w:tab/>
        <w:t>12h vs. others</w:t>
        <w:tab/>
        <w:t>8h vs.</w:t>
      </w:r>
      <w:r>
        <w:rPr>
          <w:spacing w:val="-1"/>
          <w:sz w:val="22"/>
        </w:rPr>
        <w:t> </w:t>
      </w:r>
      <w:r>
        <w:rPr>
          <w:sz w:val="22"/>
        </w:rPr>
        <w:t>4x4</w:t>
      </w:r>
    </w:p>
    <w:p>
      <w:pPr>
        <w:spacing w:after="0" w:line="218" w:lineRule="auto"/>
        <w:jc w:val="left"/>
        <w:rPr>
          <w:sz w:val="22"/>
        </w:rPr>
        <w:sectPr>
          <w:type w:val="continuous"/>
          <w:pgSz w:w="12240" w:h="15840"/>
          <w:pgMar w:top="3460" w:bottom="280" w:left="1640" w:right="1260"/>
          <w:cols w:num="2" w:equalWidth="0">
            <w:col w:w="1684" w:space="40"/>
            <w:col w:w="7616"/>
          </w:cols>
        </w:sectPr>
      </w:pPr>
    </w:p>
    <w:p>
      <w:pPr>
        <w:pStyle w:val="BodyText"/>
        <w:spacing w:before="8" w:after="1"/>
        <w:rPr>
          <w:sz w:val="18"/>
        </w:rPr>
      </w:pPr>
    </w:p>
    <w:tbl>
      <w:tblPr>
        <w:tblW w:w="0" w:type="auto"/>
        <w:jc w:val="left"/>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16"/>
        <w:gridCol w:w="1342"/>
        <w:gridCol w:w="992"/>
        <w:gridCol w:w="928"/>
        <w:gridCol w:w="1207"/>
        <w:gridCol w:w="1467"/>
        <w:gridCol w:w="1404"/>
      </w:tblGrid>
      <w:tr>
        <w:trPr>
          <w:trHeight w:val="364" w:hRule="exact"/>
        </w:trPr>
        <w:tc>
          <w:tcPr>
            <w:tcW w:w="1716" w:type="dxa"/>
            <w:tcBorders>
              <w:left w:val="nil"/>
              <w:bottom w:val="nil"/>
              <w:right w:val="nil"/>
            </w:tcBorders>
          </w:tcPr>
          <w:p>
            <w:pPr>
              <w:pStyle w:val="TableParagraph"/>
              <w:spacing w:line="247" w:lineRule="exact"/>
              <w:ind w:left="107"/>
              <w:rPr>
                <w:sz w:val="22"/>
              </w:rPr>
            </w:pPr>
            <w:r>
              <w:rPr>
                <w:sz w:val="22"/>
              </w:rPr>
              <w:t>C4:0</w:t>
            </w:r>
          </w:p>
        </w:tc>
        <w:tc>
          <w:tcPr>
            <w:tcW w:w="1342" w:type="dxa"/>
            <w:tcBorders>
              <w:left w:val="nil"/>
              <w:bottom w:val="nil"/>
              <w:right w:val="nil"/>
            </w:tcBorders>
          </w:tcPr>
          <w:p>
            <w:pPr>
              <w:pStyle w:val="TableParagraph"/>
              <w:spacing w:line="247" w:lineRule="exact"/>
              <w:ind w:right="319"/>
              <w:jc w:val="right"/>
              <w:rPr>
                <w:sz w:val="22"/>
              </w:rPr>
            </w:pPr>
            <w:r>
              <w:rPr>
                <w:sz w:val="22"/>
              </w:rPr>
              <w:t>3.53</w:t>
            </w:r>
          </w:p>
        </w:tc>
        <w:tc>
          <w:tcPr>
            <w:tcW w:w="992" w:type="dxa"/>
            <w:tcBorders>
              <w:left w:val="nil"/>
              <w:bottom w:val="nil"/>
              <w:right w:val="nil"/>
            </w:tcBorders>
          </w:tcPr>
          <w:p>
            <w:pPr>
              <w:pStyle w:val="TableParagraph"/>
              <w:spacing w:line="247" w:lineRule="exact"/>
              <w:ind w:left="247" w:right="210"/>
              <w:jc w:val="center"/>
              <w:rPr>
                <w:sz w:val="22"/>
              </w:rPr>
            </w:pPr>
            <w:r>
              <w:rPr>
                <w:sz w:val="22"/>
              </w:rPr>
              <w:t>3.61</w:t>
            </w:r>
          </w:p>
        </w:tc>
        <w:tc>
          <w:tcPr>
            <w:tcW w:w="928" w:type="dxa"/>
            <w:tcBorders>
              <w:left w:val="nil"/>
              <w:bottom w:val="nil"/>
              <w:right w:val="nil"/>
            </w:tcBorders>
          </w:tcPr>
          <w:p>
            <w:pPr>
              <w:pStyle w:val="TableParagraph"/>
              <w:spacing w:line="247" w:lineRule="exact"/>
              <w:ind w:left="209" w:right="182"/>
              <w:jc w:val="center"/>
              <w:rPr>
                <w:sz w:val="22"/>
              </w:rPr>
            </w:pPr>
            <w:r>
              <w:rPr>
                <w:sz w:val="22"/>
              </w:rPr>
              <w:t>3.57</w:t>
            </w:r>
          </w:p>
        </w:tc>
        <w:tc>
          <w:tcPr>
            <w:tcW w:w="1207" w:type="dxa"/>
            <w:tcBorders>
              <w:left w:val="nil"/>
              <w:bottom w:val="nil"/>
              <w:right w:val="nil"/>
            </w:tcBorders>
          </w:tcPr>
          <w:p>
            <w:pPr>
              <w:pStyle w:val="TableParagraph"/>
              <w:spacing w:line="247" w:lineRule="exact"/>
              <w:ind w:left="201"/>
              <w:rPr>
                <w:sz w:val="22"/>
              </w:rPr>
            </w:pPr>
            <w:r>
              <w:rPr>
                <w:sz w:val="22"/>
              </w:rPr>
              <w:t>0.1263</w:t>
            </w:r>
          </w:p>
        </w:tc>
        <w:tc>
          <w:tcPr>
            <w:tcW w:w="1467" w:type="dxa"/>
            <w:tcBorders>
              <w:left w:val="nil"/>
              <w:bottom w:val="nil"/>
              <w:right w:val="nil"/>
            </w:tcBorders>
          </w:tcPr>
          <w:p>
            <w:pPr>
              <w:pStyle w:val="TableParagraph"/>
              <w:spacing w:line="247" w:lineRule="exact"/>
              <w:ind w:left="398"/>
              <w:rPr>
                <w:sz w:val="22"/>
              </w:rPr>
            </w:pPr>
            <w:r>
              <w:rPr>
                <w:sz w:val="22"/>
              </w:rPr>
              <w:t>0.9835</w:t>
            </w:r>
          </w:p>
        </w:tc>
        <w:tc>
          <w:tcPr>
            <w:tcW w:w="1404" w:type="dxa"/>
            <w:tcBorders>
              <w:left w:val="nil"/>
              <w:bottom w:val="nil"/>
              <w:right w:val="nil"/>
            </w:tcBorders>
          </w:tcPr>
          <w:p>
            <w:pPr>
              <w:pStyle w:val="TableParagraph"/>
              <w:spacing w:line="247" w:lineRule="exact"/>
              <w:ind w:right="333"/>
              <w:jc w:val="right"/>
              <w:rPr>
                <w:sz w:val="22"/>
              </w:rPr>
            </w:pPr>
            <w:r>
              <w:rPr>
                <w:sz w:val="22"/>
              </w:rPr>
              <w:t>0.7218</w:t>
            </w:r>
          </w:p>
        </w:tc>
      </w:tr>
      <w:tr>
        <w:trPr>
          <w:trHeight w:val="454" w:hRule="exact"/>
        </w:trPr>
        <w:tc>
          <w:tcPr>
            <w:tcW w:w="1716" w:type="dxa"/>
            <w:tcBorders>
              <w:top w:val="nil"/>
              <w:left w:val="nil"/>
              <w:bottom w:val="nil"/>
              <w:right w:val="nil"/>
            </w:tcBorders>
          </w:tcPr>
          <w:p>
            <w:pPr>
              <w:pStyle w:val="TableParagraph"/>
              <w:spacing w:before="89"/>
              <w:ind w:left="107"/>
              <w:rPr>
                <w:sz w:val="22"/>
              </w:rPr>
            </w:pPr>
            <w:r>
              <w:rPr>
                <w:sz w:val="22"/>
              </w:rPr>
              <w:t>C6:0</w:t>
            </w:r>
          </w:p>
        </w:tc>
        <w:tc>
          <w:tcPr>
            <w:tcW w:w="1342" w:type="dxa"/>
            <w:tcBorders>
              <w:top w:val="nil"/>
              <w:left w:val="nil"/>
              <w:bottom w:val="nil"/>
              <w:right w:val="nil"/>
            </w:tcBorders>
          </w:tcPr>
          <w:p>
            <w:pPr>
              <w:pStyle w:val="TableParagraph"/>
              <w:spacing w:before="89"/>
              <w:ind w:right="319"/>
              <w:jc w:val="right"/>
              <w:rPr>
                <w:sz w:val="22"/>
              </w:rPr>
            </w:pPr>
            <w:r>
              <w:rPr>
                <w:sz w:val="22"/>
              </w:rPr>
              <w:t>2.48</w:t>
            </w:r>
          </w:p>
        </w:tc>
        <w:tc>
          <w:tcPr>
            <w:tcW w:w="992" w:type="dxa"/>
            <w:tcBorders>
              <w:top w:val="nil"/>
              <w:left w:val="nil"/>
              <w:bottom w:val="nil"/>
              <w:right w:val="nil"/>
            </w:tcBorders>
          </w:tcPr>
          <w:p>
            <w:pPr>
              <w:pStyle w:val="TableParagraph"/>
              <w:spacing w:before="89"/>
              <w:ind w:left="247" w:right="210"/>
              <w:jc w:val="center"/>
              <w:rPr>
                <w:sz w:val="22"/>
              </w:rPr>
            </w:pPr>
            <w:r>
              <w:rPr>
                <w:sz w:val="22"/>
              </w:rPr>
              <w:t>2.44</w:t>
            </w:r>
          </w:p>
        </w:tc>
        <w:tc>
          <w:tcPr>
            <w:tcW w:w="928" w:type="dxa"/>
            <w:tcBorders>
              <w:top w:val="nil"/>
              <w:left w:val="nil"/>
              <w:bottom w:val="nil"/>
              <w:right w:val="nil"/>
            </w:tcBorders>
          </w:tcPr>
          <w:p>
            <w:pPr>
              <w:pStyle w:val="TableParagraph"/>
              <w:spacing w:before="89"/>
              <w:ind w:left="209" w:right="182"/>
              <w:jc w:val="center"/>
              <w:rPr>
                <w:sz w:val="22"/>
              </w:rPr>
            </w:pPr>
            <w:r>
              <w:rPr>
                <w:sz w:val="22"/>
              </w:rPr>
              <w:t>2.40</w:t>
            </w:r>
          </w:p>
        </w:tc>
        <w:tc>
          <w:tcPr>
            <w:tcW w:w="1207" w:type="dxa"/>
            <w:tcBorders>
              <w:top w:val="nil"/>
              <w:left w:val="nil"/>
              <w:bottom w:val="nil"/>
              <w:right w:val="nil"/>
            </w:tcBorders>
          </w:tcPr>
          <w:p>
            <w:pPr>
              <w:pStyle w:val="TableParagraph"/>
              <w:spacing w:before="89"/>
              <w:ind w:left="201"/>
              <w:rPr>
                <w:sz w:val="22"/>
              </w:rPr>
            </w:pPr>
            <w:r>
              <w:rPr>
                <w:sz w:val="22"/>
              </w:rPr>
              <w:t>0.0574</w:t>
            </w:r>
          </w:p>
        </w:tc>
        <w:tc>
          <w:tcPr>
            <w:tcW w:w="1467" w:type="dxa"/>
            <w:tcBorders>
              <w:top w:val="nil"/>
              <w:left w:val="nil"/>
              <w:bottom w:val="nil"/>
              <w:right w:val="nil"/>
            </w:tcBorders>
          </w:tcPr>
          <w:p>
            <w:pPr>
              <w:pStyle w:val="TableParagraph"/>
              <w:spacing w:before="89"/>
              <w:ind w:left="398"/>
              <w:rPr>
                <w:sz w:val="22"/>
              </w:rPr>
            </w:pPr>
            <w:r>
              <w:rPr>
                <w:sz w:val="22"/>
              </w:rPr>
              <w:t>0.6209</w:t>
            </w:r>
          </w:p>
        </w:tc>
        <w:tc>
          <w:tcPr>
            <w:tcW w:w="1404" w:type="dxa"/>
            <w:tcBorders>
              <w:top w:val="nil"/>
              <w:left w:val="nil"/>
              <w:bottom w:val="nil"/>
              <w:right w:val="nil"/>
            </w:tcBorders>
          </w:tcPr>
          <w:p>
            <w:pPr>
              <w:pStyle w:val="TableParagraph"/>
              <w:spacing w:before="89"/>
              <w:ind w:right="333"/>
              <w:jc w:val="right"/>
              <w:rPr>
                <w:sz w:val="22"/>
              </w:rPr>
            </w:pPr>
            <w:r>
              <w:rPr>
                <w:sz w:val="22"/>
              </w:rPr>
              <w:t>0.4881</w:t>
            </w:r>
          </w:p>
        </w:tc>
      </w:tr>
      <w:tr>
        <w:trPr>
          <w:trHeight w:val="452" w:hRule="exact"/>
        </w:trPr>
        <w:tc>
          <w:tcPr>
            <w:tcW w:w="1716" w:type="dxa"/>
            <w:tcBorders>
              <w:top w:val="nil"/>
              <w:left w:val="nil"/>
              <w:bottom w:val="nil"/>
              <w:right w:val="nil"/>
            </w:tcBorders>
          </w:tcPr>
          <w:p>
            <w:pPr>
              <w:pStyle w:val="TableParagraph"/>
              <w:spacing w:before="88"/>
              <w:ind w:left="107"/>
              <w:rPr>
                <w:sz w:val="22"/>
              </w:rPr>
            </w:pPr>
            <w:r>
              <w:rPr>
                <w:sz w:val="22"/>
              </w:rPr>
              <w:t>C8:0</w:t>
            </w:r>
          </w:p>
        </w:tc>
        <w:tc>
          <w:tcPr>
            <w:tcW w:w="1342" w:type="dxa"/>
            <w:tcBorders>
              <w:top w:val="nil"/>
              <w:left w:val="nil"/>
              <w:bottom w:val="nil"/>
              <w:right w:val="nil"/>
            </w:tcBorders>
          </w:tcPr>
          <w:p>
            <w:pPr>
              <w:pStyle w:val="TableParagraph"/>
              <w:spacing w:before="88"/>
              <w:ind w:right="319"/>
              <w:jc w:val="right"/>
              <w:rPr>
                <w:sz w:val="22"/>
              </w:rPr>
            </w:pPr>
            <w:r>
              <w:rPr>
                <w:sz w:val="22"/>
              </w:rPr>
              <w:t>1.48</w:t>
            </w:r>
          </w:p>
        </w:tc>
        <w:tc>
          <w:tcPr>
            <w:tcW w:w="992" w:type="dxa"/>
            <w:tcBorders>
              <w:top w:val="nil"/>
              <w:left w:val="nil"/>
              <w:bottom w:val="nil"/>
              <w:right w:val="nil"/>
            </w:tcBorders>
          </w:tcPr>
          <w:p>
            <w:pPr>
              <w:pStyle w:val="TableParagraph"/>
              <w:spacing w:before="88"/>
              <w:ind w:left="247" w:right="210"/>
              <w:jc w:val="center"/>
              <w:rPr>
                <w:sz w:val="22"/>
              </w:rPr>
            </w:pPr>
            <w:r>
              <w:rPr>
                <w:sz w:val="22"/>
              </w:rPr>
              <w:t>1.47</w:t>
            </w:r>
          </w:p>
        </w:tc>
        <w:tc>
          <w:tcPr>
            <w:tcW w:w="928" w:type="dxa"/>
            <w:tcBorders>
              <w:top w:val="nil"/>
              <w:left w:val="nil"/>
              <w:bottom w:val="nil"/>
              <w:right w:val="nil"/>
            </w:tcBorders>
          </w:tcPr>
          <w:p>
            <w:pPr>
              <w:pStyle w:val="TableParagraph"/>
              <w:spacing w:before="88"/>
              <w:ind w:left="209" w:right="182"/>
              <w:jc w:val="center"/>
              <w:rPr>
                <w:sz w:val="22"/>
              </w:rPr>
            </w:pPr>
            <w:r>
              <w:rPr>
                <w:sz w:val="22"/>
              </w:rPr>
              <w:t>1.43</w:t>
            </w:r>
          </w:p>
        </w:tc>
        <w:tc>
          <w:tcPr>
            <w:tcW w:w="1207" w:type="dxa"/>
            <w:tcBorders>
              <w:top w:val="nil"/>
              <w:left w:val="nil"/>
              <w:bottom w:val="nil"/>
              <w:right w:val="nil"/>
            </w:tcBorders>
          </w:tcPr>
          <w:p>
            <w:pPr>
              <w:pStyle w:val="TableParagraph"/>
              <w:spacing w:before="88"/>
              <w:ind w:left="201"/>
              <w:rPr>
                <w:sz w:val="22"/>
              </w:rPr>
            </w:pPr>
            <w:r>
              <w:rPr>
                <w:sz w:val="22"/>
              </w:rPr>
              <w:t>0.0420</w:t>
            </w:r>
          </w:p>
        </w:tc>
        <w:tc>
          <w:tcPr>
            <w:tcW w:w="1467" w:type="dxa"/>
            <w:tcBorders>
              <w:top w:val="nil"/>
              <w:left w:val="nil"/>
              <w:bottom w:val="nil"/>
              <w:right w:val="nil"/>
            </w:tcBorders>
          </w:tcPr>
          <w:p>
            <w:pPr>
              <w:pStyle w:val="TableParagraph"/>
              <w:spacing w:before="88"/>
              <w:ind w:left="398"/>
              <w:rPr>
                <w:sz w:val="22"/>
              </w:rPr>
            </w:pPr>
            <w:r>
              <w:rPr>
                <w:sz w:val="22"/>
              </w:rPr>
              <w:t>0.7571</w:t>
            </w:r>
          </w:p>
        </w:tc>
        <w:tc>
          <w:tcPr>
            <w:tcW w:w="1404" w:type="dxa"/>
            <w:tcBorders>
              <w:top w:val="nil"/>
              <w:left w:val="nil"/>
              <w:bottom w:val="nil"/>
              <w:right w:val="nil"/>
            </w:tcBorders>
          </w:tcPr>
          <w:p>
            <w:pPr>
              <w:pStyle w:val="TableParagraph"/>
              <w:spacing w:before="88"/>
              <w:ind w:right="333"/>
              <w:jc w:val="right"/>
              <w:rPr>
                <w:sz w:val="22"/>
              </w:rPr>
            </w:pPr>
            <w:r>
              <w:rPr>
                <w:sz w:val="22"/>
              </w:rPr>
              <w:t>0.6695</w:t>
            </w:r>
          </w:p>
        </w:tc>
      </w:tr>
      <w:tr>
        <w:trPr>
          <w:trHeight w:val="452" w:hRule="exact"/>
        </w:trPr>
        <w:tc>
          <w:tcPr>
            <w:tcW w:w="1716" w:type="dxa"/>
            <w:tcBorders>
              <w:top w:val="nil"/>
              <w:left w:val="nil"/>
              <w:bottom w:val="nil"/>
              <w:right w:val="nil"/>
            </w:tcBorders>
          </w:tcPr>
          <w:p>
            <w:pPr>
              <w:pStyle w:val="TableParagraph"/>
              <w:spacing w:before="87"/>
              <w:ind w:left="107"/>
              <w:rPr>
                <w:sz w:val="22"/>
              </w:rPr>
            </w:pPr>
            <w:r>
              <w:rPr>
                <w:sz w:val="22"/>
              </w:rPr>
              <w:t>C10:0</w:t>
            </w:r>
          </w:p>
        </w:tc>
        <w:tc>
          <w:tcPr>
            <w:tcW w:w="1342" w:type="dxa"/>
            <w:tcBorders>
              <w:top w:val="nil"/>
              <w:left w:val="nil"/>
              <w:bottom w:val="nil"/>
              <w:right w:val="nil"/>
            </w:tcBorders>
          </w:tcPr>
          <w:p>
            <w:pPr>
              <w:pStyle w:val="TableParagraph"/>
              <w:spacing w:before="87"/>
              <w:ind w:right="319"/>
              <w:jc w:val="right"/>
              <w:rPr>
                <w:sz w:val="22"/>
              </w:rPr>
            </w:pPr>
            <w:r>
              <w:rPr>
                <w:sz w:val="22"/>
              </w:rPr>
              <w:t>3.14</w:t>
            </w:r>
          </w:p>
        </w:tc>
        <w:tc>
          <w:tcPr>
            <w:tcW w:w="992" w:type="dxa"/>
            <w:tcBorders>
              <w:top w:val="nil"/>
              <w:left w:val="nil"/>
              <w:bottom w:val="nil"/>
              <w:right w:val="nil"/>
            </w:tcBorders>
          </w:tcPr>
          <w:p>
            <w:pPr>
              <w:pStyle w:val="TableParagraph"/>
              <w:spacing w:before="87"/>
              <w:ind w:left="247" w:right="210"/>
              <w:jc w:val="center"/>
              <w:rPr>
                <w:sz w:val="22"/>
              </w:rPr>
            </w:pPr>
            <w:r>
              <w:rPr>
                <w:sz w:val="22"/>
              </w:rPr>
              <w:t>3.10</w:t>
            </w:r>
          </w:p>
        </w:tc>
        <w:tc>
          <w:tcPr>
            <w:tcW w:w="928" w:type="dxa"/>
            <w:tcBorders>
              <w:top w:val="nil"/>
              <w:left w:val="nil"/>
              <w:bottom w:val="nil"/>
              <w:right w:val="nil"/>
            </w:tcBorders>
          </w:tcPr>
          <w:p>
            <w:pPr>
              <w:pStyle w:val="TableParagraph"/>
              <w:spacing w:before="87"/>
              <w:ind w:left="209" w:right="182"/>
              <w:jc w:val="center"/>
              <w:rPr>
                <w:sz w:val="22"/>
              </w:rPr>
            </w:pPr>
            <w:r>
              <w:rPr>
                <w:sz w:val="22"/>
              </w:rPr>
              <w:t>2.99</w:t>
            </w:r>
          </w:p>
        </w:tc>
        <w:tc>
          <w:tcPr>
            <w:tcW w:w="1207" w:type="dxa"/>
            <w:tcBorders>
              <w:top w:val="nil"/>
              <w:left w:val="nil"/>
              <w:bottom w:val="nil"/>
              <w:right w:val="nil"/>
            </w:tcBorders>
          </w:tcPr>
          <w:p>
            <w:pPr>
              <w:pStyle w:val="TableParagraph"/>
              <w:spacing w:before="87"/>
              <w:ind w:left="201"/>
              <w:rPr>
                <w:sz w:val="22"/>
              </w:rPr>
            </w:pPr>
            <w:r>
              <w:rPr>
                <w:sz w:val="22"/>
              </w:rPr>
              <w:t>0.1499</w:t>
            </w:r>
          </w:p>
        </w:tc>
        <w:tc>
          <w:tcPr>
            <w:tcW w:w="1467" w:type="dxa"/>
            <w:tcBorders>
              <w:top w:val="nil"/>
              <w:left w:val="nil"/>
              <w:bottom w:val="nil"/>
              <w:right w:val="nil"/>
            </w:tcBorders>
          </w:tcPr>
          <w:p>
            <w:pPr>
              <w:pStyle w:val="TableParagraph"/>
              <w:spacing w:before="87"/>
              <w:ind w:left="398"/>
              <w:rPr>
                <w:sz w:val="22"/>
              </w:rPr>
            </w:pPr>
            <w:r>
              <w:rPr>
                <w:sz w:val="22"/>
              </w:rPr>
              <w:t>0.8011</w:t>
            </w:r>
          </w:p>
        </w:tc>
        <w:tc>
          <w:tcPr>
            <w:tcW w:w="1404" w:type="dxa"/>
            <w:tcBorders>
              <w:top w:val="nil"/>
              <w:left w:val="nil"/>
              <w:bottom w:val="nil"/>
              <w:right w:val="nil"/>
            </w:tcBorders>
          </w:tcPr>
          <w:p>
            <w:pPr>
              <w:pStyle w:val="TableParagraph"/>
              <w:spacing w:before="87"/>
              <w:ind w:right="333"/>
              <w:jc w:val="right"/>
              <w:rPr>
                <w:sz w:val="22"/>
              </w:rPr>
            </w:pPr>
            <w:r>
              <w:rPr>
                <w:sz w:val="22"/>
              </w:rPr>
              <w:t>0.7300</w:t>
            </w:r>
          </w:p>
        </w:tc>
      </w:tr>
      <w:tr>
        <w:trPr>
          <w:trHeight w:val="454" w:hRule="exact"/>
        </w:trPr>
        <w:tc>
          <w:tcPr>
            <w:tcW w:w="1716" w:type="dxa"/>
            <w:tcBorders>
              <w:top w:val="nil"/>
              <w:left w:val="nil"/>
              <w:bottom w:val="nil"/>
              <w:right w:val="nil"/>
            </w:tcBorders>
          </w:tcPr>
          <w:p>
            <w:pPr>
              <w:pStyle w:val="TableParagraph"/>
              <w:spacing w:before="88"/>
              <w:ind w:left="107"/>
              <w:rPr>
                <w:sz w:val="22"/>
              </w:rPr>
            </w:pPr>
            <w:r>
              <w:rPr>
                <w:sz w:val="22"/>
              </w:rPr>
              <w:t>C11:0</w:t>
            </w:r>
          </w:p>
        </w:tc>
        <w:tc>
          <w:tcPr>
            <w:tcW w:w="1342" w:type="dxa"/>
            <w:tcBorders>
              <w:top w:val="nil"/>
              <w:left w:val="nil"/>
              <w:bottom w:val="nil"/>
              <w:right w:val="nil"/>
            </w:tcBorders>
          </w:tcPr>
          <w:p>
            <w:pPr>
              <w:pStyle w:val="TableParagraph"/>
              <w:spacing w:before="88"/>
              <w:ind w:right="319"/>
              <w:jc w:val="right"/>
              <w:rPr>
                <w:sz w:val="22"/>
              </w:rPr>
            </w:pPr>
            <w:r>
              <w:rPr>
                <w:sz w:val="22"/>
              </w:rPr>
              <w:t>0.49</w:t>
            </w:r>
          </w:p>
        </w:tc>
        <w:tc>
          <w:tcPr>
            <w:tcW w:w="992" w:type="dxa"/>
            <w:tcBorders>
              <w:top w:val="nil"/>
              <w:left w:val="nil"/>
              <w:bottom w:val="nil"/>
              <w:right w:val="nil"/>
            </w:tcBorders>
          </w:tcPr>
          <w:p>
            <w:pPr>
              <w:pStyle w:val="TableParagraph"/>
              <w:spacing w:before="88"/>
              <w:ind w:left="247" w:right="210"/>
              <w:jc w:val="center"/>
              <w:rPr>
                <w:sz w:val="22"/>
              </w:rPr>
            </w:pPr>
            <w:r>
              <w:rPr>
                <w:sz w:val="22"/>
              </w:rPr>
              <w:t>0.46</w:t>
            </w:r>
          </w:p>
        </w:tc>
        <w:tc>
          <w:tcPr>
            <w:tcW w:w="928" w:type="dxa"/>
            <w:tcBorders>
              <w:top w:val="nil"/>
              <w:left w:val="nil"/>
              <w:bottom w:val="nil"/>
              <w:right w:val="nil"/>
            </w:tcBorders>
          </w:tcPr>
          <w:p>
            <w:pPr>
              <w:pStyle w:val="TableParagraph"/>
              <w:spacing w:before="88"/>
              <w:ind w:left="209" w:right="182"/>
              <w:jc w:val="center"/>
              <w:rPr>
                <w:sz w:val="22"/>
              </w:rPr>
            </w:pPr>
            <w:r>
              <w:rPr>
                <w:sz w:val="22"/>
              </w:rPr>
              <w:t>0.47</w:t>
            </w:r>
          </w:p>
        </w:tc>
        <w:tc>
          <w:tcPr>
            <w:tcW w:w="1207" w:type="dxa"/>
            <w:tcBorders>
              <w:top w:val="nil"/>
              <w:left w:val="nil"/>
              <w:bottom w:val="nil"/>
              <w:right w:val="nil"/>
            </w:tcBorders>
          </w:tcPr>
          <w:p>
            <w:pPr>
              <w:pStyle w:val="TableParagraph"/>
              <w:spacing w:before="88"/>
              <w:ind w:left="201"/>
              <w:rPr>
                <w:sz w:val="22"/>
              </w:rPr>
            </w:pPr>
            <w:r>
              <w:rPr>
                <w:sz w:val="22"/>
              </w:rPr>
              <w:t>0.0276</w:t>
            </w:r>
          </w:p>
        </w:tc>
        <w:tc>
          <w:tcPr>
            <w:tcW w:w="1467" w:type="dxa"/>
            <w:tcBorders>
              <w:top w:val="nil"/>
              <w:left w:val="nil"/>
              <w:bottom w:val="nil"/>
              <w:right w:val="nil"/>
            </w:tcBorders>
          </w:tcPr>
          <w:p>
            <w:pPr>
              <w:pStyle w:val="TableParagraph"/>
              <w:spacing w:before="88"/>
              <w:ind w:left="398"/>
              <w:rPr>
                <w:sz w:val="22"/>
              </w:rPr>
            </w:pPr>
            <w:r>
              <w:rPr>
                <w:sz w:val="22"/>
              </w:rPr>
              <w:t>0.5769</w:t>
            </w:r>
          </w:p>
        </w:tc>
        <w:tc>
          <w:tcPr>
            <w:tcW w:w="1404" w:type="dxa"/>
            <w:tcBorders>
              <w:top w:val="nil"/>
              <w:left w:val="nil"/>
              <w:bottom w:val="nil"/>
              <w:right w:val="nil"/>
            </w:tcBorders>
          </w:tcPr>
          <w:p>
            <w:pPr>
              <w:pStyle w:val="TableParagraph"/>
              <w:spacing w:before="88"/>
              <w:ind w:right="333"/>
              <w:jc w:val="right"/>
              <w:rPr>
                <w:sz w:val="22"/>
              </w:rPr>
            </w:pPr>
            <w:r>
              <w:rPr>
                <w:sz w:val="22"/>
              </w:rPr>
              <w:t>0.3464</w:t>
            </w:r>
          </w:p>
        </w:tc>
      </w:tr>
      <w:tr>
        <w:trPr>
          <w:trHeight w:val="454" w:hRule="exact"/>
        </w:trPr>
        <w:tc>
          <w:tcPr>
            <w:tcW w:w="1716" w:type="dxa"/>
            <w:tcBorders>
              <w:top w:val="nil"/>
              <w:left w:val="nil"/>
              <w:bottom w:val="nil"/>
              <w:right w:val="nil"/>
            </w:tcBorders>
          </w:tcPr>
          <w:p>
            <w:pPr>
              <w:pStyle w:val="TableParagraph"/>
              <w:spacing w:before="88"/>
              <w:ind w:left="107"/>
              <w:rPr>
                <w:sz w:val="22"/>
              </w:rPr>
            </w:pPr>
            <w:r>
              <w:rPr>
                <w:sz w:val="22"/>
              </w:rPr>
              <w:t>C12:0</w:t>
            </w:r>
          </w:p>
        </w:tc>
        <w:tc>
          <w:tcPr>
            <w:tcW w:w="1342" w:type="dxa"/>
            <w:tcBorders>
              <w:top w:val="nil"/>
              <w:left w:val="nil"/>
              <w:bottom w:val="nil"/>
              <w:right w:val="nil"/>
            </w:tcBorders>
          </w:tcPr>
          <w:p>
            <w:pPr>
              <w:pStyle w:val="TableParagraph"/>
              <w:spacing w:before="88"/>
              <w:ind w:right="319"/>
              <w:jc w:val="right"/>
              <w:rPr>
                <w:sz w:val="22"/>
              </w:rPr>
            </w:pPr>
            <w:r>
              <w:rPr>
                <w:sz w:val="22"/>
              </w:rPr>
              <w:t>3.63</w:t>
            </w:r>
          </w:p>
        </w:tc>
        <w:tc>
          <w:tcPr>
            <w:tcW w:w="992" w:type="dxa"/>
            <w:tcBorders>
              <w:top w:val="nil"/>
              <w:left w:val="nil"/>
              <w:bottom w:val="nil"/>
              <w:right w:val="nil"/>
            </w:tcBorders>
          </w:tcPr>
          <w:p>
            <w:pPr>
              <w:pStyle w:val="TableParagraph"/>
              <w:spacing w:before="88"/>
              <w:ind w:left="247" w:right="210"/>
              <w:jc w:val="center"/>
              <w:rPr>
                <w:sz w:val="22"/>
              </w:rPr>
            </w:pPr>
            <w:r>
              <w:rPr>
                <w:sz w:val="22"/>
              </w:rPr>
              <w:t>3.52</w:t>
            </w:r>
          </w:p>
        </w:tc>
        <w:tc>
          <w:tcPr>
            <w:tcW w:w="928" w:type="dxa"/>
            <w:tcBorders>
              <w:top w:val="nil"/>
              <w:left w:val="nil"/>
              <w:bottom w:val="nil"/>
              <w:right w:val="nil"/>
            </w:tcBorders>
          </w:tcPr>
          <w:p>
            <w:pPr>
              <w:pStyle w:val="TableParagraph"/>
              <w:spacing w:before="88"/>
              <w:ind w:left="209" w:right="182"/>
              <w:jc w:val="center"/>
              <w:rPr>
                <w:sz w:val="22"/>
              </w:rPr>
            </w:pPr>
            <w:r>
              <w:rPr>
                <w:sz w:val="22"/>
              </w:rPr>
              <w:t>3.45</w:t>
            </w:r>
          </w:p>
        </w:tc>
        <w:tc>
          <w:tcPr>
            <w:tcW w:w="1207" w:type="dxa"/>
            <w:tcBorders>
              <w:top w:val="nil"/>
              <w:left w:val="nil"/>
              <w:bottom w:val="nil"/>
              <w:right w:val="nil"/>
            </w:tcBorders>
          </w:tcPr>
          <w:p>
            <w:pPr>
              <w:pStyle w:val="TableParagraph"/>
              <w:spacing w:before="88"/>
              <w:ind w:left="201"/>
              <w:rPr>
                <w:sz w:val="22"/>
              </w:rPr>
            </w:pPr>
            <w:r>
              <w:rPr>
                <w:sz w:val="22"/>
              </w:rPr>
              <w:t>0.1835</w:t>
            </w:r>
          </w:p>
        </w:tc>
        <w:tc>
          <w:tcPr>
            <w:tcW w:w="1467" w:type="dxa"/>
            <w:tcBorders>
              <w:top w:val="nil"/>
              <w:left w:val="nil"/>
              <w:bottom w:val="nil"/>
              <w:right w:val="nil"/>
            </w:tcBorders>
          </w:tcPr>
          <w:p>
            <w:pPr>
              <w:pStyle w:val="TableParagraph"/>
              <w:spacing w:before="88"/>
              <w:ind w:left="398"/>
              <w:rPr>
                <w:sz w:val="22"/>
              </w:rPr>
            </w:pPr>
            <w:r>
              <w:rPr>
                <w:sz w:val="22"/>
              </w:rPr>
              <w:t>0.9320</w:t>
            </w:r>
          </w:p>
        </w:tc>
        <w:tc>
          <w:tcPr>
            <w:tcW w:w="1404" w:type="dxa"/>
            <w:tcBorders>
              <w:top w:val="nil"/>
              <w:left w:val="nil"/>
              <w:bottom w:val="nil"/>
              <w:right w:val="nil"/>
            </w:tcBorders>
          </w:tcPr>
          <w:p>
            <w:pPr>
              <w:pStyle w:val="TableParagraph"/>
              <w:spacing w:before="88"/>
              <w:ind w:right="333"/>
              <w:jc w:val="right"/>
              <w:rPr>
                <w:sz w:val="22"/>
              </w:rPr>
            </w:pPr>
            <w:r>
              <w:rPr>
                <w:sz w:val="22"/>
              </w:rPr>
              <w:t>0.6601</w:t>
            </w:r>
          </w:p>
        </w:tc>
      </w:tr>
      <w:tr>
        <w:trPr>
          <w:trHeight w:val="452" w:hRule="exact"/>
        </w:trPr>
        <w:tc>
          <w:tcPr>
            <w:tcW w:w="1716" w:type="dxa"/>
            <w:tcBorders>
              <w:top w:val="nil"/>
              <w:left w:val="nil"/>
              <w:bottom w:val="nil"/>
              <w:right w:val="nil"/>
            </w:tcBorders>
          </w:tcPr>
          <w:p>
            <w:pPr>
              <w:pStyle w:val="TableParagraph"/>
              <w:spacing w:before="88"/>
              <w:ind w:left="107"/>
              <w:rPr>
                <w:sz w:val="22"/>
              </w:rPr>
            </w:pPr>
            <w:r>
              <w:rPr>
                <w:sz w:val="22"/>
              </w:rPr>
              <w:t>C13:0</w:t>
            </w:r>
          </w:p>
        </w:tc>
        <w:tc>
          <w:tcPr>
            <w:tcW w:w="1342" w:type="dxa"/>
            <w:tcBorders>
              <w:top w:val="nil"/>
              <w:left w:val="nil"/>
              <w:bottom w:val="nil"/>
              <w:right w:val="nil"/>
            </w:tcBorders>
          </w:tcPr>
          <w:p>
            <w:pPr>
              <w:pStyle w:val="TableParagraph"/>
              <w:spacing w:before="88"/>
              <w:ind w:right="319"/>
              <w:jc w:val="right"/>
              <w:rPr>
                <w:sz w:val="22"/>
              </w:rPr>
            </w:pPr>
            <w:r>
              <w:rPr>
                <w:sz w:val="22"/>
              </w:rPr>
              <w:t>0.21</w:t>
            </w:r>
          </w:p>
        </w:tc>
        <w:tc>
          <w:tcPr>
            <w:tcW w:w="992" w:type="dxa"/>
            <w:tcBorders>
              <w:top w:val="nil"/>
              <w:left w:val="nil"/>
              <w:bottom w:val="nil"/>
              <w:right w:val="nil"/>
            </w:tcBorders>
          </w:tcPr>
          <w:p>
            <w:pPr>
              <w:pStyle w:val="TableParagraph"/>
              <w:spacing w:before="88"/>
              <w:ind w:left="247" w:right="210"/>
              <w:jc w:val="center"/>
              <w:rPr>
                <w:sz w:val="22"/>
              </w:rPr>
            </w:pPr>
            <w:r>
              <w:rPr>
                <w:sz w:val="22"/>
              </w:rPr>
              <w:t>0.21</w:t>
            </w:r>
          </w:p>
        </w:tc>
        <w:tc>
          <w:tcPr>
            <w:tcW w:w="928" w:type="dxa"/>
            <w:tcBorders>
              <w:top w:val="nil"/>
              <w:left w:val="nil"/>
              <w:bottom w:val="nil"/>
              <w:right w:val="nil"/>
            </w:tcBorders>
          </w:tcPr>
          <w:p>
            <w:pPr>
              <w:pStyle w:val="TableParagraph"/>
              <w:spacing w:before="88"/>
              <w:ind w:left="209" w:right="182"/>
              <w:jc w:val="center"/>
              <w:rPr>
                <w:sz w:val="22"/>
              </w:rPr>
            </w:pPr>
            <w:r>
              <w:rPr>
                <w:sz w:val="22"/>
              </w:rPr>
              <w:t>0.21</w:t>
            </w:r>
          </w:p>
        </w:tc>
        <w:tc>
          <w:tcPr>
            <w:tcW w:w="1207" w:type="dxa"/>
            <w:tcBorders>
              <w:top w:val="nil"/>
              <w:left w:val="nil"/>
              <w:bottom w:val="nil"/>
              <w:right w:val="nil"/>
            </w:tcBorders>
          </w:tcPr>
          <w:p>
            <w:pPr>
              <w:pStyle w:val="TableParagraph"/>
              <w:spacing w:before="88"/>
              <w:ind w:left="201"/>
              <w:rPr>
                <w:sz w:val="22"/>
              </w:rPr>
            </w:pPr>
            <w:r>
              <w:rPr>
                <w:sz w:val="22"/>
              </w:rPr>
              <w:t>0.0219</w:t>
            </w:r>
          </w:p>
        </w:tc>
        <w:tc>
          <w:tcPr>
            <w:tcW w:w="1467" w:type="dxa"/>
            <w:tcBorders>
              <w:top w:val="nil"/>
              <w:left w:val="nil"/>
              <w:bottom w:val="nil"/>
              <w:right w:val="nil"/>
            </w:tcBorders>
          </w:tcPr>
          <w:p>
            <w:pPr>
              <w:pStyle w:val="TableParagraph"/>
              <w:spacing w:before="88"/>
              <w:ind w:left="398"/>
              <w:rPr>
                <w:sz w:val="22"/>
              </w:rPr>
            </w:pPr>
            <w:r>
              <w:rPr>
                <w:sz w:val="22"/>
              </w:rPr>
              <w:t>0.6374</w:t>
            </w:r>
          </w:p>
        </w:tc>
        <w:tc>
          <w:tcPr>
            <w:tcW w:w="1404" w:type="dxa"/>
            <w:tcBorders>
              <w:top w:val="nil"/>
              <w:left w:val="nil"/>
              <w:bottom w:val="nil"/>
              <w:right w:val="nil"/>
            </w:tcBorders>
          </w:tcPr>
          <w:p>
            <w:pPr>
              <w:pStyle w:val="TableParagraph"/>
              <w:spacing w:before="88"/>
              <w:ind w:right="333"/>
              <w:jc w:val="right"/>
              <w:rPr>
                <w:sz w:val="22"/>
              </w:rPr>
            </w:pPr>
            <w:r>
              <w:rPr>
                <w:sz w:val="22"/>
              </w:rPr>
              <w:t>0.5431</w:t>
            </w:r>
          </w:p>
        </w:tc>
      </w:tr>
      <w:tr>
        <w:trPr>
          <w:trHeight w:val="453" w:hRule="exact"/>
        </w:trPr>
        <w:tc>
          <w:tcPr>
            <w:tcW w:w="1716" w:type="dxa"/>
            <w:tcBorders>
              <w:top w:val="nil"/>
              <w:left w:val="nil"/>
              <w:bottom w:val="nil"/>
              <w:right w:val="nil"/>
            </w:tcBorders>
          </w:tcPr>
          <w:p>
            <w:pPr>
              <w:pStyle w:val="TableParagraph"/>
              <w:spacing w:before="87"/>
              <w:ind w:left="107"/>
              <w:rPr>
                <w:sz w:val="22"/>
              </w:rPr>
            </w:pPr>
            <w:r>
              <w:rPr>
                <w:sz w:val="22"/>
              </w:rPr>
              <w:t>C14:0</w:t>
            </w:r>
          </w:p>
        </w:tc>
        <w:tc>
          <w:tcPr>
            <w:tcW w:w="1342" w:type="dxa"/>
            <w:tcBorders>
              <w:top w:val="nil"/>
              <w:left w:val="nil"/>
              <w:bottom w:val="nil"/>
              <w:right w:val="nil"/>
            </w:tcBorders>
          </w:tcPr>
          <w:p>
            <w:pPr>
              <w:pStyle w:val="TableParagraph"/>
              <w:spacing w:before="87"/>
              <w:ind w:right="264"/>
              <w:jc w:val="right"/>
              <w:rPr>
                <w:sz w:val="22"/>
              </w:rPr>
            </w:pPr>
            <w:r>
              <w:rPr>
                <w:sz w:val="22"/>
              </w:rPr>
              <w:t>12.07</w:t>
            </w:r>
          </w:p>
        </w:tc>
        <w:tc>
          <w:tcPr>
            <w:tcW w:w="992" w:type="dxa"/>
            <w:tcBorders>
              <w:top w:val="nil"/>
              <w:left w:val="nil"/>
              <w:bottom w:val="nil"/>
              <w:right w:val="nil"/>
            </w:tcBorders>
          </w:tcPr>
          <w:p>
            <w:pPr>
              <w:pStyle w:val="TableParagraph"/>
              <w:spacing w:before="87"/>
              <w:ind w:left="247" w:right="210"/>
              <w:jc w:val="center"/>
              <w:rPr>
                <w:sz w:val="22"/>
              </w:rPr>
            </w:pPr>
            <w:r>
              <w:rPr>
                <w:sz w:val="22"/>
              </w:rPr>
              <w:t>11.99</w:t>
            </w:r>
          </w:p>
        </w:tc>
        <w:tc>
          <w:tcPr>
            <w:tcW w:w="928" w:type="dxa"/>
            <w:tcBorders>
              <w:top w:val="nil"/>
              <w:left w:val="nil"/>
              <w:bottom w:val="nil"/>
              <w:right w:val="nil"/>
            </w:tcBorders>
          </w:tcPr>
          <w:p>
            <w:pPr>
              <w:pStyle w:val="TableParagraph"/>
              <w:spacing w:before="87"/>
              <w:ind w:left="209" w:right="182"/>
              <w:jc w:val="center"/>
              <w:rPr>
                <w:sz w:val="22"/>
              </w:rPr>
            </w:pPr>
            <w:r>
              <w:rPr>
                <w:sz w:val="22"/>
              </w:rPr>
              <w:t>11.82</w:t>
            </w:r>
          </w:p>
        </w:tc>
        <w:tc>
          <w:tcPr>
            <w:tcW w:w="1207" w:type="dxa"/>
            <w:tcBorders>
              <w:top w:val="nil"/>
              <w:left w:val="nil"/>
              <w:bottom w:val="nil"/>
              <w:right w:val="nil"/>
            </w:tcBorders>
          </w:tcPr>
          <w:p>
            <w:pPr>
              <w:pStyle w:val="TableParagraph"/>
              <w:spacing w:before="87"/>
              <w:ind w:left="201"/>
              <w:rPr>
                <w:sz w:val="22"/>
              </w:rPr>
            </w:pPr>
            <w:r>
              <w:rPr>
                <w:sz w:val="22"/>
              </w:rPr>
              <w:t>0.3502</w:t>
            </w:r>
          </w:p>
        </w:tc>
        <w:tc>
          <w:tcPr>
            <w:tcW w:w="1467" w:type="dxa"/>
            <w:tcBorders>
              <w:top w:val="nil"/>
              <w:left w:val="nil"/>
              <w:bottom w:val="nil"/>
              <w:right w:val="nil"/>
            </w:tcBorders>
          </w:tcPr>
          <w:p>
            <w:pPr>
              <w:pStyle w:val="TableParagraph"/>
              <w:spacing w:before="87"/>
              <w:ind w:left="398"/>
              <w:rPr>
                <w:sz w:val="22"/>
              </w:rPr>
            </w:pPr>
            <w:r>
              <w:rPr>
                <w:sz w:val="22"/>
              </w:rPr>
              <w:t>0.9524</w:t>
            </w:r>
          </w:p>
        </w:tc>
        <w:tc>
          <w:tcPr>
            <w:tcW w:w="1404" w:type="dxa"/>
            <w:tcBorders>
              <w:top w:val="nil"/>
              <w:left w:val="nil"/>
              <w:bottom w:val="nil"/>
              <w:right w:val="nil"/>
            </w:tcBorders>
          </w:tcPr>
          <w:p>
            <w:pPr>
              <w:pStyle w:val="TableParagraph"/>
              <w:spacing w:before="87"/>
              <w:ind w:right="333"/>
              <w:jc w:val="right"/>
              <w:rPr>
                <w:sz w:val="22"/>
              </w:rPr>
            </w:pPr>
            <w:r>
              <w:rPr>
                <w:sz w:val="22"/>
              </w:rPr>
              <w:t>0.8770</w:t>
            </w:r>
          </w:p>
        </w:tc>
      </w:tr>
      <w:tr>
        <w:trPr>
          <w:trHeight w:val="454" w:hRule="exact"/>
        </w:trPr>
        <w:tc>
          <w:tcPr>
            <w:tcW w:w="1716" w:type="dxa"/>
            <w:tcBorders>
              <w:top w:val="nil"/>
              <w:left w:val="nil"/>
              <w:bottom w:val="nil"/>
              <w:right w:val="nil"/>
            </w:tcBorders>
          </w:tcPr>
          <w:p>
            <w:pPr>
              <w:pStyle w:val="TableParagraph"/>
              <w:spacing w:before="89"/>
              <w:ind w:left="107"/>
              <w:rPr>
                <w:sz w:val="22"/>
              </w:rPr>
            </w:pPr>
            <w:r>
              <w:rPr>
                <w:sz w:val="22"/>
              </w:rPr>
              <w:t>C14:1</w:t>
            </w:r>
          </w:p>
        </w:tc>
        <w:tc>
          <w:tcPr>
            <w:tcW w:w="1342" w:type="dxa"/>
            <w:tcBorders>
              <w:top w:val="nil"/>
              <w:left w:val="nil"/>
              <w:bottom w:val="nil"/>
              <w:right w:val="nil"/>
            </w:tcBorders>
          </w:tcPr>
          <w:p>
            <w:pPr>
              <w:pStyle w:val="TableParagraph"/>
              <w:spacing w:before="89"/>
              <w:ind w:right="319"/>
              <w:jc w:val="right"/>
              <w:rPr>
                <w:sz w:val="22"/>
              </w:rPr>
            </w:pPr>
            <w:r>
              <w:rPr>
                <w:sz w:val="22"/>
              </w:rPr>
              <w:t>1.34</w:t>
            </w:r>
          </w:p>
        </w:tc>
        <w:tc>
          <w:tcPr>
            <w:tcW w:w="992" w:type="dxa"/>
            <w:tcBorders>
              <w:top w:val="nil"/>
              <w:left w:val="nil"/>
              <w:bottom w:val="nil"/>
              <w:right w:val="nil"/>
            </w:tcBorders>
          </w:tcPr>
          <w:p>
            <w:pPr>
              <w:pStyle w:val="TableParagraph"/>
              <w:spacing w:before="89"/>
              <w:ind w:left="247" w:right="210"/>
              <w:jc w:val="center"/>
              <w:rPr>
                <w:sz w:val="22"/>
              </w:rPr>
            </w:pPr>
            <w:r>
              <w:rPr>
                <w:sz w:val="22"/>
              </w:rPr>
              <w:t>1.24</w:t>
            </w:r>
          </w:p>
        </w:tc>
        <w:tc>
          <w:tcPr>
            <w:tcW w:w="928" w:type="dxa"/>
            <w:tcBorders>
              <w:top w:val="nil"/>
              <w:left w:val="nil"/>
              <w:bottom w:val="nil"/>
              <w:right w:val="nil"/>
            </w:tcBorders>
          </w:tcPr>
          <w:p>
            <w:pPr>
              <w:pStyle w:val="TableParagraph"/>
              <w:spacing w:before="89"/>
              <w:ind w:left="209" w:right="182"/>
              <w:jc w:val="center"/>
              <w:rPr>
                <w:sz w:val="22"/>
              </w:rPr>
            </w:pPr>
            <w:r>
              <w:rPr>
                <w:sz w:val="22"/>
              </w:rPr>
              <w:t>1.33</w:t>
            </w:r>
          </w:p>
        </w:tc>
        <w:tc>
          <w:tcPr>
            <w:tcW w:w="1207" w:type="dxa"/>
            <w:tcBorders>
              <w:top w:val="nil"/>
              <w:left w:val="nil"/>
              <w:bottom w:val="nil"/>
              <w:right w:val="nil"/>
            </w:tcBorders>
          </w:tcPr>
          <w:p>
            <w:pPr>
              <w:pStyle w:val="TableParagraph"/>
              <w:spacing w:before="89"/>
              <w:ind w:left="201"/>
              <w:rPr>
                <w:sz w:val="22"/>
              </w:rPr>
            </w:pPr>
            <w:r>
              <w:rPr>
                <w:sz w:val="22"/>
              </w:rPr>
              <w:t>0.0573</w:t>
            </w:r>
          </w:p>
        </w:tc>
        <w:tc>
          <w:tcPr>
            <w:tcW w:w="1467" w:type="dxa"/>
            <w:tcBorders>
              <w:top w:val="nil"/>
              <w:left w:val="nil"/>
              <w:bottom w:val="nil"/>
              <w:right w:val="nil"/>
            </w:tcBorders>
          </w:tcPr>
          <w:p>
            <w:pPr>
              <w:pStyle w:val="TableParagraph"/>
              <w:spacing w:before="89"/>
              <w:ind w:left="398"/>
              <w:rPr>
                <w:sz w:val="22"/>
              </w:rPr>
            </w:pPr>
            <w:r>
              <w:rPr>
                <w:sz w:val="22"/>
              </w:rPr>
              <w:t>0.2717</w:t>
            </w:r>
          </w:p>
        </w:tc>
        <w:tc>
          <w:tcPr>
            <w:tcW w:w="1404" w:type="dxa"/>
            <w:tcBorders>
              <w:top w:val="nil"/>
              <w:left w:val="nil"/>
              <w:bottom w:val="nil"/>
              <w:right w:val="nil"/>
            </w:tcBorders>
          </w:tcPr>
          <w:p>
            <w:pPr>
              <w:pStyle w:val="TableParagraph"/>
              <w:spacing w:before="89"/>
              <w:ind w:right="333"/>
              <w:jc w:val="right"/>
              <w:rPr>
                <w:sz w:val="22"/>
              </w:rPr>
            </w:pPr>
            <w:r>
              <w:rPr>
                <w:sz w:val="22"/>
              </w:rPr>
              <w:t>0.3096</w:t>
            </w:r>
          </w:p>
        </w:tc>
      </w:tr>
      <w:tr>
        <w:trPr>
          <w:trHeight w:val="454" w:hRule="exact"/>
        </w:trPr>
        <w:tc>
          <w:tcPr>
            <w:tcW w:w="1716" w:type="dxa"/>
            <w:tcBorders>
              <w:top w:val="nil"/>
              <w:left w:val="nil"/>
              <w:bottom w:val="nil"/>
              <w:right w:val="nil"/>
            </w:tcBorders>
          </w:tcPr>
          <w:p>
            <w:pPr>
              <w:pStyle w:val="TableParagraph"/>
              <w:spacing w:before="88"/>
              <w:ind w:left="107"/>
              <w:rPr>
                <w:sz w:val="22"/>
              </w:rPr>
            </w:pPr>
            <w:r>
              <w:rPr>
                <w:sz w:val="22"/>
              </w:rPr>
              <w:t>C15:0</w:t>
            </w:r>
          </w:p>
        </w:tc>
        <w:tc>
          <w:tcPr>
            <w:tcW w:w="1342" w:type="dxa"/>
            <w:tcBorders>
              <w:top w:val="nil"/>
              <w:left w:val="nil"/>
              <w:bottom w:val="nil"/>
              <w:right w:val="nil"/>
            </w:tcBorders>
          </w:tcPr>
          <w:p>
            <w:pPr>
              <w:pStyle w:val="TableParagraph"/>
              <w:spacing w:before="88"/>
              <w:ind w:right="319"/>
              <w:jc w:val="right"/>
              <w:rPr>
                <w:sz w:val="22"/>
              </w:rPr>
            </w:pPr>
            <w:r>
              <w:rPr>
                <w:sz w:val="22"/>
              </w:rPr>
              <w:t>1.21</w:t>
            </w:r>
          </w:p>
        </w:tc>
        <w:tc>
          <w:tcPr>
            <w:tcW w:w="992" w:type="dxa"/>
            <w:tcBorders>
              <w:top w:val="nil"/>
              <w:left w:val="nil"/>
              <w:bottom w:val="nil"/>
              <w:right w:val="nil"/>
            </w:tcBorders>
          </w:tcPr>
          <w:p>
            <w:pPr>
              <w:pStyle w:val="TableParagraph"/>
              <w:spacing w:before="88"/>
              <w:ind w:left="247" w:right="210"/>
              <w:jc w:val="center"/>
              <w:rPr>
                <w:sz w:val="22"/>
              </w:rPr>
            </w:pPr>
            <w:r>
              <w:rPr>
                <w:sz w:val="22"/>
              </w:rPr>
              <w:t>1.17</w:t>
            </w:r>
          </w:p>
        </w:tc>
        <w:tc>
          <w:tcPr>
            <w:tcW w:w="928" w:type="dxa"/>
            <w:tcBorders>
              <w:top w:val="nil"/>
              <w:left w:val="nil"/>
              <w:bottom w:val="nil"/>
              <w:right w:val="nil"/>
            </w:tcBorders>
          </w:tcPr>
          <w:p>
            <w:pPr>
              <w:pStyle w:val="TableParagraph"/>
              <w:spacing w:before="88"/>
              <w:ind w:left="209" w:right="182"/>
              <w:jc w:val="center"/>
              <w:rPr>
                <w:sz w:val="22"/>
              </w:rPr>
            </w:pPr>
            <w:r>
              <w:rPr>
                <w:sz w:val="22"/>
              </w:rPr>
              <w:t>1.20</w:t>
            </w:r>
          </w:p>
        </w:tc>
        <w:tc>
          <w:tcPr>
            <w:tcW w:w="1207" w:type="dxa"/>
            <w:tcBorders>
              <w:top w:val="nil"/>
              <w:left w:val="nil"/>
              <w:bottom w:val="nil"/>
              <w:right w:val="nil"/>
            </w:tcBorders>
          </w:tcPr>
          <w:p>
            <w:pPr>
              <w:pStyle w:val="TableParagraph"/>
              <w:spacing w:before="88"/>
              <w:ind w:left="201"/>
              <w:rPr>
                <w:sz w:val="22"/>
              </w:rPr>
            </w:pPr>
            <w:r>
              <w:rPr>
                <w:sz w:val="22"/>
              </w:rPr>
              <w:t>0.1022</w:t>
            </w:r>
          </w:p>
        </w:tc>
        <w:tc>
          <w:tcPr>
            <w:tcW w:w="1467" w:type="dxa"/>
            <w:tcBorders>
              <w:top w:val="nil"/>
              <w:left w:val="nil"/>
              <w:bottom w:val="nil"/>
              <w:right w:val="nil"/>
            </w:tcBorders>
          </w:tcPr>
          <w:p>
            <w:pPr>
              <w:pStyle w:val="TableParagraph"/>
              <w:spacing w:before="88"/>
              <w:ind w:left="398"/>
              <w:rPr>
                <w:sz w:val="22"/>
              </w:rPr>
            </w:pPr>
            <w:r>
              <w:rPr>
                <w:sz w:val="22"/>
              </w:rPr>
              <w:t>0.7989</w:t>
            </w:r>
          </w:p>
        </w:tc>
        <w:tc>
          <w:tcPr>
            <w:tcW w:w="1404" w:type="dxa"/>
            <w:tcBorders>
              <w:top w:val="nil"/>
              <w:left w:val="nil"/>
              <w:bottom w:val="nil"/>
              <w:right w:val="nil"/>
            </w:tcBorders>
          </w:tcPr>
          <w:p>
            <w:pPr>
              <w:pStyle w:val="TableParagraph"/>
              <w:spacing w:before="88"/>
              <w:ind w:right="333"/>
              <w:jc w:val="right"/>
              <w:rPr>
                <w:sz w:val="22"/>
              </w:rPr>
            </w:pPr>
            <w:r>
              <w:rPr>
                <w:sz w:val="22"/>
              </w:rPr>
              <w:t>0.7913</w:t>
            </w:r>
          </w:p>
        </w:tc>
      </w:tr>
      <w:tr>
        <w:trPr>
          <w:trHeight w:val="452" w:hRule="exact"/>
        </w:trPr>
        <w:tc>
          <w:tcPr>
            <w:tcW w:w="1716" w:type="dxa"/>
            <w:tcBorders>
              <w:top w:val="nil"/>
              <w:left w:val="nil"/>
              <w:bottom w:val="nil"/>
              <w:right w:val="nil"/>
            </w:tcBorders>
          </w:tcPr>
          <w:p>
            <w:pPr>
              <w:pStyle w:val="TableParagraph"/>
              <w:spacing w:before="88"/>
              <w:ind w:left="107"/>
              <w:rPr>
                <w:sz w:val="22"/>
              </w:rPr>
            </w:pPr>
            <w:r>
              <w:rPr>
                <w:sz w:val="22"/>
              </w:rPr>
              <w:t>C16:0</w:t>
            </w:r>
          </w:p>
        </w:tc>
        <w:tc>
          <w:tcPr>
            <w:tcW w:w="1342" w:type="dxa"/>
            <w:tcBorders>
              <w:top w:val="nil"/>
              <w:left w:val="nil"/>
              <w:bottom w:val="nil"/>
              <w:right w:val="nil"/>
            </w:tcBorders>
          </w:tcPr>
          <w:p>
            <w:pPr>
              <w:pStyle w:val="TableParagraph"/>
              <w:spacing w:before="88"/>
              <w:ind w:right="264"/>
              <w:jc w:val="right"/>
              <w:rPr>
                <w:sz w:val="22"/>
              </w:rPr>
            </w:pPr>
            <w:r>
              <w:rPr>
                <w:sz w:val="22"/>
              </w:rPr>
              <w:t>32.56</w:t>
            </w:r>
          </w:p>
        </w:tc>
        <w:tc>
          <w:tcPr>
            <w:tcW w:w="992" w:type="dxa"/>
            <w:tcBorders>
              <w:top w:val="nil"/>
              <w:left w:val="nil"/>
              <w:bottom w:val="nil"/>
              <w:right w:val="nil"/>
            </w:tcBorders>
          </w:tcPr>
          <w:p>
            <w:pPr>
              <w:pStyle w:val="TableParagraph"/>
              <w:spacing w:before="88"/>
              <w:ind w:left="247" w:right="210"/>
              <w:jc w:val="center"/>
              <w:rPr>
                <w:sz w:val="22"/>
              </w:rPr>
            </w:pPr>
            <w:r>
              <w:rPr>
                <w:sz w:val="22"/>
              </w:rPr>
              <w:t>31.33</w:t>
            </w:r>
          </w:p>
        </w:tc>
        <w:tc>
          <w:tcPr>
            <w:tcW w:w="928" w:type="dxa"/>
            <w:tcBorders>
              <w:top w:val="nil"/>
              <w:left w:val="nil"/>
              <w:bottom w:val="nil"/>
              <w:right w:val="nil"/>
            </w:tcBorders>
          </w:tcPr>
          <w:p>
            <w:pPr>
              <w:pStyle w:val="TableParagraph"/>
              <w:spacing w:before="88"/>
              <w:ind w:left="209" w:right="182"/>
              <w:jc w:val="center"/>
              <w:rPr>
                <w:sz w:val="22"/>
              </w:rPr>
            </w:pPr>
            <w:r>
              <w:rPr>
                <w:sz w:val="22"/>
              </w:rPr>
              <w:t>31.13</w:t>
            </w:r>
          </w:p>
        </w:tc>
        <w:tc>
          <w:tcPr>
            <w:tcW w:w="1207" w:type="dxa"/>
            <w:tcBorders>
              <w:top w:val="nil"/>
              <w:left w:val="nil"/>
              <w:bottom w:val="nil"/>
              <w:right w:val="nil"/>
            </w:tcBorders>
          </w:tcPr>
          <w:p>
            <w:pPr>
              <w:pStyle w:val="TableParagraph"/>
              <w:spacing w:before="88"/>
              <w:ind w:left="201"/>
              <w:rPr>
                <w:sz w:val="22"/>
              </w:rPr>
            </w:pPr>
            <w:r>
              <w:rPr>
                <w:sz w:val="22"/>
              </w:rPr>
              <w:t>1.1068</w:t>
            </w:r>
          </w:p>
        </w:tc>
        <w:tc>
          <w:tcPr>
            <w:tcW w:w="1467" w:type="dxa"/>
            <w:tcBorders>
              <w:top w:val="nil"/>
              <w:left w:val="nil"/>
              <w:bottom w:val="nil"/>
              <w:right w:val="nil"/>
            </w:tcBorders>
          </w:tcPr>
          <w:p>
            <w:pPr>
              <w:pStyle w:val="TableParagraph"/>
              <w:spacing w:before="88"/>
              <w:ind w:left="398"/>
              <w:rPr>
                <w:sz w:val="22"/>
              </w:rPr>
            </w:pPr>
            <w:r>
              <w:rPr>
                <w:sz w:val="22"/>
              </w:rPr>
              <w:t>0.6593</w:t>
            </w:r>
          </w:p>
        </w:tc>
        <w:tc>
          <w:tcPr>
            <w:tcW w:w="1404" w:type="dxa"/>
            <w:tcBorders>
              <w:top w:val="nil"/>
              <w:left w:val="nil"/>
              <w:bottom w:val="nil"/>
              <w:right w:val="nil"/>
            </w:tcBorders>
          </w:tcPr>
          <w:p>
            <w:pPr>
              <w:pStyle w:val="TableParagraph"/>
              <w:spacing w:before="88"/>
              <w:ind w:right="333"/>
              <w:jc w:val="right"/>
              <w:rPr>
                <w:sz w:val="22"/>
              </w:rPr>
            </w:pPr>
            <w:r>
              <w:rPr>
                <w:sz w:val="22"/>
              </w:rPr>
              <w:t>0.4783</w:t>
            </w:r>
          </w:p>
        </w:tc>
      </w:tr>
      <w:tr>
        <w:trPr>
          <w:trHeight w:val="452" w:hRule="exact"/>
        </w:trPr>
        <w:tc>
          <w:tcPr>
            <w:tcW w:w="1716" w:type="dxa"/>
            <w:tcBorders>
              <w:top w:val="nil"/>
              <w:left w:val="nil"/>
              <w:bottom w:val="nil"/>
              <w:right w:val="nil"/>
            </w:tcBorders>
          </w:tcPr>
          <w:p>
            <w:pPr>
              <w:pStyle w:val="TableParagraph"/>
              <w:spacing w:before="87"/>
              <w:ind w:left="107"/>
              <w:rPr>
                <w:sz w:val="22"/>
              </w:rPr>
            </w:pPr>
            <w:r>
              <w:rPr>
                <w:sz w:val="22"/>
              </w:rPr>
              <w:t>C16:1</w:t>
            </w:r>
          </w:p>
        </w:tc>
        <w:tc>
          <w:tcPr>
            <w:tcW w:w="1342" w:type="dxa"/>
            <w:tcBorders>
              <w:top w:val="nil"/>
              <w:left w:val="nil"/>
              <w:bottom w:val="nil"/>
              <w:right w:val="nil"/>
            </w:tcBorders>
          </w:tcPr>
          <w:p>
            <w:pPr>
              <w:pStyle w:val="TableParagraph"/>
              <w:spacing w:before="87"/>
              <w:ind w:right="319"/>
              <w:jc w:val="right"/>
              <w:rPr>
                <w:sz w:val="22"/>
              </w:rPr>
            </w:pPr>
            <w:r>
              <w:rPr>
                <w:sz w:val="22"/>
              </w:rPr>
              <w:t>1.99</w:t>
            </w:r>
          </w:p>
        </w:tc>
        <w:tc>
          <w:tcPr>
            <w:tcW w:w="992" w:type="dxa"/>
            <w:tcBorders>
              <w:top w:val="nil"/>
              <w:left w:val="nil"/>
              <w:bottom w:val="nil"/>
              <w:right w:val="nil"/>
            </w:tcBorders>
          </w:tcPr>
          <w:p>
            <w:pPr>
              <w:pStyle w:val="TableParagraph"/>
              <w:spacing w:before="87"/>
              <w:ind w:left="247" w:right="210"/>
              <w:jc w:val="center"/>
              <w:rPr>
                <w:sz w:val="22"/>
              </w:rPr>
            </w:pPr>
            <w:r>
              <w:rPr>
                <w:sz w:val="22"/>
              </w:rPr>
              <w:t>1.95</w:t>
            </w:r>
          </w:p>
        </w:tc>
        <w:tc>
          <w:tcPr>
            <w:tcW w:w="928" w:type="dxa"/>
            <w:tcBorders>
              <w:top w:val="nil"/>
              <w:left w:val="nil"/>
              <w:bottom w:val="nil"/>
              <w:right w:val="nil"/>
            </w:tcBorders>
          </w:tcPr>
          <w:p>
            <w:pPr>
              <w:pStyle w:val="TableParagraph"/>
              <w:spacing w:before="87"/>
              <w:ind w:left="209" w:right="182"/>
              <w:jc w:val="center"/>
              <w:rPr>
                <w:sz w:val="22"/>
              </w:rPr>
            </w:pPr>
            <w:r>
              <w:rPr>
                <w:sz w:val="22"/>
              </w:rPr>
              <w:t>1.95</w:t>
            </w:r>
          </w:p>
        </w:tc>
        <w:tc>
          <w:tcPr>
            <w:tcW w:w="1207" w:type="dxa"/>
            <w:tcBorders>
              <w:top w:val="nil"/>
              <w:left w:val="nil"/>
              <w:bottom w:val="nil"/>
              <w:right w:val="nil"/>
            </w:tcBorders>
          </w:tcPr>
          <w:p>
            <w:pPr>
              <w:pStyle w:val="TableParagraph"/>
              <w:spacing w:before="87"/>
              <w:ind w:left="201"/>
              <w:rPr>
                <w:sz w:val="22"/>
              </w:rPr>
            </w:pPr>
            <w:r>
              <w:rPr>
                <w:sz w:val="22"/>
              </w:rPr>
              <w:t>0.1197</w:t>
            </w:r>
          </w:p>
        </w:tc>
        <w:tc>
          <w:tcPr>
            <w:tcW w:w="1467" w:type="dxa"/>
            <w:tcBorders>
              <w:top w:val="nil"/>
              <w:left w:val="nil"/>
              <w:bottom w:val="nil"/>
              <w:right w:val="nil"/>
            </w:tcBorders>
          </w:tcPr>
          <w:p>
            <w:pPr>
              <w:pStyle w:val="TableParagraph"/>
              <w:spacing w:before="87"/>
              <w:ind w:left="398"/>
              <w:rPr>
                <w:sz w:val="22"/>
              </w:rPr>
            </w:pPr>
            <w:r>
              <w:rPr>
                <w:sz w:val="22"/>
              </w:rPr>
              <w:t>0.8788</w:t>
            </w:r>
          </w:p>
        </w:tc>
        <w:tc>
          <w:tcPr>
            <w:tcW w:w="1404" w:type="dxa"/>
            <w:tcBorders>
              <w:top w:val="nil"/>
              <w:left w:val="nil"/>
              <w:bottom w:val="nil"/>
              <w:right w:val="nil"/>
            </w:tcBorders>
          </w:tcPr>
          <w:p>
            <w:pPr>
              <w:pStyle w:val="TableParagraph"/>
              <w:spacing w:before="87"/>
              <w:ind w:right="333"/>
              <w:jc w:val="right"/>
              <w:rPr>
                <w:sz w:val="22"/>
              </w:rPr>
            </w:pPr>
            <w:r>
              <w:rPr>
                <w:sz w:val="22"/>
              </w:rPr>
              <w:t>0.8504</w:t>
            </w:r>
          </w:p>
        </w:tc>
      </w:tr>
      <w:tr>
        <w:trPr>
          <w:trHeight w:val="454" w:hRule="exact"/>
        </w:trPr>
        <w:tc>
          <w:tcPr>
            <w:tcW w:w="1716" w:type="dxa"/>
            <w:tcBorders>
              <w:top w:val="nil"/>
              <w:left w:val="nil"/>
              <w:bottom w:val="nil"/>
              <w:right w:val="nil"/>
            </w:tcBorders>
          </w:tcPr>
          <w:p>
            <w:pPr>
              <w:pStyle w:val="TableParagraph"/>
              <w:spacing w:before="88"/>
              <w:ind w:left="107"/>
              <w:rPr>
                <w:sz w:val="22"/>
              </w:rPr>
            </w:pPr>
            <w:r>
              <w:rPr>
                <w:sz w:val="22"/>
              </w:rPr>
              <w:t>C17:0</w:t>
            </w:r>
          </w:p>
        </w:tc>
        <w:tc>
          <w:tcPr>
            <w:tcW w:w="1342" w:type="dxa"/>
            <w:tcBorders>
              <w:top w:val="nil"/>
              <w:left w:val="nil"/>
              <w:bottom w:val="nil"/>
              <w:right w:val="nil"/>
            </w:tcBorders>
          </w:tcPr>
          <w:p>
            <w:pPr>
              <w:pStyle w:val="TableParagraph"/>
              <w:spacing w:before="88"/>
              <w:ind w:right="319"/>
              <w:jc w:val="right"/>
              <w:rPr>
                <w:sz w:val="22"/>
              </w:rPr>
            </w:pPr>
            <w:r>
              <w:rPr>
                <w:sz w:val="22"/>
              </w:rPr>
              <w:t>0.72</w:t>
            </w:r>
          </w:p>
        </w:tc>
        <w:tc>
          <w:tcPr>
            <w:tcW w:w="992" w:type="dxa"/>
            <w:tcBorders>
              <w:top w:val="nil"/>
              <w:left w:val="nil"/>
              <w:bottom w:val="nil"/>
              <w:right w:val="nil"/>
            </w:tcBorders>
          </w:tcPr>
          <w:p>
            <w:pPr>
              <w:pStyle w:val="TableParagraph"/>
              <w:spacing w:before="88"/>
              <w:ind w:left="247" w:right="210"/>
              <w:jc w:val="center"/>
              <w:rPr>
                <w:sz w:val="22"/>
              </w:rPr>
            </w:pPr>
            <w:r>
              <w:rPr>
                <w:sz w:val="22"/>
              </w:rPr>
              <w:t>0.72</w:t>
            </w:r>
          </w:p>
        </w:tc>
        <w:tc>
          <w:tcPr>
            <w:tcW w:w="928" w:type="dxa"/>
            <w:tcBorders>
              <w:top w:val="nil"/>
              <w:left w:val="nil"/>
              <w:bottom w:val="nil"/>
              <w:right w:val="nil"/>
            </w:tcBorders>
          </w:tcPr>
          <w:p>
            <w:pPr>
              <w:pStyle w:val="TableParagraph"/>
              <w:spacing w:before="88"/>
              <w:ind w:left="209" w:right="182"/>
              <w:jc w:val="center"/>
              <w:rPr>
                <w:sz w:val="22"/>
              </w:rPr>
            </w:pPr>
            <w:r>
              <w:rPr>
                <w:sz w:val="22"/>
              </w:rPr>
              <w:t>0.72</w:t>
            </w:r>
          </w:p>
        </w:tc>
        <w:tc>
          <w:tcPr>
            <w:tcW w:w="1207" w:type="dxa"/>
            <w:tcBorders>
              <w:top w:val="nil"/>
              <w:left w:val="nil"/>
              <w:bottom w:val="nil"/>
              <w:right w:val="nil"/>
            </w:tcBorders>
          </w:tcPr>
          <w:p>
            <w:pPr>
              <w:pStyle w:val="TableParagraph"/>
              <w:spacing w:before="88"/>
              <w:ind w:left="201"/>
              <w:rPr>
                <w:sz w:val="22"/>
              </w:rPr>
            </w:pPr>
            <w:r>
              <w:rPr>
                <w:sz w:val="22"/>
              </w:rPr>
              <w:t>0.0300</w:t>
            </w:r>
          </w:p>
        </w:tc>
        <w:tc>
          <w:tcPr>
            <w:tcW w:w="1467" w:type="dxa"/>
            <w:tcBorders>
              <w:top w:val="nil"/>
              <w:left w:val="nil"/>
              <w:bottom w:val="nil"/>
              <w:right w:val="nil"/>
            </w:tcBorders>
          </w:tcPr>
          <w:p>
            <w:pPr>
              <w:pStyle w:val="TableParagraph"/>
              <w:spacing w:before="88"/>
              <w:ind w:left="398"/>
              <w:rPr>
                <w:sz w:val="22"/>
              </w:rPr>
            </w:pPr>
            <w:r>
              <w:rPr>
                <w:sz w:val="22"/>
              </w:rPr>
              <w:t>0.8620</w:t>
            </w:r>
          </w:p>
        </w:tc>
        <w:tc>
          <w:tcPr>
            <w:tcW w:w="1404" w:type="dxa"/>
            <w:tcBorders>
              <w:top w:val="nil"/>
              <w:left w:val="nil"/>
              <w:bottom w:val="nil"/>
              <w:right w:val="nil"/>
            </w:tcBorders>
          </w:tcPr>
          <w:p>
            <w:pPr>
              <w:pStyle w:val="TableParagraph"/>
              <w:spacing w:before="88"/>
              <w:ind w:right="333"/>
              <w:jc w:val="right"/>
              <w:rPr>
                <w:sz w:val="22"/>
              </w:rPr>
            </w:pPr>
            <w:r>
              <w:rPr>
                <w:sz w:val="22"/>
              </w:rPr>
              <w:t>0.7640</w:t>
            </w:r>
          </w:p>
        </w:tc>
      </w:tr>
      <w:tr>
        <w:trPr>
          <w:trHeight w:val="452" w:hRule="exact"/>
        </w:trPr>
        <w:tc>
          <w:tcPr>
            <w:tcW w:w="1716" w:type="dxa"/>
            <w:tcBorders>
              <w:top w:val="nil"/>
              <w:left w:val="nil"/>
              <w:bottom w:val="nil"/>
              <w:right w:val="nil"/>
            </w:tcBorders>
          </w:tcPr>
          <w:p>
            <w:pPr>
              <w:pStyle w:val="TableParagraph"/>
              <w:spacing w:before="88"/>
              <w:ind w:left="107"/>
              <w:rPr>
                <w:sz w:val="22"/>
              </w:rPr>
            </w:pPr>
            <w:r>
              <w:rPr>
                <w:sz w:val="22"/>
              </w:rPr>
              <w:t>C17:1</w:t>
            </w:r>
          </w:p>
        </w:tc>
        <w:tc>
          <w:tcPr>
            <w:tcW w:w="1342" w:type="dxa"/>
            <w:tcBorders>
              <w:top w:val="nil"/>
              <w:left w:val="nil"/>
              <w:bottom w:val="nil"/>
              <w:right w:val="nil"/>
            </w:tcBorders>
          </w:tcPr>
          <w:p>
            <w:pPr>
              <w:pStyle w:val="TableParagraph"/>
              <w:spacing w:before="88"/>
              <w:ind w:right="319"/>
              <w:jc w:val="right"/>
              <w:rPr>
                <w:sz w:val="22"/>
              </w:rPr>
            </w:pPr>
            <w:r>
              <w:rPr>
                <w:sz w:val="22"/>
              </w:rPr>
              <w:t>0.22</w:t>
            </w:r>
          </w:p>
        </w:tc>
        <w:tc>
          <w:tcPr>
            <w:tcW w:w="992" w:type="dxa"/>
            <w:tcBorders>
              <w:top w:val="nil"/>
              <w:left w:val="nil"/>
              <w:bottom w:val="nil"/>
              <w:right w:val="nil"/>
            </w:tcBorders>
          </w:tcPr>
          <w:p>
            <w:pPr>
              <w:pStyle w:val="TableParagraph"/>
              <w:spacing w:before="88"/>
              <w:ind w:left="247" w:right="210"/>
              <w:jc w:val="center"/>
              <w:rPr>
                <w:sz w:val="22"/>
              </w:rPr>
            </w:pPr>
            <w:r>
              <w:rPr>
                <w:sz w:val="22"/>
              </w:rPr>
              <w:t>0.22</w:t>
            </w:r>
          </w:p>
        </w:tc>
        <w:tc>
          <w:tcPr>
            <w:tcW w:w="928" w:type="dxa"/>
            <w:tcBorders>
              <w:top w:val="nil"/>
              <w:left w:val="nil"/>
              <w:bottom w:val="nil"/>
              <w:right w:val="nil"/>
            </w:tcBorders>
          </w:tcPr>
          <w:p>
            <w:pPr>
              <w:pStyle w:val="TableParagraph"/>
              <w:spacing w:before="88"/>
              <w:ind w:left="209" w:right="182"/>
              <w:jc w:val="center"/>
              <w:rPr>
                <w:sz w:val="22"/>
              </w:rPr>
            </w:pPr>
            <w:r>
              <w:rPr>
                <w:sz w:val="22"/>
              </w:rPr>
              <w:t>0.21</w:t>
            </w:r>
          </w:p>
        </w:tc>
        <w:tc>
          <w:tcPr>
            <w:tcW w:w="1207" w:type="dxa"/>
            <w:tcBorders>
              <w:top w:val="nil"/>
              <w:left w:val="nil"/>
              <w:bottom w:val="nil"/>
              <w:right w:val="nil"/>
            </w:tcBorders>
          </w:tcPr>
          <w:p>
            <w:pPr>
              <w:pStyle w:val="TableParagraph"/>
              <w:spacing w:before="88"/>
              <w:ind w:left="201"/>
              <w:rPr>
                <w:sz w:val="22"/>
              </w:rPr>
            </w:pPr>
            <w:r>
              <w:rPr>
                <w:sz w:val="22"/>
              </w:rPr>
              <w:t>0.0129</w:t>
            </w:r>
          </w:p>
        </w:tc>
        <w:tc>
          <w:tcPr>
            <w:tcW w:w="1467" w:type="dxa"/>
            <w:tcBorders>
              <w:top w:val="nil"/>
              <w:left w:val="nil"/>
              <w:bottom w:val="nil"/>
              <w:right w:val="nil"/>
            </w:tcBorders>
          </w:tcPr>
          <w:p>
            <w:pPr>
              <w:pStyle w:val="TableParagraph"/>
              <w:spacing w:before="88"/>
              <w:ind w:left="398"/>
              <w:rPr>
                <w:sz w:val="22"/>
              </w:rPr>
            </w:pPr>
            <w:r>
              <w:rPr>
                <w:sz w:val="22"/>
              </w:rPr>
              <w:t>0.7625</w:t>
            </w:r>
          </w:p>
        </w:tc>
        <w:tc>
          <w:tcPr>
            <w:tcW w:w="1404" w:type="dxa"/>
            <w:tcBorders>
              <w:top w:val="nil"/>
              <w:left w:val="nil"/>
              <w:bottom w:val="nil"/>
              <w:right w:val="nil"/>
            </w:tcBorders>
          </w:tcPr>
          <w:p>
            <w:pPr>
              <w:pStyle w:val="TableParagraph"/>
              <w:spacing w:before="88"/>
              <w:ind w:right="333"/>
              <w:jc w:val="right"/>
              <w:rPr>
                <w:sz w:val="22"/>
              </w:rPr>
            </w:pPr>
            <w:r>
              <w:rPr>
                <w:sz w:val="22"/>
              </w:rPr>
              <w:t>0.6036</w:t>
            </w:r>
          </w:p>
        </w:tc>
      </w:tr>
      <w:tr>
        <w:trPr>
          <w:trHeight w:val="452" w:hRule="exact"/>
        </w:trPr>
        <w:tc>
          <w:tcPr>
            <w:tcW w:w="1716" w:type="dxa"/>
            <w:tcBorders>
              <w:top w:val="nil"/>
              <w:left w:val="nil"/>
              <w:bottom w:val="nil"/>
              <w:right w:val="nil"/>
            </w:tcBorders>
          </w:tcPr>
          <w:p>
            <w:pPr>
              <w:pStyle w:val="TableParagraph"/>
              <w:spacing w:before="87"/>
              <w:ind w:left="107"/>
              <w:rPr>
                <w:sz w:val="22"/>
              </w:rPr>
            </w:pPr>
            <w:r>
              <w:rPr>
                <w:sz w:val="22"/>
              </w:rPr>
              <w:t>C18:0</w:t>
            </w:r>
          </w:p>
        </w:tc>
        <w:tc>
          <w:tcPr>
            <w:tcW w:w="1342" w:type="dxa"/>
            <w:tcBorders>
              <w:top w:val="nil"/>
              <w:left w:val="nil"/>
              <w:bottom w:val="nil"/>
              <w:right w:val="nil"/>
            </w:tcBorders>
          </w:tcPr>
          <w:p>
            <w:pPr>
              <w:pStyle w:val="TableParagraph"/>
              <w:spacing w:before="87"/>
              <w:ind w:right="264"/>
              <w:jc w:val="right"/>
              <w:rPr>
                <w:sz w:val="22"/>
              </w:rPr>
            </w:pPr>
            <w:r>
              <w:rPr>
                <w:sz w:val="22"/>
              </w:rPr>
              <w:t>10.76</w:t>
            </w:r>
          </w:p>
        </w:tc>
        <w:tc>
          <w:tcPr>
            <w:tcW w:w="992" w:type="dxa"/>
            <w:tcBorders>
              <w:top w:val="nil"/>
              <w:left w:val="nil"/>
              <w:bottom w:val="nil"/>
              <w:right w:val="nil"/>
            </w:tcBorders>
          </w:tcPr>
          <w:p>
            <w:pPr>
              <w:pStyle w:val="TableParagraph"/>
              <w:spacing w:before="87"/>
              <w:ind w:left="247" w:right="210"/>
              <w:jc w:val="center"/>
              <w:rPr>
                <w:sz w:val="22"/>
              </w:rPr>
            </w:pPr>
            <w:r>
              <w:rPr>
                <w:sz w:val="22"/>
              </w:rPr>
              <w:t>11.59</w:t>
            </w:r>
          </w:p>
        </w:tc>
        <w:tc>
          <w:tcPr>
            <w:tcW w:w="928" w:type="dxa"/>
            <w:tcBorders>
              <w:top w:val="nil"/>
              <w:left w:val="nil"/>
              <w:bottom w:val="nil"/>
              <w:right w:val="nil"/>
            </w:tcBorders>
          </w:tcPr>
          <w:p>
            <w:pPr>
              <w:pStyle w:val="TableParagraph"/>
              <w:spacing w:before="87"/>
              <w:ind w:left="209" w:right="182"/>
              <w:jc w:val="center"/>
              <w:rPr>
                <w:sz w:val="22"/>
              </w:rPr>
            </w:pPr>
            <w:r>
              <w:rPr>
                <w:sz w:val="22"/>
              </w:rPr>
              <w:t>11.51</w:t>
            </w:r>
          </w:p>
        </w:tc>
        <w:tc>
          <w:tcPr>
            <w:tcW w:w="1207" w:type="dxa"/>
            <w:tcBorders>
              <w:top w:val="nil"/>
              <w:left w:val="nil"/>
              <w:bottom w:val="nil"/>
              <w:right w:val="nil"/>
            </w:tcBorders>
          </w:tcPr>
          <w:p>
            <w:pPr>
              <w:pStyle w:val="TableParagraph"/>
              <w:spacing w:before="87"/>
              <w:ind w:left="201"/>
              <w:rPr>
                <w:sz w:val="22"/>
              </w:rPr>
            </w:pPr>
            <w:r>
              <w:rPr>
                <w:sz w:val="22"/>
              </w:rPr>
              <w:t>0.8695</w:t>
            </w:r>
          </w:p>
        </w:tc>
        <w:tc>
          <w:tcPr>
            <w:tcW w:w="1467" w:type="dxa"/>
            <w:tcBorders>
              <w:top w:val="nil"/>
              <w:left w:val="nil"/>
              <w:bottom w:val="nil"/>
              <w:right w:val="nil"/>
            </w:tcBorders>
          </w:tcPr>
          <w:p>
            <w:pPr>
              <w:pStyle w:val="TableParagraph"/>
              <w:spacing w:before="87"/>
              <w:ind w:left="398"/>
              <w:rPr>
                <w:sz w:val="22"/>
              </w:rPr>
            </w:pPr>
            <w:r>
              <w:rPr>
                <w:sz w:val="22"/>
              </w:rPr>
              <w:t>0.9438</w:t>
            </w:r>
          </w:p>
        </w:tc>
        <w:tc>
          <w:tcPr>
            <w:tcW w:w="1404" w:type="dxa"/>
            <w:tcBorders>
              <w:top w:val="nil"/>
              <w:left w:val="nil"/>
              <w:bottom w:val="nil"/>
              <w:right w:val="nil"/>
            </w:tcBorders>
          </w:tcPr>
          <w:p>
            <w:pPr>
              <w:pStyle w:val="TableParagraph"/>
              <w:spacing w:before="87"/>
              <w:ind w:right="333"/>
              <w:jc w:val="right"/>
              <w:rPr>
                <w:sz w:val="22"/>
              </w:rPr>
            </w:pPr>
            <w:r>
              <w:rPr>
                <w:sz w:val="22"/>
              </w:rPr>
              <w:t>0.5985</w:t>
            </w:r>
          </w:p>
        </w:tc>
      </w:tr>
      <w:tr>
        <w:trPr>
          <w:trHeight w:val="454" w:hRule="exact"/>
        </w:trPr>
        <w:tc>
          <w:tcPr>
            <w:tcW w:w="1716" w:type="dxa"/>
            <w:tcBorders>
              <w:top w:val="nil"/>
              <w:left w:val="nil"/>
              <w:bottom w:val="nil"/>
              <w:right w:val="nil"/>
            </w:tcBorders>
          </w:tcPr>
          <w:p>
            <w:pPr>
              <w:pStyle w:val="TableParagraph"/>
              <w:spacing w:before="88"/>
              <w:ind w:left="107"/>
              <w:rPr>
                <w:sz w:val="22"/>
              </w:rPr>
            </w:pPr>
            <w:r>
              <w:rPr>
                <w:sz w:val="22"/>
              </w:rPr>
              <w:t>C18:1t11</w:t>
            </w:r>
          </w:p>
        </w:tc>
        <w:tc>
          <w:tcPr>
            <w:tcW w:w="1342" w:type="dxa"/>
            <w:tcBorders>
              <w:top w:val="nil"/>
              <w:left w:val="nil"/>
              <w:bottom w:val="nil"/>
              <w:right w:val="nil"/>
            </w:tcBorders>
          </w:tcPr>
          <w:p>
            <w:pPr>
              <w:pStyle w:val="TableParagraph"/>
              <w:spacing w:before="88"/>
              <w:ind w:right="319"/>
              <w:jc w:val="right"/>
              <w:rPr>
                <w:sz w:val="22"/>
              </w:rPr>
            </w:pPr>
            <w:r>
              <w:rPr>
                <w:sz w:val="22"/>
              </w:rPr>
              <w:t>1.26</w:t>
            </w:r>
          </w:p>
        </w:tc>
        <w:tc>
          <w:tcPr>
            <w:tcW w:w="992" w:type="dxa"/>
            <w:tcBorders>
              <w:top w:val="nil"/>
              <w:left w:val="nil"/>
              <w:bottom w:val="nil"/>
              <w:right w:val="nil"/>
            </w:tcBorders>
          </w:tcPr>
          <w:p>
            <w:pPr>
              <w:pStyle w:val="TableParagraph"/>
              <w:spacing w:before="88"/>
              <w:ind w:left="247" w:right="210"/>
              <w:jc w:val="center"/>
              <w:rPr>
                <w:sz w:val="22"/>
              </w:rPr>
            </w:pPr>
            <w:r>
              <w:rPr>
                <w:sz w:val="22"/>
              </w:rPr>
              <w:t>1.40</w:t>
            </w:r>
          </w:p>
        </w:tc>
        <w:tc>
          <w:tcPr>
            <w:tcW w:w="928" w:type="dxa"/>
            <w:tcBorders>
              <w:top w:val="nil"/>
              <w:left w:val="nil"/>
              <w:bottom w:val="nil"/>
              <w:right w:val="nil"/>
            </w:tcBorders>
          </w:tcPr>
          <w:p>
            <w:pPr>
              <w:pStyle w:val="TableParagraph"/>
              <w:spacing w:before="88"/>
              <w:ind w:left="209" w:right="182"/>
              <w:jc w:val="center"/>
              <w:rPr>
                <w:sz w:val="22"/>
              </w:rPr>
            </w:pPr>
            <w:r>
              <w:rPr>
                <w:sz w:val="22"/>
              </w:rPr>
              <w:t>1.60</w:t>
            </w:r>
          </w:p>
        </w:tc>
        <w:tc>
          <w:tcPr>
            <w:tcW w:w="1207" w:type="dxa"/>
            <w:tcBorders>
              <w:top w:val="nil"/>
              <w:left w:val="nil"/>
              <w:bottom w:val="nil"/>
              <w:right w:val="nil"/>
            </w:tcBorders>
          </w:tcPr>
          <w:p>
            <w:pPr>
              <w:pStyle w:val="TableParagraph"/>
              <w:spacing w:before="88"/>
              <w:ind w:left="201"/>
              <w:rPr>
                <w:sz w:val="22"/>
              </w:rPr>
            </w:pPr>
            <w:r>
              <w:rPr>
                <w:sz w:val="22"/>
              </w:rPr>
              <w:t>0.0885</w:t>
            </w:r>
          </w:p>
        </w:tc>
        <w:tc>
          <w:tcPr>
            <w:tcW w:w="1467" w:type="dxa"/>
            <w:tcBorders>
              <w:top w:val="nil"/>
              <w:left w:val="nil"/>
              <w:bottom w:val="nil"/>
              <w:right w:val="nil"/>
            </w:tcBorders>
          </w:tcPr>
          <w:p>
            <w:pPr>
              <w:pStyle w:val="TableParagraph"/>
              <w:spacing w:before="88"/>
              <w:ind w:left="398"/>
              <w:rPr>
                <w:sz w:val="22"/>
              </w:rPr>
            </w:pPr>
            <w:r>
              <w:rPr>
                <w:sz w:val="22"/>
              </w:rPr>
              <w:t>0.0661</w:t>
            </w:r>
          </w:p>
        </w:tc>
        <w:tc>
          <w:tcPr>
            <w:tcW w:w="1404" w:type="dxa"/>
            <w:tcBorders>
              <w:top w:val="nil"/>
              <w:left w:val="nil"/>
              <w:bottom w:val="nil"/>
              <w:right w:val="nil"/>
            </w:tcBorders>
          </w:tcPr>
          <w:p>
            <w:pPr>
              <w:pStyle w:val="TableParagraph"/>
              <w:spacing w:before="88"/>
              <w:ind w:right="333"/>
              <w:jc w:val="right"/>
              <w:rPr>
                <w:sz w:val="22"/>
              </w:rPr>
            </w:pPr>
            <w:r>
              <w:rPr>
                <w:sz w:val="22"/>
              </w:rPr>
              <w:t>0.2861</w:t>
            </w:r>
          </w:p>
        </w:tc>
      </w:tr>
      <w:tr>
        <w:trPr>
          <w:trHeight w:val="454" w:hRule="exact"/>
        </w:trPr>
        <w:tc>
          <w:tcPr>
            <w:tcW w:w="1716" w:type="dxa"/>
            <w:tcBorders>
              <w:top w:val="nil"/>
              <w:left w:val="nil"/>
              <w:bottom w:val="nil"/>
              <w:right w:val="nil"/>
            </w:tcBorders>
          </w:tcPr>
          <w:p>
            <w:pPr>
              <w:pStyle w:val="TableParagraph"/>
              <w:spacing w:before="89"/>
              <w:ind w:left="107"/>
              <w:rPr>
                <w:sz w:val="22"/>
              </w:rPr>
            </w:pPr>
            <w:r>
              <w:rPr>
                <w:sz w:val="22"/>
              </w:rPr>
              <w:t>C18:1n9c</w:t>
            </w:r>
          </w:p>
        </w:tc>
        <w:tc>
          <w:tcPr>
            <w:tcW w:w="1342" w:type="dxa"/>
            <w:tcBorders>
              <w:top w:val="nil"/>
              <w:left w:val="nil"/>
              <w:bottom w:val="nil"/>
              <w:right w:val="nil"/>
            </w:tcBorders>
          </w:tcPr>
          <w:p>
            <w:pPr>
              <w:pStyle w:val="TableParagraph"/>
              <w:spacing w:before="89"/>
              <w:ind w:right="264"/>
              <w:jc w:val="right"/>
              <w:rPr>
                <w:sz w:val="22"/>
              </w:rPr>
            </w:pPr>
            <w:r>
              <w:rPr>
                <w:sz w:val="22"/>
              </w:rPr>
              <w:t>19.54</w:t>
            </w:r>
          </w:p>
        </w:tc>
        <w:tc>
          <w:tcPr>
            <w:tcW w:w="992" w:type="dxa"/>
            <w:tcBorders>
              <w:top w:val="nil"/>
              <w:left w:val="nil"/>
              <w:bottom w:val="nil"/>
              <w:right w:val="nil"/>
            </w:tcBorders>
          </w:tcPr>
          <w:p>
            <w:pPr>
              <w:pStyle w:val="TableParagraph"/>
              <w:spacing w:before="89"/>
              <w:ind w:left="247" w:right="210"/>
              <w:jc w:val="center"/>
              <w:rPr>
                <w:sz w:val="22"/>
              </w:rPr>
            </w:pPr>
            <w:r>
              <w:rPr>
                <w:sz w:val="22"/>
              </w:rPr>
              <w:t>20.15</w:t>
            </w:r>
          </w:p>
        </w:tc>
        <w:tc>
          <w:tcPr>
            <w:tcW w:w="928" w:type="dxa"/>
            <w:tcBorders>
              <w:top w:val="nil"/>
              <w:left w:val="nil"/>
              <w:bottom w:val="nil"/>
              <w:right w:val="nil"/>
            </w:tcBorders>
          </w:tcPr>
          <w:p>
            <w:pPr>
              <w:pStyle w:val="TableParagraph"/>
              <w:spacing w:before="89"/>
              <w:ind w:left="209" w:right="182"/>
              <w:jc w:val="center"/>
              <w:rPr>
                <w:sz w:val="22"/>
              </w:rPr>
            </w:pPr>
            <w:r>
              <w:rPr>
                <w:sz w:val="22"/>
              </w:rPr>
              <w:t>20.42</w:t>
            </w:r>
          </w:p>
        </w:tc>
        <w:tc>
          <w:tcPr>
            <w:tcW w:w="1207" w:type="dxa"/>
            <w:tcBorders>
              <w:top w:val="nil"/>
              <w:left w:val="nil"/>
              <w:bottom w:val="nil"/>
              <w:right w:val="nil"/>
            </w:tcBorders>
          </w:tcPr>
          <w:p>
            <w:pPr>
              <w:pStyle w:val="TableParagraph"/>
              <w:spacing w:before="89"/>
              <w:ind w:left="201"/>
              <w:rPr>
                <w:sz w:val="22"/>
              </w:rPr>
            </w:pPr>
            <w:r>
              <w:rPr>
                <w:sz w:val="22"/>
              </w:rPr>
              <w:t>1.1046</w:t>
            </w:r>
          </w:p>
        </w:tc>
        <w:tc>
          <w:tcPr>
            <w:tcW w:w="1467" w:type="dxa"/>
            <w:tcBorders>
              <w:top w:val="nil"/>
              <w:left w:val="nil"/>
              <w:bottom w:val="nil"/>
              <w:right w:val="nil"/>
            </w:tcBorders>
          </w:tcPr>
          <w:p>
            <w:pPr>
              <w:pStyle w:val="TableParagraph"/>
              <w:spacing w:before="89"/>
              <w:ind w:left="398"/>
              <w:rPr>
                <w:sz w:val="22"/>
              </w:rPr>
            </w:pPr>
            <w:r>
              <w:rPr>
                <w:sz w:val="22"/>
              </w:rPr>
              <w:t>0.8539</w:t>
            </w:r>
          </w:p>
        </w:tc>
        <w:tc>
          <w:tcPr>
            <w:tcW w:w="1404" w:type="dxa"/>
            <w:tcBorders>
              <w:top w:val="nil"/>
              <w:left w:val="nil"/>
              <w:bottom w:val="nil"/>
              <w:right w:val="nil"/>
            </w:tcBorders>
          </w:tcPr>
          <w:p>
            <w:pPr>
              <w:pStyle w:val="TableParagraph"/>
              <w:spacing w:before="89"/>
              <w:ind w:right="333"/>
              <w:jc w:val="right"/>
              <w:rPr>
                <w:sz w:val="22"/>
              </w:rPr>
            </w:pPr>
            <w:r>
              <w:rPr>
                <w:sz w:val="22"/>
              </w:rPr>
              <w:t>0.6467</w:t>
            </w:r>
          </w:p>
        </w:tc>
      </w:tr>
      <w:tr>
        <w:trPr>
          <w:trHeight w:val="452" w:hRule="exact"/>
        </w:trPr>
        <w:tc>
          <w:tcPr>
            <w:tcW w:w="1716" w:type="dxa"/>
            <w:tcBorders>
              <w:top w:val="nil"/>
              <w:left w:val="nil"/>
              <w:bottom w:val="nil"/>
              <w:right w:val="nil"/>
            </w:tcBorders>
          </w:tcPr>
          <w:p>
            <w:pPr>
              <w:pStyle w:val="TableParagraph"/>
              <w:spacing w:before="88"/>
              <w:ind w:left="107"/>
              <w:rPr>
                <w:sz w:val="22"/>
              </w:rPr>
            </w:pPr>
            <w:r>
              <w:rPr>
                <w:sz w:val="22"/>
              </w:rPr>
              <w:t>C18:2n6t</w:t>
            </w:r>
          </w:p>
        </w:tc>
        <w:tc>
          <w:tcPr>
            <w:tcW w:w="1342" w:type="dxa"/>
            <w:tcBorders>
              <w:top w:val="nil"/>
              <w:left w:val="nil"/>
              <w:bottom w:val="nil"/>
              <w:right w:val="nil"/>
            </w:tcBorders>
          </w:tcPr>
          <w:p>
            <w:pPr>
              <w:pStyle w:val="TableParagraph"/>
              <w:spacing w:before="88"/>
              <w:ind w:right="319"/>
              <w:jc w:val="right"/>
              <w:rPr>
                <w:sz w:val="22"/>
              </w:rPr>
            </w:pPr>
            <w:r>
              <w:rPr>
                <w:sz w:val="22"/>
              </w:rPr>
              <w:t>0.14</w:t>
            </w:r>
          </w:p>
        </w:tc>
        <w:tc>
          <w:tcPr>
            <w:tcW w:w="992" w:type="dxa"/>
            <w:tcBorders>
              <w:top w:val="nil"/>
              <w:left w:val="nil"/>
              <w:bottom w:val="nil"/>
              <w:right w:val="nil"/>
            </w:tcBorders>
          </w:tcPr>
          <w:p>
            <w:pPr>
              <w:pStyle w:val="TableParagraph"/>
              <w:spacing w:before="88"/>
              <w:ind w:left="247" w:right="210"/>
              <w:jc w:val="center"/>
              <w:rPr>
                <w:sz w:val="22"/>
              </w:rPr>
            </w:pPr>
            <w:r>
              <w:rPr>
                <w:sz w:val="22"/>
              </w:rPr>
              <w:t>0.13</w:t>
            </w:r>
          </w:p>
        </w:tc>
        <w:tc>
          <w:tcPr>
            <w:tcW w:w="928" w:type="dxa"/>
            <w:tcBorders>
              <w:top w:val="nil"/>
              <w:left w:val="nil"/>
              <w:bottom w:val="nil"/>
              <w:right w:val="nil"/>
            </w:tcBorders>
          </w:tcPr>
          <w:p>
            <w:pPr>
              <w:pStyle w:val="TableParagraph"/>
              <w:spacing w:before="88"/>
              <w:ind w:left="209" w:right="182"/>
              <w:jc w:val="center"/>
              <w:rPr>
                <w:sz w:val="22"/>
              </w:rPr>
            </w:pPr>
            <w:r>
              <w:rPr>
                <w:sz w:val="22"/>
              </w:rPr>
              <w:t>0.14</w:t>
            </w:r>
          </w:p>
        </w:tc>
        <w:tc>
          <w:tcPr>
            <w:tcW w:w="1207" w:type="dxa"/>
            <w:tcBorders>
              <w:top w:val="nil"/>
              <w:left w:val="nil"/>
              <w:bottom w:val="nil"/>
              <w:right w:val="nil"/>
            </w:tcBorders>
          </w:tcPr>
          <w:p>
            <w:pPr>
              <w:pStyle w:val="TableParagraph"/>
              <w:spacing w:before="88"/>
              <w:ind w:left="201"/>
              <w:rPr>
                <w:sz w:val="22"/>
              </w:rPr>
            </w:pPr>
            <w:r>
              <w:rPr>
                <w:sz w:val="22"/>
              </w:rPr>
              <w:t>0.0091</w:t>
            </w:r>
          </w:p>
        </w:tc>
        <w:tc>
          <w:tcPr>
            <w:tcW w:w="1467" w:type="dxa"/>
            <w:tcBorders>
              <w:top w:val="nil"/>
              <w:left w:val="nil"/>
              <w:bottom w:val="nil"/>
              <w:right w:val="nil"/>
            </w:tcBorders>
          </w:tcPr>
          <w:p>
            <w:pPr>
              <w:pStyle w:val="TableParagraph"/>
              <w:spacing w:before="88"/>
              <w:ind w:left="398"/>
              <w:rPr>
                <w:sz w:val="22"/>
              </w:rPr>
            </w:pPr>
            <w:r>
              <w:rPr>
                <w:sz w:val="22"/>
              </w:rPr>
              <w:t>0.8942</w:t>
            </w:r>
          </w:p>
        </w:tc>
        <w:tc>
          <w:tcPr>
            <w:tcW w:w="1404" w:type="dxa"/>
            <w:tcBorders>
              <w:top w:val="nil"/>
              <w:left w:val="nil"/>
              <w:bottom w:val="nil"/>
              <w:right w:val="nil"/>
            </w:tcBorders>
          </w:tcPr>
          <w:p>
            <w:pPr>
              <w:pStyle w:val="TableParagraph"/>
              <w:spacing w:before="88"/>
              <w:ind w:right="333"/>
              <w:jc w:val="right"/>
              <w:rPr>
                <w:sz w:val="22"/>
              </w:rPr>
            </w:pPr>
            <w:r>
              <w:rPr>
                <w:sz w:val="22"/>
              </w:rPr>
              <w:t>0.4983</w:t>
            </w:r>
          </w:p>
        </w:tc>
      </w:tr>
      <w:tr>
        <w:trPr>
          <w:trHeight w:val="452" w:hRule="exact"/>
        </w:trPr>
        <w:tc>
          <w:tcPr>
            <w:tcW w:w="1716" w:type="dxa"/>
            <w:tcBorders>
              <w:top w:val="nil"/>
              <w:left w:val="nil"/>
              <w:bottom w:val="nil"/>
              <w:right w:val="nil"/>
            </w:tcBorders>
          </w:tcPr>
          <w:p>
            <w:pPr>
              <w:pStyle w:val="TableParagraph"/>
              <w:spacing w:before="87"/>
              <w:ind w:left="107"/>
              <w:rPr>
                <w:sz w:val="22"/>
              </w:rPr>
            </w:pPr>
            <w:r>
              <w:rPr>
                <w:sz w:val="22"/>
              </w:rPr>
              <w:t>C18:2n6c</w:t>
            </w:r>
          </w:p>
        </w:tc>
        <w:tc>
          <w:tcPr>
            <w:tcW w:w="1342" w:type="dxa"/>
            <w:tcBorders>
              <w:top w:val="nil"/>
              <w:left w:val="nil"/>
              <w:bottom w:val="nil"/>
              <w:right w:val="nil"/>
            </w:tcBorders>
          </w:tcPr>
          <w:p>
            <w:pPr>
              <w:pStyle w:val="TableParagraph"/>
              <w:spacing w:before="87"/>
              <w:ind w:right="319"/>
              <w:jc w:val="right"/>
              <w:rPr>
                <w:sz w:val="22"/>
              </w:rPr>
            </w:pPr>
            <w:r>
              <w:rPr>
                <w:sz w:val="22"/>
              </w:rPr>
              <w:t>1.32</w:t>
            </w:r>
          </w:p>
        </w:tc>
        <w:tc>
          <w:tcPr>
            <w:tcW w:w="992" w:type="dxa"/>
            <w:tcBorders>
              <w:top w:val="nil"/>
              <w:left w:val="nil"/>
              <w:bottom w:val="nil"/>
              <w:right w:val="nil"/>
            </w:tcBorders>
          </w:tcPr>
          <w:p>
            <w:pPr>
              <w:pStyle w:val="TableParagraph"/>
              <w:spacing w:before="87"/>
              <w:ind w:left="247" w:right="210"/>
              <w:jc w:val="center"/>
              <w:rPr>
                <w:sz w:val="22"/>
              </w:rPr>
            </w:pPr>
            <w:r>
              <w:rPr>
                <w:sz w:val="22"/>
              </w:rPr>
              <w:t>1.34</w:t>
            </w:r>
          </w:p>
        </w:tc>
        <w:tc>
          <w:tcPr>
            <w:tcW w:w="928" w:type="dxa"/>
            <w:tcBorders>
              <w:top w:val="nil"/>
              <w:left w:val="nil"/>
              <w:bottom w:val="nil"/>
              <w:right w:val="nil"/>
            </w:tcBorders>
          </w:tcPr>
          <w:p>
            <w:pPr>
              <w:pStyle w:val="TableParagraph"/>
              <w:spacing w:before="87"/>
              <w:ind w:left="209" w:right="182"/>
              <w:jc w:val="center"/>
              <w:rPr>
                <w:sz w:val="22"/>
              </w:rPr>
            </w:pPr>
            <w:r>
              <w:rPr>
                <w:sz w:val="22"/>
              </w:rPr>
              <w:t>1.32</w:t>
            </w:r>
          </w:p>
        </w:tc>
        <w:tc>
          <w:tcPr>
            <w:tcW w:w="1207" w:type="dxa"/>
            <w:tcBorders>
              <w:top w:val="nil"/>
              <w:left w:val="nil"/>
              <w:bottom w:val="nil"/>
              <w:right w:val="nil"/>
            </w:tcBorders>
          </w:tcPr>
          <w:p>
            <w:pPr>
              <w:pStyle w:val="TableParagraph"/>
              <w:spacing w:before="87"/>
              <w:ind w:left="201"/>
              <w:rPr>
                <w:sz w:val="22"/>
              </w:rPr>
            </w:pPr>
            <w:r>
              <w:rPr>
                <w:sz w:val="22"/>
              </w:rPr>
              <w:t>0.1042</w:t>
            </w:r>
          </w:p>
        </w:tc>
        <w:tc>
          <w:tcPr>
            <w:tcW w:w="1467" w:type="dxa"/>
            <w:tcBorders>
              <w:top w:val="nil"/>
              <w:left w:val="nil"/>
              <w:bottom w:val="nil"/>
              <w:right w:val="nil"/>
            </w:tcBorders>
          </w:tcPr>
          <w:p>
            <w:pPr>
              <w:pStyle w:val="TableParagraph"/>
              <w:spacing w:before="87"/>
              <w:ind w:left="398"/>
              <w:rPr>
                <w:sz w:val="22"/>
              </w:rPr>
            </w:pPr>
            <w:r>
              <w:rPr>
                <w:sz w:val="22"/>
              </w:rPr>
              <w:t>0.6549</w:t>
            </w:r>
          </w:p>
        </w:tc>
        <w:tc>
          <w:tcPr>
            <w:tcW w:w="1404" w:type="dxa"/>
            <w:tcBorders>
              <w:top w:val="nil"/>
              <w:left w:val="nil"/>
              <w:bottom w:val="nil"/>
              <w:right w:val="nil"/>
            </w:tcBorders>
          </w:tcPr>
          <w:p>
            <w:pPr>
              <w:pStyle w:val="TableParagraph"/>
              <w:spacing w:before="87"/>
              <w:ind w:right="333"/>
              <w:jc w:val="right"/>
              <w:rPr>
                <w:sz w:val="22"/>
              </w:rPr>
            </w:pPr>
            <w:r>
              <w:rPr>
                <w:sz w:val="22"/>
              </w:rPr>
              <w:t>0.8624</w:t>
            </w:r>
          </w:p>
        </w:tc>
      </w:tr>
      <w:tr>
        <w:trPr>
          <w:trHeight w:val="454" w:hRule="exact"/>
        </w:trPr>
        <w:tc>
          <w:tcPr>
            <w:tcW w:w="1716" w:type="dxa"/>
            <w:tcBorders>
              <w:top w:val="nil"/>
              <w:left w:val="nil"/>
              <w:bottom w:val="nil"/>
              <w:right w:val="nil"/>
            </w:tcBorders>
          </w:tcPr>
          <w:p>
            <w:pPr>
              <w:pStyle w:val="TableParagraph"/>
              <w:spacing w:before="88"/>
              <w:ind w:left="107"/>
              <w:rPr>
                <w:sz w:val="22"/>
              </w:rPr>
            </w:pPr>
            <w:r>
              <w:rPr>
                <w:sz w:val="22"/>
              </w:rPr>
              <w:t>C18:3n3</w:t>
            </w:r>
          </w:p>
        </w:tc>
        <w:tc>
          <w:tcPr>
            <w:tcW w:w="1342" w:type="dxa"/>
            <w:tcBorders>
              <w:top w:val="nil"/>
              <w:left w:val="nil"/>
              <w:bottom w:val="nil"/>
              <w:right w:val="nil"/>
            </w:tcBorders>
          </w:tcPr>
          <w:p>
            <w:pPr>
              <w:pStyle w:val="TableParagraph"/>
              <w:spacing w:before="88"/>
              <w:ind w:right="319"/>
              <w:jc w:val="right"/>
              <w:rPr>
                <w:sz w:val="22"/>
              </w:rPr>
            </w:pPr>
            <w:r>
              <w:rPr>
                <w:sz w:val="22"/>
              </w:rPr>
              <w:t>0.36</w:t>
            </w:r>
          </w:p>
        </w:tc>
        <w:tc>
          <w:tcPr>
            <w:tcW w:w="992" w:type="dxa"/>
            <w:tcBorders>
              <w:top w:val="nil"/>
              <w:left w:val="nil"/>
              <w:bottom w:val="nil"/>
              <w:right w:val="nil"/>
            </w:tcBorders>
          </w:tcPr>
          <w:p>
            <w:pPr>
              <w:pStyle w:val="TableParagraph"/>
              <w:spacing w:before="88"/>
              <w:ind w:left="247" w:right="210"/>
              <w:jc w:val="center"/>
              <w:rPr>
                <w:sz w:val="22"/>
              </w:rPr>
            </w:pPr>
            <w:r>
              <w:rPr>
                <w:sz w:val="22"/>
              </w:rPr>
              <w:t>0.40</w:t>
            </w:r>
          </w:p>
        </w:tc>
        <w:tc>
          <w:tcPr>
            <w:tcW w:w="928" w:type="dxa"/>
            <w:tcBorders>
              <w:top w:val="nil"/>
              <w:left w:val="nil"/>
              <w:bottom w:val="nil"/>
              <w:right w:val="nil"/>
            </w:tcBorders>
          </w:tcPr>
          <w:p>
            <w:pPr>
              <w:pStyle w:val="TableParagraph"/>
              <w:spacing w:before="88"/>
              <w:ind w:left="209" w:right="182"/>
              <w:jc w:val="center"/>
              <w:rPr>
                <w:sz w:val="22"/>
              </w:rPr>
            </w:pPr>
            <w:r>
              <w:rPr>
                <w:sz w:val="22"/>
              </w:rPr>
              <w:t>0.45</w:t>
            </w:r>
          </w:p>
        </w:tc>
        <w:tc>
          <w:tcPr>
            <w:tcW w:w="1207" w:type="dxa"/>
            <w:tcBorders>
              <w:top w:val="nil"/>
              <w:left w:val="nil"/>
              <w:bottom w:val="nil"/>
              <w:right w:val="nil"/>
            </w:tcBorders>
          </w:tcPr>
          <w:p>
            <w:pPr>
              <w:pStyle w:val="TableParagraph"/>
              <w:spacing w:before="88"/>
              <w:ind w:left="201"/>
              <w:rPr>
                <w:sz w:val="22"/>
              </w:rPr>
            </w:pPr>
            <w:r>
              <w:rPr>
                <w:sz w:val="22"/>
              </w:rPr>
              <w:t>0.0371</w:t>
            </w:r>
          </w:p>
        </w:tc>
        <w:tc>
          <w:tcPr>
            <w:tcW w:w="1467" w:type="dxa"/>
            <w:tcBorders>
              <w:top w:val="nil"/>
              <w:left w:val="nil"/>
              <w:bottom w:val="nil"/>
              <w:right w:val="nil"/>
            </w:tcBorders>
          </w:tcPr>
          <w:p>
            <w:pPr>
              <w:pStyle w:val="TableParagraph"/>
              <w:spacing w:before="88"/>
              <w:ind w:left="398"/>
              <w:rPr>
                <w:sz w:val="22"/>
              </w:rPr>
            </w:pPr>
            <w:r>
              <w:rPr>
                <w:sz w:val="22"/>
              </w:rPr>
              <w:t>0.1153</w:t>
            </w:r>
          </w:p>
        </w:tc>
        <w:tc>
          <w:tcPr>
            <w:tcW w:w="1404" w:type="dxa"/>
            <w:tcBorders>
              <w:top w:val="nil"/>
              <w:left w:val="nil"/>
              <w:bottom w:val="nil"/>
              <w:right w:val="nil"/>
            </w:tcBorders>
          </w:tcPr>
          <w:p>
            <w:pPr>
              <w:pStyle w:val="TableParagraph"/>
              <w:spacing w:before="88"/>
              <w:ind w:right="333"/>
              <w:jc w:val="right"/>
              <w:rPr>
                <w:sz w:val="22"/>
              </w:rPr>
            </w:pPr>
            <w:r>
              <w:rPr>
                <w:sz w:val="22"/>
              </w:rPr>
              <w:t>0.3847</w:t>
            </w:r>
          </w:p>
        </w:tc>
      </w:tr>
      <w:tr>
        <w:trPr>
          <w:trHeight w:val="437" w:hRule="exact"/>
        </w:trPr>
        <w:tc>
          <w:tcPr>
            <w:tcW w:w="1716" w:type="dxa"/>
            <w:tcBorders>
              <w:top w:val="nil"/>
              <w:left w:val="nil"/>
              <w:bottom w:val="nil"/>
              <w:right w:val="nil"/>
            </w:tcBorders>
          </w:tcPr>
          <w:p>
            <w:pPr>
              <w:pStyle w:val="TableParagraph"/>
              <w:spacing w:before="88"/>
              <w:ind w:left="107"/>
              <w:rPr>
                <w:sz w:val="22"/>
              </w:rPr>
            </w:pPr>
            <w:r>
              <w:rPr>
                <w:sz w:val="22"/>
              </w:rPr>
              <w:t>C18:2c9t11</w:t>
            </w:r>
          </w:p>
        </w:tc>
        <w:tc>
          <w:tcPr>
            <w:tcW w:w="1342" w:type="dxa"/>
            <w:tcBorders>
              <w:top w:val="nil"/>
              <w:left w:val="nil"/>
              <w:bottom w:val="nil"/>
              <w:right w:val="nil"/>
            </w:tcBorders>
          </w:tcPr>
          <w:p>
            <w:pPr>
              <w:pStyle w:val="TableParagraph"/>
              <w:spacing w:before="88"/>
              <w:ind w:right="319"/>
              <w:jc w:val="right"/>
              <w:rPr>
                <w:sz w:val="22"/>
              </w:rPr>
            </w:pPr>
            <w:r>
              <w:rPr>
                <w:sz w:val="22"/>
              </w:rPr>
              <w:t>0.66</w:t>
            </w:r>
          </w:p>
        </w:tc>
        <w:tc>
          <w:tcPr>
            <w:tcW w:w="992" w:type="dxa"/>
            <w:tcBorders>
              <w:top w:val="nil"/>
              <w:left w:val="nil"/>
              <w:bottom w:val="nil"/>
              <w:right w:val="nil"/>
            </w:tcBorders>
          </w:tcPr>
          <w:p>
            <w:pPr>
              <w:pStyle w:val="TableParagraph"/>
              <w:spacing w:before="88"/>
              <w:ind w:left="247" w:right="210"/>
              <w:jc w:val="center"/>
              <w:rPr>
                <w:sz w:val="22"/>
              </w:rPr>
            </w:pPr>
            <w:r>
              <w:rPr>
                <w:sz w:val="22"/>
              </w:rPr>
              <w:t>0.70</w:t>
            </w:r>
          </w:p>
        </w:tc>
        <w:tc>
          <w:tcPr>
            <w:tcW w:w="928" w:type="dxa"/>
            <w:tcBorders>
              <w:top w:val="nil"/>
              <w:left w:val="nil"/>
              <w:bottom w:val="nil"/>
              <w:right w:val="nil"/>
            </w:tcBorders>
          </w:tcPr>
          <w:p>
            <w:pPr>
              <w:pStyle w:val="TableParagraph"/>
              <w:spacing w:before="88"/>
              <w:ind w:left="209" w:right="182"/>
              <w:jc w:val="center"/>
              <w:rPr>
                <w:sz w:val="22"/>
              </w:rPr>
            </w:pPr>
            <w:r>
              <w:rPr>
                <w:sz w:val="22"/>
              </w:rPr>
              <w:t>0.82</w:t>
            </w:r>
          </w:p>
        </w:tc>
        <w:tc>
          <w:tcPr>
            <w:tcW w:w="1207" w:type="dxa"/>
            <w:tcBorders>
              <w:top w:val="nil"/>
              <w:left w:val="nil"/>
              <w:bottom w:val="nil"/>
              <w:right w:val="nil"/>
            </w:tcBorders>
          </w:tcPr>
          <w:p>
            <w:pPr>
              <w:pStyle w:val="TableParagraph"/>
              <w:spacing w:before="88"/>
              <w:ind w:left="201"/>
              <w:rPr>
                <w:sz w:val="22"/>
              </w:rPr>
            </w:pPr>
            <w:r>
              <w:rPr>
                <w:sz w:val="22"/>
              </w:rPr>
              <w:t>0.0537</w:t>
            </w:r>
          </w:p>
        </w:tc>
        <w:tc>
          <w:tcPr>
            <w:tcW w:w="1467" w:type="dxa"/>
            <w:tcBorders>
              <w:top w:val="nil"/>
              <w:left w:val="nil"/>
              <w:bottom w:val="nil"/>
              <w:right w:val="nil"/>
            </w:tcBorders>
          </w:tcPr>
          <w:p>
            <w:pPr>
              <w:pStyle w:val="TableParagraph"/>
              <w:spacing w:before="88"/>
              <w:ind w:left="398"/>
              <w:rPr>
                <w:sz w:val="22"/>
              </w:rPr>
            </w:pPr>
            <w:r>
              <w:rPr>
                <w:sz w:val="22"/>
              </w:rPr>
              <w:t>0.0390</w:t>
            </w:r>
          </w:p>
        </w:tc>
        <w:tc>
          <w:tcPr>
            <w:tcW w:w="1404" w:type="dxa"/>
            <w:tcBorders>
              <w:top w:val="nil"/>
              <w:left w:val="nil"/>
              <w:bottom w:val="nil"/>
              <w:right w:val="nil"/>
            </w:tcBorders>
          </w:tcPr>
          <w:p>
            <w:pPr>
              <w:pStyle w:val="TableParagraph"/>
              <w:spacing w:before="88"/>
              <w:ind w:right="333"/>
              <w:jc w:val="right"/>
              <w:rPr>
                <w:sz w:val="22"/>
              </w:rPr>
            </w:pPr>
            <w:r>
              <w:rPr>
                <w:sz w:val="22"/>
              </w:rPr>
              <w:t>0.5094</w:t>
            </w:r>
          </w:p>
        </w:tc>
      </w:tr>
    </w:tbl>
    <w:p>
      <w:pPr>
        <w:spacing w:after="0"/>
        <w:jc w:val="right"/>
        <w:rPr>
          <w:sz w:val="22"/>
        </w:rPr>
        <w:sectPr>
          <w:type w:val="continuous"/>
          <w:pgSz w:w="12240" w:h="15840"/>
          <w:pgMar w:top="3460" w:bottom="280" w:left="1640" w:right="1260"/>
        </w:sectPr>
      </w:pPr>
    </w:p>
    <w:p>
      <w:pPr>
        <w:pStyle w:val="BodyText"/>
        <w:rPr>
          <w:sz w:val="20"/>
        </w:rPr>
      </w:pPr>
    </w:p>
    <w:p>
      <w:pPr>
        <w:pStyle w:val="BodyText"/>
        <w:spacing w:before="6"/>
        <w:rPr>
          <w:sz w:val="21"/>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69"/>
        <w:gridCol w:w="1404"/>
        <w:gridCol w:w="992"/>
        <w:gridCol w:w="928"/>
        <w:gridCol w:w="1207"/>
        <w:gridCol w:w="1467"/>
        <w:gridCol w:w="1404"/>
      </w:tblGrid>
      <w:tr>
        <w:trPr>
          <w:trHeight w:val="337" w:hRule="exact"/>
        </w:trPr>
        <w:tc>
          <w:tcPr>
            <w:tcW w:w="1669" w:type="dxa"/>
          </w:tcPr>
          <w:p>
            <w:pPr>
              <w:pStyle w:val="TableParagraph"/>
              <w:spacing w:line="230" w:lineRule="exact"/>
              <w:ind w:left="122"/>
              <w:rPr>
                <w:sz w:val="22"/>
              </w:rPr>
            </w:pPr>
            <w:r>
              <w:rPr>
                <w:sz w:val="22"/>
              </w:rPr>
              <w:t>C20:0</w:t>
            </w:r>
          </w:p>
        </w:tc>
        <w:tc>
          <w:tcPr>
            <w:tcW w:w="1404" w:type="dxa"/>
          </w:tcPr>
          <w:p>
            <w:pPr>
              <w:pStyle w:val="TableParagraph"/>
              <w:spacing w:line="230" w:lineRule="exact"/>
              <w:ind w:right="319"/>
              <w:jc w:val="right"/>
              <w:rPr>
                <w:sz w:val="22"/>
              </w:rPr>
            </w:pPr>
            <w:r>
              <w:rPr>
                <w:sz w:val="22"/>
              </w:rPr>
              <w:t>0.15</w:t>
            </w:r>
          </w:p>
        </w:tc>
        <w:tc>
          <w:tcPr>
            <w:tcW w:w="992" w:type="dxa"/>
          </w:tcPr>
          <w:p>
            <w:pPr>
              <w:pStyle w:val="TableParagraph"/>
              <w:spacing w:line="230" w:lineRule="exact"/>
              <w:ind w:left="247" w:right="210"/>
              <w:jc w:val="center"/>
              <w:rPr>
                <w:sz w:val="22"/>
              </w:rPr>
            </w:pPr>
            <w:r>
              <w:rPr>
                <w:sz w:val="22"/>
              </w:rPr>
              <w:t>0.15</w:t>
            </w:r>
          </w:p>
        </w:tc>
        <w:tc>
          <w:tcPr>
            <w:tcW w:w="928" w:type="dxa"/>
          </w:tcPr>
          <w:p>
            <w:pPr>
              <w:pStyle w:val="TableParagraph"/>
              <w:spacing w:line="230" w:lineRule="exact"/>
              <w:ind w:left="209" w:right="182"/>
              <w:jc w:val="center"/>
              <w:rPr>
                <w:sz w:val="22"/>
              </w:rPr>
            </w:pPr>
            <w:r>
              <w:rPr>
                <w:sz w:val="22"/>
              </w:rPr>
              <w:t>0.15</w:t>
            </w:r>
          </w:p>
        </w:tc>
        <w:tc>
          <w:tcPr>
            <w:tcW w:w="1207" w:type="dxa"/>
          </w:tcPr>
          <w:p>
            <w:pPr>
              <w:pStyle w:val="TableParagraph"/>
              <w:spacing w:line="230" w:lineRule="exact"/>
              <w:ind w:left="201"/>
              <w:rPr>
                <w:sz w:val="22"/>
              </w:rPr>
            </w:pPr>
            <w:r>
              <w:rPr>
                <w:sz w:val="22"/>
              </w:rPr>
              <w:t>0.0110</w:t>
            </w:r>
          </w:p>
        </w:tc>
        <w:tc>
          <w:tcPr>
            <w:tcW w:w="1467" w:type="dxa"/>
          </w:tcPr>
          <w:p>
            <w:pPr>
              <w:pStyle w:val="TableParagraph"/>
              <w:spacing w:line="230" w:lineRule="exact"/>
              <w:ind w:left="398"/>
              <w:rPr>
                <w:sz w:val="22"/>
              </w:rPr>
            </w:pPr>
            <w:r>
              <w:rPr>
                <w:sz w:val="22"/>
              </w:rPr>
              <w:t>0.8137</w:t>
            </w:r>
          </w:p>
        </w:tc>
        <w:tc>
          <w:tcPr>
            <w:tcW w:w="1404" w:type="dxa"/>
          </w:tcPr>
          <w:p>
            <w:pPr>
              <w:pStyle w:val="TableParagraph"/>
              <w:spacing w:line="230" w:lineRule="exact"/>
              <w:ind w:right="333"/>
              <w:jc w:val="right"/>
              <w:rPr>
                <w:sz w:val="22"/>
              </w:rPr>
            </w:pPr>
            <w:r>
              <w:rPr>
                <w:sz w:val="22"/>
              </w:rPr>
              <w:t>0.6847</w:t>
            </w:r>
          </w:p>
        </w:tc>
      </w:tr>
      <w:tr>
        <w:trPr>
          <w:trHeight w:val="452" w:hRule="exact"/>
        </w:trPr>
        <w:tc>
          <w:tcPr>
            <w:tcW w:w="1669" w:type="dxa"/>
          </w:tcPr>
          <w:p>
            <w:pPr>
              <w:pStyle w:val="TableParagraph"/>
              <w:spacing w:before="93"/>
              <w:ind w:left="122"/>
              <w:rPr>
                <w:sz w:val="22"/>
              </w:rPr>
            </w:pPr>
            <w:r>
              <w:rPr>
                <w:sz w:val="22"/>
              </w:rPr>
              <w:t>C20:1c11</w:t>
            </w:r>
          </w:p>
        </w:tc>
        <w:tc>
          <w:tcPr>
            <w:tcW w:w="1404" w:type="dxa"/>
          </w:tcPr>
          <w:p>
            <w:pPr>
              <w:pStyle w:val="TableParagraph"/>
              <w:spacing w:before="93"/>
              <w:ind w:right="319"/>
              <w:jc w:val="right"/>
              <w:rPr>
                <w:sz w:val="22"/>
              </w:rPr>
            </w:pPr>
            <w:r>
              <w:rPr>
                <w:sz w:val="22"/>
              </w:rPr>
              <w:t>0.16</w:t>
            </w:r>
          </w:p>
        </w:tc>
        <w:tc>
          <w:tcPr>
            <w:tcW w:w="992" w:type="dxa"/>
          </w:tcPr>
          <w:p>
            <w:pPr>
              <w:pStyle w:val="TableParagraph"/>
              <w:spacing w:before="93"/>
              <w:ind w:left="247" w:right="210"/>
              <w:jc w:val="center"/>
              <w:rPr>
                <w:sz w:val="22"/>
              </w:rPr>
            </w:pPr>
            <w:r>
              <w:rPr>
                <w:sz w:val="22"/>
              </w:rPr>
              <w:t>0.13</w:t>
            </w:r>
          </w:p>
        </w:tc>
        <w:tc>
          <w:tcPr>
            <w:tcW w:w="928" w:type="dxa"/>
          </w:tcPr>
          <w:p>
            <w:pPr>
              <w:pStyle w:val="TableParagraph"/>
              <w:spacing w:before="93"/>
              <w:ind w:left="209" w:right="182"/>
              <w:jc w:val="center"/>
              <w:rPr>
                <w:sz w:val="22"/>
              </w:rPr>
            </w:pPr>
            <w:r>
              <w:rPr>
                <w:sz w:val="22"/>
              </w:rPr>
              <w:t>0.14</w:t>
            </w:r>
          </w:p>
        </w:tc>
        <w:tc>
          <w:tcPr>
            <w:tcW w:w="1207" w:type="dxa"/>
          </w:tcPr>
          <w:p>
            <w:pPr>
              <w:pStyle w:val="TableParagraph"/>
              <w:spacing w:before="93"/>
              <w:ind w:left="201"/>
              <w:rPr>
                <w:sz w:val="22"/>
              </w:rPr>
            </w:pPr>
            <w:r>
              <w:rPr>
                <w:sz w:val="22"/>
              </w:rPr>
              <w:t>0.0288</w:t>
            </w:r>
          </w:p>
        </w:tc>
        <w:tc>
          <w:tcPr>
            <w:tcW w:w="1467" w:type="dxa"/>
          </w:tcPr>
          <w:p>
            <w:pPr>
              <w:pStyle w:val="TableParagraph"/>
              <w:spacing w:before="93"/>
              <w:ind w:left="398"/>
              <w:rPr>
                <w:sz w:val="22"/>
              </w:rPr>
            </w:pPr>
            <w:r>
              <w:rPr>
                <w:sz w:val="22"/>
              </w:rPr>
              <w:t>0.8922</w:t>
            </w:r>
          </w:p>
        </w:tc>
        <w:tc>
          <w:tcPr>
            <w:tcW w:w="1404" w:type="dxa"/>
          </w:tcPr>
          <w:p>
            <w:pPr>
              <w:pStyle w:val="TableParagraph"/>
              <w:spacing w:before="93"/>
              <w:ind w:right="333"/>
              <w:jc w:val="right"/>
              <w:rPr>
                <w:sz w:val="22"/>
              </w:rPr>
            </w:pPr>
            <w:r>
              <w:rPr>
                <w:sz w:val="22"/>
              </w:rPr>
              <w:t>0.4901</w:t>
            </w:r>
          </w:p>
        </w:tc>
      </w:tr>
      <w:tr>
        <w:trPr>
          <w:trHeight w:val="452" w:hRule="exact"/>
        </w:trPr>
        <w:tc>
          <w:tcPr>
            <w:tcW w:w="1669" w:type="dxa"/>
          </w:tcPr>
          <w:p>
            <w:pPr>
              <w:pStyle w:val="TableParagraph"/>
              <w:spacing w:before="92"/>
              <w:ind w:left="122"/>
              <w:rPr>
                <w:sz w:val="22"/>
              </w:rPr>
            </w:pPr>
            <w:r>
              <w:rPr>
                <w:sz w:val="22"/>
              </w:rPr>
              <w:t>C23:0</w:t>
            </w:r>
          </w:p>
        </w:tc>
        <w:tc>
          <w:tcPr>
            <w:tcW w:w="1404" w:type="dxa"/>
          </w:tcPr>
          <w:p>
            <w:pPr>
              <w:pStyle w:val="TableParagraph"/>
              <w:spacing w:before="92"/>
              <w:ind w:right="319"/>
              <w:jc w:val="right"/>
              <w:rPr>
                <w:sz w:val="22"/>
              </w:rPr>
            </w:pPr>
            <w:r>
              <w:rPr>
                <w:sz w:val="22"/>
              </w:rPr>
              <w:t>0.10</w:t>
            </w:r>
          </w:p>
        </w:tc>
        <w:tc>
          <w:tcPr>
            <w:tcW w:w="992" w:type="dxa"/>
          </w:tcPr>
          <w:p>
            <w:pPr>
              <w:pStyle w:val="TableParagraph"/>
              <w:spacing w:before="92"/>
              <w:ind w:left="247" w:right="210"/>
              <w:jc w:val="center"/>
              <w:rPr>
                <w:sz w:val="22"/>
              </w:rPr>
            </w:pPr>
            <w:r>
              <w:rPr>
                <w:sz w:val="22"/>
              </w:rPr>
              <w:t>0.12</w:t>
            </w:r>
          </w:p>
        </w:tc>
        <w:tc>
          <w:tcPr>
            <w:tcW w:w="928" w:type="dxa"/>
          </w:tcPr>
          <w:p>
            <w:pPr>
              <w:pStyle w:val="TableParagraph"/>
              <w:spacing w:before="92"/>
              <w:ind w:left="209" w:right="182"/>
              <w:jc w:val="center"/>
              <w:rPr>
                <w:sz w:val="22"/>
              </w:rPr>
            </w:pPr>
            <w:r>
              <w:rPr>
                <w:sz w:val="22"/>
              </w:rPr>
              <w:t>0.10</w:t>
            </w:r>
          </w:p>
        </w:tc>
        <w:tc>
          <w:tcPr>
            <w:tcW w:w="1207" w:type="dxa"/>
          </w:tcPr>
          <w:p>
            <w:pPr>
              <w:pStyle w:val="TableParagraph"/>
              <w:spacing w:before="92"/>
              <w:ind w:left="201"/>
              <w:rPr>
                <w:sz w:val="22"/>
              </w:rPr>
            </w:pPr>
            <w:r>
              <w:rPr>
                <w:sz w:val="22"/>
              </w:rPr>
              <w:t>0.0292</w:t>
            </w:r>
          </w:p>
        </w:tc>
        <w:tc>
          <w:tcPr>
            <w:tcW w:w="1467" w:type="dxa"/>
          </w:tcPr>
          <w:p>
            <w:pPr>
              <w:pStyle w:val="TableParagraph"/>
              <w:spacing w:before="92"/>
              <w:ind w:left="398"/>
              <w:rPr>
                <w:sz w:val="22"/>
              </w:rPr>
            </w:pPr>
            <w:r>
              <w:rPr>
                <w:sz w:val="22"/>
              </w:rPr>
              <w:t>0.7225</w:t>
            </w:r>
          </w:p>
        </w:tc>
        <w:tc>
          <w:tcPr>
            <w:tcW w:w="1404" w:type="dxa"/>
          </w:tcPr>
          <w:p>
            <w:pPr>
              <w:pStyle w:val="TableParagraph"/>
              <w:spacing w:before="92"/>
              <w:ind w:right="333"/>
              <w:jc w:val="right"/>
              <w:rPr>
                <w:sz w:val="22"/>
              </w:rPr>
            </w:pPr>
            <w:r>
              <w:rPr>
                <w:sz w:val="22"/>
              </w:rPr>
              <w:t>0.7581</w:t>
            </w:r>
          </w:p>
        </w:tc>
      </w:tr>
      <w:tr>
        <w:trPr>
          <w:trHeight w:val="447" w:hRule="exact"/>
        </w:trPr>
        <w:tc>
          <w:tcPr>
            <w:tcW w:w="1669" w:type="dxa"/>
          </w:tcPr>
          <w:p>
            <w:pPr>
              <w:pStyle w:val="TableParagraph"/>
              <w:spacing w:before="93"/>
              <w:ind w:left="122"/>
              <w:rPr>
                <w:sz w:val="22"/>
              </w:rPr>
            </w:pPr>
            <w:r>
              <w:rPr>
                <w:sz w:val="22"/>
              </w:rPr>
              <w:t>Otros</w:t>
            </w:r>
          </w:p>
        </w:tc>
        <w:tc>
          <w:tcPr>
            <w:tcW w:w="1404" w:type="dxa"/>
          </w:tcPr>
          <w:p>
            <w:pPr>
              <w:pStyle w:val="TableParagraph"/>
              <w:spacing w:before="93"/>
              <w:ind w:right="319"/>
              <w:jc w:val="right"/>
              <w:rPr>
                <w:sz w:val="22"/>
              </w:rPr>
            </w:pPr>
            <w:r>
              <w:rPr>
                <w:sz w:val="22"/>
              </w:rPr>
              <w:t>0.46</w:t>
            </w:r>
          </w:p>
        </w:tc>
        <w:tc>
          <w:tcPr>
            <w:tcW w:w="992" w:type="dxa"/>
          </w:tcPr>
          <w:p>
            <w:pPr>
              <w:pStyle w:val="TableParagraph"/>
              <w:spacing w:before="93"/>
              <w:ind w:left="247" w:right="210"/>
              <w:jc w:val="center"/>
              <w:rPr>
                <w:sz w:val="22"/>
              </w:rPr>
            </w:pPr>
            <w:r>
              <w:rPr>
                <w:sz w:val="22"/>
              </w:rPr>
              <w:t>0.45</w:t>
            </w:r>
          </w:p>
        </w:tc>
        <w:tc>
          <w:tcPr>
            <w:tcW w:w="928" w:type="dxa"/>
          </w:tcPr>
          <w:p>
            <w:pPr>
              <w:pStyle w:val="TableParagraph"/>
              <w:spacing w:before="93"/>
              <w:ind w:left="209" w:right="182"/>
              <w:jc w:val="center"/>
              <w:rPr>
                <w:sz w:val="22"/>
              </w:rPr>
            </w:pPr>
            <w:r>
              <w:rPr>
                <w:sz w:val="22"/>
              </w:rPr>
              <w:t>0.48</w:t>
            </w:r>
          </w:p>
        </w:tc>
        <w:tc>
          <w:tcPr>
            <w:tcW w:w="1207" w:type="dxa"/>
          </w:tcPr>
          <w:p>
            <w:pPr>
              <w:pStyle w:val="TableParagraph"/>
              <w:spacing w:before="93"/>
              <w:ind w:left="201"/>
              <w:rPr>
                <w:sz w:val="22"/>
              </w:rPr>
            </w:pPr>
            <w:r>
              <w:rPr>
                <w:sz w:val="22"/>
              </w:rPr>
              <w:t>0.0194</w:t>
            </w:r>
          </w:p>
        </w:tc>
        <w:tc>
          <w:tcPr>
            <w:tcW w:w="1467" w:type="dxa"/>
          </w:tcPr>
          <w:p>
            <w:pPr>
              <w:pStyle w:val="TableParagraph"/>
              <w:spacing w:before="93"/>
              <w:ind w:left="398"/>
              <w:rPr>
                <w:sz w:val="22"/>
              </w:rPr>
            </w:pPr>
            <w:r>
              <w:rPr>
                <w:sz w:val="22"/>
              </w:rPr>
              <w:t>0.3341</w:t>
            </w:r>
          </w:p>
        </w:tc>
        <w:tc>
          <w:tcPr>
            <w:tcW w:w="1404" w:type="dxa"/>
          </w:tcPr>
          <w:p>
            <w:pPr>
              <w:pStyle w:val="TableParagraph"/>
              <w:spacing w:before="93"/>
              <w:ind w:right="333"/>
              <w:jc w:val="right"/>
              <w:rPr>
                <w:sz w:val="22"/>
              </w:rPr>
            </w:pPr>
            <w:r>
              <w:rPr>
                <w:sz w:val="22"/>
              </w:rPr>
              <w:t>0.7285</w:t>
            </w:r>
          </w:p>
        </w:tc>
      </w:tr>
      <w:tr>
        <w:trPr>
          <w:trHeight w:val="460" w:hRule="exact"/>
        </w:trPr>
        <w:tc>
          <w:tcPr>
            <w:tcW w:w="1669" w:type="dxa"/>
          </w:tcPr>
          <w:p>
            <w:pPr>
              <w:pStyle w:val="TableParagraph"/>
              <w:spacing w:before="94"/>
              <w:ind w:left="122"/>
              <w:rPr>
                <w:sz w:val="14"/>
              </w:rPr>
            </w:pPr>
            <w:r>
              <w:rPr>
                <w:sz w:val="22"/>
              </w:rPr>
              <w:t>Categories</w:t>
            </w:r>
            <w:r>
              <w:rPr>
                <w:position w:val="8"/>
                <w:sz w:val="14"/>
              </w:rPr>
              <w:t>‡</w:t>
            </w:r>
          </w:p>
        </w:tc>
        <w:tc>
          <w:tcPr>
            <w:tcW w:w="1404" w:type="dxa"/>
          </w:tcPr>
          <w:p>
            <w:pPr/>
          </w:p>
        </w:tc>
        <w:tc>
          <w:tcPr>
            <w:tcW w:w="992" w:type="dxa"/>
          </w:tcPr>
          <w:p>
            <w:pPr/>
          </w:p>
        </w:tc>
        <w:tc>
          <w:tcPr>
            <w:tcW w:w="928" w:type="dxa"/>
          </w:tcPr>
          <w:p>
            <w:pPr/>
          </w:p>
        </w:tc>
        <w:tc>
          <w:tcPr>
            <w:tcW w:w="1207" w:type="dxa"/>
          </w:tcPr>
          <w:p>
            <w:pPr/>
          </w:p>
        </w:tc>
        <w:tc>
          <w:tcPr>
            <w:tcW w:w="1467" w:type="dxa"/>
          </w:tcPr>
          <w:p>
            <w:pPr/>
          </w:p>
        </w:tc>
        <w:tc>
          <w:tcPr>
            <w:tcW w:w="1404" w:type="dxa"/>
          </w:tcPr>
          <w:p>
            <w:pPr/>
          </w:p>
        </w:tc>
      </w:tr>
      <w:tr>
        <w:trPr>
          <w:trHeight w:val="452" w:hRule="exact"/>
        </w:trPr>
        <w:tc>
          <w:tcPr>
            <w:tcW w:w="1669" w:type="dxa"/>
          </w:tcPr>
          <w:p>
            <w:pPr>
              <w:pStyle w:val="TableParagraph"/>
              <w:spacing w:before="93"/>
              <w:ind w:left="122"/>
              <w:rPr>
                <w:sz w:val="22"/>
              </w:rPr>
            </w:pPr>
            <w:r>
              <w:rPr>
                <w:sz w:val="22"/>
              </w:rPr>
              <w:t>SFA</w:t>
            </w:r>
          </w:p>
        </w:tc>
        <w:tc>
          <w:tcPr>
            <w:tcW w:w="1404" w:type="dxa"/>
          </w:tcPr>
          <w:p>
            <w:pPr>
              <w:pStyle w:val="TableParagraph"/>
              <w:spacing w:before="93"/>
              <w:ind w:right="264"/>
              <w:jc w:val="right"/>
              <w:rPr>
                <w:sz w:val="22"/>
              </w:rPr>
            </w:pPr>
            <w:r>
              <w:rPr>
                <w:sz w:val="22"/>
              </w:rPr>
              <w:t>72.95</w:t>
            </w:r>
          </w:p>
        </w:tc>
        <w:tc>
          <w:tcPr>
            <w:tcW w:w="992" w:type="dxa"/>
          </w:tcPr>
          <w:p>
            <w:pPr>
              <w:pStyle w:val="TableParagraph"/>
              <w:spacing w:before="93"/>
              <w:ind w:left="247" w:right="210"/>
              <w:jc w:val="center"/>
              <w:rPr>
                <w:sz w:val="22"/>
              </w:rPr>
            </w:pPr>
            <w:r>
              <w:rPr>
                <w:sz w:val="22"/>
              </w:rPr>
              <w:t>72.11</w:t>
            </w:r>
          </w:p>
        </w:tc>
        <w:tc>
          <w:tcPr>
            <w:tcW w:w="928" w:type="dxa"/>
          </w:tcPr>
          <w:p>
            <w:pPr>
              <w:pStyle w:val="TableParagraph"/>
              <w:spacing w:before="93"/>
              <w:ind w:left="209" w:right="182"/>
              <w:jc w:val="center"/>
              <w:rPr>
                <w:sz w:val="22"/>
              </w:rPr>
            </w:pPr>
            <w:r>
              <w:rPr>
                <w:sz w:val="22"/>
              </w:rPr>
              <w:t>71.71</w:t>
            </w:r>
          </w:p>
        </w:tc>
        <w:tc>
          <w:tcPr>
            <w:tcW w:w="1207" w:type="dxa"/>
          </w:tcPr>
          <w:p>
            <w:pPr>
              <w:pStyle w:val="TableParagraph"/>
              <w:spacing w:before="93"/>
              <w:ind w:left="201"/>
              <w:rPr>
                <w:sz w:val="22"/>
              </w:rPr>
            </w:pPr>
            <w:r>
              <w:rPr>
                <w:sz w:val="22"/>
              </w:rPr>
              <w:t>1.1005</w:t>
            </w:r>
          </w:p>
        </w:tc>
        <w:tc>
          <w:tcPr>
            <w:tcW w:w="1467" w:type="dxa"/>
          </w:tcPr>
          <w:p>
            <w:pPr>
              <w:pStyle w:val="TableParagraph"/>
              <w:spacing w:before="93"/>
              <w:ind w:left="398"/>
              <w:rPr>
                <w:sz w:val="22"/>
              </w:rPr>
            </w:pPr>
            <w:r>
              <w:rPr>
                <w:sz w:val="22"/>
              </w:rPr>
              <w:t>0.5660</w:t>
            </w:r>
          </w:p>
        </w:tc>
        <w:tc>
          <w:tcPr>
            <w:tcW w:w="1404" w:type="dxa"/>
          </w:tcPr>
          <w:p>
            <w:pPr>
              <w:pStyle w:val="TableParagraph"/>
              <w:spacing w:before="93"/>
              <w:ind w:right="333"/>
              <w:jc w:val="right"/>
              <w:rPr>
                <w:sz w:val="22"/>
              </w:rPr>
            </w:pPr>
            <w:r>
              <w:rPr>
                <w:sz w:val="22"/>
              </w:rPr>
              <w:t>0.6102</w:t>
            </w:r>
          </w:p>
        </w:tc>
      </w:tr>
      <w:tr>
        <w:trPr>
          <w:trHeight w:val="453" w:hRule="exact"/>
        </w:trPr>
        <w:tc>
          <w:tcPr>
            <w:tcW w:w="1669" w:type="dxa"/>
          </w:tcPr>
          <w:p>
            <w:pPr>
              <w:pStyle w:val="TableParagraph"/>
              <w:spacing w:before="92"/>
              <w:ind w:left="122"/>
              <w:rPr>
                <w:sz w:val="22"/>
              </w:rPr>
            </w:pPr>
            <w:r>
              <w:rPr>
                <w:sz w:val="22"/>
              </w:rPr>
              <w:t>MUFA</w:t>
            </w:r>
          </w:p>
        </w:tc>
        <w:tc>
          <w:tcPr>
            <w:tcW w:w="1404" w:type="dxa"/>
          </w:tcPr>
          <w:p>
            <w:pPr>
              <w:pStyle w:val="TableParagraph"/>
              <w:spacing w:before="92"/>
              <w:ind w:right="264"/>
              <w:jc w:val="right"/>
              <w:rPr>
                <w:sz w:val="22"/>
              </w:rPr>
            </w:pPr>
            <w:r>
              <w:rPr>
                <w:sz w:val="22"/>
              </w:rPr>
              <w:t>24.29</w:t>
            </w:r>
          </w:p>
        </w:tc>
        <w:tc>
          <w:tcPr>
            <w:tcW w:w="992" w:type="dxa"/>
          </w:tcPr>
          <w:p>
            <w:pPr>
              <w:pStyle w:val="TableParagraph"/>
              <w:spacing w:before="92"/>
              <w:ind w:left="247" w:right="210"/>
              <w:jc w:val="center"/>
              <w:rPr>
                <w:sz w:val="22"/>
              </w:rPr>
            </w:pPr>
            <w:r>
              <w:rPr>
                <w:sz w:val="22"/>
              </w:rPr>
              <w:t>25.05</w:t>
            </w:r>
          </w:p>
        </w:tc>
        <w:tc>
          <w:tcPr>
            <w:tcW w:w="928" w:type="dxa"/>
          </w:tcPr>
          <w:p>
            <w:pPr>
              <w:pStyle w:val="TableParagraph"/>
              <w:spacing w:before="92"/>
              <w:ind w:left="209" w:right="182"/>
              <w:jc w:val="center"/>
              <w:rPr>
                <w:sz w:val="22"/>
              </w:rPr>
            </w:pPr>
            <w:r>
              <w:rPr>
                <w:sz w:val="22"/>
              </w:rPr>
              <w:t>25.27</w:t>
            </w:r>
          </w:p>
        </w:tc>
        <w:tc>
          <w:tcPr>
            <w:tcW w:w="1207" w:type="dxa"/>
          </w:tcPr>
          <w:p>
            <w:pPr>
              <w:pStyle w:val="TableParagraph"/>
              <w:spacing w:before="92"/>
              <w:ind w:left="201"/>
              <w:rPr>
                <w:sz w:val="22"/>
              </w:rPr>
            </w:pPr>
            <w:r>
              <w:rPr>
                <w:sz w:val="22"/>
              </w:rPr>
              <w:t>1.0324</w:t>
            </w:r>
          </w:p>
        </w:tc>
        <w:tc>
          <w:tcPr>
            <w:tcW w:w="1467" w:type="dxa"/>
          </w:tcPr>
          <w:p>
            <w:pPr>
              <w:pStyle w:val="TableParagraph"/>
              <w:spacing w:before="92"/>
              <w:ind w:left="398"/>
              <w:rPr>
                <w:sz w:val="22"/>
              </w:rPr>
            </w:pPr>
            <w:r>
              <w:rPr>
                <w:sz w:val="22"/>
              </w:rPr>
              <w:t>0.6510</w:t>
            </w:r>
          </w:p>
        </w:tc>
        <w:tc>
          <w:tcPr>
            <w:tcW w:w="1404" w:type="dxa"/>
          </w:tcPr>
          <w:p>
            <w:pPr>
              <w:pStyle w:val="TableParagraph"/>
              <w:spacing w:before="92"/>
              <w:ind w:right="333"/>
              <w:jc w:val="right"/>
              <w:rPr>
                <w:sz w:val="22"/>
              </w:rPr>
            </w:pPr>
            <w:r>
              <w:rPr>
                <w:sz w:val="22"/>
              </w:rPr>
              <w:t>0.6228</w:t>
            </w:r>
          </w:p>
        </w:tc>
      </w:tr>
      <w:tr>
        <w:trPr>
          <w:trHeight w:val="454" w:hRule="exact"/>
        </w:trPr>
        <w:tc>
          <w:tcPr>
            <w:tcW w:w="1669" w:type="dxa"/>
          </w:tcPr>
          <w:p>
            <w:pPr>
              <w:pStyle w:val="TableParagraph"/>
              <w:spacing w:before="93"/>
              <w:ind w:left="122"/>
              <w:rPr>
                <w:sz w:val="22"/>
              </w:rPr>
            </w:pPr>
            <w:r>
              <w:rPr>
                <w:sz w:val="22"/>
              </w:rPr>
              <w:t>PUFA</w:t>
            </w:r>
          </w:p>
        </w:tc>
        <w:tc>
          <w:tcPr>
            <w:tcW w:w="1404" w:type="dxa"/>
          </w:tcPr>
          <w:p>
            <w:pPr>
              <w:pStyle w:val="TableParagraph"/>
              <w:spacing w:before="93"/>
              <w:ind w:right="319"/>
              <w:jc w:val="right"/>
              <w:rPr>
                <w:sz w:val="22"/>
              </w:rPr>
            </w:pPr>
            <w:r>
              <w:rPr>
                <w:sz w:val="22"/>
              </w:rPr>
              <w:t>2.76</w:t>
            </w:r>
          </w:p>
        </w:tc>
        <w:tc>
          <w:tcPr>
            <w:tcW w:w="992" w:type="dxa"/>
          </w:tcPr>
          <w:p>
            <w:pPr>
              <w:pStyle w:val="TableParagraph"/>
              <w:spacing w:before="93"/>
              <w:ind w:left="247" w:right="210"/>
              <w:jc w:val="center"/>
              <w:rPr>
                <w:sz w:val="22"/>
              </w:rPr>
            </w:pPr>
            <w:r>
              <w:rPr>
                <w:sz w:val="22"/>
              </w:rPr>
              <w:t>2.84</w:t>
            </w:r>
          </w:p>
        </w:tc>
        <w:tc>
          <w:tcPr>
            <w:tcW w:w="928" w:type="dxa"/>
          </w:tcPr>
          <w:p>
            <w:pPr>
              <w:pStyle w:val="TableParagraph"/>
              <w:spacing w:before="93"/>
              <w:ind w:left="209" w:right="182"/>
              <w:jc w:val="center"/>
              <w:rPr>
                <w:sz w:val="22"/>
              </w:rPr>
            </w:pPr>
            <w:r>
              <w:rPr>
                <w:sz w:val="22"/>
              </w:rPr>
              <w:t>3.02</w:t>
            </w:r>
          </w:p>
        </w:tc>
        <w:tc>
          <w:tcPr>
            <w:tcW w:w="1207" w:type="dxa"/>
          </w:tcPr>
          <w:p>
            <w:pPr>
              <w:pStyle w:val="TableParagraph"/>
              <w:spacing w:before="93"/>
              <w:ind w:left="201"/>
              <w:rPr>
                <w:sz w:val="22"/>
              </w:rPr>
            </w:pPr>
            <w:r>
              <w:rPr>
                <w:sz w:val="22"/>
              </w:rPr>
              <w:t>0.0726</w:t>
            </w:r>
          </w:p>
        </w:tc>
        <w:tc>
          <w:tcPr>
            <w:tcW w:w="1467" w:type="dxa"/>
          </w:tcPr>
          <w:p>
            <w:pPr>
              <w:pStyle w:val="TableParagraph"/>
              <w:spacing w:before="93"/>
              <w:ind w:left="398"/>
              <w:rPr>
                <w:sz w:val="22"/>
              </w:rPr>
            </w:pPr>
            <w:r>
              <w:rPr>
                <w:sz w:val="22"/>
              </w:rPr>
              <w:t>0.0494</w:t>
            </w:r>
          </w:p>
        </w:tc>
        <w:tc>
          <w:tcPr>
            <w:tcW w:w="1404" w:type="dxa"/>
          </w:tcPr>
          <w:p>
            <w:pPr>
              <w:pStyle w:val="TableParagraph"/>
              <w:spacing w:before="93"/>
              <w:ind w:right="333"/>
              <w:jc w:val="right"/>
              <w:rPr>
                <w:sz w:val="22"/>
              </w:rPr>
            </w:pPr>
            <w:r>
              <w:rPr>
                <w:sz w:val="22"/>
              </w:rPr>
              <w:t>0.4480</w:t>
            </w:r>
          </w:p>
        </w:tc>
      </w:tr>
      <w:tr>
        <w:trPr>
          <w:trHeight w:val="553" w:hRule="exact"/>
        </w:trPr>
        <w:tc>
          <w:tcPr>
            <w:tcW w:w="1669" w:type="dxa"/>
            <w:tcBorders>
              <w:bottom w:val="single" w:sz="4" w:space="0" w:color="000000"/>
            </w:tcBorders>
          </w:tcPr>
          <w:p>
            <w:pPr>
              <w:pStyle w:val="TableParagraph"/>
              <w:spacing w:before="93"/>
              <w:ind w:left="122"/>
              <w:rPr>
                <w:sz w:val="22"/>
              </w:rPr>
            </w:pPr>
            <w:r>
              <w:rPr>
                <w:sz w:val="22"/>
              </w:rPr>
              <w:t>SFA/UFA</w:t>
            </w:r>
          </w:p>
        </w:tc>
        <w:tc>
          <w:tcPr>
            <w:tcW w:w="1404" w:type="dxa"/>
            <w:tcBorders>
              <w:bottom w:val="single" w:sz="4" w:space="0" w:color="000000"/>
            </w:tcBorders>
          </w:tcPr>
          <w:p>
            <w:pPr>
              <w:pStyle w:val="TableParagraph"/>
              <w:spacing w:before="93"/>
              <w:ind w:right="319"/>
              <w:jc w:val="right"/>
              <w:rPr>
                <w:sz w:val="22"/>
              </w:rPr>
            </w:pPr>
            <w:r>
              <w:rPr>
                <w:sz w:val="22"/>
              </w:rPr>
              <w:t>2.72</w:t>
            </w:r>
          </w:p>
        </w:tc>
        <w:tc>
          <w:tcPr>
            <w:tcW w:w="992" w:type="dxa"/>
            <w:tcBorders>
              <w:bottom w:val="single" w:sz="4" w:space="0" w:color="000000"/>
            </w:tcBorders>
          </w:tcPr>
          <w:p>
            <w:pPr>
              <w:pStyle w:val="TableParagraph"/>
              <w:spacing w:before="93"/>
              <w:ind w:left="247" w:right="210"/>
              <w:jc w:val="center"/>
              <w:rPr>
                <w:sz w:val="22"/>
              </w:rPr>
            </w:pPr>
            <w:r>
              <w:rPr>
                <w:sz w:val="22"/>
              </w:rPr>
              <w:t>2.60</w:t>
            </w:r>
          </w:p>
        </w:tc>
        <w:tc>
          <w:tcPr>
            <w:tcW w:w="928" w:type="dxa"/>
            <w:tcBorders>
              <w:bottom w:val="single" w:sz="4" w:space="0" w:color="000000"/>
            </w:tcBorders>
          </w:tcPr>
          <w:p>
            <w:pPr>
              <w:pStyle w:val="TableParagraph"/>
              <w:spacing w:before="93"/>
              <w:ind w:left="209" w:right="182"/>
              <w:jc w:val="center"/>
              <w:rPr>
                <w:sz w:val="22"/>
              </w:rPr>
            </w:pPr>
            <w:r>
              <w:rPr>
                <w:sz w:val="22"/>
              </w:rPr>
              <w:t>2.56</w:t>
            </w:r>
          </w:p>
        </w:tc>
        <w:tc>
          <w:tcPr>
            <w:tcW w:w="1207" w:type="dxa"/>
            <w:tcBorders>
              <w:bottom w:val="single" w:sz="4" w:space="0" w:color="000000"/>
            </w:tcBorders>
          </w:tcPr>
          <w:p>
            <w:pPr>
              <w:pStyle w:val="TableParagraph"/>
              <w:spacing w:before="93"/>
              <w:ind w:left="201"/>
              <w:rPr>
                <w:sz w:val="22"/>
              </w:rPr>
            </w:pPr>
            <w:r>
              <w:rPr>
                <w:sz w:val="22"/>
              </w:rPr>
              <w:t>0.1439</w:t>
            </w:r>
          </w:p>
        </w:tc>
        <w:tc>
          <w:tcPr>
            <w:tcW w:w="1467" w:type="dxa"/>
            <w:tcBorders>
              <w:bottom w:val="single" w:sz="4" w:space="0" w:color="000000"/>
            </w:tcBorders>
          </w:tcPr>
          <w:p>
            <w:pPr>
              <w:pStyle w:val="TableParagraph"/>
              <w:spacing w:before="93"/>
              <w:ind w:left="398"/>
              <w:rPr>
                <w:sz w:val="22"/>
              </w:rPr>
            </w:pPr>
            <w:r>
              <w:rPr>
                <w:sz w:val="22"/>
              </w:rPr>
              <w:t>0.5850</w:t>
            </w:r>
          </w:p>
        </w:tc>
        <w:tc>
          <w:tcPr>
            <w:tcW w:w="1404" w:type="dxa"/>
            <w:tcBorders>
              <w:bottom w:val="single" w:sz="4" w:space="0" w:color="000000"/>
            </w:tcBorders>
          </w:tcPr>
          <w:p>
            <w:pPr>
              <w:pStyle w:val="TableParagraph"/>
              <w:spacing w:before="93"/>
              <w:ind w:right="333"/>
              <w:jc w:val="right"/>
              <w:rPr>
                <w:sz w:val="22"/>
              </w:rPr>
            </w:pPr>
            <w:r>
              <w:rPr>
                <w:sz w:val="22"/>
              </w:rPr>
              <w:t>0.5873</w:t>
            </w:r>
          </w:p>
        </w:tc>
      </w:tr>
    </w:tbl>
    <w:p>
      <w:pPr>
        <w:pStyle w:val="BodyText"/>
        <w:spacing w:line="273" w:lineRule="exact"/>
        <w:ind w:left="232" w:right="121"/>
      </w:pPr>
      <w:r>
        <w:rPr>
          <w:position w:val="9"/>
          <w:sz w:val="16"/>
        </w:rPr>
        <w:t>† </w:t>
      </w:r>
      <w:r>
        <w:rPr/>
        <w:t>Time at pasture: 8h = 0700 to 1500 h; 4+4h = 0700 to 1100 h and 1600 to 2000 h; 12h =</w:t>
      </w:r>
    </w:p>
    <w:p>
      <w:pPr>
        <w:pStyle w:val="BodyText"/>
      </w:pPr>
    </w:p>
    <w:p>
      <w:pPr>
        <w:pStyle w:val="BodyText"/>
        <w:ind w:left="232" w:right="121"/>
      </w:pPr>
      <w:r>
        <w:rPr/>
        <w:t>0700 to 1500 h and 1600 to 2000 h.</w:t>
      </w:r>
    </w:p>
    <w:p>
      <w:pPr>
        <w:pStyle w:val="BodyText"/>
        <w:spacing w:before="7"/>
        <w:rPr>
          <w:sz w:val="22"/>
        </w:rPr>
      </w:pPr>
    </w:p>
    <w:p>
      <w:pPr>
        <w:pStyle w:val="BodyText"/>
        <w:spacing w:line="482" w:lineRule="auto"/>
        <w:ind w:left="232" w:right="342"/>
      </w:pPr>
      <w:r>
        <w:rPr>
          <w:position w:val="9"/>
          <w:sz w:val="16"/>
        </w:rPr>
        <w:t>‡ </w:t>
      </w:r>
      <w:r>
        <w:rPr/>
        <w:t>SFA, Saturated fatty acids. MUFA, Monounsaturated fatty acids. PUFA, Polyunsaturated fatty acids. SFA/UFA, ration SFA/Unsaturated fatty acids.</w:t>
      </w:r>
    </w:p>
    <w:p>
      <w:pPr>
        <w:spacing w:after="0" w:line="482" w:lineRule="auto"/>
        <w:sectPr>
          <w:pgSz w:w="12240" w:h="15840"/>
          <w:pgMar w:header="1150" w:footer="1336" w:top="1340" w:bottom="1520" w:left="1640" w:right="1300"/>
        </w:sectPr>
      </w:pPr>
    </w:p>
    <w:p>
      <w:pPr>
        <w:pStyle w:val="BodyText"/>
        <w:rPr>
          <w:sz w:val="20"/>
        </w:rPr>
      </w:pPr>
    </w:p>
    <w:p>
      <w:pPr>
        <w:pStyle w:val="BodyText"/>
        <w:rPr>
          <w:sz w:val="20"/>
        </w:rPr>
      </w:pPr>
    </w:p>
    <w:p>
      <w:pPr>
        <w:pStyle w:val="Heading1"/>
        <w:spacing w:line="276" w:lineRule="auto" w:after="4"/>
        <w:ind w:left="179" w:right="180"/>
        <w:jc w:val="center"/>
      </w:pPr>
      <w:bookmarkStart w:name="_bookmark27" w:id="47"/>
      <w:bookmarkEnd w:id="47"/>
      <w:r>
        <w:rPr>
          <w:b w:val="0"/>
        </w:rPr>
      </w:r>
      <w:r>
        <w:rPr>
          <w:i/>
        </w:rPr>
        <w:t>ARTÍCULO 2: </w:t>
      </w:r>
      <w:r>
        <w:rPr/>
        <w:t>EFECTO DEL ACEITE DE SOYA SOBRE LA CONCENTRACIÓN DE ÁCIDOS GRASOS VACCENICO Y RUMÉNICO EN LECHE DE VACAS EN PASTOREO</w:t>
      </w:r>
    </w:p>
    <w:p>
      <w:pPr>
        <w:pStyle w:val="BodyText"/>
        <w:ind w:left="1049"/>
        <w:rPr>
          <w:sz w:val="20"/>
        </w:rPr>
      </w:pPr>
      <w:r>
        <w:rPr>
          <w:sz w:val="20"/>
        </w:rPr>
        <w:drawing>
          <wp:inline distT="0" distB="0" distL="0" distR="0">
            <wp:extent cx="4470645" cy="6387941"/>
            <wp:effectExtent l="0" t="0" r="0" b="0"/>
            <wp:docPr id="25" name="image13.jpeg" descr=""/>
            <wp:cNvGraphicFramePr>
              <a:graphicFrameLocks noChangeAspect="1"/>
            </wp:cNvGraphicFramePr>
            <a:graphic>
              <a:graphicData uri="http://schemas.openxmlformats.org/drawingml/2006/picture">
                <pic:pic>
                  <pic:nvPicPr>
                    <pic:cNvPr id="26" name="image13.jpeg"/>
                    <pic:cNvPicPr/>
                  </pic:nvPicPr>
                  <pic:blipFill>
                    <a:blip r:embed="rId24" cstate="print"/>
                    <a:stretch>
                      <a:fillRect/>
                    </a:stretch>
                  </pic:blipFill>
                  <pic:spPr>
                    <a:xfrm>
                      <a:off x="0" y="0"/>
                      <a:ext cx="4470645" cy="6387941"/>
                    </a:xfrm>
                    <a:prstGeom prst="rect">
                      <a:avLst/>
                    </a:prstGeom>
                  </pic:spPr>
                </pic:pic>
              </a:graphicData>
            </a:graphic>
          </wp:inline>
        </w:drawing>
      </w:r>
      <w:r>
        <w:rPr>
          <w:sz w:val="20"/>
        </w:rPr>
      </w:r>
    </w:p>
    <w:p>
      <w:pPr>
        <w:spacing w:after="0"/>
        <w:rPr>
          <w:sz w:val="20"/>
        </w:rPr>
        <w:sectPr>
          <w:pgSz w:w="12240" w:h="15840"/>
          <w:pgMar w:header="1150" w:footer="1336" w:top="1340" w:bottom="1520" w:left="1720" w:right="1380"/>
        </w:sectPr>
      </w:pPr>
    </w:p>
    <w:p>
      <w:pPr>
        <w:pStyle w:val="BodyText"/>
        <w:rPr>
          <w:b/>
          <w:sz w:val="20"/>
        </w:rPr>
      </w:pPr>
    </w:p>
    <w:p>
      <w:pPr>
        <w:pStyle w:val="BodyText"/>
        <w:spacing w:before="4"/>
        <w:rPr>
          <w:b/>
          <w:sz w:val="19"/>
        </w:rPr>
      </w:pPr>
    </w:p>
    <w:p>
      <w:pPr>
        <w:pStyle w:val="BodyText"/>
        <w:spacing w:line="480" w:lineRule="auto"/>
        <w:ind w:left="507" w:right="506" w:hanging="4"/>
        <w:jc w:val="center"/>
      </w:pPr>
      <w:r>
        <w:rPr/>
        <w:t>EFECTO DEL ACEITE DE SOYA SOBRE LA CONCENTRACIÓN DE ÁCIDOS GRASOS VACCENICO Y RUMÉNICO EN LECHE DE VACAS EN</w:t>
      </w:r>
      <w:r>
        <w:rPr>
          <w:spacing w:val="-15"/>
        </w:rPr>
        <w:t> </w:t>
      </w:r>
      <w:r>
        <w:rPr/>
        <w:t>PASTOREO EFFECT OF SOYBEAN OIL ON THE CONCENTRATION OF RUMENIC AND VACCENIC FATTY ACIDS IN MILK FROM GRAZING</w:t>
      </w:r>
      <w:r>
        <w:rPr>
          <w:spacing w:val="-16"/>
        </w:rPr>
        <w:t> </w:t>
      </w:r>
      <w:r>
        <w:rPr/>
        <w:t>COWS</w:t>
      </w:r>
    </w:p>
    <w:p>
      <w:pPr>
        <w:pStyle w:val="BodyText"/>
      </w:pPr>
    </w:p>
    <w:p>
      <w:pPr>
        <w:pStyle w:val="BodyText"/>
        <w:spacing w:before="10"/>
      </w:pPr>
    </w:p>
    <w:p>
      <w:pPr>
        <w:pStyle w:val="BodyText"/>
        <w:spacing w:before="1"/>
        <w:ind w:left="181" w:right="178"/>
        <w:jc w:val="center"/>
      </w:pPr>
      <w:r>
        <w:rPr/>
        <w:t>RESUMEN</w:t>
      </w:r>
    </w:p>
    <w:p>
      <w:pPr>
        <w:pStyle w:val="BodyText"/>
      </w:pPr>
    </w:p>
    <w:p>
      <w:pPr>
        <w:pStyle w:val="BodyText"/>
        <w:spacing w:line="480" w:lineRule="auto"/>
        <w:ind w:left="152" w:right="142"/>
        <w:jc w:val="both"/>
      </w:pPr>
      <w:r>
        <w:rPr/>
        <w:t>El aceite de soya, rico en ácido linoleico, además del aporte de ácido linolénico mayoritario en el forraje, puede mejorar la producción de los ácidos grasos (AG) insaturados en la leche de vacas en pastoreo. El objetivo del estudio fue evaluar el efecto </w:t>
      </w:r>
      <w:r>
        <w:rPr>
          <w:spacing w:val="2"/>
        </w:rPr>
        <w:t>de </w:t>
      </w:r>
      <w:r>
        <w:rPr/>
        <w:t>la adición de aceite de soya (0, 3 y 6 % BS), en dietas completas mezcladas parcial (pTMR) para seis vacas Holstein multíparas en pastoreo, sobre el desempeño productivo, producción, composición  y perfil de AG, con énfasis en el contenido de AG vaccénico (AV) y ruménico (AR) en leche. El diseño experimental fue un cuadro latino repetido 3x3 con tres periodos experimentales de 21 d cada uno, los tratamientos fueron T1 = pTMR-0, T2 = pTMR-3 y T3 = pTMR-6. Los datos se analizaron con el procedimiento MIXTO y polinomios ortogonales para los efecto lineal y cuadrático (p ≤ 0.05). El consumo de TMR disminuyó linealmente (p ≤ 0.05) al aumentar el contenido de aceite de soya en la dieta. La leche de  las vacas con pTMR-6 y pTMR-3 tuvieron (p ≤ 0.05) 20.8 y 7.6 % menor contenido de AG saturados comparada con pTMR-0, principalmente una disminución de los AG C12, C14 y C16. El ácido AV aumentó 50.3 y 128.7 % en la leche de las vacas con pTMR-3 y pTMR- 6, comparado con pTMR-0; el ácido AR fue mayor (p ≤ 0.05) en pTMR-3. En conclusión, la</w:t>
      </w:r>
      <w:r>
        <w:rPr>
          <w:spacing w:val="15"/>
        </w:rPr>
        <w:t> </w:t>
      </w:r>
      <w:r>
        <w:rPr/>
        <w:t>adición</w:t>
      </w:r>
      <w:r>
        <w:rPr>
          <w:spacing w:val="15"/>
        </w:rPr>
        <w:t> </w:t>
      </w:r>
      <w:r>
        <w:rPr/>
        <w:t>de</w:t>
      </w:r>
      <w:r>
        <w:rPr>
          <w:spacing w:val="14"/>
        </w:rPr>
        <w:t> </w:t>
      </w:r>
      <w:r>
        <w:rPr/>
        <w:t>6</w:t>
      </w:r>
      <w:r>
        <w:rPr>
          <w:spacing w:val="15"/>
        </w:rPr>
        <w:t> </w:t>
      </w:r>
      <w:r>
        <w:rPr/>
        <w:t>%</w:t>
      </w:r>
      <w:r>
        <w:rPr>
          <w:spacing w:val="14"/>
        </w:rPr>
        <w:t> </w:t>
      </w:r>
      <w:r>
        <w:rPr/>
        <w:t>de</w:t>
      </w:r>
      <w:r>
        <w:rPr>
          <w:spacing w:val="14"/>
        </w:rPr>
        <w:t> </w:t>
      </w:r>
      <w:r>
        <w:rPr/>
        <w:t>aceite</w:t>
      </w:r>
      <w:r>
        <w:rPr>
          <w:spacing w:val="14"/>
        </w:rPr>
        <w:t> </w:t>
      </w:r>
      <w:r>
        <w:rPr/>
        <w:t>de</w:t>
      </w:r>
      <w:r>
        <w:rPr>
          <w:spacing w:val="14"/>
        </w:rPr>
        <w:t> </w:t>
      </w:r>
      <w:r>
        <w:rPr/>
        <w:t>soya</w:t>
      </w:r>
      <w:r>
        <w:rPr>
          <w:spacing w:val="14"/>
        </w:rPr>
        <w:t> </w:t>
      </w:r>
      <w:r>
        <w:rPr/>
        <w:t>en</w:t>
      </w:r>
      <w:r>
        <w:rPr>
          <w:spacing w:val="15"/>
        </w:rPr>
        <w:t> </w:t>
      </w:r>
      <w:r>
        <w:rPr/>
        <w:t>la</w:t>
      </w:r>
      <w:r>
        <w:rPr>
          <w:spacing w:val="15"/>
        </w:rPr>
        <w:t> </w:t>
      </w:r>
      <w:r>
        <w:rPr/>
        <w:t>TMR</w:t>
      </w:r>
      <w:r>
        <w:rPr>
          <w:spacing w:val="16"/>
        </w:rPr>
        <w:t> </w:t>
      </w:r>
      <w:r>
        <w:rPr/>
        <w:t>de</w:t>
      </w:r>
      <w:r>
        <w:rPr>
          <w:spacing w:val="14"/>
        </w:rPr>
        <w:t> </w:t>
      </w:r>
      <w:r>
        <w:rPr/>
        <w:t>vacas</w:t>
      </w:r>
      <w:r>
        <w:rPr>
          <w:spacing w:val="15"/>
        </w:rPr>
        <w:t> </w:t>
      </w:r>
      <w:r>
        <w:rPr/>
        <w:t>Holstein</w:t>
      </w:r>
      <w:r>
        <w:rPr>
          <w:spacing w:val="16"/>
        </w:rPr>
        <w:t> </w:t>
      </w:r>
      <w:r>
        <w:rPr/>
        <w:t>en</w:t>
      </w:r>
      <w:r>
        <w:rPr>
          <w:spacing w:val="15"/>
        </w:rPr>
        <w:t> </w:t>
      </w:r>
      <w:r>
        <w:rPr/>
        <w:t>pastoreo,</w:t>
      </w:r>
      <w:r>
        <w:rPr>
          <w:spacing w:val="15"/>
        </w:rPr>
        <w:t> </w:t>
      </w:r>
      <w:r>
        <w:rPr/>
        <w:t>aumentó</w:t>
      </w:r>
      <w:r>
        <w:rPr>
          <w:spacing w:val="15"/>
        </w:rPr>
        <w:t> </w:t>
      </w:r>
      <w:r>
        <w:rPr/>
        <w:t>la</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pPr>
      <w:r>
        <w:rPr/>
        <w:t>eficiencia productiva y modificó la composición de la leche y el perfil de los ácidos grasos, aumentando el contenido de los AG AV y AR.</w:t>
      </w:r>
    </w:p>
    <w:p>
      <w:pPr>
        <w:pStyle w:val="BodyText"/>
        <w:spacing w:line="480" w:lineRule="auto" w:before="10"/>
        <w:ind w:left="152"/>
      </w:pPr>
      <w:r>
        <w:rPr/>
        <w:t>Palabras clave: aceite de soya, ácidos grasos, pastoreo, bovinos leche, ácido linoleico conjugado (CLA).</w:t>
      </w:r>
    </w:p>
    <w:p>
      <w:pPr>
        <w:pStyle w:val="BodyText"/>
        <w:spacing w:before="10"/>
        <w:ind w:left="179" w:right="180"/>
        <w:jc w:val="center"/>
      </w:pPr>
      <w:r>
        <w:rPr/>
        <w:t>INTRODUCCIÓN</w:t>
      </w:r>
    </w:p>
    <w:p>
      <w:pPr>
        <w:pStyle w:val="BodyText"/>
      </w:pPr>
    </w:p>
    <w:p>
      <w:pPr>
        <w:pStyle w:val="BodyText"/>
        <w:spacing w:line="477" w:lineRule="auto"/>
        <w:ind w:left="152" w:right="144" w:firstLine="299"/>
        <w:jc w:val="both"/>
      </w:pPr>
      <w:r>
        <w:rPr/>
        <w:t>El ácido linoleico conjugado (CLA) es el nombre genérico que incluye una serie de isómeros posicionales (7,9; 8,10; 9,11; 10,12 y 11,13) y geométricos (cis o trans) del ácido linoleico (AL; C18:2 c9c12) con dobles enlaces conjugados (Bauman </w:t>
      </w:r>
      <w:r>
        <w:rPr>
          <w:i/>
        </w:rPr>
        <w:t>et al</w:t>
      </w:r>
      <w:r>
        <w:rPr/>
        <w:t>., 1999). El isómero mayoritario del CLA es el ácido ruménico (AR; C18:2 c9t11) que representa de 75 a 90 % del total de isómeros del CLA en la leche (Bauman </w:t>
      </w:r>
      <w:r>
        <w:rPr>
          <w:i/>
        </w:rPr>
        <w:t>et al</w:t>
      </w:r>
      <w:r>
        <w:rPr/>
        <w:t>., 2006). El AR es un intermediario de la biohidrogenación ruminal del AL, de donde también deriva el ácido vaccénico (AV; C18:1 t11), el cual se usa como sustrato en la síntesis de </w:t>
      </w:r>
      <w:r>
        <w:rPr>
          <w:i/>
        </w:rPr>
        <w:t>novo </w:t>
      </w:r>
      <w:r>
        <w:rPr/>
        <w:t>en la glándula mamaria por acción de la enzima delta</w:t>
      </w:r>
      <w:r>
        <w:rPr>
          <w:position w:val="9"/>
          <w:sz w:val="16"/>
        </w:rPr>
        <w:t>9 </w:t>
      </w:r>
      <w:r>
        <w:rPr/>
        <w:t>desaturasa para la producción de AR (Bauman </w:t>
      </w:r>
      <w:r>
        <w:rPr>
          <w:i/>
        </w:rPr>
        <w:t>et al</w:t>
      </w:r>
      <w:r>
        <w:rPr/>
        <w:t>., 1999; Sun y Gibbs, 2012). El AR se asocia con la reducción de cáncer inducido y con la supresión de la aterosclerosis en animales de laboratorio (Ip </w:t>
      </w:r>
      <w:r>
        <w:rPr>
          <w:i/>
        </w:rPr>
        <w:t>et al</w:t>
      </w:r>
      <w:r>
        <w:rPr/>
        <w:t>., 1999).</w:t>
      </w:r>
    </w:p>
    <w:p>
      <w:pPr>
        <w:pStyle w:val="BodyText"/>
        <w:spacing w:line="480" w:lineRule="auto" w:before="13"/>
        <w:ind w:left="152" w:right="148" w:firstLine="299"/>
        <w:jc w:val="both"/>
      </w:pPr>
      <w:r>
        <w:rPr/>
        <w:t>Un desafío de la investigación es incrementar esos ácidos grasos (AG) en la leche  porque es el alimento más consumido en el mundo (FAO, 2015); además, los productos lácteos son la principal fuente de CLA en la dieta humana y su concentración en esos productos está en función de la concentración </w:t>
      </w:r>
      <w:r>
        <w:rPr>
          <w:spacing w:val="2"/>
        </w:rPr>
        <w:t>de </w:t>
      </w:r>
      <w:r>
        <w:rPr/>
        <w:t>CLA en la grasa bruta de la leche (Parodi, 1999).</w:t>
      </w:r>
    </w:p>
    <w:p>
      <w:pPr>
        <w:pStyle w:val="BodyText"/>
        <w:spacing w:line="480" w:lineRule="auto" w:before="10"/>
        <w:ind w:left="152" w:right="144" w:firstLine="299"/>
        <w:jc w:val="both"/>
      </w:pPr>
      <w:r>
        <w:rPr/>
        <w:t>Hay una relación positiva entre el consumo de forraje y el contenido de AG insaturados (AGI) en la leche, principalmente de AR y AV (Bargo </w:t>
      </w:r>
      <w:r>
        <w:rPr>
          <w:i/>
        </w:rPr>
        <w:t>et al</w:t>
      </w:r>
      <w:r>
        <w:rPr/>
        <w:t>., 2006; Morales-Almaráz </w:t>
      </w:r>
      <w:r>
        <w:rPr>
          <w:i/>
        </w:rPr>
        <w:t>et al</w:t>
      </w:r>
      <w:r>
        <w:rPr/>
        <w:t>.,</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5"/>
        <w:jc w:val="both"/>
      </w:pPr>
      <w:r>
        <w:rPr/>
        <w:t>2010; Castro-Hernández </w:t>
      </w:r>
      <w:r>
        <w:rPr>
          <w:i/>
        </w:rPr>
        <w:t>et al</w:t>
      </w:r>
      <w:r>
        <w:rPr/>
        <w:t>., 2014). Además de cubrir parte de los requerimientos energéticos de las vacas, la inclusión de lípidos de origen vegetal (Loor y Herbein, 2003) en la dieta de las vacas incrementa la producción de CLA y su secreción en leche. Chilliard </w:t>
      </w:r>
      <w:r>
        <w:rPr>
          <w:i/>
        </w:rPr>
        <w:t>et </w:t>
      </w:r>
      <w:r>
        <w:rPr>
          <w:i/>
        </w:rPr>
        <w:t>al</w:t>
      </w:r>
      <w:r>
        <w:rPr/>
        <w:t>. (2000) y Bauman </w:t>
      </w:r>
      <w:r>
        <w:rPr>
          <w:i/>
        </w:rPr>
        <w:t>et al</w:t>
      </w:r>
      <w:r>
        <w:rPr/>
        <w:t>. (1999) indicaron que la concentración de AR y AV en la grasa de la leche puede aumentarse al suministrar aceite insaturado con alto contenido de LA. La naturaleza química de los lípidos insaturados suministrados también podría afectar el proceso de biohidrogenación (Loor y Herbein, 2003). La acumulación </w:t>
      </w:r>
      <w:r>
        <w:rPr>
          <w:i/>
        </w:rPr>
        <w:t>in vitro </w:t>
      </w:r>
      <w:r>
        <w:rPr/>
        <w:t>de AV y AR fue más baja cuando el AL enlazado al triglicérido fue el sustrato comparado con el ácido graso libre (Noble </w:t>
      </w:r>
      <w:r>
        <w:rPr>
          <w:i/>
        </w:rPr>
        <w:t>et al</w:t>
      </w:r>
      <w:r>
        <w:rPr/>
        <w:t>., 1974). Según Huang </w:t>
      </w:r>
      <w:r>
        <w:rPr>
          <w:i/>
        </w:rPr>
        <w:t>et al</w:t>
      </w:r>
      <w:r>
        <w:rPr/>
        <w:t>. (2008), suministrar aceite de soya al  </w:t>
      </w:r>
      <w:r>
        <w:rPr>
          <w:spacing w:val="55"/>
        </w:rPr>
        <w:t> </w:t>
      </w:r>
      <w:r>
        <w:rPr/>
        <w:t>5</w:t>
      </w:r>
    </w:p>
    <w:p>
      <w:pPr>
        <w:pStyle w:val="BodyText"/>
        <w:spacing w:line="480" w:lineRule="auto" w:before="10"/>
        <w:ind w:left="152" w:right="157"/>
        <w:jc w:val="both"/>
      </w:pPr>
      <w:r>
        <w:rPr/>
        <w:t>% sobre base seca (BS) en la dieta de vacas en lactancia es más efectivo para aumentar el contenido de CLA en leche que un suplemento de CLA en la misma dieta.</w:t>
      </w:r>
    </w:p>
    <w:p>
      <w:pPr>
        <w:pStyle w:val="BodyText"/>
        <w:spacing w:line="480" w:lineRule="auto" w:before="10"/>
        <w:ind w:left="152" w:right="147" w:firstLine="302"/>
        <w:jc w:val="both"/>
      </w:pPr>
      <w:r>
        <w:rPr>
          <w:spacing w:val="-3"/>
        </w:rPr>
        <w:t>La </w:t>
      </w:r>
      <w:r>
        <w:rPr/>
        <w:t>adición de 5 % BS de aceite de soya a vacas Holstein estabuladas no tuvo efecto en  la concentración de AG volátiles en rumen, tampoco afectó el consumo de alimento, el rendimiento de leche, el contenido de proteína y de lactosa en leche, pero sí disminuyó el contenido de grasa en la leche (Huang </w:t>
      </w:r>
      <w:r>
        <w:rPr>
          <w:i/>
        </w:rPr>
        <w:t>et al</w:t>
      </w:r>
      <w:r>
        <w:rPr/>
        <w:t>.,</w:t>
      </w:r>
      <w:r>
        <w:rPr>
          <w:spacing w:val="-7"/>
        </w:rPr>
        <w:t> </w:t>
      </w:r>
      <w:r>
        <w:rPr/>
        <w:t>2008)</w:t>
      </w:r>
    </w:p>
    <w:p>
      <w:pPr>
        <w:pStyle w:val="BodyText"/>
        <w:spacing w:line="480" w:lineRule="auto" w:before="10"/>
        <w:ind w:left="152" w:right="145" w:firstLine="302"/>
        <w:jc w:val="both"/>
      </w:pPr>
      <w:r>
        <w:rPr/>
        <w:t>La adición de lípidos en la dieta con vacas lecheras estabuladas se ha estudiado, sin embargo pocos experimentos (Rego </w:t>
      </w:r>
      <w:r>
        <w:rPr>
          <w:i/>
        </w:rPr>
        <w:t>et al</w:t>
      </w:r>
      <w:r>
        <w:rPr/>
        <w:t>., 2005) han sido desarrollados en la  misma medida acerca de proporcionar suplementos ricos de AGI como estrategia para mejorar el perfil de AG con vacas en pastoreo. Rego </w:t>
      </w:r>
      <w:r>
        <w:rPr>
          <w:i/>
        </w:rPr>
        <w:t>et al</w:t>
      </w:r>
      <w:r>
        <w:rPr/>
        <w:t>. (2005) reportaron un incremento de AGI en la grasa de la leche, observando que con la suplementación de 0.5 kg/d de aceites vegetales es posible incrementar 61 % el contenido de CLA en la leche de vacas en pastoreo sin el detrimento del rendimiento de leche. De acuerdo con Schroeder </w:t>
      </w:r>
      <w:r>
        <w:rPr>
          <w:i/>
        </w:rPr>
        <w:t>et al</w:t>
      </w:r>
      <w:r>
        <w:rPr/>
        <w:t>. (2004), la inclusión</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8"/>
        <w:jc w:val="both"/>
      </w:pPr>
      <w:r>
        <w:rPr/>
        <w:t>de AGI en la dieta de vacas lecheras en pastoreo provocan un efecto significativo sobre el contenido de grasa en leche. Por lo cual, el objetivo de este estudio fue adicionar altos niveles de aceite de soya, rico en AL, a vacas Holstein en pastoreo, con un alto aporte de ácido linolénico (ALN; C18:3 c9c12c15) en el forraje consumido, para evaluar la producción y secreción de AR y AV en leche de vacas Holstein.</w:t>
      </w:r>
    </w:p>
    <w:p>
      <w:pPr>
        <w:pStyle w:val="BodyText"/>
      </w:pPr>
    </w:p>
    <w:p>
      <w:pPr>
        <w:pStyle w:val="BodyText"/>
        <w:spacing w:before="10"/>
      </w:pPr>
    </w:p>
    <w:p>
      <w:pPr>
        <w:pStyle w:val="BodyText"/>
        <w:spacing w:before="1"/>
        <w:ind w:left="180" w:right="180"/>
        <w:jc w:val="center"/>
      </w:pPr>
      <w:r>
        <w:rPr/>
        <w:t>MATERIALES Y MÉTODOS</w:t>
      </w:r>
    </w:p>
    <w:p>
      <w:pPr>
        <w:pStyle w:val="BodyText"/>
      </w:pPr>
    </w:p>
    <w:p>
      <w:pPr>
        <w:pStyle w:val="BodyText"/>
        <w:spacing w:line="480" w:lineRule="auto"/>
        <w:ind w:left="152" w:right="149" w:firstLine="299"/>
        <w:jc w:val="both"/>
      </w:pPr>
      <w:r>
        <w:rPr/>
        <w:t>El estudio se realizó en el verano, junio-agosto de 2014, en la Facultad de Medicina Veterinaria y Zootecnia de la Universidad Autónoma del Estado de México, que se localiza en el Cerrillo Piedras Blancas a 19° 24’ 48’’ N y 99° 40’ 45’’ O, a una altitud de 2632 msnm. La temperatura promedio de la época fue de 15.7 °C, con una precipitación pluvial anual de 884.7 mm (SMN, 2014).</w:t>
      </w:r>
    </w:p>
    <w:p>
      <w:pPr>
        <w:pStyle w:val="BodyText"/>
        <w:spacing w:before="10"/>
        <w:ind w:left="181" w:right="180"/>
        <w:jc w:val="center"/>
      </w:pPr>
      <w:r>
        <w:rPr/>
        <w:t>Animales, dieta y tratamientos</w:t>
      </w:r>
    </w:p>
    <w:p>
      <w:pPr>
        <w:pStyle w:val="BodyText"/>
      </w:pPr>
    </w:p>
    <w:p>
      <w:pPr>
        <w:pStyle w:val="BodyText"/>
        <w:spacing w:line="480" w:lineRule="auto"/>
        <w:ind w:left="152" w:right="145" w:firstLine="299"/>
        <w:jc w:val="both"/>
      </w:pPr>
      <w:r>
        <w:rPr/>
        <w:t>En este estudio se utilizaron seis vacas Holstein multíparas, con un peso vivo promedio de 602 ± 45 kg y una producción diaria promedio de 23.0 ± 2.9 kg de leche y 220 ± 54 días en lactación. Las vacas se distribuyeron aleatoriamente en un cuadro latino repetido 3 x 3 con tres periodos experimentales de 21 d cada uno, 16 d de adaptación y cinco días de medición. Las vacas se manejaron de acuerdo con el reglamento interno de bioética y bienestar de la institución con fundamento en las normativas oficiales (NOM-062-ZOO- 1999; NOM-051-ZOO-1995). La alimentación de las vacas consistió en pastoreo (12 h) y el suministro, en el establo, de una TMR parcial (pTMR, Cuadro 1) formulada para cubrir los requerimientos de las vacas en lactación (NRC, 2001).</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11"/>
        <w:rPr>
          <w:sz w:val="19"/>
        </w:rPr>
      </w:pPr>
    </w:p>
    <w:p>
      <w:pPr>
        <w:spacing w:before="0"/>
        <w:ind w:left="232" w:right="121" w:firstLine="0"/>
        <w:jc w:val="left"/>
        <w:rPr>
          <w:b/>
          <w:sz w:val="22"/>
        </w:rPr>
      </w:pPr>
      <w:r>
        <w:rPr>
          <w:b/>
          <w:sz w:val="22"/>
        </w:rPr>
        <w:t>Cuadro 1. Ingredientes que componen las dietas TMR parcial.</w:t>
      </w:r>
    </w:p>
    <w:p>
      <w:pPr>
        <w:pStyle w:val="BodyText"/>
        <w:spacing w:before="1"/>
        <w:rPr>
          <w:b/>
          <w:sz w:val="21"/>
        </w:rPr>
      </w:pPr>
    </w:p>
    <w:p>
      <w:pPr>
        <w:pStyle w:val="BodyText"/>
        <w:spacing w:before="1"/>
        <w:ind w:left="5681" w:right="121"/>
      </w:pPr>
      <w:r>
        <w:rPr/>
        <w:pict>
          <v:group style="position:absolute;margin-left:87.973999pt;margin-top:.608728pt;width:453.35pt;height:.5pt;mso-position-horizontal-relative:page;mso-position-vertical-relative:paragraph;z-index:-128056" coordorigin="1759,12" coordsize="9067,10">
            <v:line style="position:absolute" from="1764,17" to="6349,17" stroked="true" strokeweight=".48pt" strokecolor="#000000"/>
            <v:line style="position:absolute" from="6349,17" to="6359,17" stroked="true" strokeweight=".48pt" strokecolor="#000000"/>
            <v:line style="position:absolute" from="6359,17" to="10821,17" stroked="true" strokeweight=".48pt" strokecolor="#000000"/>
            <w10:wrap type="none"/>
          </v:group>
        </w:pict>
      </w:r>
      <w:r>
        <w:rPr/>
        <w:t>Tratamientos</w:t>
      </w:r>
      <w:r>
        <w:rPr>
          <w:position w:val="9"/>
          <w:sz w:val="16"/>
        </w:rPr>
        <w:t>† </w:t>
      </w:r>
      <w:r>
        <w:rPr/>
        <w:t>(g kg</w:t>
      </w:r>
      <w:r>
        <w:rPr>
          <w:position w:val="9"/>
          <w:sz w:val="16"/>
        </w:rPr>
        <w:t>-1 </w:t>
      </w:r>
      <w:r>
        <w:rPr/>
        <w:t>MS)</w:t>
      </w:r>
    </w:p>
    <w:p>
      <w:pPr>
        <w:pStyle w:val="BodyText"/>
        <w:spacing w:line="272" w:lineRule="exact"/>
        <w:ind w:left="232" w:right="121"/>
      </w:pPr>
      <w:r>
        <w:rPr/>
        <w:pict>
          <v:group style="position:absolute;margin-left:317.200012pt;margin-top:12.27427pt;width:224.15pt;height:.5pt;mso-position-horizontal-relative:page;mso-position-vertical-relative:paragraph;z-index:1456" coordorigin="6344,245" coordsize="4483,10">
            <v:line style="position:absolute" from="6349,250" to="7835,250" stroked="true" strokeweight=".48001pt" strokecolor="#000000"/>
            <v:line style="position:absolute" from="7835,250" to="7845,250" stroked="true" strokeweight=".48001pt" strokecolor="#000000"/>
            <v:line style="position:absolute" from="7845,250" to="9321,250" stroked="true" strokeweight=".48001pt" strokecolor="#000000"/>
            <v:line style="position:absolute" from="9321,250" to="9330,250" stroked="true" strokeweight=".48001pt" strokecolor="#000000"/>
            <v:line style="position:absolute" from="9330,250" to="10821,250" stroked="true" strokeweight=".48001pt" strokecolor="#000000"/>
            <w10:wrap type="none"/>
          </v:group>
        </w:pict>
      </w:r>
      <w:r>
        <w:rPr/>
        <w:t>Ingredientes</w:t>
      </w:r>
    </w:p>
    <w:p>
      <w:pPr>
        <w:pStyle w:val="BodyText"/>
        <w:tabs>
          <w:tab w:pos="6302" w:val="left" w:leader="none"/>
          <w:tab w:pos="7788" w:val="left" w:leader="none"/>
        </w:tabs>
        <w:spacing w:line="275" w:lineRule="exact"/>
        <w:ind w:left="4817" w:right="121"/>
      </w:pPr>
      <w:r>
        <w:rPr/>
        <w:t>pTMR-0</w:t>
        <w:tab/>
        <w:t>pTMR-3</w:t>
        <w:tab/>
        <w:t>pTMR-6</w:t>
      </w:r>
    </w:p>
    <w:p>
      <w:pPr>
        <w:pStyle w:val="BodyText"/>
        <w:spacing w:before="9"/>
        <w:rPr>
          <w:sz w:val="21"/>
        </w:rPr>
      </w:pPr>
    </w:p>
    <w:tbl>
      <w:tblPr>
        <w:tblW w:w="0" w:type="auto"/>
        <w:jc w:val="left"/>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02"/>
        <w:gridCol w:w="1503"/>
        <w:gridCol w:w="1486"/>
        <w:gridCol w:w="1865"/>
      </w:tblGrid>
      <w:tr>
        <w:trPr>
          <w:trHeight w:val="410" w:hRule="exact"/>
        </w:trPr>
        <w:tc>
          <w:tcPr>
            <w:tcW w:w="4202" w:type="dxa"/>
            <w:tcBorders>
              <w:left w:val="nil"/>
              <w:bottom w:val="nil"/>
              <w:right w:val="nil"/>
            </w:tcBorders>
          </w:tcPr>
          <w:p>
            <w:pPr>
              <w:pStyle w:val="TableParagraph"/>
              <w:spacing w:line="273" w:lineRule="exact"/>
              <w:ind w:left="107"/>
              <w:rPr>
                <w:sz w:val="24"/>
              </w:rPr>
            </w:pPr>
            <w:r>
              <w:rPr>
                <w:sz w:val="24"/>
              </w:rPr>
              <w:t>Ensilado de maíz</w:t>
            </w:r>
          </w:p>
        </w:tc>
        <w:tc>
          <w:tcPr>
            <w:tcW w:w="1503" w:type="dxa"/>
            <w:tcBorders>
              <w:left w:val="nil"/>
              <w:bottom w:val="nil"/>
              <w:right w:val="nil"/>
            </w:tcBorders>
          </w:tcPr>
          <w:p>
            <w:pPr>
              <w:pStyle w:val="TableParagraph"/>
              <w:spacing w:line="273" w:lineRule="exact"/>
              <w:ind w:left="470" w:right="453"/>
              <w:jc w:val="center"/>
              <w:rPr>
                <w:sz w:val="24"/>
              </w:rPr>
            </w:pPr>
            <w:r>
              <w:rPr>
                <w:sz w:val="24"/>
              </w:rPr>
              <w:t>279.8</w:t>
            </w:r>
          </w:p>
        </w:tc>
        <w:tc>
          <w:tcPr>
            <w:tcW w:w="1486" w:type="dxa"/>
            <w:tcBorders>
              <w:left w:val="nil"/>
              <w:bottom w:val="nil"/>
              <w:right w:val="nil"/>
            </w:tcBorders>
          </w:tcPr>
          <w:p>
            <w:pPr>
              <w:pStyle w:val="TableParagraph"/>
              <w:spacing w:line="273" w:lineRule="exact"/>
              <w:ind w:left="452" w:right="452"/>
              <w:jc w:val="center"/>
              <w:rPr>
                <w:sz w:val="24"/>
              </w:rPr>
            </w:pPr>
            <w:r>
              <w:rPr>
                <w:sz w:val="24"/>
              </w:rPr>
              <w:t>327.4</w:t>
            </w:r>
          </w:p>
        </w:tc>
        <w:tc>
          <w:tcPr>
            <w:tcW w:w="1865" w:type="dxa"/>
            <w:tcBorders>
              <w:left w:val="nil"/>
              <w:bottom w:val="nil"/>
              <w:right w:val="nil"/>
            </w:tcBorders>
          </w:tcPr>
          <w:p>
            <w:pPr>
              <w:pStyle w:val="TableParagraph"/>
              <w:spacing w:line="273" w:lineRule="exact"/>
              <w:ind w:left="472"/>
              <w:rPr>
                <w:sz w:val="24"/>
              </w:rPr>
            </w:pPr>
            <w:r>
              <w:rPr>
                <w:sz w:val="24"/>
              </w:rPr>
              <w:t>327.4</w:t>
            </w:r>
          </w:p>
        </w:tc>
      </w:tr>
      <w:tr>
        <w:trPr>
          <w:trHeight w:val="517" w:hRule="exact"/>
        </w:trPr>
        <w:tc>
          <w:tcPr>
            <w:tcW w:w="4202" w:type="dxa"/>
            <w:tcBorders>
              <w:top w:val="nil"/>
              <w:left w:val="nil"/>
              <w:bottom w:val="nil"/>
              <w:right w:val="nil"/>
            </w:tcBorders>
          </w:tcPr>
          <w:p>
            <w:pPr>
              <w:pStyle w:val="TableParagraph"/>
              <w:spacing w:before="107"/>
              <w:ind w:left="107"/>
              <w:rPr>
                <w:sz w:val="24"/>
              </w:rPr>
            </w:pPr>
            <w:r>
              <w:rPr>
                <w:sz w:val="24"/>
              </w:rPr>
              <w:t>Heno de avena</w:t>
            </w:r>
          </w:p>
        </w:tc>
        <w:tc>
          <w:tcPr>
            <w:tcW w:w="1503" w:type="dxa"/>
            <w:tcBorders>
              <w:top w:val="nil"/>
              <w:left w:val="nil"/>
              <w:bottom w:val="nil"/>
              <w:right w:val="nil"/>
            </w:tcBorders>
          </w:tcPr>
          <w:p>
            <w:pPr>
              <w:pStyle w:val="TableParagraph"/>
              <w:spacing w:before="107"/>
              <w:ind w:left="470" w:right="453"/>
              <w:jc w:val="center"/>
              <w:rPr>
                <w:sz w:val="24"/>
              </w:rPr>
            </w:pPr>
            <w:r>
              <w:rPr>
                <w:sz w:val="24"/>
              </w:rPr>
              <w:t>315.5</w:t>
            </w:r>
          </w:p>
        </w:tc>
        <w:tc>
          <w:tcPr>
            <w:tcW w:w="1486" w:type="dxa"/>
            <w:tcBorders>
              <w:top w:val="nil"/>
              <w:left w:val="nil"/>
              <w:bottom w:val="nil"/>
              <w:right w:val="nil"/>
            </w:tcBorders>
          </w:tcPr>
          <w:p>
            <w:pPr>
              <w:pStyle w:val="TableParagraph"/>
              <w:spacing w:before="107"/>
              <w:ind w:left="452" w:right="452"/>
              <w:jc w:val="center"/>
              <w:rPr>
                <w:sz w:val="24"/>
              </w:rPr>
            </w:pPr>
            <w:r>
              <w:rPr>
                <w:sz w:val="24"/>
              </w:rPr>
              <w:t>267.9</w:t>
            </w:r>
          </w:p>
        </w:tc>
        <w:tc>
          <w:tcPr>
            <w:tcW w:w="1865" w:type="dxa"/>
            <w:tcBorders>
              <w:top w:val="nil"/>
              <w:left w:val="nil"/>
              <w:bottom w:val="nil"/>
              <w:right w:val="nil"/>
            </w:tcBorders>
          </w:tcPr>
          <w:p>
            <w:pPr>
              <w:pStyle w:val="TableParagraph"/>
              <w:spacing w:before="107"/>
              <w:ind w:left="472"/>
              <w:rPr>
                <w:sz w:val="24"/>
              </w:rPr>
            </w:pPr>
            <w:r>
              <w:rPr>
                <w:sz w:val="24"/>
              </w:rPr>
              <w:t>267.9</w:t>
            </w:r>
          </w:p>
        </w:tc>
      </w:tr>
      <w:tr>
        <w:trPr>
          <w:trHeight w:val="518" w:hRule="exact"/>
        </w:trPr>
        <w:tc>
          <w:tcPr>
            <w:tcW w:w="4202" w:type="dxa"/>
            <w:tcBorders>
              <w:top w:val="nil"/>
              <w:left w:val="nil"/>
              <w:bottom w:val="nil"/>
              <w:right w:val="nil"/>
            </w:tcBorders>
          </w:tcPr>
          <w:p>
            <w:pPr>
              <w:pStyle w:val="TableParagraph"/>
              <w:spacing w:before="108"/>
              <w:ind w:left="107"/>
              <w:rPr>
                <w:sz w:val="24"/>
              </w:rPr>
            </w:pPr>
            <w:r>
              <w:rPr>
                <w:sz w:val="24"/>
              </w:rPr>
              <w:t>Maíz molido</w:t>
            </w:r>
          </w:p>
        </w:tc>
        <w:tc>
          <w:tcPr>
            <w:tcW w:w="1503" w:type="dxa"/>
            <w:tcBorders>
              <w:top w:val="nil"/>
              <w:left w:val="nil"/>
              <w:bottom w:val="nil"/>
              <w:right w:val="nil"/>
            </w:tcBorders>
          </w:tcPr>
          <w:p>
            <w:pPr>
              <w:pStyle w:val="TableParagraph"/>
              <w:spacing w:before="108"/>
              <w:ind w:left="470" w:right="453"/>
              <w:jc w:val="center"/>
              <w:rPr>
                <w:sz w:val="24"/>
              </w:rPr>
            </w:pPr>
            <w:r>
              <w:rPr>
                <w:sz w:val="24"/>
              </w:rPr>
              <w:t>183.5</w:t>
            </w:r>
          </w:p>
        </w:tc>
        <w:tc>
          <w:tcPr>
            <w:tcW w:w="1486" w:type="dxa"/>
            <w:tcBorders>
              <w:top w:val="nil"/>
              <w:left w:val="nil"/>
              <w:bottom w:val="nil"/>
              <w:right w:val="nil"/>
            </w:tcBorders>
          </w:tcPr>
          <w:p>
            <w:pPr>
              <w:pStyle w:val="TableParagraph"/>
              <w:spacing w:before="108"/>
              <w:ind w:left="452" w:right="452"/>
              <w:jc w:val="center"/>
              <w:rPr>
                <w:sz w:val="24"/>
              </w:rPr>
            </w:pPr>
            <w:r>
              <w:rPr>
                <w:sz w:val="24"/>
              </w:rPr>
              <w:t>130.6</w:t>
            </w:r>
          </w:p>
        </w:tc>
        <w:tc>
          <w:tcPr>
            <w:tcW w:w="1865" w:type="dxa"/>
            <w:tcBorders>
              <w:top w:val="nil"/>
              <w:left w:val="nil"/>
              <w:bottom w:val="nil"/>
              <w:right w:val="nil"/>
            </w:tcBorders>
          </w:tcPr>
          <w:p>
            <w:pPr>
              <w:pStyle w:val="TableParagraph"/>
              <w:spacing w:before="108"/>
              <w:ind w:left="532"/>
              <w:rPr>
                <w:sz w:val="24"/>
              </w:rPr>
            </w:pPr>
            <w:r>
              <w:rPr>
                <w:sz w:val="24"/>
              </w:rPr>
              <w:t>89.6</w:t>
            </w:r>
          </w:p>
        </w:tc>
      </w:tr>
      <w:tr>
        <w:trPr>
          <w:trHeight w:val="518" w:hRule="exact"/>
        </w:trPr>
        <w:tc>
          <w:tcPr>
            <w:tcW w:w="4202" w:type="dxa"/>
            <w:tcBorders>
              <w:top w:val="nil"/>
              <w:left w:val="nil"/>
              <w:bottom w:val="nil"/>
              <w:right w:val="nil"/>
            </w:tcBorders>
          </w:tcPr>
          <w:p>
            <w:pPr>
              <w:pStyle w:val="TableParagraph"/>
              <w:spacing w:before="107"/>
              <w:ind w:left="107"/>
              <w:rPr>
                <w:sz w:val="24"/>
              </w:rPr>
            </w:pPr>
            <w:r>
              <w:rPr>
                <w:sz w:val="24"/>
              </w:rPr>
              <w:t>Harina de soya</w:t>
            </w:r>
          </w:p>
        </w:tc>
        <w:tc>
          <w:tcPr>
            <w:tcW w:w="1503" w:type="dxa"/>
            <w:tcBorders>
              <w:top w:val="nil"/>
              <w:left w:val="nil"/>
              <w:bottom w:val="nil"/>
              <w:right w:val="nil"/>
            </w:tcBorders>
          </w:tcPr>
          <w:p>
            <w:pPr>
              <w:pStyle w:val="TableParagraph"/>
              <w:spacing w:before="107"/>
              <w:ind w:left="470" w:right="453"/>
              <w:jc w:val="center"/>
              <w:rPr>
                <w:sz w:val="24"/>
              </w:rPr>
            </w:pPr>
            <w:r>
              <w:rPr>
                <w:sz w:val="24"/>
              </w:rPr>
              <w:t>159.1</w:t>
            </w:r>
          </w:p>
        </w:tc>
        <w:tc>
          <w:tcPr>
            <w:tcW w:w="1486" w:type="dxa"/>
            <w:tcBorders>
              <w:top w:val="nil"/>
              <w:left w:val="nil"/>
              <w:bottom w:val="nil"/>
              <w:right w:val="nil"/>
            </w:tcBorders>
          </w:tcPr>
          <w:p>
            <w:pPr>
              <w:pStyle w:val="TableParagraph"/>
              <w:spacing w:before="107"/>
              <w:ind w:left="452" w:right="452"/>
              <w:jc w:val="center"/>
              <w:rPr>
                <w:sz w:val="24"/>
              </w:rPr>
            </w:pPr>
            <w:r>
              <w:rPr>
                <w:sz w:val="24"/>
              </w:rPr>
              <w:t>133.9</w:t>
            </w:r>
          </w:p>
        </w:tc>
        <w:tc>
          <w:tcPr>
            <w:tcW w:w="1865" w:type="dxa"/>
            <w:tcBorders>
              <w:top w:val="nil"/>
              <w:left w:val="nil"/>
              <w:bottom w:val="nil"/>
              <w:right w:val="nil"/>
            </w:tcBorders>
          </w:tcPr>
          <w:p>
            <w:pPr>
              <w:pStyle w:val="TableParagraph"/>
              <w:spacing w:before="107"/>
              <w:ind w:left="472"/>
              <w:rPr>
                <w:sz w:val="24"/>
              </w:rPr>
            </w:pPr>
            <w:r>
              <w:rPr>
                <w:sz w:val="24"/>
              </w:rPr>
              <w:t>133.9</w:t>
            </w:r>
          </w:p>
        </w:tc>
      </w:tr>
      <w:tr>
        <w:trPr>
          <w:trHeight w:val="517" w:hRule="exact"/>
        </w:trPr>
        <w:tc>
          <w:tcPr>
            <w:tcW w:w="4202" w:type="dxa"/>
            <w:tcBorders>
              <w:top w:val="nil"/>
              <w:left w:val="nil"/>
              <w:bottom w:val="nil"/>
              <w:right w:val="nil"/>
            </w:tcBorders>
          </w:tcPr>
          <w:p>
            <w:pPr>
              <w:pStyle w:val="TableParagraph"/>
              <w:spacing w:before="108"/>
              <w:ind w:left="107"/>
              <w:rPr>
                <w:sz w:val="24"/>
              </w:rPr>
            </w:pPr>
            <w:r>
              <w:rPr>
                <w:sz w:val="24"/>
              </w:rPr>
              <w:t>Salvado de trigo</w:t>
            </w:r>
          </w:p>
        </w:tc>
        <w:tc>
          <w:tcPr>
            <w:tcW w:w="1503" w:type="dxa"/>
            <w:tcBorders>
              <w:top w:val="nil"/>
              <w:left w:val="nil"/>
              <w:bottom w:val="nil"/>
              <w:right w:val="nil"/>
            </w:tcBorders>
          </w:tcPr>
          <w:p>
            <w:pPr>
              <w:pStyle w:val="TableParagraph"/>
              <w:spacing w:before="108"/>
              <w:ind w:left="470" w:right="453"/>
              <w:jc w:val="center"/>
              <w:rPr>
                <w:sz w:val="24"/>
              </w:rPr>
            </w:pPr>
            <w:r>
              <w:rPr>
                <w:sz w:val="24"/>
              </w:rPr>
              <w:t>40.5</w:t>
            </w:r>
          </w:p>
        </w:tc>
        <w:tc>
          <w:tcPr>
            <w:tcW w:w="1486" w:type="dxa"/>
            <w:tcBorders>
              <w:top w:val="nil"/>
              <w:left w:val="nil"/>
              <w:bottom w:val="nil"/>
              <w:right w:val="nil"/>
            </w:tcBorders>
          </w:tcPr>
          <w:p>
            <w:pPr>
              <w:pStyle w:val="TableParagraph"/>
              <w:spacing w:before="108"/>
              <w:ind w:left="452" w:right="452"/>
              <w:jc w:val="center"/>
              <w:rPr>
                <w:sz w:val="24"/>
              </w:rPr>
            </w:pPr>
            <w:r>
              <w:rPr>
                <w:sz w:val="24"/>
              </w:rPr>
              <w:t>40.5</w:t>
            </w:r>
          </w:p>
        </w:tc>
        <w:tc>
          <w:tcPr>
            <w:tcW w:w="1865" w:type="dxa"/>
            <w:tcBorders>
              <w:top w:val="nil"/>
              <w:left w:val="nil"/>
              <w:bottom w:val="nil"/>
              <w:right w:val="nil"/>
            </w:tcBorders>
          </w:tcPr>
          <w:p>
            <w:pPr>
              <w:pStyle w:val="TableParagraph"/>
              <w:spacing w:before="108"/>
              <w:ind w:left="532"/>
              <w:rPr>
                <w:sz w:val="24"/>
              </w:rPr>
            </w:pPr>
            <w:r>
              <w:rPr>
                <w:sz w:val="24"/>
              </w:rPr>
              <w:t>40.5</w:t>
            </w:r>
          </w:p>
        </w:tc>
      </w:tr>
      <w:tr>
        <w:trPr>
          <w:trHeight w:val="517" w:hRule="exact"/>
        </w:trPr>
        <w:tc>
          <w:tcPr>
            <w:tcW w:w="4202" w:type="dxa"/>
            <w:tcBorders>
              <w:top w:val="nil"/>
              <w:left w:val="nil"/>
              <w:bottom w:val="nil"/>
              <w:right w:val="nil"/>
            </w:tcBorders>
          </w:tcPr>
          <w:p>
            <w:pPr>
              <w:pStyle w:val="TableParagraph"/>
              <w:spacing w:before="107"/>
              <w:ind w:left="107"/>
              <w:rPr>
                <w:sz w:val="24"/>
              </w:rPr>
            </w:pPr>
            <w:r>
              <w:rPr>
                <w:sz w:val="24"/>
              </w:rPr>
              <w:t>Canola</w:t>
            </w:r>
          </w:p>
        </w:tc>
        <w:tc>
          <w:tcPr>
            <w:tcW w:w="1503" w:type="dxa"/>
            <w:tcBorders>
              <w:top w:val="nil"/>
              <w:left w:val="nil"/>
              <w:bottom w:val="nil"/>
              <w:right w:val="nil"/>
            </w:tcBorders>
          </w:tcPr>
          <w:p>
            <w:pPr>
              <w:pStyle w:val="TableParagraph"/>
              <w:spacing w:before="107"/>
              <w:ind w:left="470" w:right="453"/>
              <w:jc w:val="center"/>
              <w:rPr>
                <w:sz w:val="24"/>
              </w:rPr>
            </w:pPr>
            <w:r>
              <w:rPr>
                <w:sz w:val="24"/>
              </w:rPr>
              <w:t>10.4</w:t>
            </w:r>
          </w:p>
        </w:tc>
        <w:tc>
          <w:tcPr>
            <w:tcW w:w="1486" w:type="dxa"/>
            <w:tcBorders>
              <w:top w:val="nil"/>
              <w:left w:val="nil"/>
              <w:bottom w:val="nil"/>
              <w:right w:val="nil"/>
            </w:tcBorders>
          </w:tcPr>
          <w:p>
            <w:pPr>
              <w:pStyle w:val="TableParagraph"/>
              <w:spacing w:before="107"/>
              <w:ind w:left="452" w:right="452"/>
              <w:jc w:val="center"/>
              <w:rPr>
                <w:sz w:val="24"/>
              </w:rPr>
            </w:pPr>
            <w:r>
              <w:rPr>
                <w:sz w:val="24"/>
              </w:rPr>
              <w:t>59.0</w:t>
            </w:r>
          </w:p>
        </w:tc>
        <w:tc>
          <w:tcPr>
            <w:tcW w:w="1865" w:type="dxa"/>
            <w:tcBorders>
              <w:top w:val="nil"/>
              <w:left w:val="nil"/>
              <w:bottom w:val="nil"/>
              <w:right w:val="nil"/>
            </w:tcBorders>
          </w:tcPr>
          <w:p>
            <w:pPr>
              <w:pStyle w:val="TableParagraph"/>
              <w:spacing w:before="107"/>
              <w:ind w:left="532"/>
              <w:rPr>
                <w:sz w:val="24"/>
              </w:rPr>
            </w:pPr>
            <w:r>
              <w:rPr>
                <w:sz w:val="24"/>
              </w:rPr>
              <w:t>69.8</w:t>
            </w:r>
          </w:p>
        </w:tc>
      </w:tr>
      <w:tr>
        <w:trPr>
          <w:trHeight w:val="518" w:hRule="exact"/>
        </w:trPr>
        <w:tc>
          <w:tcPr>
            <w:tcW w:w="4202" w:type="dxa"/>
            <w:tcBorders>
              <w:top w:val="nil"/>
              <w:left w:val="nil"/>
              <w:bottom w:val="nil"/>
              <w:right w:val="nil"/>
            </w:tcBorders>
          </w:tcPr>
          <w:p>
            <w:pPr>
              <w:pStyle w:val="TableParagraph"/>
              <w:spacing w:before="108"/>
              <w:ind w:left="107"/>
              <w:rPr>
                <w:sz w:val="24"/>
              </w:rPr>
            </w:pPr>
            <w:r>
              <w:rPr>
                <w:sz w:val="24"/>
              </w:rPr>
              <w:t>Aceite de soya</w:t>
            </w:r>
          </w:p>
        </w:tc>
        <w:tc>
          <w:tcPr>
            <w:tcW w:w="1503" w:type="dxa"/>
            <w:tcBorders>
              <w:top w:val="nil"/>
              <w:left w:val="nil"/>
              <w:bottom w:val="nil"/>
              <w:right w:val="nil"/>
            </w:tcBorders>
          </w:tcPr>
          <w:p>
            <w:pPr>
              <w:pStyle w:val="TableParagraph"/>
              <w:spacing w:before="108"/>
              <w:ind w:left="470" w:right="453"/>
              <w:jc w:val="center"/>
              <w:rPr>
                <w:sz w:val="24"/>
              </w:rPr>
            </w:pPr>
            <w:r>
              <w:rPr>
                <w:sz w:val="24"/>
              </w:rPr>
              <w:t>00.0</w:t>
            </w:r>
          </w:p>
        </w:tc>
        <w:tc>
          <w:tcPr>
            <w:tcW w:w="1486" w:type="dxa"/>
            <w:tcBorders>
              <w:top w:val="nil"/>
              <w:left w:val="nil"/>
              <w:bottom w:val="nil"/>
              <w:right w:val="nil"/>
            </w:tcBorders>
          </w:tcPr>
          <w:p>
            <w:pPr>
              <w:pStyle w:val="TableParagraph"/>
              <w:spacing w:before="108"/>
              <w:ind w:left="452" w:right="452"/>
              <w:jc w:val="center"/>
              <w:rPr>
                <w:sz w:val="24"/>
              </w:rPr>
            </w:pPr>
            <w:r>
              <w:rPr>
                <w:sz w:val="24"/>
              </w:rPr>
              <w:t>30.4</w:t>
            </w:r>
          </w:p>
        </w:tc>
        <w:tc>
          <w:tcPr>
            <w:tcW w:w="1865" w:type="dxa"/>
            <w:tcBorders>
              <w:top w:val="nil"/>
              <w:left w:val="nil"/>
              <w:bottom w:val="nil"/>
              <w:right w:val="nil"/>
            </w:tcBorders>
          </w:tcPr>
          <w:p>
            <w:pPr>
              <w:pStyle w:val="TableParagraph"/>
              <w:spacing w:before="108"/>
              <w:ind w:left="532"/>
              <w:rPr>
                <w:sz w:val="24"/>
              </w:rPr>
            </w:pPr>
            <w:r>
              <w:rPr>
                <w:sz w:val="24"/>
              </w:rPr>
              <w:t>60.7</w:t>
            </w:r>
          </w:p>
        </w:tc>
      </w:tr>
      <w:tr>
        <w:trPr>
          <w:trHeight w:val="503" w:hRule="exact"/>
        </w:trPr>
        <w:tc>
          <w:tcPr>
            <w:tcW w:w="4202" w:type="dxa"/>
            <w:tcBorders>
              <w:top w:val="nil"/>
              <w:left w:val="nil"/>
              <w:bottom w:val="nil"/>
              <w:right w:val="nil"/>
            </w:tcBorders>
          </w:tcPr>
          <w:p>
            <w:pPr>
              <w:pStyle w:val="TableParagraph"/>
              <w:spacing w:before="108"/>
              <w:ind w:left="107"/>
              <w:rPr>
                <w:sz w:val="24"/>
              </w:rPr>
            </w:pPr>
            <w:r>
              <w:rPr>
                <w:sz w:val="24"/>
              </w:rPr>
              <w:t>Carbonato de calcio</w:t>
            </w:r>
          </w:p>
        </w:tc>
        <w:tc>
          <w:tcPr>
            <w:tcW w:w="1503" w:type="dxa"/>
            <w:tcBorders>
              <w:top w:val="nil"/>
              <w:left w:val="nil"/>
              <w:bottom w:val="nil"/>
              <w:right w:val="nil"/>
            </w:tcBorders>
          </w:tcPr>
          <w:p>
            <w:pPr>
              <w:pStyle w:val="TableParagraph"/>
              <w:spacing w:before="108"/>
              <w:ind w:left="470" w:right="333"/>
              <w:jc w:val="center"/>
              <w:rPr>
                <w:sz w:val="24"/>
              </w:rPr>
            </w:pPr>
            <w:r>
              <w:rPr>
                <w:sz w:val="24"/>
              </w:rPr>
              <w:t>8.4</w:t>
            </w:r>
          </w:p>
        </w:tc>
        <w:tc>
          <w:tcPr>
            <w:tcW w:w="1486" w:type="dxa"/>
            <w:tcBorders>
              <w:top w:val="nil"/>
              <w:left w:val="nil"/>
              <w:bottom w:val="nil"/>
              <w:right w:val="nil"/>
            </w:tcBorders>
          </w:tcPr>
          <w:p>
            <w:pPr>
              <w:pStyle w:val="TableParagraph"/>
              <w:spacing w:before="108"/>
              <w:ind w:left="452" w:right="332"/>
              <w:jc w:val="center"/>
              <w:rPr>
                <w:sz w:val="24"/>
              </w:rPr>
            </w:pPr>
            <w:r>
              <w:rPr>
                <w:sz w:val="24"/>
              </w:rPr>
              <w:t>8.4</w:t>
            </w:r>
          </w:p>
        </w:tc>
        <w:tc>
          <w:tcPr>
            <w:tcW w:w="1865" w:type="dxa"/>
            <w:tcBorders>
              <w:top w:val="nil"/>
              <w:left w:val="nil"/>
              <w:bottom w:val="nil"/>
              <w:right w:val="nil"/>
            </w:tcBorders>
          </w:tcPr>
          <w:p>
            <w:pPr>
              <w:pStyle w:val="TableParagraph"/>
              <w:spacing w:before="108"/>
              <w:ind w:left="634" w:right="890"/>
              <w:jc w:val="center"/>
              <w:rPr>
                <w:sz w:val="24"/>
              </w:rPr>
            </w:pPr>
            <w:r>
              <w:rPr>
                <w:sz w:val="24"/>
              </w:rPr>
              <w:t>8.2</w:t>
            </w:r>
          </w:p>
        </w:tc>
      </w:tr>
      <w:tr>
        <w:trPr>
          <w:trHeight w:val="492" w:hRule="exact"/>
        </w:trPr>
        <w:tc>
          <w:tcPr>
            <w:tcW w:w="4202" w:type="dxa"/>
            <w:tcBorders>
              <w:top w:val="nil"/>
              <w:left w:val="nil"/>
              <w:bottom w:val="nil"/>
              <w:right w:val="nil"/>
            </w:tcBorders>
          </w:tcPr>
          <w:p>
            <w:pPr>
              <w:pStyle w:val="TableParagraph"/>
              <w:spacing w:before="105"/>
              <w:ind w:left="107"/>
              <w:rPr>
                <w:sz w:val="16"/>
              </w:rPr>
            </w:pPr>
            <w:r>
              <w:rPr>
                <w:sz w:val="24"/>
              </w:rPr>
              <w:t>Pre-mezcla de vitaminas y minerales</w:t>
            </w:r>
            <w:r>
              <w:rPr>
                <w:position w:val="9"/>
                <w:sz w:val="16"/>
              </w:rPr>
              <w:t>¶</w:t>
            </w:r>
          </w:p>
        </w:tc>
        <w:tc>
          <w:tcPr>
            <w:tcW w:w="1503" w:type="dxa"/>
            <w:tcBorders>
              <w:top w:val="nil"/>
              <w:left w:val="nil"/>
              <w:bottom w:val="nil"/>
              <w:right w:val="nil"/>
            </w:tcBorders>
          </w:tcPr>
          <w:p>
            <w:pPr>
              <w:pStyle w:val="TableParagraph"/>
              <w:spacing w:before="120"/>
              <w:ind w:left="470" w:right="333"/>
              <w:jc w:val="center"/>
              <w:rPr>
                <w:sz w:val="24"/>
              </w:rPr>
            </w:pPr>
            <w:r>
              <w:rPr>
                <w:sz w:val="24"/>
              </w:rPr>
              <w:t>2.8</w:t>
            </w:r>
          </w:p>
        </w:tc>
        <w:tc>
          <w:tcPr>
            <w:tcW w:w="1486" w:type="dxa"/>
            <w:tcBorders>
              <w:top w:val="nil"/>
              <w:left w:val="nil"/>
              <w:bottom w:val="nil"/>
              <w:right w:val="nil"/>
            </w:tcBorders>
          </w:tcPr>
          <w:p>
            <w:pPr>
              <w:pStyle w:val="TableParagraph"/>
              <w:spacing w:before="120"/>
              <w:ind w:left="452" w:right="332"/>
              <w:jc w:val="center"/>
              <w:rPr>
                <w:sz w:val="24"/>
              </w:rPr>
            </w:pPr>
            <w:r>
              <w:rPr>
                <w:sz w:val="24"/>
              </w:rPr>
              <w:t>2.0</w:t>
            </w:r>
          </w:p>
        </w:tc>
        <w:tc>
          <w:tcPr>
            <w:tcW w:w="1865" w:type="dxa"/>
            <w:tcBorders>
              <w:top w:val="nil"/>
              <w:left w:val="nil"/>
              <w:bottom w:val="nil"/>
              <w:right w:val="nil"/>
            </w:tcBorders>
          </w:tcPr>
          <w:p>
            <w:pPr>
              <w:pStyle w:val="TableParagraph"/>
              <w:spacing w:before="120"/>
              <w:ind w:left="634" w:right="890"/>
              <w:jc w:val="center"/>
              <w:rPr>
                <w:sz w:val="24"/>
              </w:rPr>
            </w:pPr>
            <w:r>
              <w:rPr>
                <w:sz w:val="24"/>
              </w:rPr>
              <w:t>2.0</w:t>
            </w:r>
          </w:p>
        </w:tc>
      </w:tr>
    </w:tbl>
    <w:p>
      <w:pPr>
        <w:pStyle w:val="BodyText"/>
        <w:spacing w:before="10"/>
        <w:rPr>
          <w:sz w:val="9"/>
        </w:rPr>
      </w:pPr>
      <w:r>
        <w:rPr/>
        <w:pict>
          <v:group style="position:absolute;margin-left:87.253998pt;margin-top:7.666095pt;width:454.05pt;height:.5pt;mso-position-horizontal-relative:page;mso-position-vertical-relative:paragraph;z-index:1408;mso-wrap-distance-left:0;mso-wrap-distance-right:0" coordorigin="1745,153" coordsize="9081,10">
            <v:line style="position:absolute" from="1750,158" to="6349,158" stroked="true" strokeweight=".47998pt" strokecolor="#000000"/>
            <v:line style="position:absolute" from="6335,158" to="6344,158" stroked="true" strokeweight=".47998pt" strokecolor="#000000"/>
            <v:line style="position:absolute" from="6344,158" to="7835,158" stroked="true" strokeweight=".47998pt" strokecolor="#000000"/>
            <v:line style="position:absolute" from="7821,158" to="7830,158" stroked="true" strokeweight=".47998pt" strokecolor="#000000"/>
            <v:line style="position:absolute" from="7830,158" to="9321,158" stroked="true" strokeweight=".47998pt" strokecolor="#000000"/>
            <v:line style="position:absolute" from="9306,158" to="9316,158" stroked="true" strokeweight=".47998pt" strokecolor="#000000"/>
            <v:line style="position:absolute" from="9316,158" to="10821,158" stroked="true" strokeweight=".47998pt" strokecolor="#000000"/>
            <w10:wrap type="topAndBottom"/>
          </v:group>
        </w:pict>
      </w:r>
    </w:p>
    <w:p>
      <w:pPr>
        <w:pStyle w:val="BodyText"/>
        <w:spacing w:line="239" w:lineRule="exact"/>
        <w:ind w:left="232"/>
        <w:jc w:val="both"/>
      </w:pPr>
      <w:r>
        <w:rPr>
          <w:position w:val="9"/>
          <w:sz w:val="16"/>
        </w:rPr>
        <w:t>†   </w:t>
      </w:r>
      <w:r>
        <w:rPr/>
        <w:t>pTMR-0  =  dieta  completa  mezclada  sin  aceite  de  soya;  pTMR-3  =  dieta   completa</w:t>
      </w:r>
    </w:p>
    <w:p>
      <w:pPr>
        <w:pStyle w:val="BodyText"/>
      </w:pPr>
    </w:p>
    <w:p>
      <w:pPr>
        <w:pStyle w:val="BodyText"/>
        <w:spacing w:line="480" w:lineRule="auto"/>
        <w:ind w:left="232" w:right="231"/>
        <w:jc w:val="both"/>
      </w:pPr>
      <w:r>
        <w:rPr/>
        <w:t>mezclada más 3 % de aceite de soya; pTMR-6 = dieta completa mezclada más 6 % de aceite de</w:t>
      </w:r>
      <w:r>
        <w:rPr>
          <w:spacing w:val="-6"/>
        </w:rPr>
        <w:t> </w:t>
      </w:r>
      <w:r>
        <w:rPr/>
        <w:t>soya.</w:t>
      </w:r>
    </w:p>
    <w:p>
      <w:pPr>
        <w:pStyle w:val="BodyText"/>
        <w:spacing w:line="480" w:lineRule="auto"/>
        <w:ind w:left="232" w:right="233"/>
        <w:jc w:val="both"/>
      </w:pPr>
      <w:r>
        <w:rPr>
          <w:position w:val="9"/>
          <w:sz w:val="16"/>
        </w:rPr>
        <w:t>¶ </w:t>
      </w:r>
      <w:r>
        <w:rPr/>
        <w:t>Multitec, lechero bovino®: Vitamina A: 231 UI, Vitamina D3: 58.5 UI, Vitamina E: 566 mg, Cobre:  400 mg,  Hierro:  2,560  mg,  Manganeso:  1,860 mg, Cobalto:  5.85 mg,</w:t>
      </w:r>
      <w:r>
        <w:rPr>
          <w:spacing w:val="-26"/>
        </w:rPr>
        <w:t> </w:t>
      </w:r>
      <w:r>
        <w:rPr/>
        <w:t>Yodo:</w:t>
      </w:r>
    </w:p>
    <w:p>
      <w:pPr>
        <w:pStyle w:val="BodyText"/>
        <w:spacing w:line="480" w:lineRule="auto" w:before="10"/>
        <w:ind w:left="232" w:right="230"/>
        <w:jc w:val="both"/>
      </w:pPr>
      <w:r>
        <w:rPr/>
        <w:t>19.84 mg, Zinc: 2,000.16 mg, Selenio: 12 mg, Fósforo: 38,220 mg, Magnesio: 39,959.92 mg, Carbonato de Calcio: 194 g, Sal: 236.621g, Bicarbonato de Sodio: 150 g, Sodio: 1,851.60 mg, Potasio: 2,439 mg.</w:t>
      </w:r>
    </w:p>
    <w:p>
      <w:pPr>
        <w:pStyle w:val="BodyText"/>
        <w:spacing w:line="480" w:lineRule="auto" w:before="10"/>
        <w:ind w:left="232" w:right="121" w:firstLine="299"/>
      </w:pPr>
      <w:r>
        <w:rPr/>
        <w:t>Una vez terminado el periodo previo de adaptación, los siguientes tratamientos se asignaron  aleatoriamente  a  las  vacas:  1)  dieta  completa  mezclada  sin  aceite  de   soya</w:t>
      </w:r>
    </w:p>
    <w:p>
      <w:pPr>
        <w:spacing w:after="0" w:line="480" w:lineRule="auto"/>
        <w:sectPr>
          <w:pgSz w:w="12240" w:h="15840"/>
          <w:pgMar w:header="1150" w:footer="1336" w:top="1340" w:bottom="1520" w:left="1640" w:right="1300"/>
        </w:sectPr>
      </w:pPr>
    </w:p>
    <w:p>
      <w:pPr>
        <w:pStyle w:val="BodyText"/>
        <w:rPr>
          <w:sz w:val="20"/>
        </w:rPr>
      </w:pPr>
    </w:p>
    <w:p>
      <w:pPr>
        <w:pStyle w:val="BodyText"/>
        <w:spacing w:before="4"/>
        <w:rPr>
          <w:sz w:val="19"/>
        </w:rPr>
      </w:pPr>
    </w:p>
    <w:p>
      <w:pPr>
        <w:pStyle w:val="BodyText"/>
        <w:spacing w:line="480" w:lineRule="auto"/>
        <w:ind w:left="152"/>
      </w:pPr>
      <w:r>
        <w:rPr/>
        <w:t>(pTMR-0), 2) dieta completa mezclada más 3 % de aceite de soya (pTMR-3) y, 3) dieta completa mezclada más 6 % de aceite de soya (pTMR-6).</w:t>
      </w:r>
    </w:p>
    <w:p>
      <w:pPr>
        <w:spacing w:line="475" w:lineRule="auto" w:before="10"/>
        <w:ind w:left="152" w:right="145" w:firstLine="299"/>
        <w:jc w:val="both"/>
        <w:rPr>
          <w:sz w:val="24"/>
        </w:rPr>
      </w:pPr>
      <w:r>
        <w:rPr>
          <w:sz w:val="24"/>
        </w:rPr>
        <w:t>El pastoreo fue rotacional en praderas polífitas, compuestas principalmente pasto festuca (</w:t>
      </w:r>
      <w:r>
        <w:rPr>
          <w:i/>
          <w:sz w:val="24"/>
        </w:rPr>
        <w:t>Festuca arundinacea)</w:t>
      </w:r>
      <w:r>
        <w:rPr>
          <w:sz w:val="24"/>
        </w:rPr>
        <w:t>, orchard grass (</w:t>
      </w:r>
      <w:r>
        <w:rPr>
          <w:i/>
          <w:sz w:val="24"/>
        </w:rPr>
        <w:t>Dactylis glomerata), </w:t>
      </w:r>
      <w:r>
        <w:rPr>
          <w:sz w:val="24"/>
        </w:rPr>
        <w:t>rye grass perenne </w:t>
      </w:r>
      <w:r>
        <w:rPr>
          <w:i/>
          <w:sz w:val="24"/>
        </w:rPr>
        <w:t>(Lolium </w:t>
      </w:r>
      <w:r>
        <w:rPr>
          <w:i/>
          <w:sz w:val="24"/>
        </w:rPr>
        <w:t>perenne), </w:t>
      </w:r>
      <w:r>
        <w:rPr>
          <w:sz w:val="24"/>
        </w:rPr>
        <w:t>pasto kikuyo </w:t>
      </w:r>
      <w:r>
        <w:rPr>
          <w:i/>
          <w:sz w:val="24"/>
        </w:rPr>
        <w:t>(Pennisetum clandestinum) </w:t>
      </w:r>
      <w:r>
        <w:rPr>
          <w:sz w:val="24"/>
        </w:rPr>
        <w:t>y trébol blanco (</w:t>
      </w:r>
      <w:r>
        <w:rPr>
          <w:i/>
          <w:sz w:val="24"/>
        </w:rPr>
        <w:t>Trifolium repens)</w:t>
      </w:r>
      <w:r>
        <w:rPr>
          <w:sz w:val="24"/>
        </w:rPr>
        <w:t>, fertilizadas con 50 kg ha</w:t>
      </w:r>
      <w:r>
        <w:rPr>
          <w:position w:val="9"/>
          <w:sz w:val="16"/>
        </w:rPr>
        <w:t>-1  </w:t>
      </w:r>
      <w:r>
        <w:rPr>
          <w:sz w:val="24"/>
        </w:rPr>
        <w:t>de urea cada mes.</w:t>
      </w:r>
    </w:p>
    <w:p>
      <w:pPr>
        <w:pStyle w:val="BodyText"/>
        <w:spacing w:line="480" w:lineRule="auto"/>
        <w:ind w:left="152" w:right="148" w:firstLine="299"/>
        <w:jc w:val="both"/>
      </w:pPr>
      <w:r>
        <w:rPr/>
        <w:t>En el establo, las vacas se alojaron en corrales (3.50 x 4.50 m) individuales provistos de comederos y bebederos, con disponibilidad </w:t>
      </w:r>
      <w:r>
        <w:rPr>
          <w:i/>
        </w:rPr>
        <w:t>ad libitum </w:t>
      </w:r>
      <w:r>
        <w:rPr/>
        <w:t>de agua de bebida. El ordeño fue automatizado, dos veces al día (06:00 y 15:00 h).</w:t>
      </w:r>
    </w:p>
    <w:p>
      <w:pPr>
        <w:pStyle w:val="BodyText"/>
        <w:spacing w:before="10"/>
        <w:ind w:left="180" w:right="180"/>
        <w:jc w:val="center"/>
      </w:pPr>
      <w:r>
        <w:rPr/>
        <w:t>Desarrollo experimental</w:t>
      </w:r>
    </w:p>
    <w:p>
      <w:pPr>
        <w:pStyle w:val="BodyText"/>
      </w:pPr>
    </w:p>
    <w:p>
      <w:pPr>
        <w:pStyle w:val="BodyText"/>
        <w:spacing w:line="480" w:lineRule="auto"/>
        <w:ind w:left="152" w:right="147" w:firstLine="302"/>
        <w:jc w:val="both"/>
      </w:pPr>
      <w:r>
        <w:rPr/>
        <w:t>Las vacas permanecieron 12 h en la pradera (07:00-15:00 y 16:00-20:00 h), respetando el tiempo de ordeño, el resto del tiempo permanecieron en el establo, donde se suministró la TMR a libre acceso según el tratamiento</w:t>
      </w:r>
      <w:r>
        <w:rPr>
          <w:spacing w:val="-11"/>
        </w:rPr>
        <w:t> </w:t>
      </w:r>
      <w:r>
        <w:rPr/>
        <w:t>asignado.</w:t>
      </w:r>
    </w:p>
    <w:p>
      <w:pPr>
        <w:pStyle w:val="BodyText"/>
        <w:spacing w:line="475" w:lineRule="auto"/>
        <w:ind w:left="152" w:right="150" w:firstLine="299"/>
        <w:jc w:val="both"/>
      </w:pPr>
      <w:r>
        <w:rPr/>
        <w:t>Con un cerco eléctrico, se asignaron 22 kg MS d</w:t>
      </w:r>
      <w:r>
        <w:rPr>
          <w:position w:val="9"/>
          <w:sz w:val="16"/>
        </w:rPr>
        <w:t>-1 </w:t>
      </w:r>
      <w:r>
        <w:rPr/>
        <w:t>por vaca en la pradera, dos terceras partes se ofrecieron entre ordeños y el resto después del ordeño de la tarde. La producción de forraje en la pradera se determinó cada día en la etapa de medición mediante el corte a ras de suelo de 2 m</w:t>
      </w:r>
      <w:r>
        <w:rPr>
          <w:position w:val="9"/>
          <w:sz w:val="16"/>
        </w:rPr>
        <w:t>2 </w:t>
      </w:r>
      <w:r>
        <w:rPr/>
        <w:t>distribuidos aleatoriamente en ocho puntos y se usó un cuadrante de</w:t>
      </w:r>
    </w:p>
    <w:p>
      <w:pPr>
        <w:pStyle w:val="BodyText"/>
        <w:spacing w:line="274" w:lineRule="exact"/>
        <w:ind w:left="152"/>
      </w:pPr>
      <w:r>
        <w:rPr/>
        <w:t>0.25 m</w:t>
      </w:r>
      <w:r>
        <w:rPr>
          <w:position w:val="9"/>
          <w:sz w:val="16"/>
        </w:rPr>
        <w:t>2</w:t>
      </w:r>
      <w:r>
        <w:rPr/>
        <w:t>. Después se determinó la MS por secado de la muestra en horno de microondas</w:t>
      </w:r>
    </w:p>
    <w:p>
      <w:pPr>
        <w:pStyle w:val="BodyText"/>
        <w:spacing w:before="9"/>
        <w:rPr>
          <w:sz w:val="23"/>
        </w:rPr>
      </w:pPr>
    </w:p>
    <w:p>
      <w:pPr>
        <w:spacing w:before="0"/>
        <w:ind w:left="152" w:right="0" w:firstLine="0"/>
        <w:jc w:val="left"/>
        <w:rPr>
          <w:sz w:val="24"/>
        </w:rPr>
      </w:pPr>
      <w:r>
        <w:rPr>
          <w:sz w:val="24"/>
        </w:rPr>
        <w:t>(Teuber </w:t>
      </w:r>
      <w:r>
        <w:rPr>
          <w:i/>
          <w:sz w:val="24"/>
        </w:rPr>
        <w:t>et al</w:t>
      </w:r>
      <w:r>
        <w:rPr>
          <w:sz w:val="24"/>
        </w:rPr>
        <w:t>., 2007).</w:t>
      </w:r>
    </w:p>
    <w:p>
      <w:pPr>
        <w:pStyle w:val="BodyText"/>
      </w:pPr>
    </w:p>
    <w:p>
      <w:pPr>
        <w:pStyle w:val="BodyText"/>
        <w:spacing w:line="480" w:lineRule="auto"/>
        <w:ind w:left="152" w:right="153" w:firstLine="299"/>
        <w:jc w:val="both"/>
      </w:pPr>
      <w:r>
        <w:rPr/>
        <w:t>Para preparar la TMR, el aceite de soya se agregó con la porción del concentrado (cereales y oleaginosas), la TMR se preparó cada tercer día para evitar rancidez. El ensilado de maíz se incluyó al concentrado una hora antes de que las vacas entraran al establo.</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6" w:firstLine="299"/>
        <w:jc w:val="both"/>
      </w:pPr>
      <w:r>
        <w:rPr/>
        <w:t>El consumo diario de TMR se midió en cada vaca por diferencia de la oferta y el rechazo. El consumo de forraje se estimó por diferencia entre los requerimientos de energía neta (EN) para lactación (ENL, Mcal/d) de la vaca menos la ENL consumida con la TMR, en concordancia con el método descrito por Macoon et al. (2003). La energía neta de lactación de las pTMR se calculó con las ecuaciones descritas por Menke y Steingass (1988) a partir del contenido de fibra ácido detergente. Las necesidades de ENL se estimaron con las ecuaciones de predicción del NRC (2001) incluyendo los requerimientos de EN para lactancia, mantenimiento, cambio de peso corporal, actividad en el pastoreo y desplazamiento hacia o desde la pradera al establo. Al inicio y al final de la etapa de medición las vacas se pesaron después de la ordeña de la</w:t>
      </w:r>
      <w:r>
        <w:rPr>
          <w:spacing w:val="-10"/>
        </w:rPr>
        <w:t> </w:t>
      </w:r>
      <w:r>
        <w:rPr/>
        <w:t>mañana.</w:t>
      </w:r>
    </w:p>
    <w:p>
      <w:pPr>
        <w:pStyle w:val="BodyText"/>
        <w:spacing w:line="480" w:lineRule="auto" w:before="10"/>
        <w:ind w:left="152" w:right="147" w:firstLine="299"/>
        <w:jc w:val="both"/>
      </w:pPr>
      <w:r>
        <w:rPr/>
        <w:t>En la etapa de medición, de cada periodo, se muestreó en tres días consecutivos la TMR de cada tratamiento al momento de ofrecerla, en los mismos tiempos se muestreó el forraje de la pradera, siguiendo la técnica de pastoreo simulado descrita por Wayne (1964). Las muestras se conservaron en congelación (-4 °C) hasta su análisis.</w:t>
      </w:r>
    </w:p>
    <w:p>
      <w:pPr>
        <w:pStyle w:val="BodyText"/>
        <w:spacing w:line="480" w:lineRule="auto" w:before="10"/>
        <w:ind w:left="152" w:right="153" w:firstLine="299"/>
        <w:jc w:val="both"/>
      </w:pPr>
      <w:r>
        <w:rPr/>
        <w:t>Diariamente se registró la producción de leche individual en ambos ordeños. La leche se muestreó en cada ordeño y se obtuvo una alícuota (100 mL) por vaca para su análisis en el laboratorio.</w:t>
      </w:r>
    </w:p>
    <w:p>
      <w:pPr>
        <w:pStyle w:val="BodyText"/>
        <w:spacing w:before="11"/>
        <w:ind w:left="180" w:right="180"/>
        <w:jc w:val="center"/>
      </w:pPr>
      <w:r>
        <w:rPr/>
        <w:t>Análisis de laboratorio</w:t>
      </w:r>
    </w:p>
    <w:p>
      <w:pPr>
        <w:pStyle w:val="BodyText"/>
        <w:spacing w:before="9"/>
        <w:rPr>
          <w:sz w:val="23"/>
        </w:rPr>
      </w:pPr>
    </w:p>
    <w:p>
      <w:pPr>
        <w:pStyle w:val="BodyText"/>
        <w:ind w:left="454"/>
      </w:pPr>
      <w:r>
        <w:rPr/>
        <w:t>Las muestras de los alimentos (TMR y forraje) se secaron en estufa de aire forzado a  60</w:t>
      </w:r>
    </w:p>
    <w:p>
      <w:pPr>
        <w:pStyle w:val="BodyText"/>
      </w:pPr>
    </w:p>
    <w:p>
      <w:pPr>
        <w:pStyle w:val="BodyText"/>
        <w:spacing w:line="480" w:lineRule="auto"/>
        <w:ind w:left="152" w:right="150"/>
        <w:jc w:val="both"/>
      </w:pPr>
      <w:r>
        <w:rPr/>
        <w:t>°C por 24 h, se molieron con malla de 2 mm y se determinó el contenido de materia seca y cenizas por pérdida de peso tras desecación de la muestra a 100 ± 1 °C en estufa de aire forzado durante 24 h, seguida de la incineración en la mufla a 600 °C por 4 h; el </w:t>
      </w:r>
      <w:r>
        <w:rPr>
          <w:spacing w:val="51"/>
        </w:rPr>
        <w:t> </w:t>
      </w:r>
      <w:r>
        <w:rPr/>
        <w:t>contenido</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51"/>
        <w:jc w:val="both"/>
      </w:pPr>
      <w:r>
        <w:rPr/>
        <w:t>de proteína bruta se determinó por el método Kjeldalh y el contenido extracto etéreo se determinó según la AOAC (2012); el análisis de fibra detergente ácido (FDA), fibra detergente neutro (FDN) y lignina detergente ácido (LDA) se realizó con el método  descrito por Van Soest </w:t>
      </w:r>
      <w:r>
        <w:rPr>
          <w:i/>
        </w:rPr>
        <w:t>et al</w:t>
      </w:r>
      <w:r>
        <w:rPr/>
        <w:t>.</w:t>
      </w:r>
      <w:r>
        <w:rPr>
          <w:spacing w:val="-4"/>
        </w:rPr>
        <w:t> </w:t>
      </w:r>
      <w:r>
        <w:rPr/>
        <w:t>(1991).</w:t>
      </w:r>
    </w:p>
    <w:p>
      <w:pPr>
        <w:pStyle w:val="BodyText"/>
        <w:spacing w:line="480" w:lineRule="auto" w:before="10"/>
        <w:ind w:left="152" w:right="148" w:firstLine="299"/>
        <w:jc w:val="both"/>
      </w:pPr>
      <w:r>
        <w:rPr/>
        <w:t>El contenido de ácidos grasos de los alimentos se determinó previa liofilización de las muestras (LABCONCO, Free Zone 2.5), mediante la técnica de Sukhija y Palmquist (1988), con modificaciones de Palmquist y Jenkins (2003), utilizando ácido clorhídrico metanólico al 10 % para la esterificación y hexano como solvente</w:t>
      </w:r>
      <w:r>
        <w:rPr>
          <w:spacing w:val="-9"/>
        </w:rPr>
        <w:t> </w:t>
      </w:r>
      <w:r>
        <w:rPr/>
        <w:t>orgánico.</w:t>
      </w:r>
    </w:p>
    <w:p>
      <w:pPr>
        <w:pStyle w:val="BodyText"/>
        <w:spacing w:line="480" w:lineRule="auto" w:before="10"/>
        <w:ind w:left="152" w:right="146" w:firstLine="299"/>
        <w:jc w:val="both"/>
      </w:pPr>
      <w:r>
        <w:rPr/>
        <w:t>El contenido de grasa, proteína y lactosa de la leche se determinó con un analizador Lactoscan (Milkotronic, LTD). Para el análisis de AG en leche se extrajo la grasa por ultracentrifugación (Feng </w:t>
      </w:r>
      <w:r>
        <w:rPr>
          <w:i/>
        </w:rPr>
        <w:t>et al</w:t>
      </w:r>
      <w:r>
        <w:rPr/>
        <w:t>., 2004); la metilación se realizó de acuerdo con la metodología descrita por Christie (1982), con modificaciones de Chouinard </w:t>
      </w:r>
      <w:r>
        <w:rPr>
          <w:i/>
        </w:rPr>
        <w:t>et al</w:t>
      </w:r>
      <w:r>
        <w:rPr/>
        <w:t>. (1999).</w:t>
      </w:r>
    </w:p>
    <w:p>
      <w:pPr>
        <w:pStyle w:val="BodyText"/>
        <w:spacing w:line="480" w:lineRule="auto" w:before="10"/>
        <w:ind w:left="152" w:right="147" w:firstLine="302"/>
        <w:jc w:val="both"/>
      </w:pPr>
      <w:r>
        <w:rPr/>
        <w:t>Los metil ésteres de los AG de alimentos y leche se separaron y cuantificaron por cromatografía de gases (Perkin Elmer Clarus 500), con una columna capilar de 100 m x</w:t>
      </w:r>
    </w:p>
    <w:p>
      <w:pPr>
        <w:pStyle w:val="BodyText"/>
        <w:spacing w:line="477" w:lineRule="auto" w:before="10"/>
        <w:ind w:left="152" w:right="148"/>
        <w:jc w:val="both"/>
      </w:pPr>
      <w:r>
        <w:rPr/>
        <w:t>0.25 mm x 0.2 µm (SUPELCO TM-2560), utilizando nitrógeno como gas acarreador. Tanto el detector como el inyector se mantuvieron a 260 °C, la temperatura inicial del horno fue 140 °C por 5 min, aumentando 4 °C por minuto hasta llegar a 240 °C. Cada pico se identificó de acuerdo con los tiempos de retención de estándares de ésteres metílicos (Supelco 37 Component FAME Mix, trans-vaccenic acid y linoleic acid conjugated de SIGMA-ALDRICH). Los AG se registran en g 100 g</w:t>
      </w:r>
      <w:r>
        <w:rPr>
          <w:position w:val="9"/>
          <w:sz w:val="16"/>
        </w:rPr>
        <w:t>-1 </w:t>
      </w:r>
      <w:r>
        <w:rPr/>
        <w:t>del total de AG.</w:t>
      </w:r>
    </w:p>
    <w:p>
      <w:pPr>
        <w:spacing w:after="0" w:line="477"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ind w:left="180" w:right="180"/>
        <w:jc w:val="center"/>
      </w:pPr>
      <w:r>
        <w:rPr/>
        <w:t>Análisis estadístico</w:t>
      </w:r>
    </w:p>
    <w:p>
      <w:pPr>
        <w:pStyle w:val="BodyText"/>
      </w:pPr>
    </w:p>
    <w:p>
      <w:pPr>
        <w:pStyle w:val="BodyText"/>
        <w:spacing w:line="480" w:lineRule="auto"/>
        <w:ind w:left="152" w:right="143" w:firstLine="302"/>
        <w:jc w:val="both"/>
      </w:pPr>
      <w:r>
        <w:rPr/>
        <w:t>La composición química de las TMR fue analaizada con el procedimiento GLM de SAS (1999). Los resultados de consumo de MS, producción, composición y perfil de AG en la leche se analizaron con el procedimiento MIXTO (SAS, 1999), promediados por vaca y </w:t>
      </w:r>
      <w:r>
        <w:rPr>
          <w:position w:val="2"/>
        </w:rPr>
        <w:t>periodo, de acuerdo con el modelo de cuadrado latino repetido 3 x 3: Y</w:t>
      </w:r>
      <w:r>
        <w:rPr>
          <w:sz w:val="16"/>
        </w:rPr>
        <w:t>ijkl  </w:t>
      </w:r>
      <w:r>
        <w:rPr>
          <w:position w:val="2"/>
        </w:rPr>
        <w:t>= μ + C</w:t>
      </w:r>
      <w:r>
        <w:rPr>
          <w:sz w:val="16"/>
        </w:rPr>
        <w:t>i  </w:t>
      </w:r>
      <w:r>
        <w:rPr>
          <w:position w:val="2"/>
        </w:rPr>
        <w:t>+ P</w:t>
      </w:r>
      <w:r>
        <w:rPr>
          <w:sz w:val="16"/>
        </w:rPr>
        <w:t>(i)j    </w:t>
      </w:r>
      <w:r>
        <w:rPr>
          <w:position w:val="2"/>
        </w:rPr>
        <w:t>+</w:t>
      </w:r>
    </w:p>
    <w:p>
      <w:pPr>
        <w:spacing w:before="5"/>
        <w:ind w:left="152" w:right="0" w:firstLine="0"/>
        <w:jc w:val="both"/>
        <w:rPr>
          <w:sz w:val="16"/>
        </w:rPr>
      </w:pPr>
      <w:r>
        <w:rPr>
          <w:position w:val="2"/>
          <w:sz w:val="24"/>
        </w:rPr>
        <w:t>A</w:t>
      </w:r>
      <w:r>
        <w:rPr>
          <w:sz w:val="16"/>
        </w:rPr>
        <w:t>(i)k  </w:t>
      </w:r>
      <w:r>
        <w:rPr>
          <w:position w:val="2"/>
          <w:sz w:val="24"/>
        </w:rPr>
        <w:t>+ Tx</w:t>
      </w:r>
      <w:r>
        <w:rPr>
          <w:sz w:val="16"/>
        </w:rPr>
        <w:t>l </w:t>
      </w:r>
      <w:r>
        <w:rPr>
          <w:position w:val="2"/>
          <w:sz w:val="24"/>
        </w:rPr>
        <w:t>+ E</w:t>
      </w:r>
      <w:r>
        <w:rPr>
          <w:sz w:val="16"/>
        </w:rPr>
        <w:t>ijkl</w:t>
      </w:r>
    </w:p>
    <w:p>
      <w:pPr>
        <w:pStyle w:val="BodyText"/>
        <w:spacing w:before="8"/>
        <w:rPr>
          <w:sz w:val="23"/>
        </w:rPr>
      </w:pPr>
    </w:p>
    <w:p>
      <w:pPr>
        <w:pStyle w:val="BodyText"/>
        <w:spacing w:line="477" w:lineRule="auto" w:before="1"/>
        <w:ind w:left="152" w:right="145"/>
        <w:jc w:val="both"/>
      </w:pPr>
      <w:r>
        <w:rPr>
          <w:position w:val="2"/>
        </w:rPr>
        <w:t>donde Y</w:t>
      </w:r>
      <w:r>
        <w:rPr>
          <w:sz w:val="16"/>
        </w:rPr>
        <w:t>ijkl </w:t>
      </w:r>
      <w:r>
        <w:rPr>
          <w:position w:val="2"/>
        </w:rPr>
        <w:t>= es la respuesta de las variables; μ = media general; </w:t>
      </w:r>
      <w:r>
        <w:rPr>
          <w:spacing w:val="2"/>
          <w:position w:val="2"/>
        </w:rPr>
        <w:t>C</w:t>
      </w:r>
      <w:r>
        <w:rPr>
          <w:spacing w:val="2"/>
          <w:sz w:val="16"/>
        </w:rPr>
        <w:t>i </w:t>
      </w:r>
      <w:r>
        <w:rPr>
          <w:position w:val="2"/>
        </w:rPr>
        <w:t>= es el efecto aleatorio del i-ésimo cuadro (1, 2); P</w:t>
      </w:r>
      <w:r>
        <w:rPr>
          <w:sz w:val="16"/>
        </w:rPr>
        <w:t>(i)j </w:t>
      </w:r>
      <w:r>
        <w:rPr>
          <w:position w:val="2"/>
        </w:rPr>
        <w:t>= es el efecto fijo del periodo (1, 2, 3); A</w:t>
      </w:r>
      <w:r>
        <w:rPr>
          <w:sz w:val="16"/>
        </w:rPr>
        <w:t>(i)k </w:t>
      </w:r>
      <w:r>
        <w:rPr>
          <w:position w:val="2"/>
        </w:rPr>
        <w:t>= es el efecto aleatorio del animal (1, 2, 3); Tx</w:t>
      </w:r>
      <w:r>
        <w:rPr>
          <w:sz w:val="16"/>
        </w:rPr>
        <w:t>l </w:t>
      </w:r>
      <w:r>
        <w:rPr>
          <w:position w:val="2"/>
        </w:rPr>
        <w:t>= es el efecto fijo del tratamiento (1, 2, 3); E</w:t>
      </w:r>
      <w:r>
        <w:rPr>
          <w:sz w:val="16"/>
        </w:rPr>
        <w:t>ijkl </w:t>
      </w:r>
      <w:r>
        <w:rPr>
          <w:position w:val="2"/>
        </w:rPr>
        <w:t>= es el </w:t>
      </w:r>
      <w:r>
        <w:rPr/>
        <w:t>error</w:t>
      </w:r>
      <w:r>
        <w:rPr>
          <w:spacing w:val="-4"/>
        </w:rPr>
        <w:t> </w:t>
      </w:r>
      <w:r>
        <w:rPr/>
        <w:t>residual.</w:t>
      </w:r>
    </w:p>
    <w:p>
      <w:pPr>
        <w:pStyle w:val="BodyText"/>
        <w:spacing w:line="480" w:lineRule="auto" w:before="13"/>
        <w:ind w:left="152" w:right="145" w:firstLine="302"/>
        <w:jc w:val="both"/>
      </w:pPr>
      <w:r>
        <w:rPr/>
        <w:t>La significancia fue declarada a una p ≤ 0.05. Se realizaron análisis de polinomios ortogonales para evaluar los efectos lineal y cuadrático para tratamientos.</w:t>
      </w:r>
    </w:p>
    <w:p>
      <w:pPr>
        <w:pStyle w:val="BodyText"/>
      </w:pPr>
    </w:p>
    <w:p>
      <w:pPr>
        <w:pStyle w:val="BodyText"/>
        <w:spacing w:before="10"/>
      </w:pPr>
    </w:p>
    <w:p>
      <w:pPr>
        <w:pStyle w:val="BodyText"/>
        <w:ind w:left="179" w:right="180"/>
        <w:jc w:val="center"/>
      </w:pPr>
      <w:r>
        <w:rPr/>
        <w:t>RESULTADOS Y DISCUSIÓN</w:t>
      </w:r>
    </w:p>
    <w:p>
      <w:pPr>
        <w:pStyle w:val="BodyText"/>
      </w:pPr>
    </w:p>
    <w:p>
      <w:pPr>
        <w:pStyle w:val="BodyText"/>
        <w:ind w:left="180" w:right="180"/>
        <w:jc w:val="center"/>
      </w:pPr>
      <w:r>
        <w:rPr/>
        <w:t>Composición química y contenido de ácidos grasos de la dieta</w:t>
      </w:r>
    </w:p>
    <w:p>
      <w:pPr>
        <w:pStyle w:val="BodyText"/>
      </w:pPr>
    </w:p>
    <w:p>
      <w:pPr>
        <w:pStyle w:val="BodyText"/>
        <w:spacing w:line="480" w:lineRule="auto"/>
        <w:ind w:left="152" w:right="147" w:firstLine="299"/>
        <w:jc w:val="both"/>
      </w:pPr>
      <w:r>
        <w:rPr/>
        <w:t>El Cuadro 2 muestra la composición química y el contenido de AG de las TMR y del forraje que consumieron las vacas. El contenido de EE fue 2.0 y 4.4 % en las dietas pTMR- 3 y pTMR-6 comparado con la pTMR-0, por la adición del aceite de soya. Los ácidos AL y ALN representaron 79 % del total de AG; el ALN representó 53 % del total de los AG del forraje fresco consumido por el ganado.</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9"/>
        <w:rPr>
          <w:sz w:val="19"/>
        </w:rPr>
      </w:pPr>
    </w:p>
    <w:p>
      <w:pPr>
        <w:pStyle w:val="Heading1"/>
        <w:spacing w:line="482" w:lineRule="auto"/>
        <w:ind w:left="1630" w:right="328" w:hanging="1419"/>
      </w:pPr>
      <w:r>
        <w:rPr/>
        <w:t>Cuadro 2. Composición química y contenido de ácidos grasos de las dietas experimentales y del forraje.</w:t>
      </w:r>
    </w:p>
    <w:p>
      <w:pPr>
        <w:pStyle w:val="BodyText"/>
        <w:rPr>
          <w:b/>
          <w:sz w:val="18"/>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49"/>
        <w:gridCol w:w="951"/>
        <w:gridCol w:w="1030"/>
        <w:gridCol w:w="1071"/>
        <w:gridCol w:w="994"/>
        <w:gridCol w:w="896"/>
        <w:gridCol w:w="966"/>
      </w:tblGrid>
      <w:tr>
        <w:trPr>
          <w:trHeight w:val="257" w:hRule="exact"/>
        </w:trPr>
        <w:tc>
          <w:tcPr>
            <w:tcW w:w="3149" w:type="dxa"/>
            <w:tcBorders>
              <w:left w:val="nil"/>
              <w:bottom w:val="nil"/>
              <w:right w:val="nil"/>
            </w:tcBorders>
          </w:tcPr>
          <w:p>
            <w:pPr/>
          </w:p>
        </w:tc>
        <w:tc>
          <w:tcPr>
            <w:tcW w:w="951" w:type="dxa"/>
            <w:tcBorders>
              <w:left w:val="nil"/>
              <w:bottom w:val="nil"/>
              <w:right w:val="nil"/>
            </w:tcBorders>
          </w:tcPr>
          <w:p>
            <w:pPr/>
          </w:p>
        </w:tc>
        <w:tc>
          <w:tcPr>
            <w:tcW w:w="1030" w:type="dxa"/>
            <w:tcBorders>
              <w:left w:val="nil"/>
              <w:bottom w:val="nil"/>
              <w:right w:val="nil"/>
            </w:tcBorders>
          </w:tcPr>
          <w:p>
            <w:pPr/>
          </w:p>
        </w:tc>
        <w:tc>
          <w:tcPr>
            <w:tcW w:w="2065" w:type="dxa"/>
            <w:gridSpan w:val="2"/>
            <w:tcBorders>
              <w:left w:val="nil"/>
              <w:bottom w:val="nil"/>
              <w:right w:val="nil"/>
            </w:tcBorders>
          </w:tcPr>
          <w:p>
            <w:pPr>
              <w:pStyle w:val="TableParagraph"/>
              <w:spacing w:line="247" w:lineRule="exact"/>
              <w:ind w:left="-39"/>
              <w:rPr>
                <w:sz w:val="14"/>
              </w:rPr>
            </w:pPr>
            <w:r>
              <w:rPr>
                <w:sz w:val="22"/>
              </w:rPr>
              <w:t>Tratamientos</w:t>
            </w:r>
            <w:r>
              <w:rPr>
                <w:position w:val="8"/>
                <w:sz w:val="14"/>
              </w:rPr>
              <w:t>†</w:t>
            </w:r>
          </w:p>
        </w:tc>
        <w:tc>
          <w:tcPr>
            <w:tcW w:w="896" w:type="dxa"/>
            <w:tcBorders>
              <w:left w:val="nil"/>
              <w:bottom w:val="nil"/>
              <w:right w:val="nil"/>
            </w:tcBorders>
          </w:tcPr>
          <w:p>
            <w:pPr/>
          </w:p>
        </w:tc>
        <w:tc>
          <w:tcPr>
            <w:tcW w:w="966" w:type="dxa"/>
            <w:tcBorders>
              <w:left w:val="nil"/>
              <w:bottom w:val="nil"/>
              <w:right w:val="nil"/>
            </w:tcBorders>
          </w:tcPr>
          <w:p>
            <w:pPr/>
          </w:p>
        </w:tc>
      </w:tr>
      <w:tr>
        <w:trPr>
          <w:trHeight w:val="260" w:hRule="exact"/>
        </w:trPr>
        <w:tc>
          <w:tcPr>
            <w:tcW w:w="3149" w:type="dxa"/>
            <w:tcBorders>
              <w:top w:val="nil"/>
              <w:left w:val="nil"/>
              <w:bottom w:val="nil"/>
              <w:right w:val="nil"/>
            </w:tcBorders>
          </w:tcPr>
          <w:p>
            <w:pPr>
              <w:pStyle w:val="TableParagraph"/>
              <w:spacing w:line="255" w:lineRule="exact"/>
              <w:ind w:left="107" w:right="109"/>
              <w:rPr>
                <w:sz w:val="24"/>
              </w:rPr>
            </w:pPr>
            <w:r>
              <w:rPr>
                <w:sz w:val="24"/>
              </w:rPr>
              <w:t>Componente</w:t>
            </w:r>
          </w:p>
        </w:tc>
        <w:tc>
          <w:tcPr>
            <w:tcW w:w="951" w:type="dxa"/>
            <w:tcBorders>
              <w:top w:val="nil"/>
              <w:left w:val="nil"/>
              <w:bottom w:val="nil"/>
              <w:right w:val="nil"/>
            </w:tcBorders>
          </w:tcPr>
          <w:p>
            <w:pPr>
              <w:pStyle w:val="TableParagraph"/>
              <w:spacing w:line="255" w:lineRule="exact"/>
              <w:ind w:left="130"/>
              <w:rPr>
                <w:sz w:val="24"/>
              </w:rPr>
            </w:pPr>
            <w:r>
              <w:rPr>
                <w:sz w:val="24"/>
              </w:rPr>
              <w:t>Forraje</w:t>
            </w:r>
          </w:p>
        </w:tc>
        <w:tc>
          <w:tcPr>
            <w:tcW w:w="3991" w:type="dxa"/>
            <w:gridSpan w:val="4"/>
            <w:tcBorders>
              <w:top w:val="nil"/>
              <w:left w:val="nil"/>
              <w:bottom w:val="nil"/>
              <w:right w:val="nil"/>
            </w:tcBorders>
          </w:tcPr>
          <w:p>
            <w:pPr>
              <w:pStyle w:val="TableParagraph"/>
              <w:tabs>
                <w:tab w:pos="3268" w:val="left" w:leader="none"/>
              </w:tabs>
              <w:spacing w:line="251" w:lineRule="exact"/>
              <w:rPr>
                <w:sz w:val="22"/>
              </w:rPr>
            </w:pPr>
            <w:r>
              <w:rPr>
                <w:sz w:val="24"/>
                <w:u w:val="single"/>
              </w:rPr>
              <w:t> </w:t>
              <w:tab/>
            </w:r>
            <w:r>
              <w:rPr>
                <w:spacing w:val="-10"/>
                <w:sz w:val="24"/>
              </w:rPr>
              <w:t> </w:t>
            </w:r>
            <w:r>
              <w:rPr>
                <w:sz w:val="22"/>
              </w:rPr>
              <w:t>EEM</w:t>
            </w:r>
          </w:p>
        </w:tc>
        <w:tc>
          <w:tcPr>
            <w:tcW w:w="966" w:type="dxa"/>
            <w:tcBorders>
              <w:top w:val="nil"/>
              <w:left w:val="nil"/>
              <w:bottom w:val="nil"/>
              <w:right w:val="nil"/>
            </w:tcBorders>
          </w:tcPr>
          <w:p>
            <w:pPr>
              <w:pStyle w:val="TableParagraph"/>
              <w:spacing w:line="246" w:lineRule="exact"/>
              <w:ind w:left="131"/>
              <w:rPr>
                <w:sz w:val="22"/>
              </w:rPr>
            </w:pPr>
            <w:r>
              <w:rPr>
                <w:sz w:val="22"/>
              </w:rPr>
              <w:t>Valor P</w:t>
            </w:r>
          </w:p>
        </w:tc>
      </w:tr>
      <w:tr>
        <w:trPr>
          <w:trHeight w:val="485" w:hRule="exact"/>
        </w:trPr>
        <w:tc>
          <w:tcPr>
            <w:tcW w:w="3149" w:type="dxa"/>
            <w:tcBorders>
              <w:top w:val="nil"/>
              <w:left w:val="nil"/>
              <w:bottom w:val="nil"/>
              <w:right w:val="nil"/>
            </w:tcBorders>
          </w:tcPr>
          <w:p>
            <w:pPr/>
          </w:p>
        </w:tc>
        <w:tc>
          <w:tcPr>
            <w:tcW w:w="951" w:type="dxa"/>
            <w:tcBorders>
              <w:top w:val="nil"/>
              <w:left w:val="nil"/>
              <w:bottom w:val="nil"/>
              <w:right w:val="nil"/>
            </w:tcBorders>
          </w:tcPr>
          <w:p>
            <w:pPr/>
          </w:p>
        </w:tc>
        <w:tc>
          <w:tcPr>
            <w:tcW w:w="1030" w:type="dxa"/>
            <w:tcBorders>
              <w:top w:val="nil"/>
              <w:left w:val="nil"/>
              <w:right w:val="nil"/>
            </w:tcBorders>
          </w:tcPr>
          <w:p>
            <w:pPr>
              <w:pStyle w:val="TableParagraph"/>
              <w:spacing w:line="235" w:lineRule="exact"/>
              <w:ind w:left="108"/>
              <w:rPr>
                <w:sz w:val="22"/>
              </w:rPr>
            </w:pPr>
            <w:r>
              <w:rPr>
                <w:sz w:val="22"/>
              </w:rPr>
              <w:t>pTMR-0</w:t>
            </w:r>
          </w:p>
        </w:tc>
        <w:tc>
          <w:tcPr>
            <w:tcW w:w="1071" w:type="dxa"/>
            <w:tcBorders>
              <w:top w:val="nil"/>
              <w:left w:val="nil"/>
              <w:right w:val="nil"/>
            </w:tcBorders>
          </w:tcPr>
          <w:p>
            <w:pPr>
              <w:pStyle w:val="TableParagraph"/>
              <w:spacing w:line="235" w:lineRule="exact"/>
              <w:ind w:left="153"/>
              <w:rPr>
                <w:sz w:val="22"/>
              </w:rPr>
            </w:pPr>
            <w:r>
              <w:rPr>
                <w:sz w:val="22"/>
              </w:rPr>
              <w:t>pTMR-3</w:t>
            </w:r>
          </w:p>
        </w:tc>
        <w:tc>
          <w:tcPr>
            <w:tcW w:w="994" w:type="dxa"/>
            <w:tcBorders>
              <w:top w:val="nil"/>
              <w:left w:val="nil"/>
              <w:right w:val="nil"/>
            </w:tcBorders>
          </w:tcPr>
          <w:p>
            <w:pPr>
              <w:pStyle w:val="TableParagraph"/>
              <w:spacing w:line="235" w:lineRule="exact"/>
              <w:ind w:left="148"/>
              <w:rPr>
                <w:sz w:val="22"/>
              </w:rPr>
            </w:pPr>
            <w:r>
              <w:rPr>
                <w:sz w:val="22"/>
              </w:rPr>
              <w:t>pTMR-6</w:t>
            </w:r>
          </w:p>
        </w:tc>
        <w:tc>
          <w:tcPr>
            <w:tcW w:w="896" w:type="dxa"/>
            <w:tcBorders>
              <w:top w:val="nil"/>
              <w:left w:val="nil"/>
              <w:right w:val="nil"/>
            </w:tcBorders>
          </w:tcPr>
          <w:p>
            <w:pPr/>
          </w:p>
        </w:tc>
        <w:tc>
          <w:tcPr>
            <w:tcW w:w="966" w:type="dxa"/>
            <w:tcBorders>
              <w:top w:val="nil"/>
              <w:left w:val="nil"/>
              <w:right w:val="nil"/>
            </w:tcBorders>
          </w:tcPr>
          <w:p>
            <w:pPr/>
          </w:p>
        </w:tc>
      </w:tr>
      <w:tr>
        <w:trPr>
          <w:trHeight w:val="395" w:hRule="exact"/>
        </w:trPr>
        <w:tc>
          <w:tcPr>
            <w:tcW w:w="3149" w:type="dxa"/>
            <w:tcBorders>
              <w:top w:val="nil"/>
              <w:left w:val="nil"/>
              <w:bottom w:val="nil"/>
              <w:right w:val="nil"/>
            </w:tcBorders>
          </w:tcPr>
          <w:p>
            <w:pPr>
              <w:pStyle w:val="TableParagraph"/>
              <w:spacing w:line="275" w:lineRule="exact"/>
              <w:ind w:left="107" w:right="109"/>
              <w:rPr>
                <w:sz w:val="16"/>
              </w:rPr>
            </w:pPr>
            <w:r>
              <w:rPr>
                <w:sz w:val="24"/>
              </w:rPr>
              <w:t>Materia seca (MS), g kg</w:t>
            </w:r>
            <w:r>
              <w:rPr>
                <w:position w:val="9"/>
                <w:sz w:val="16"/>
              </w:rPr>
              <w:t>-1</w:t>
            </w:r>
          </w:p>
        </w:tc>
        <w:tc>
          <w:tcPr>
            <w:tcW w:w="951" w:type="dxa"/>
            <w:tcBorders>
              <w:top w:val="nil"/>
              <w:left w:val="nil"/>
              <w:bottom w:val="nil"/>
              <w:right w:val="nil"/>
            </w:tcBorders>
          </w:tcPr>
          <w:p>
            <w:pPr>
              <w:pStyle w:val="TableParagraph"/>
              <w:spacing w:line="275" w:lineRule="exact"/>
              <w:ind w:left="130"/>
              <w:rPr>
                <w:sz w:val="24"/>
              </w:rPr>
            </w:pPr>
            <w:r>
              <w:rPr>
                <w:sz w:val="24"/>
              </w:rPr>
              <w:t>231.2</w:t>
            </w:r>
          </w:p>
        </w:tc>
        <w:tc>
          <w:tcPr>
            <w:tcW w:w="1030" w:type="dxa"/>
            <w:tcBorders>
              <w:left w:val="nil"/>
              <w:bottom w:val="nil"/>
              <w:right w:val="nil"/>
            </w:tcBorders>
          </w:tcPr>
          <w:p>
            <w:pPr>
              <w:pStyle w:val="TableParagraph"/>
              <w:spacing w:line="270" w:lineRule="exact"/>
              <w:ind w:left="108"/>
              <w:rPr>
                <w:sz w:val="16"/>
              </w:rPr>
            </w:pPr>
            <w:r>
              <w:rPr>
                <w:sz w:val="24"/>
              </w:rPr>
              <w:t>551.3</w:t>
            </w:r>
            <w:r>
              <w:rPr>
                <w:position w:val="9"/>
                <w:sz w:val="16"/>
              </w:rPr>
              <w:t>a</w:t>
            </w:r>
          </w:p>
        </w:tc>
        <w:tc>
          <w:tcPr>
            <w:tcW w:w="1071" w:type="dxa"/>
            <w:tcBorders>
              <w:left w:val="nil"/>
              <w:bottom w:val="nil"/>
              <w:right w:val="nil"/>
            </w:tcBorders>
          </w:tcPr>
          <w:p>
            <w:pPr>
              <w:pStyle w:val="TableParagraph"/>
              <w:spacing w:line="270" w:lineRule="exact"/>
              <w:ind w:left="153"/>
              <w:rPr>
                <w:sz w:val="16"/>
              </w:rPr>
            </w:pPr>
            <w:r>
              <w:rPr>
                <w:sz w:val="24"/>
              </w:rPr>
              <w:t>521.8</w:t>
            </w:r>
            <w:r>
              <w:rPr>
                <w:position w:val="9"/>
                <w:sz w:val="16"/>
              </w:rPr>
              <w:t>ab</w:t>
            </w:r>
          </w:p>
        </w:tc>
        <w:tc>
          <w:tcPr>
            <w:tcW w:w="994" w:type="dxa"/>
            <w:tcBorders>
              <w:left w:val="nil"/>
              <w:bottom w:val="nil"/>
              <w:right w:val="nil"/>
            </w:tcBorders>
          </w:tcPr>
          <w:p>
            <w:pPr>
              <w:pStyle w:val="TableParagraph"/>
              <w:spacing w:line="270" w:lineRule="exact"/>
              <w:ind w:left="148"/>
              <w:rPr>
                <w:sz w:val="16"/>
              </w:rPr>
            </w:pPr>
            <w:r>
              <w:rPr>
                <w:sz w:val="24"/>
              </w:rPr>
              <w:t>497.6</w:t>
            </w:r>
            <w:r>
              <w:rPr>
                <w:position w:val="9"/>
                <w:sz w:val="16"/>
              </w:rPr>
              <w:t>b</w:t>
            </w:r>
          </w:p>
        </w:tc>
        <w:tc>
          <w:tcPr>
            <w:tcW w:w="896" w:type="dxa"/>
            <w:tcBorders>
              <w:left w:val="nil"/>
              <w:bottom w:val="nil"/>
              <w:right w:val="nil"/>
            </w:tcBorders>
          </w:tcPr>
          <w:p>
            <w:pPr>
              <w:pStyle w:val="TableParagraph"/>
              <w:spacing w:line="270" w:lineRule="exact"/>
              <w:ind w:right="129"/>
              <w:jc w:val="right"/>
              <w:rPr>
                <w:sz w:val="24"/>
              </w:rPr>
            </w:pPr>
            <w:r>
              <w:rPr>
                <w:sz w:val="24"/>
              </w:rPr>
              <w:t>9.778</w:t>
            </w:r>
          </w:p>
        </w:tc>
        <w:tc>
          <w:tcPr>
            <w:tcW w:w="966" w:type="dxa"/>
            <w:tcBorders>
              <w:left w:val="nil"/>
              <w:bottom w:val="nil"/>
              <w:right w:val="nil"/>
            </w:tcBorders>
          </w:tcPr>
          <w:p>
            <w:pPr>
              <w:pStyle w:val="TableParagraph"/>
              <w:spacing w:line="270" w:lineRule="exact"/>
              <w:ind w:left="131"/>
              <w:rPr>
                <w:sz w:val="24"/>
              </w:rPr>
            </w:pPr>
            <w:r>
              <w:rPr>
                <w:sz w:val="24"/>
              </w:rPr>
              <w:t>0.023</w:t>
            </w:r>
          </w:p>
        </w:tc>
      </w:tr>
      <w:tr>
        <w:trPr>
          <w:trHeight w:val="518" w:hRule="exact"/>
        </w:trPr>
        <w:tc>
          <w:tcPr>
            <w:tcW w:w="3149" w:type="dxa"/>
            <w:tcBorders>
              <w:top w:val="nil"/>
              <w:left w:val="nil"/>
              <w:bottom w:val="nil"/>
              <w:right w:val="nil"/>
            </w:tcBorders>
          </w:tcPr>
          <w:p>
            <w:pPr>
              <w:pStyle w:val="TableParagraph"/>
              <w:spacing w:before="105"/>
              <w:ind w:left="107" w:right="109"/>
              <w:rPr>
                <w:sz w:val="24"/>
              </w:rPr>
            </w:pPr>
            <w:r>
              <w:rPr>
                <w:sz w:val="24"/>
              </w:rPr>
              <w:t>Materia orgánica, g kg</w:t>
            </w:r>
            <w:r>
              <w:rPr>
                <w:position w:val="9"/>
                <w:sz w:val="16"/>
              </w:rPr>
              <w:t>-1 </w:t>
            </w:r>
            <w:r>
              <w:rPr>
                <w:sz w:val="24"/>
              </w:rPr>
              <w:t>MS</w:t>
            </w:r>
          </w:p>
        </w:tc>
        <w:tc>
          <w:tcPr>
            <w:tcW w:w="951" w:type="dxa"/>
            <w:tcBorders>
              <w:top w:val="nil"/>
              <w:left w:val="nil"/>
              <w:bottom w:val="nil"/>
              <w:right w:val="nil"/>
            </w:tcBorders>
          </w:tcPr>
          <w:p>
            <w:pPr>
              <w:pStyle w:val="TableParagraph"/>
              <w:spacing w:before="121"/>
              <w:ind w:left="130"/>
              <w:rPr>
                <w:sz w:val="24"/>
              </w:rPr>
            </w:pPr>
            <w:r>
              <w:rPr>
                <w:sz w:val="24"/>
              </w:rPr>
              <w:t>883.4</w:t>
            </w:r>
          </w:p>
        </w:tc>
        <w:tc>
          <w:tcPr>
            <w:tcW w:w="1030" w:type="dxa"/>
            <w:tcBorders>
              <w:top w:val="nil"/>
              <w:left w:val="nil"/>
              <w:bottom w:val="nil"/>
              <w:right w:val="nil"/>
            </w:tcBorders>
          </w:tcPr>
          <w:p>
            <w:pPr>
              <w:pStyle w:val="TableParagraph"/>
              <w:spacing w:before="121"/>
              <w:ind w:left="108"/>
              <w:rPr>
                <w:sz w:val="24"/>
              </w:rPr>
            </w:pPr>
            <w:r>
              <w:rPr>
                <w:sz w:val="24"/>
              </w:rPr>
              <w:t>934.0</w:t>
            </w:r>
          </w:p>
        </w:tc>
        <w:tc>
          <w:tcPr>
            <w:tcW w:w="1071" w:type="dxa"/>
            <w:tcBorders>
              <w:top w:val="nil"/>
              <w:left w:val="nil"/>
              <w:bottom w:val="nil"/>
              <w:right w:val="nil"/>
            </w:tcBorders>
          </w:tcPr>
          <w:p>
            <w:pPr>
              <w:pStyle w:val="TableParagraph"/>
              <w:spacing w:before="121"/>
              <w:ind w:left="153"/>
              <w:rPr>
                <w:sz w:val="24"/>
              </w:rPr>
            </w:pPr>
            <w:r>
              <w:rPr>
                <w:sz w:val="24"/>
              </w:rPr>
              <w:t>932.0</w:t>
            </w:r>
          </w:p>
        </w:tc>
        <w:tc>
          <w:tcPr>
            <w:tcW w:w="994" w:type="dxa"/>
            <w:tcBorders>
              <w:top w:val="nil"/>
              <w:left w:val="nil"/>
              <w:bottom w:val="nil"/>
              <w:right w:val="nil"/>
            </w:tcBorders>
          </w:tcPr>
          <w:p>
            <w:pPr>
              <w:pStyle w:val="TableParagraph"/>
              <w:spacing w:before="121"/>
              <w:ind w:left="148"/>
              <w:rPr>
                <w:sz w:val="24"/>
              </w:rPr>
            </w:pPr>
            <w:r>
              <w:rPr>
                <w:sz w:val="24"/>
              </w:rPr>
              <w:t>940.2</w:t>
            </w:r>
          </w:p>
        </w:tc>
        <w:tc>
          <w:tcPr>
            <w:tcW w:w="896" w:type="dxa"/>
            <w:tcBorders>
              <w:top w:val="nil"/>
              <w:left w:val="nil"/>
              <w:bottom w:val="nil"/>
              <w:right w:val="nil"/>
            </w:tcBorders>
          </w:tcPr>
          <w:p>
            <w:pPr>
              <w:pStyle w:val="TableParagraph"/>
              <w:spacing w:before="121"/>
              <w:ind w:right="129"/>
              <w:jc w:val="right"/>
              <w:rPr>
                <w:sz w:val="24"/>
              </w:rPr>
            </w:pPr>
            <w:r>
              <w:rPr>
                <w:sz w:val="24"/>
              </w:rPr>
              <w:t>0.935</w:t>
            </w:r>
          </w:p>
        </w:tc>
        <w:tc>
          <w:tcPr>
            <w:tcW w:w="966" w:type="dxa"/>
            <w:tcBorders>
              <w:top w:val="nil"/>
              <w:left w:val="nil"/>
              <w:bottom w:val="nil"/>
              <w:right w:val="nil"/>
            </w:tcBorders>
          </w:tcPr>
          <w:p>
            <w:pPr>
              <w:pStyle w:val="TableParagraph"/>
              <w:spacing w:before="121"/>
              <w:ind w:left="131"/>
              <w:rPr>
                <w:sz w:val="24"/>
              </w:rPr>
            </w:pPr>
            <w:r>
              <w:rPr>
                <w:sz w:val="24"/>
              </w:rPr>
              <w:t>0.162</w:t>
            </w:r>
          </w:p>
        </w:tc>
      </w:tr>
      <w:tr>
        <w:trPr>
          <w:trHeight w:val="517" w:hRule="exact"/>
        </w:trPr>
        <w:tc>
          <w:tcPr>
            <w:tcW w:w="3149" w:type="dxa"/>
            <w:tcBorders>
              <w:top w:val="nil"/>
              <w:left w:val="nil"/>
              <w:bottom w:val="nil"/>
              <w:right w:val="nil"/>
            </w:tcBorders>
          </w:tcPr>
          <w:p>
            <w:pPr>
              <w:pStyle w:val="TableParagraph"/>
              <w:spacing w:before="106"/>
              <w:ind w:left="107" w:right="109"/>
              <w:rPr>
                <w:sz w:val="24"/>
              </w:rPr>
            </w:pPr>
            <w:r>
              <w:rPr>
                <w:sz w:val="24"/>
              </w:rPr>
              <w:t>Proteína cruda, g kg</w:t>
            </w:r>
            <w:r>
              <w:rPr>
                <w:position w:val="9"/>
                <w:sz w:val="16"/>
              </w:rPr>
              <w:t>-1 </w:t>
            </w:r>
            <w:r>
              <w:rPr>
                <w:sz w:val="24"/>
              </w:rPr>
              <w:t>MS</w:t>
            </w:r>
          </w:p>
        </w:tc>
        <w:tc>
          <w:tcPr>
            <w:tcW w:w="951" w:type="dxa"/>
            <w:tcBorders>
              <w:top w:val="nil"/>
              <w:left w:val="nil"/>
              <w:bottom w:val="nil"/>
              <w:right w:val="nil"/>
            </w:tcBorders>
          </w:tcPr>
          <w:p>
            <w:pPr>
              <w:pStyle w:val="TableParagraph"/>
              <w:spacing w:before="122"/>
              <w:ind w:left="130"/>
              <w:rPr>
                <w:sz w:val="24"/>
              </w:rPr>
            </w:pPr>
            <w:r>
              <w:rPr>
                <w:sz w:val="24"/>
              </w:rPr>
              <w:t>173.6</w:t>
            </w:r>
          </w:p>
        </w:tc>
        <w:tc>
          <w:tcPr>
            <w:tcW w:w="1030" w:type="dxa"/>
            <w:tcBorders>
              <w:top w:val="nil"/>
              <w:left w:val="nil"/>
              <w:bottom w:val="nil"/>
              <w:right w:val="nil"/>
            </w:tcBorders>
          </w:tcPr>
          <w:p>
            <w:pPr>
              <w:pStyle w:val="TableParagraph"/>
              <w:spacing w:before="122"/>
              <w:ind w:left="108"/>
              <w:rPr>
                <w:sz w:val="24"/>
              </w:rPr>
            </w:pPr>
            <w:r>
              <w:rPr>
                <w:sz w:val="24"/>
              </w:rPr>
              <w:t>139.0</w:t>
            </w:r>
          </w:p>
        </w:tc>
        <w:tc>
          <w:tcPr>
            <w:tcW w:w="1071" w:type="dxa"/>
            <w:tcBorders>
              <w:top w:val="nil"/>
              <w:left w:val="nil"/>
              <w:bottom w:val="nil"/>
              <w:right w:val="nil"/>
            </w:tcBorders>
          </w:tcPr>
          <w:p>
            <w:pPr>
              <w:pStyle w:val="TableParagraph"/>
              <w:spacing w:before="122"/>
              <w:ind w:left="153"/>
              <w:rPr>
                <w:sz w:val="24"/>
              </w:rPr>
            </w:pPr>
            <w:r>
              <w:rPr>
                <w:sz w:val="24"/>
              </w:rPr>
              <w:t>150.1</w:t>
            </w:r>
          </w:p>
        </w:tc>
        <w:tc>
          <w:tcPr>
            <w:tcW w:w="994" w:type="dxa"/>
            <w:tcBorders>
              <w:top w:val="nil"/>
              <w:left w:val="nil"/>
              <w:bottom w:val="nil"/>
              <w:right w:val="nil"/>
            </w:tcBorders>
          </w:tcPr>
          <w:p>
            <w:pPr>
              <w:pStyle w:val="TableParagraph"/>
              <w:spacing w:before="122"/>
              <w:ind w:left="148"/>
              <w:rPr>
                <w:sz w:val="24"/>
              </w:rPr>
            </w:pPr>
            <w:r>
              <w:rPr>
                <w:sz w:val="24"/>
              </w:rPr>
              <w:t>149.1</w:t>
            </w:r>
          </w:p>
        </w:tc>
        <w:tc>
          <w:tcPr>
            <w:tcW w:w="896" w:type="dxa"/>
            <w:tcBorders>
              <w:top w:val="nil"/>
              <w:left w:val="nil"/>
              <w:bottom w:val="nil"/>
              <w:right w:val="nil"/>
            </w:tcBorders>
          </w:tcPr>
          <w:p>
            <w:pPr>
              <w:pStyle w:val="TableParagraph"/>
              <w:spacing w:before="122"/>
              <w:ind w:right="129"/>
              <w:jc w:val="right"/>
              <w:rPr>
                <w:sz w:val="24"/>
              </w:rPr>
            </w:pPr>
            <w:r>
              <w:rPr>
                <w:sz w:val="24"/>
              </w:rPr>
              <w:t>2.984</w:t>
            </w:r>
          </w:p>
        </w:tc>
        <w:tc>
          <w:tcPr>
            <w:tcW w:w="966" w:type="dxa"/>
            <w:tcBorders>
              <w:top w:val="nil"/>
              <w:left w:val="nil"/>
              <w:bottom w:val="nil"/>
              <w:right w:val="nil"/>
            </w:tcBorders>
          </w:tcPr>
          <w:p>
            <w:pPr>
              <w:pStyle w:val="TableParagraph"/>
              <w:spacing w:before="122"/>
              <w:ind w:left="131"/>
              <w:rPr>
                <w:sz w:val="24"/>
              </w:rPr>
            </w:pPr>
            <w:r>
              <w:rPr>
                <w:sz w:val="24"/>
              </w:rPr>
              <w:t>0.072</w:t>
            </w:r>
          </w:p>
        </w:tc>
      </w:tr>
      <w:tr>
        <w:trPr>
          <w:trHeight w:val="517" w:hRule="exact"/>
        </w:trPr>
        <w:tc>
          <w:tcPr>
            <w:tcW w:w="3149" w:type="dxa"/>
            <w:tcBorders>
              <w:top w:val="nil"/>
              <w:left w:val="nil"/>
              <w:bottom w:val="nil"/>
              <w:right w:val="nil"/>
            </w:tcBorders>
          </w:tcPr>
          <w:p>
            <w:pPr>
              <w:pStyle w:val="TableParagraph"/>
              <w:spacing w:before="105"/>
              <w:ind w:left="107" w:right="109"/>
              <w:rPr>
                <w:sz w:val="24"/>
              </w:rPr>
            </w:pPr>
            <w:r>
              <w:rPr>
                <w:sz w:val="24"/>
              </w:rPr>
              <w:t>Extracto etéreo, g kg</w:t>
            </w:r>
            <w:r>
              <w:rPr>
                <w:position w:val="9"/>
                <w:sz w:val="16"/>
              </w:rPr>
              <w:t>-1 </w:t>
            </w:r>
            <w:r>
              <w:rPr>
                <w:sz w:val="24"/>
              </w:rPr>
              <w:t>MS</w:t>
            </w:r>
          </w:p>
        </w:tc>
        <w:tc>
          <w:tcPr>
            <w:tcW w:w="951" w:type="dxa"/>
            <w:tcBorders>
              <w:top w:val="nil"/>
              <w:left w:val="nil"/>
              <w:bottom w:val="nil"/>
              <w:right w:val="nil"/>
            </w:tcBorders>
          </w:tcPr>
          <w:p>
            <w:pPr>
              <w:pStyle w:val="TableParagraph"/>
              <w:spacing w:before="120"/>
              <w:ind w:left="130"/>
              <w:rPr>
                <w:sz w:val="24"/>
              </w:rPr>
            </w:pPr>
            <w:r>
              <w:rPr>
                <w:sz w:val="24"/>
              </w:rPr>
              <w:t>30.1</w:t>
            </w:r>
          </w:p>
        </w:tc>
        <w:tc>
          <w:tcPr>
            <w:tcW w:w="1030" w:type="dxa"/>
            <w:tcBorders>
              <w:top w:val="nil"/>
              <w:left w:val="nil"/>
              <w:bottom w:val="nil"/>
              <w:right w:val="nil"/>
            </w:tcBorders>
          </w:tcPr>
          <w:p>
            <w:pPr>
              <w:pStyle w:val="TableParagraph"/>
              <w:spacing w:before="105"/>
              <w:ind w:left="108"/>
              <w:rPr>
                <w:sz w:val="16"/>
              </w:rPr>
            </w:pPr>
            <w:r>
              <w:rPr>
                <w:sz w:val="24"/>
              </w:rPr>
              <w:t>39.5</w:t>
            </w:r>
            <w:r>
              <w:rPr>
                <w:position w:val="9"/>
                <w:sz w:val="16"/>
              </w:rPr>
              <w:t>c</w:t>
            </w:r>
          </w:p>
        </w:tc>
        <w:tc>
          <w:tcPr>
            <w:tcW w:w="1071" w:type="dxa"/>
            <w:tcBorders>
              <w:top w:val="nil"/>
              <w:left w:val="nil"/>
              <w:bottom w:val="nil"/>
              <w:right w:val="nil"/>
            </w:tcBorders>
          </w:tcPr>
          <w:p>
            <w:pPr>
              <w:pStyle w:val="TableParagraph"/>
              <w:spacing w:before="105"/>
              <w:ind w:left="153"/>
              <w:rPr>
                <w:sz w:val="16"/>
              </w:rPr>
            </w:pPr>
            <w:r>
              <w:rPr>
                <w:sz w:val="24"/>
              </w:rPr>
              <w:t>60.0</w:t>
            </w:r>
            <w:r>
              <w:rPr>
                <w:position w:val="9"/>
                <w:sz w:val="16"/>
              </w:rPr>
              <w:t>b</w:t>
            </w:r>
          </w:p>
        </w:tc>
        <w:tc>
          <w:tcPr>
            <w:tcW w:w="994" w:type="dxa"/>
            <w:tcBorders>
              <w:top w:val="nil"/>
              <w:left w:val="nil"/>
              <w:bottom w:val="nil"/>
              <w:right w:val="nil"/>
            </w:tcBorders>
          </w:tcPr>
          <w:p>
            <w:pPr>
              <w:pStyle w:val="TableParagraph"/>
              <w:spacing w:before="105"/>
              <w:ind w:left="148"/>
              <w:rPr>
                <w:sz w:val="16"/>
              </w:rPr>
            </w:pPr>
            <w:r>
              <w:rPr>
                <w:sz w:val="24"/>
              </w:rPr>
              <w:t>83.9</w:t>
            </w:r>
            <w:r>
              <w:rPr>
                <w:position w:val="9"/>
                <w:sz w:val="16"/>
              </w:rPr>
              <w:t>a</w:t>
            </w:r>
          </w:p>
        </w:tc>
        <w:tc>
          <w:tcPr>
            <w:tcW w:w="896" w:type="dxa"/>
            <w:tcBorders>
              <w:top w:val="nil"/>
              <w:left w:val="nil"/>
              <w:bottom w:val="nil"/>
              <w:right w:val="nil"/>
            </w:tcBorders>
          </w:tcPr>
          <w:p>
            <w:pPr>
              <w:pStyle w:val="TableParagraph"/>
              <w:spacing w:before="120"/>
              <w:ind w:right="129"/>
              <w:jc w:val="right"/>
              <w:rPr>
                <w:sz w:val="24"/>
              </w:rPr>
            </w:pPr>
            <w:r>
              <w:rPr>
                <w:sz w:val="24"/>
              </w:rPr>
              <w:t>4.563</w:t>
            </w:r>
          </w:p>
        </w:tc>
        <w:tc>
          <w:tcPr>
            <w:tcW w:w="966" w:type="dxa"/>
            <w:tcBorders>
              <w:top w:val="nil"/>
              <w:left w:val="nil"/>
              <w:bottom w:val="nil"/>
              <w:right w:val="nil"/>
            </w:tcBorders>
          </w:tcPr>
          <w:p>
            <w:pPr>
              <w:pStyle w:val="TableParagraph"/>
              <w:spacing w:before="120"/>
              <w:ind w:left="131"/>
              <w:rPr>
                <w:sz w:val="24"/>
              </w:rPr>
            </w:pPr>
            <w:r>
              <w:rPr>
                <w:sz w:val="24"/>
              </w:rPr>
              <w:t>0.001</w:t>
            </w:r>
          </w:p>
        </w:tc>
      </w:tr>
      <w:tr>
        <w:trPr>
          <w:trHeight w:val="835" w:hRule="exact"/>
        </w:trPr>
        <w:tc>
          <w:tcPr>
            <w:tcW w:w="3149" w:type="dxa"/>
            <w:tcBorders>
              <w:top w:val="nil"/>
              <w:left w:val="nil"/>
              <w:bottom w:val="nil"/>
              <w:right w:val="nil"/>
            </w:tcBorders>
          </w:tcPr>
          <w:p>
            <w:pPr>
              <w:pStyle w:val="TableParagraph"/>
              <w:spacing w:line="276" w:lineRule="auto" w:before="106"/>
              <w:ind w:left="107" w:right="109"/>
              <w:rPr>
                <w:sz w:val="24"/>
              </w:rPr>
            </w:pPr>
            <w:r>
              <w:rPr>
                <w:sz w:val="24"/>
              </w:rPr>
              <w:t>Fibra neutro detergente, g kg</w:t>
            </w:r>
            <w:r>
              <w:rPr>
                <w:position w:val="9"/>
                <w:sz w:val="16"/>
              </w:rPr>
              <w:t>-1 </w:t>
            </w:r>
            <w:r>
              <w:rPr>
                <w:sz w:val="24"/>
              </w:rPr>
              <w:t>MS</w:t>
            </w:r>
          </w:p>
        </w:tc>
        <w:tc>
          <w:tcPr>
            <w:tcW w:w="951" w:type="dxa"/>
            <w:tcBorders>
              <w:top w:val="nil"/>
              <w:left w:val="nil"/>
              <w:bottom w:val="nil"/>
              <w:right w:val="nil"/>
            </w:tcBorders>
          </w:tcPr>
          <w:p>
            <w:pPr>
              <w:pStyle w:val="TableParagraph"/>
              <w:spacing w:before="122"/>
              <w:ind w:left="130"/>
              <w:rPr>
                <w:sz w:val="24"/>
              </w:rPr>
            </w:pPr>
            <w:r>
              <w:rPr>
                <w:sz w:val="24"/>
              </w:rPr>
              <w:t>481.3</w:t>
            </w:r>
          </w:p>
        </w:tc>
        <w:tc>
          <w:tcPr>
            <w:tcW w:w="1030" w:type="dxa"/>
            <w:tcBorders>
              <w:top w:val="nil"/>
              <w:left w:val="nil"/>
              <w:bottom w:val="nil"/>
              <w:right w:val="nil"/>
            </w:tcBorders>
          </w:tcPr>
          <w:p>
            <w:pPr>
              <w:pStyle w:val="TableParagraph"/>
              <w:spacing w:before="122"/>
              <w:ind w:left="108"/>
              <w:rPr>
                <w:sz w:val="24"/>
              </w:rPr>
            </w:pPr>
            <w:r>
              <w:rPr>
                <w:sz w:val="24"/>
              </w:rPr>
              <w:t>378.3</w:t>
            </w:r>
          </w:p>
        </w:tc>
        <w:tc>
          <w:tcPr>
            <w:tcW w:w="1071" w:type="dxa"/>
            <w:tcBorders>
              <w:top w:val="nil"/>
              <w:left w:val="nil"/>
              <w:bottom w:val="nil"/>
              <w:right w:val="nil"/>
            </w:tcBorders>
          </w:tcPr>
          <w:p>
            <w:pPr>
              <w:pStyle w:val="TableParagraph"/>
              <w:spacing w:before="122"/>
              <w:ind w:left="153"/>
              <w:rPr>
                <w:sz w:val="24"/>
              </w:rPr>
            </w:pPr>
            <w:r>
              <w:rPr>
                <w:sz w:val="24"/>
              </w:rPr>
              <w:t>358.2</w:t>
            </w:r>
          </w:p>
        </w:tc>
        <w:tc>
          <w:tcPr>
            <w:tcW w:w="994" w:type="dxa"/>
            <w:tcBorders>
              <w:top w:val="nil"/>
              <w:left w:val="nil"/>
              <w:bottom w:val="nil"/>
              <w:right w:val="nil"/>
            </w:tcBorders>
          </w:tcPr>
          <w:p>
            <w:pPr>
              <w:pStyle w:val="TableParagraph"/>
              <w:spacing w:before="122"/>
              <w:ind w:left="148"/>
              <w:rPr>
                <w:sz w:val="24"/>
              </w:rPr>
            </w:pPr>
            <w:r>
              <w:rPr>
                <w:sz w:val="24"/>
              </w:rPr>
              <w:t>365.6</w:t>
            </w:r>
          </w:p>
        </w:tc>
        <w:tc>
          <w:tcPr>
            <w:tcW w:w="896" w:type="dxa"/>
            <w:tcBorders>
              <w:top w:val="nil"/>
              <w:left w:val="nil"/>
              <w:bottom w:val="nil"/>
              <w:right w:val="nil"/>
            </w:tcBorders>
          </w:tcPr>
          <w:p>
            <w:pPr>
              <w:pStyle w:val="TableParagraph"/>
              <w:spacing w:before="122"/>
              <w:ind w:right="129"/>
              <w:jc w:val="right"/>
              <w:rPr>
                <w:sz w:val="24"/>
              </w:rPr>
            </w:pPr>
            <w:r>
              <w:rPr>
                <w:sz w:val="24"/>
              </w:rPr>
              <w:t>17.13</w:t>
            </w:r>
          </w:p>
        </w:tc>
        <w:tc>
          <w:tcPr>
            <w:tcW w:w="966" w:type="dxa"/>
            <w:tcBorders>
              <w:top w:val="nil"/>
              <w:left w:val="nil"/>
              <w:bottom w:val="nil"/>
              <w:right w:val="nil"/>
            </w:tcBorders>
          </w:tcPr>
          <w:p>
            <w:pPr>
              <w:pStyle w:val="TableParagraph"/>
              <w:spacing w:before="122"/>
              <w:ind w:left="131"/>
              <w:rPr>
                <w:sz w:val="24"/>
              </w:rPr>
            </w:pPr>
            <w:r>
              <w:rPr>
                <w:sz w:val="24"/>
              </w:rPr>
              <w:t>0.715</w:t>
            </w:r>
          </w:p>
        </w:tc>
      </w:tr>
      <w:tr>
        <w:trPr>
          <w:trHeight w:val="849" w:hRule="exact"/>
        </w:trPr>
        <w:tc>
          <w:tcPr>
            <w:tcW w:w="3149" w:type="dxa"/>
            <w:tcBorders>
              <w:top w:val="nil"/>
              <w:left w:val="nil"/>
              <w:bottom w:val="nil"/>
              <w:right w:val="nil"/>
            </w:tcBorders>
          </w:tcPr>
          <w:p>
            <w:pPr>
              <w:pStyle w:val="TableParagraph"/>
              <w:spacing w:line="276" w:lineRule="auto" w:before="106"/>
              <w:ind w:left="107" w:right="202"/>
              <w:rPr>
                <w:sz w:val="24"/>
              </w:rPr>
            </w:pPr>
            <w:r>
              <w:rPr>
                <w:sz w:val="24"/>
              </w:rPr>
              <w:t>Fibra ácido detergente, g kg</w:t>
            </w:r>
            <w:r>
              <w:rPr>
                <w:position w:val="9"/>
                <w:sz w:val="16"/>
              </w:rPr>
              <w:t>-1 </w:t>
            </w:r>
            <w:r>
              <w:rPr>
                <w:sz w:val="24"/>
              </w:rPr>
              <w:t>MS</w:t>
            </w:r>
          </w:p>
        </w:tc>
        <w:tc>
          <w:tcPr>
            <w:tcW w:w="951" w:type="dxa"/>
            <w:tcBorders>
              <w:top w:val="nil"/>
              <w:left w:val="nil"/>
              <w:bottom w:val="nil"/>
              <w:right w:val="nil"/>
            </w:tcBorders>
          </w:tcPr>
          <w:p>
            <w:pPr>
              <w:pStyle w:val="TableParagraph"/>
              <w:spacing w:before="122"/>
              <w:ind w:left="130"/>
              <w:rPr>
                <w:sz w:val="24"/>
              </w:rPr>
            </w:pPr>
            <w:r>
              <w:rPr>
                <w:sz w:val="24"/>
              </w:rPr>
              <w:t>254.1</w:t>
            </w:r>
          </w:p>
        </w:tc>
        <w:tc>
          <w:tcPr>
            <w:tcW w:w="1030" w:type="dxa"/>
            <w:tcBorders>
              <w:top w:val="nil"/>
              <w:left w:val="nil"/>
              <w:bottom w:val="nil"/>
              <w:right w:val="nil"/>
            </w:tcBorders>
          </w:tcPr>
          <w:p>
            <w:pPr>
              <w:pStyle w:val="TableParagraph"/>
              <w:spacing w:before="122"/>
              <w:ind w:left="108"/>
              <w:rPr>
                <w:sz w:val="24"/>
              </w:rPr>
            </w:pPr>
            <w:r>
              <w:rPr>
                <w:sz w:val="24"/>
              </w:rPr>
              <w:t>219.4</w:t>
            </w:r>
          </w:p>
        </w:tc>
        <w:tc>
          <w:tcPr>
            <w:tcW w:w="1071" w:type="dxa"/>
            <w:tcBorders>
              <w:top w:val="nil"/>
              <w:left w:val="nil"/>
              <w:bottom w:val="nil"/>
              <w:right w:val="nil"/>
            </w:tcBorders>
          </w:tcPr>
          <w:p>
            <w:pPr>
              <w:pStyle w:val="TableParagraph"/>
              <w:spacing w:before="122"/>
              <w:ind w:left="153"/>
              <w:rPr>
                <w:sz w:val="24"/>
              </w:rPr>
            </w:pPr>
            <w:r>
              <w:rPr>
                <w:sz w:val="24"/>
              </w:rPr>
              <w:t>207.4</w:t>
            </w:r>
          </w:p>
        </w:tc>
        <w:tc>
          <w:tcPr>
            <w:tcW w:w="994" w:type="dxa"/>
            <w:tcBorders>
              <w:top w:val="nil"/>
              <w:left w:val="nil"/>
              <w:bottom w:val="nil"/>
              <w:right w:val="nil"/>
            </w:tcBorders>
          </w:tcPr>
          <w:p>
            <w:pPr>
              <w:pStyle w:val="TableParagraph"/>
              <w:spacing w:before="122"/>
              <w:ind w:left="148"/>
              <w:rPr>
                <w:sz w:val="24"/>
              </w:rPr>
            </w:pPr>
            <w:r>
              <w:rPr>
                <w:sz w:val="24"/>
              </w:rPr>
              <w:t>210.2</w:t>
            </w:r>
          </w:p>
        </w:tc>
        <w:tc>
          <w:tcPr>
            <w:tcW w:w="896" w:type="dxa"/>
            <w:tcBorders>
              <w:top w:val="nil"/>
              <w:left w:val="nil"/>
              <w:bottom w:val="nil"/>
              <w:right w:val="nil"/>
            </w:tcBorders>
          </w:tcPr>
          <w:p>
            <w:pPr>
              <w:pStyle w:val="TableParagraph"/>
              <w:spacing w:before="122"/>
              <w:ind w:right="129"/>
              <w:jc w:val="right"/>
              <w:rPr>
                <w:sz w:val="24"/>
              </w:rPr>
            </w:pPr>
            <w:r>
              <w:rPr>
                <w:sz w:val="24"/>
              </w:rPr>
              <w:t>12.04</w:t>
            </w:r>
          </w:p>
        </w:tc>
        <w:tc>
          <w:tcPr>
            <w:tcW w:w="966" w:type="dxa"/>
            <w:tcBorders>
              <w:top w:val="nil"/>
              <w:left w:val="nil"/>
              <w:bottom w:val="nil"/>
              <w:right w:val="nil"/>
            </w:tcBorders>
          </w:tcPr>
          <w:p>
            <w:pPr>
              <w:pStyle w:val="TableParagraph"/>
              <w:spacing w:before="122"/>
              <w:ind w:left="131"/>
              <w:rPr>
                <w:sz w:val="24"/>
              </w:rPr>
            </w:pPr>
            <w:r>
              <w:rPr>
                <w:sz w:val="24"/>
              </w:rPr>
              <w:t>0.769</w:t>
            </w:r>
          </w:p>
        </w:tc>
      </w:tr>
      <w:tr>
        <w:trPr>
          <w:trHeight w:val="834" w:hRule="exact"/>
        </w:trPr>
        <w:tc>
          <w:tcPr>
            <w:tcW w:w="3149" w:type="dxa"/>
            <w:tcBorders>
              <w:top w:val="nil"/>
              <w:left w:val="nil"/>
              <w:bottom w:val="nil"/>
              <w:right w:val="nil"/>
            </w:tcBorders>
          </w:tcPr>
          <w:p>
            <w:pPr>
              <w:pStyle w:val="TableParagraph"/>
              <w:spacing w:line="261" w:lineRule="auto" w:before="108"/>
              <w:ind w:left="107" w:right="414"/>
              <w:rPr>
                <w:sz w:val="24"/>
              </w:rPr>
            </w:pPr>
            <w:r>
              <w:rPr>
                <w:sz w:val="24"/>
              </w:rPr>
              <w:t>Lignina ácido detergente, g kg</w:t>
            </w:r>
            <w:r>
              <w:rPr>
                <w:position w:val="9"/>
                <w:sz w:val="16"/>
              </w:rPr>
              <w:t>-1 </w:t>
            </w:r>
            <w:r>
              <w:rPr>
                <w:sz w:val="24"/>
              </w:rPr>
              <w:t>MS</w:t>
            </w:r>
          </w:p>
        </w:tc>
        <w:tc>
          <w:tcPr>
            <w:tcW w:w="951" w:type="dxa"/>
            <w:tcBorders>
              <w:top w:val="nil"/>
              <w:left w:val="nil"/>
              <w:bottom w:val="nil"/>
              <w:right w:val="nil"/>
            </w:tcBorders>
          </w:tcPr>
          <w:p>
            <w:pPr>
              <w:pStyle w:val="TableParagraph"/>
              <w:spacing w:before="108"/>
              <w:ind w:left="130"/>
              <w:rPr>
                <w:sz w:val="24"/>
              </w:rPr>
            </w:pPr>
            <w:r>
              <w:rPr>
                <w:sz w:val="24"/>
              </w:rPr>
              <w:t>25.1</w:t>
            </w:r>
          </w:p>
        </w:tc>
        <w:tc>
          <w:tcPr>
            <w:tcW w:w="1030" w:type="dxa"/>
            <w:tcBorders>
              <w:top w:val="nil"/>
              <w:left w:val="nil"/>
              <w:bottom w:val="nil"/>
              <w:right w:val="nil"/>
            </w:tcBorders>
          </w:tcPr>
          <w:p>
            <w:pPr>
              <w:pStyle w:val="TableParagraph"/>
              <w:spacing w:before="108"/>
              <w:ind w:left="108"/>
              <w:rPr>
                <w:sz w:val="24"/>
              </w:rPr>
            </w:pPr>
            <w:r>
              <w:rPr>
                <w:sz w:val="24"/>
              </w:rPr>
              <w:t>28.2</w:t>
            </w:r>
          </w:p>
        </w:tc>
        <w:tc>
          <w:tcPr>
            <w:tcW w:w="1071" w:type="dxa"/>
            <w:tcBorders>
              <w:top w:val="nil"/>
              <w:left w:val="nil"/>
              <w:bottom w:val="nil"/>
              <w:right w:val="nil"/>
            </w:tcBorders>
          </w:tcPr>
          <w:p>
            <w:pPr>
              <w:pStyle w:val="TableParagraph"/>
              <w:spacing w:before="108"/>
              <w:ind w:left="153"/>
              <w:rPr>
                <w:sz w:val="24"/>
              </w:rPr>
            </w:pPr>
            <w:r>
              <w:rPr>
                <w:sz w:val="24"/>
              </w:rPr>
              <w:t>30.3</w:t>
            </w:r>
          </w:p>
        </w:tc>
        <w:tc>
          <w:tcPr>
            <w:tcW w:w="994" w:type="dxa"/>
            <w:tcBorders>
              <w:top w:val="nil"/>
              <w:left w:val="nil"/>
              <w:bottom w:val="nil"/>
              <w:right w:val="nil"/>
            </w:tcBorders>
          </w:tcPr>
          <w:p>
            <w:pPr>
              <w:pStyle w:val="TableParagraph"/>
              <w:spacing w:before="108"/>
              <w:ind w:left="148"/>
              <w:rPr>
                <w:sz w:val="24"/>
              </w:rPr>
            </w:pPr>
            <w:r>
              <w:rPr>
                <w:sz w:val="24"/>
              </w:rPr>
              <w:t>31.0</w:t>
            </w:r>
          </w:p>
        </w:tc>
        <w:tc>
          <w:tcPr>
            <w:tcW w:w="896" w:type="dxa"/>
            <w:tcBorders>
              <w:top w:val="nil"/>
              <w:left w:val="nil"/>
              <w:bottom w:val="nil"/>
              <w:right w:val="nil"/>
            </w:tcBorders>
          </w:tcPr>
          <w:p>
            <w:pPr>
              <w:pStyle w:val="TableParagraph"/>
              <w:spacing w:before="108"/>
              <w:ind w:right="129"/>
              <w:jc w:val="right"/>
              <w:rPr>
                <w:sz w:val="24"/>
              </w:rPr>
            </w:pPr>
            <w:r>
              <w:rPr>
                <w:sz w:val="24"/>
              </w:rPr>
              <w:t>3.127</w:t>
            </w:r>
          </w:p>
        </w:tc>
        <w:tc>
          <w:tcPr>
            <w:tcW w:w="966" w:type="dxa"/>
            <w:tcBorders>
              <w:top w:val="nil"/>
              <w:left w:val="nil"/>
              <w:bottom w:val="nil"/>
              <w:right w:val="nil"/>
            </w:tcBorders>
          </w:tcPr>
          <w:p>
            <w:pPr>
              <w:pStyle w:val="TableParagraph"/>
              <w:spacing w:before="108"/>
              <w:ind w:left="131"/>
              <w:rPr>
                <w:sz w:val="24"/>
              </w:rPr>
            </w:pPr>
            <w:r>
              <w:rPr>
                <w:sz w:val="24"/>
              </w:rPr>
              <w:t>0.817</w:t>
            </w:r>
          </w:p>
        </w:tc>
      </w:tr>
      <w:tr>
        <w:trPr>
          <w:trHeight w:val="821" w:hRule="exact"/>
        </w:trPr>
        <w:tc>
          <w:tcPr>
            <w:tcW w:w="3149" w:type="dxa"/>
            <w:tcBorders>
              <w:top w:val="nil"/>
              <w:left w:val="nil"/>
              <w:bottom w:val="nil"/>
              <w:right w:val="nil"/>
            </w:tcBorders>
          </w:tcPr>
          <w:p>
            <w:pPr>
              <w:pStyle w:val="TableParagraph"/>
              <w:spacing w:line="264" w:lineRule="auto" w:before="107"/>
              <w:ind w:left="107" w:right="603"/>
              <w:rPr>
                <w:sz w:val="16"/>
              </w:rPr>
            </w:pPr>
            <w:r>
              <w:rPr>
                <w:sz w:val="24"/>
              </w:rPr>
              <w:t>Energía neta de lactación (ENL), Mcal kg</w:t>
            </w:r>
            <w:r>
              <w:rPr>
                <w:position w:val="9"/>
                <w:sz w:val="16"/>
              </w:rPr>
              <w:t>-1 </w:t>
            </w:r>
            <w:r>
              <w:rPr>
                <w:sz w:val="24"/>
              </w:rPr>
              <w:t>MS </w:t>
            </w:r>
            <w:r>
              <w:rPr>
                <w:position w:val="9"/>
                <w:sz w:val="16"/>
              </w:rPr>
              <w:t>¶</w:t>
            </w:r>
          </w:p>
        </w:tc>
        <w:tc>
          <w:tcPr>
            <w:tcW w:w="951" w:type="dxa"/>
            <w:tcBorders>
              <w:top w:val="nil"/>
              <w:left w:val="nil"/>
              <w:bottom w:val="nil"/>
              <w:right w:val="nil"/>
            </w:tcBorders>
          </w:tcPr>
          <w:p>
            <w:pPr>
              <w:pStyle w:val="TableParagraph"/>
              <w:spacing w:before="107"/>
              <w:ind w:left="130"/>
              <w:rPr>
                <w:sz w:val="24"/>
              </w:rPr>
            </w:pPr>
            <w:r>
              <w:rPr>
                <w:sz w:val="24"/>
              </w:rPr>
              <w:t>1.58</w:t>
            </w:r>
          </w:p>
        </w:tc>
        <w:tc>
          <w:tcPr>
            <w:tcW w:w="1030" w:type="dxa"/>
            <w:tcBorders>
              <w:top w:val="nil"/>
              <w:left w:val="nil"/>
              <w:bottom w:val="nil"/>
              <w:right w:val="nil"/>
            </w:tcBorders>
          </w:tcPr>
          <w:p>
            <w:pPr>
              <w:pStyle w:val="TableParagraph"/>
              <w:spacing w:before="107"/>
              <w:ind w:left="108"/>
              <w:rPr>
                <w:sz w:val="24"/>
              </w:rPr>
            </w:pPr>
            <w:r>
              <w:rPr>
                <w:sz w:val="24"/>
              </w:rPr>
              <w:t>1.65</w:t>
            </w:r>
          </w:p>
        </w:tc>
        <w:tc>
          <w:tcPr>
            <w:tcW w:w="1071" w:type="dxa"/>
            <w:tcBorders>
              <w:top w:val="nil"/>
              <w:left w:val="nil"/>
              <w:bottom w:val="nil"/>
              <w:right w:val="nil"/>
            </w:tcBorders>
          </w:tcPr>
          <w:p>
            <w:pPr>
              <w:pStyle w:val="TableParagraph"/>
              <w:spacing w:before="107"/>
              <w:ind w:left="153"/>
              <w:rPr>
                <w:sz w:val="24"/>
              </w:rPr>
            </w:pPr>
            <w:r>
              <w:rPr>
                <w:sz w:val="24"/>
              </w:rPr>
              <w:t>1.68</w:t>
            </w:r>
          </w:p>
        </w:tc>
        <w:tc>
          <w:tcPr>
            <w:tcW w:w="994" w:type="dxa"/>
            <w:tcBorders>
              <w:top w:val="nil"/>
              <w:left w:val="nil"/>
              <w:bottom w:val="nil"/>
              <w:right w:val="nil"/>
            </w:tcBorders>
          </w:tcPr>
          <w:p>
            <w:pPr>
              <w:pStyle w:val="TableParagraph"/>
              <w:spacing w:before="107"/>
              <w:ind w:left="148"/>
              <w:rPr>
                <w:sz w:val="24"/>
              </w:rPr>
            </w:pPr>
            <w:r>
              <w:rPr>
                <w:sz w:val="24"/>
              </w:rPr>
              <w:t>1.68</w:t>
            </w:r>
          </w:p>
        </w:tc>
        <w:tc>
          <w:tcPr>
            <w:tcW w:w="896" w:type="dxa"/>
            <w:tcBorders>
              <w:top w:val="nil"/>
              <w:left w:val="nil"/>
              <w:bottom w:val="nil"/>
              <w:right w:val="nil"/>
            </w:tcBorders>
          </w:tcPr>
          <w:p>
            <w:pPr>
              <w:pStyle w:val="TableParagraph"/>
              <w:spacing w:before="107"/>
              <w:ind w:right="129"/>
              <w:jc w:val="right"/>
              <w:rPr>
                <w:sz w:val="24"/>
              </w:rPr>
            </w:pPr>
            <w:r>
              <w:rPr>
                <w:sz w:val="24"/>
              </w:rPr>
              <w:t>0.028</w:t>
            </w:r>
          </w:p>
        </w:tc>
        <w:tc>
          <w:tcPr>
            <w:tcW w:w="966" w:type="dxa"/>
            <w:tcBorders>
              <w:top w:val="nil"/>
              <w:left w:val="nil"/>
              <w:bottom w:val="nil"/>
              <w:right w:val="nil"/>
            </w:tcBorders>
          </w:tcPr>
          <w:p>
            <w:pPr>
              <w:pStyle w:val="TableParagraph"/>
              <w:spacing w:before="107"/>
              <w:ind w:left="131"/>
              <w:rPr>
                <w:sz w:val="24"/>
              </w:rPr>
            </w:pPr>
            <w:r>
              <w:rPr>
                <w:sz w:val="24"/>
              </w:rPr>
              <w:t>0.800</w:t>
            </w:r>
          </w:p>
        </w:tc>
      </w:tr>
      <w:tr>
        <w:trPr>
          <w:trHeight w:val="531" w:hRule="exact"/>
        </w:trPr>
        <w:tc>
          <w:tcPr>
            <w:tcW w:w="3149" w:type="dxa"/>
            <w:tcBorders>
              <w:top w:val="nil"/>
              <w:left w:val="nil"/>
              <w:bottom w:val="nil"/>
              <w:right w:val="nil"/>
            </w:tcBorders>
          </w:tcPr>
          <w:p>
            <w:pPr>
              <w:pStyle w:val="TableParagraph"/>
              <w:spacing w:before="105"/>
              <w:ind w:left="107" w:right="109"/>
              <w:rPr>
                <w:sz w:val="24"/>
              </w:rPr>
            </w:pPr>
            <w:r>
              <w:rPr>
                <w:sz w:val="24"/>
              </w:rPr>
              <w:t>Ácidos grasos (g 100 g</w:t>
            </w:r>
            <w:r>
              <w:rPr>
                <w:position w:val="9"/>
                <w:sz w:val="16"/>
              </w:rPr>
              <w:t>-1 </w:t>
            </w:r>
            <w:r>
              <w:rPr>
                <w:sz w:val="24"/>
              </w:rPr>
              <w:t>AG)</w:t>
            </w:r>
          </w:p>
        </w:tc>
        <w:tc>
          <w:tcPr>
            <w:tcW w:w="951" w:type="dxa"/>
            <w:tcBorders>
              <w:top w:val="nil"/>
              <w:left w:val="nil"/>
              <w:bottom w:val="nil"/>
              <w:right w:val="nil"/>
            </w:tcBorders>
          </w:tcPr>
          <w:p>
            <w:pPr/>
          </w:p>
        </w:tc>
        <w:tc>
          <w:tcPr>
            <w:tcW w:w="1030" w:type="dxa"/>
            <w:tcBorders>
              <w:top w:val="nil"/>
              <w:left w:val="nil"/>
              <w:bottom w:val="nil"/>
              <w:right w:val="nil"/>
            </w:tcBorders>
          </w:tcPr>
          <w:p>
            <w:pPr/>
          </w:p>
        </w:tc>
        <w:tc>
          <w:tcPr>
            <w:tcW w:w="1071" w:type="dxa"/>
            <w:tcBorders>
              <w:top w:val="nil"/>
              <w:left w:val="nil"/>
              <w:bottom w:val="nil"/>
              <w:right w:val="nil"/>
            </w:tcBorders>
          </w:tcPr>
          <w:p>
            <w:pPr/>
          </w:p>
        </w:tc>
        <w:tc>
          <w:tcPr>
            <w:tcW w:w="994" w:type="dxa"/>
            <w:tcBorders>
              <w:top w:val="nil"/>
              <w:left w:val="nil"/>
              <w:bottom w:val="nil"/>
              <w:right w:val="nil"/>
            </w:tcBorders>
          </w:tcPr>
          <w:p>
            <w:pPr/>
          </w:p>
        </w:tc>
        <w:tc>
          <w:tcPr>
            <w:tcW w:w="896" w:type="dxa"/>
            <w:tcBorders>
              <w:top w:val="nil"/>
              <w:left w:val="nil"/>
              <w:bottom w:val="nil"/>
              <w:right w:val="nil"/>
            </w:tcBorders>
          </w:tcPr>
          <w:p>
            <w:pPr/>
          </w:p>
        </w:tc>
        <w:tc>
          <w:tcPr>
            <w:tcW w:w="966" w:type="dxa"/>
            <w:tcBorders>
              <w:top w:val="nil"/>
              <w:left w:val="nil"/>
              <w:bottom w:val="nil"/>
              <w:right w:val="nil"/>
            </w:tcBorders>
          </w:tcPr>
          <w:p>
            <w:pPr/>
          </w:p>
        </w:tc>
      </w:tr>
      <w:tr>
        <w:trPr>
          <w:trHeight w:val="517" w:hRule="exact"/>
        </w:trPr>
        <w:tc>
          <w:tcPr>
            <w:tcW w:w="3149" w:type="dxa"/>
            <w:tcBorders>
              <w:top w:val="nil"/>
              <w:left w:val="nil"/>
              <w:bottom w:val="nil"/>
              <w:right w:val="nil"/>
            </w:tcBorders>
          </w:tcPr>
          <w:p>
            <w:pPr>
              <w:pStyle w:val="TableParagraph"/>
              <w:spacing w:before="108"/>
              <w:ind w:left="107" w:right="109"/>
              <w:rPr>
                <w:sz w:val="24"/>
              </w:rPr>
            </w:pPr>
            <w:r>
              <w:rPr>
                <w:sz w:val="24"/>
              </w:rPr>
              <w:t>Laurico (C12)</w:t>
            </w:r>
          </w:p>
        </w:tc>
        <w:tc>
          <w:tcPr>
            <w:tcW w:w="951" w:type="dxa"/>
            <w:tcBorders>
              <w:top w:val="nil"/>
              <w:left w:val="nil"/>
              <w:bottom w:val="nil"/>
              <w:right w:val="nil"/>
            </w:tcBorders>
          </w:tcPr>
          <w:p>
            <w:pPr>
              <w:pStyle w:val="TableParagraph"/>
              <w:spacing w:before="108"/>
              <w:ind w:left="130"/>
              <w:rPr>
                <w:sz w:val="24"/>
              </w:rPr>
            </w:pPr>
            <w:r>
              <w:rPr>
                <w:sz w:val="24"/>
              </w:rPr>
              <w:t>0.72</w:t>
            </w:r>
          </w:p>
        </w:tc>
        <w:tc>
          <w:tcPr>
            <w:tcW w:w="1030" w:type="dxa"/>
            <w:tcBorders>
              <w:top w:val="nil"/>
              <w:left w:val="nil"/>
              <w:bottom w:val="nil"/>
              <w:right w:val="nil"/>
            </w:tcBorders>
          </w:tcPr>
          <w:p>
            <w:pPr>
              <w:pStyle w:val="TableParagraph"/>
              <w:spacing w:before="108"/>
              <w:ind w:left="108"/>
              <w:rPr>
                <w:sz w:val="24"/>
              </w:rPr>
            </w:pPr>
            <w:r>
              <w:rPr>
                <w:sz w:val="24"/>
              </w:rPr>
              <w:t>0.40</w:t>
            </w:r>
          </w:p>
        </w:tc>
        <w:tc>
          <w:tcPr>
            <w:tcW w:w="1071" w:type="dxa"/>
            <w:tcBorders>
              <w:top w:val="nil"/>
              <w:left w:val="nil"/>
              <w:bottom w:val="nil"/>
              <w:right w:val="nil"/>
            </w:tcBorders>
          </w:tcPr>
          <w:p>
            <w:pPr>
              <w:pStyle w:val="TableParagraph"/>
              <w:spacing w:before="108"/>
              <w:ind w:left="153"/>
              <w:rPr>
                <w:sz w:val="24"/>
              </w:rPr>
            </w:pPr>
            <w:r>
              <w:rPr>
                <w:sz w:val="24"/>
              </w:rPr>
              <w:t>0.36</w:t>
            </w:r>
          </w:p>
        </w:tc>
        <w:tc>
          <w:tcPr>
            <w:tcW w:w="994" w:type="dxa"/>
            <w:tcBorders>
              <w:top w:val="nil"/>
              <w:left w:val="nil"/>
              <w:bottom w:val="nil"/>
              <w:right w:val="nil"/>
            </w:tcBorders>
          </w:tcPr>
          <w:p>
            <w:pPr>
              <w:pStyle w:val="TableParagraph"/>
              <w:spacing w:before="108"/>
              <w:ind w:left="148"/>
              <w:rPr>
                <w:sz w:val="24"/>
              </w:rPr>
            </w:pPr>
            <w:r>
              <w:rPr>
                <w:sz w:val="24"/>
              </w:rPr>
              <w:t>0.12</w:t>
            </w:r>
          </w:p>
        </w:tc>
        <w:tc>
          <w:tcPr>
            <w:tcW w:w="896" w:type="dxa"/>
            <w:tcBorders>
              <w:top w:val="nil"/>
              <w:left w:val="nil"/>
              <w:bottom w:val="nil"/>
              <w:right w:val="nil"/>
            </w:tcBorders>
          </w:tcPr>
          <w:p>
            <w:pPr/>
          </w:p>
        </w:tc>
        <w:tc>
          <w:tcPr>
            <w:tcW w:w="966" w:type="dxa"/>
            <w:tcBorders>
              <w:top w:val="nil"/>
              <w:left w:val="nil"/>
              <w:bottom w:val="nil"/>
              <w:right w:val="nil"/>
            </w:tcBorders>
          </w:tcPr>
          <w:p>
            <w:pPr/>
          </w:p>
        </w:tc>
      </w:tr>
      <w:tr>
        <w:trPr>
          <w:trHeight w:val="517" w:hRule="exact"/>
        </w:trPr>
        <w:tc>
          <w:tcPr>
            <w:tcW w:w="3149" w:type="dxa"/>
            <w:tcBorders>
              <w:top w:val="nil"/>
              <w:left w:val="nil"/>
              <w:bottom w:val="nil"/>
              <w:right w:val="nil"/>
            </w:tcBorders>
          </w:tcPr>
          <w:p>
            <w:pPr>
              <w:pStyle w:val="TableParagraph"/>
              <w:spacing w:before="107"/>
              <w:ind w:left="107" w:right="109"/>
              <w:rPr>
                <w:sz w:val="24"/>
              </w:rPr>
            </w:pPr>
            <w:r>
              <w:rPr>
                <w:sz w:val="24"/>
              </w:rPr>
              <w:t>Tridecanoico (C13)</w:t>
            </w:r>
          </w:p>
        </w:tc>
        <w:tc>
          <w:tcPr>
            <w:tcW w:w="951" w:type="dxa"/>
            <w:tcBorders>
              <w:top w:val="nil"/>
              <w:left w:val="nil"/>
              <w:bottom w:val="nil"/>
              <w:right w:val="nil"/>
            </w:tcBorders>
          </w:tcPr>
          <w:p>
            <w:pPr>
              <w:pStyle w:val="TableParagraph"/>
              <w:spacing w:before="107"/>
              <w:ind w:left="130"/>
              <w:rPr>
                <w:sz w:val="24"/>
              </w:rPr>
            </w:pPr>
            <w:r>
              <w:rPr>
                <w:sz w:val="24"/>
              </w:rPr>
              <w:t>2.04</w:t>
            </w:r>
          </w:p>
        </w:tc>
        <w:tc>
          <w:tcPr>
            <w:tcW w:w="1030" w:type="dxa"/>
            <w:tcBorders>
              <w:top w:val="nil"/>
              <w:left w:val="nil"/>
              <w:bottom w:val="nil"/>
              <w:right w:val="nil"/>
            </w:tcBorders>
          </w:tcPr>
          <w:p>
            <w:pPr>
              <w:pStyle w:val="TableParagraph"/>
              <w:spacing w:before="107"/>
              <w:ind w:left="108"/>
              <w:rPr>
                <w:sz w:val="24"/>
              </w:rPr>
            </w:pPr>
            <w:r>
              <w:rPr>
                <w:sz w:val="24"/>
              </w:rPr>
              <w:t>0.44</w:t>
            </w:r>
          </w:p>
        </w:tc>
        <w:tc>
          <w:tcPr>
            <w:tcW w:w="1071" w:type="dxa"/>
            <w:tcBorders>
              <w:top w:val="nil"/>
              <w:left w:val="nil"/>
              <w:bottom w:val="nil"/>
              <w:right w:val="nil"/>
            </w:tcBorders>
          </w:tcPr>
          <w:p>
            <w:pPr>
              <w:pStyle w:val="TableParagraph"/>
              <w:spacing w:before="107"/>
              <w:ind w:left="153"/>
              <w:rPr>
                <w:sz w:val="24"/>
              </w:rPr>
            </w:pPr>
            <w:r>
              <w:rPr>
                <w:sz w:val="24"/>
              </w:rPr>
              <w:t>0.24</w:t>
            </w:r>
          </w:p>
        </w:tc>
        <w:tc>
          <w:tcPr>
            <w:tcW w:w="994" w:type="dxa"/>
            <w:tcBorders>
              <w:top w:val="nil"/>
              <w:left w:val="nil"/>
              <w:bottom w:val="nil"/>
              <w:right w:val="nil"/>
            </w:tcBorders>
          </w:tcPr>
          <w:p>
            <w:pPr>
              <w:pStyle w:val="TableParagraph"/>
              <w:spacing w:before="107"/>
              <w:ind w:left="148"/>
              <w:rPr>
                <w:sz w:val="24"/>
              </w:rPr>
            </w:pPr>
            <w:r>
              <w:rPr>
                <w:sz w:val="24"/>
              </w:rPr>
              <w:t>0.12</w:t>
            </w:r>
          </w:p>
        </w:tc>
        <w:tc>
          <w:tcPr>
            <w:tcW w:w="896" w:type="dxa"/>
            <w:tcBorders>
              <w:top w:val="nil"/>
              <w:left w:val="nil"/>
              <w:bottom w:val="nil"/>
              <w:right w:val="nil"/>
            </w:tcBorders>
          </w:tcPr>
          <w:p>
            <w:pPr/>
          </w:p>
        </w:tc>
        <w:tc>
          <w:tcPr>
            <w:tcW w:w="966" w:type="dxa"/>
            <w:tcBorders>
              <w:top w:val="nil"/>
              <w:left w:val="nil"/>
              <w:bottom w:val="nil"/>
              <w:right w:val="nil"/>
            </w:tcBorders>
          </w:tcPr>
          <w:p>
            <w:pPr/>
          </w:p>
        </w:tc>
      </w:tr>
      <w:tr>
        <w:trPr>
          <w:trHeight w:val="519" w:hRule="exact"/>
        </w:trPr>
        <w:tc>
          <w:tcPr>
            <w:tcW w:w="3149" w:type="dxa"/>
            <w:tcBorders>
              <w:top w:val="nil"/>
              <w:left w:val="nil"/>
              <w:bottom w:val="nil"/>
              <w:right w:val="nil"/>
            </w:tcBorders>
          </w:tcPr>
          <w:p>
            <w:pPr>
              <w:pStyle w:val="TableParagraph"/>
              <w:spacing w:before="108"/>
              <w:ind w:left="107" w:right="109"/>
              <w:rPr>
                <w:sz w:val="24"/>
              </w:rPr>
            </w:pPr>
            <w:r>
              <w:rPr>
                <w:sz w:val="24"/>
              </w:rPr>
              <w:t>Mirístico (C14)</w:t>
            </w:r>
          </w:p>
        </w:tc>
        <w:tc>
          <w:tcPr>
            <w:tcW w:w="951" w:type="dxa"/>
            <w:tcBorders>
              <w:top w:val="nil"/>
              <w:left w:val="nil"/>
              <w:bottom w:val="nil"/>
              <w:right w:val="nil"/>
            </w:tcBorders>
          </w:tcPr>
          <w:p>
            <w:pPr>
              <w:pStyle w:val="TableParagraph"/>
              <w:spacing w:before="108"/>
              <w:ind w:left="130"/>
              <w:rPr>
                <w:sz w:val="24"/>
              </w:rPr>
            </w:pPr>
            <w:r>
              <w:rPr>
                <w:sz w:val="24"/>
              </w:rPr>
              <w:t>0.55</w:t>
            </w:r>
          </w:p>
        </w:tc>
        <w:tc>
          <w:tcPr>
            <w:tcW w:w="1030" w:type="dxa"/>
            <w:tcBorders>
              <w:top w:val="nil"/>
              <w:left w:val="nil"/>
              <w:bottom w:val="nil"/>
              <w:right w:val="nil"/>
            </w:tcBorders>
          </w:tcPr>
          <w:p>
            <w:pPr>
              <w:pStyle w:val="TableParagraph"/>
              <w:spacing w:before="108"/>
              <w:ind w:left="108"/>
              <w:rPr>
                <w:sz w:val="24"/>
              </w:rPr>
            </w:pPr>
            <w:r>
              <w:rPr>
                <w:sz w:val="24"/>
              </w:rPr>
              <w:t>0.50</w:t>
            </w:r>
          </w:p>
        </w:tc>
        <w:tc>
          <w:tcPr>
            <w:tcW w:w="1071" w:type="dxa"/>
            <w:tcBorders>
              <w:top w:val="nil"/>
              <w:left w:val="nil"/>
              <w:bottom w:val="nil"/>
              <w:right w:val="nil"/>
            </w:tcBorders>
          </w:tcPr>
          <w:p>
            <w:pPr>
              <w:pStyle w:val="TableParagraph"/>
              <w:spacing w:before="108"/>
              <w:ind w:left="153"/>
              <w:rPr>
                <w:sz w:val="24"/>
              </w:rPr>
            </w:pPr>
            <w:r>
              <w:rPr>
                <w:sz w:val="24"/>
              </w:rPr>
              <w:t>1.17</w:t>
            </w:r>
          </w:p>
        </w:tc>
        <w:tc>
          <w:tcPr>
            <w:tcW w:w="994" w:type="dxa"/>
            <w:tcBorders>
              <w:top w:val="nil"/>
              <w:left w:val="nil"/>
              <w:bottom w:val="nil"/>
              <w:right w:val="nil"/>
            </w:tcBorders>
          </w:tcPr>
          <w:p>
            <w:pPr>
              <w:pStyle w:val="TableParagraph"/>
              <w:spacing w:before="108"/>
              <w:ind w:left="148"/>
              <w:rPr>
                <w:sz w:val="24"/>
              </w:rPr>
            </w:pPr>
            <w:r>
              <w:rPr>
                <w:sz w:val="24"/>
              </w:rPr>
              <w:t>0.27</w:t>
            </w:r>
          </w:p>
        </w:tc>
        <w:tc>
          <w:tcPr>
            <w:tcW w:w="896" w:type="dxa"/>
            <w:tcBorders>
              <w:top w:val="nil"/>
              <w:left w:val="nil"/>
              <w:bottom w:val="nil"/>
              <w:right w:val="nil"/>
            </w:tcBorders>
          </w:tcPr>
          <w:p>
            <w:pPr/>
          </w:p>
        </w:tc>
        <w:tc>
          <w:tcPr>
            <w:tcW w:w="966" w:type="dxa"/>
            <w:tcBorders>
              <w:top w:val="nil"/>
              <w:left w:val="nil"/>
              <w:bottom w:val="nil"/>
              <w:right w:val="nil"/>
            </w:tcBorders>
          </w:tcPr>
          <w:p>
            <w:pPr/>
          </w:p>
        </w:tc>
      </w:tr>
      <w:tr>
        <w:trPr>
          <w:trHeight w:val="517" w:hRule="exact"/>
        </w:trPr>
        <w:tc>
          <w:tcPr>
            <w:tcW w:w="3149" w:type="dxa"/>
            <w:tcBorders>
              <w:top w:val="nil"/>
              <w:left w:val="nil"/>
              <w:bottom w:val="nil"/>
              <w:right w:val="nil"/>
            </w:tcBorders>
          </w:tcPr>
          <w:p>
            <w:pPr>
              <w:pStyle w:val="TableParagraph"/>
              <w:spacing w:before="108"/>
              <w:ind w:left="107" w:right="109"/>
              <w:rPr>
                <w:sz w:val="24"/>
              </w:rPr>
            </w:pPr>
            <w:r>
              <w:rPr>
                <w:sz w:val="24"/>
              </w:rPr>
              <w:t>Palmítico (C16)</w:t>
            </w:r>
          </w:p>
        </w:tc>
        <w:tc>
          <w:tcPr>
            <w:tcW w:w="951" w:type="dxa"/>
            <w:tcBorders>
              <w:top w:val="nil"/>
              <w:left w:val="nil"/>
              <w:bottom w:val="nil"/>
              <w:right w:val="nil"/>
            </w:tcBorders>
          </w:tcPr>
          <w:p>
            <w:pPr>
              <w:pStyle w:val="TableParagraph"/>
              <w:spacing w:before="108"/>
              <w:ind w:left="130"/>
              <w:rPr>
                <w:sz w:val="24"/>
              </w:rPr>
            </w:pPr>
            <w:r>
              <w:rPr>
                <w:sz w:val="24"/>
              </w:rPr>
              <w:t>15.51</w:t>
            </w:r>
          </w:p>
        </w:tc>
        <w:tc>
          <w:tcPr>
            <w:tcW w:w="1030" w:type="dxa"/>
            <w:tcBorders>
              <w:top w:val="nil"/>
              <w:left w:val="nil"/>
              <w:bottom w:val="nil"/>
              <w:right w:val="nil"/>
            </w:tcBorders>
          </w:tcPr>
          <w:p>
            <w:pPr>
              <w:pStyle w:val="TableParagraph"/>
              <w:spacing w:before="108"/>
              <w:ind w:left="108"/>
              <w:rPr>
                <w:sz w:val="24"/>
              </w:rPr>
            </w:pPr>
            <w:r>
              <w:rPr>
                <w:sz w:val="24"/>
              </w:rPr>
              <w:t>19.40</w:t>
            </w:r>
          </w:p>
        </w:tc>
        <w:tc>
          <w:tcPr>
            <w:tcW w:w="1071" w:type="dxa"/>
            <w:tcBorders>
              <w:top w:val="nil"/>
              <w:left w:val="nil"/>
              <w:bottom w:val="nil"/>
              <w:right w:val="nil"/>
            </w:tcBorders>
          </w:tcPr>
          <w:p>
            <w:pPr>
              <w:pStyle w:val="TableParagraph"/>
              <w:spacing w:before="108"/>
              <w:ind w:left="153"/>
              <w:rPr>
                <w:sz w:val="24"/>
              </w:rPr>
            </w:pPr>
            <w:r>
              <w:rPr>
                <w:sz w:val="24"/>
              </w:rPr>
              <w:t>16.60</w:t>
            </w:r>
          </w:p>
        </w:tc>
        <w:tc>
          <w:tcPr>
            <w:tcW w:w="994" w:type="dxa"/>
            <w:tcBorders>
              <w:top w:val="nil"/>
              <w:left w:val="nil"/>
              <w:bottom w:val="nil"/>
              <w:right w:val="nil"/>
            </w:tcBorders>
          </w:tcPr>
          <w:p>
            <w:pPr>
              <w:pStyle w:val="TableParagraph"/>
              <w:spacing w:before="108"/>
              <w:ind w:left="148"/>
              <w:rPr>
                <w:sz w:val="24"/>
              </w:rPr>
            </w:pPr>
            <w:r>
              <w:rPr>
                <w:sz w:val="24"/>
              </w:rPr>
              <w:t>14.02</w:t>
            </w:r>
          </w:p>
        </w:tc>
        <w:tc>
          <w:tcPr>
            <w:tcW w:w="896" w:type="dxa"/>
            <w:tcBorders>
              <w:top w:val="nil"/>
              <w:left w:val="nil"/>
              <w:bottom w:val="nil"/>
              <w:right w:val="nil"/>
            </w:tcBorders>
          </w:tcPr>
          <w:p>
            <w:pPr/>
          </w:p>
        </w:tc>
        <w:tc>
          <w:tcPr>
            <w:tcW w:w="966" w:type="dxa"/>
            <w:tcBorders>
              <w:top w:val="nil"/>
              <w:left w:val="nil"/>
              <w:bottom w:val="nil"/>
              <w:right w:val="nil"/>
            </w:tcBorders>
          </w:tcPr>
          <w:p>
            <w:pPr/>
          </w:p>
        </w:tc>
      </w:tr>
      <w:tr>
        <w:trPr>
          <w:trHeight w:val="517" w:hRule="exact"/>
        </w:trPr>
        <w:tc>
          <w:tcPr>
            <w:tcW w:w="3149" w:type="dxa"/>
            <w:tcBorders>
              <w:top w:val="nil"/>
              <w:left w:val="nil"/>
              <w:bottom w:val="nil"/>
              <w:right w:val="nil"/>
            </w:tcBorders>
          </w:tcPr>
          <w:p>
            <w:pPr>
              <w:pStyle w:val="TableParagraph"/>
              <w:spacing w:before="107"/>
              <w:ind w:left="107" w:right="109"/>
              <w:rPr>
                <w:sz w:val="24"/>
              </w:rPr>
            </w:pPr>
            <w:r>
              <w:rPr>
                <w:sz w:val="24"/>
              </w:rPr>
              <w:t>Palmitoleico (C16:1 c9)</w:t>
            </w:r>
          </w:p>
        </w:tc>
        <w:tc>
          <w:tcPr>
            <w:tcW w:w="951" w:type="dxa"/>
            <w:tcBorders>
              <w:top w:val="nil"/>
              <w:left w:val="nil"/>
              <w:bottom w:val="nil"/>
              <w:right w:val="nil"/>
            </w:tcBorders>
          </w:tcPr>
          <w:p>
            <w:pPr>
              <w:pStyle w:val="TableParagraph"/>
              <w:spacing w:before="107"/>
              <w:ind w:left="130"/>
              <w:rPr>
                <w:sz w:val="24"/>
              </w:rPr>
            </w:pPr>
            <w:r>
              <w:rPr>
                <w:sz w:val="24"/>
              </w:rPr>
              <w:t>1.29</w:t>
            </w:r>
          </w:p>
        </w:tc>
        <w:tc>
          <w:tcPr>
            <w:tcW w:w="1030" w:type="dxa"/>
            <w:tcBorders>
              <w:top w:val="nil"/>
              <w:left w:val="nil"/>
              <w:bottom w:val="nil"/>
              <w:right w:val="nil"/>
            </w:tcBorders>
          </w:tcPr>
          <w:p>
            <w:pPr>
              <w:pStyle w:val="TableParagraph"/>
              <w:spacing w:before="107"/>
              <w:ind w:left="108"/>
              <w:rPr>
                <w:sz w:val="24"/>
              </w:rPr>
            </w:pPr>
            <w:r>
              <w:rPr>
                <w:sz w:val="24"/>
              </w:rPr>
              <w:t>0.14</w:t>
            </w:r>
          </w:p>
        </w:tc>
        <w:tc>
          <w:tcPr>
            <w:tcW w:w="1071" w:type="dxa"/>
            <w:tcBorders>
              <w:top w:val="nil"/>
              <w:left w:val="nil"/>
              <w:bottom w:val="nil"/>
              <w:right w:val="nil"/>
            </w:tcBorders>
          </w:tcPr>
          <w:p>
            <w:pPr>
              <w:pStyle w:val="TableParagraph"/>
              <w:spacing w:before="107"/>
              <w:ind w:left="153"/>
              <w:rPr>
                <w:sz w:val="24"/>
              </w:rPr>
            </w:pPr>
            <w:r>
              <w:rPr>
                <w:sz w:val="24"/>
              </w:rPr>
              <w:t>0.11</w:t>
            </w:r>
          </w:p>
        </w:tc>
        <w:tc>
          <w:tcPr>
            <w:tcW w:w="994" w:type="dxa"/>
            <w:tcBorders>
              <w:top w:val="nil"/>
              <w:left w:val="nil"/>
              <w:bottom w:val="nil"/>
              <w:right w:val="nil"/>
            </w:tcBorders>
          </w:tcPr>
          <w:p>
            <w:pPr>
              <w:pStyle w:val="TableParagraph"/>
              <w:spacing w:before="107"/>
              <w:ind w:left="148"/>
              <w:rPr>
                <w:sz w:val="24"/>
              </w:rPr>
            </w:pPr>
            <w:r>
              <w:rPr>
                <w:sz w:val="24"/>
              </w:rPr>
              <w:t>0.04</w:t>
            </w:r>
          </w:p>
        </w:tc>
        <w:tc>
          <w:tcPr>
            <w:tcW w:w="896" w:type="dxa"/>
            <w:tcBorders>
              <w:top w:val="nil"/>
              <w:left w:val="nil"/>
              <w:bottom w:val="nil"/>
              <w:right w:val="nil"/>
            </w:tcBorders>
          </w:tcPr>
          <w:p>
            <w:pPr/>
          </w:p>
        </w:tc>
        <w:tc>
          <w:tcPr>
            <w:tcW w:w="966" w:type="dxa"/>
            <w:tcBorders>
              <w:top w:val="nil"/>
              <w:left w:val="nil"/>
              <w:bottom w:val="nil"/>
              <w:right w:val="nil"/>
            </w:tcBorders>
          </w:tcPr>
          <w:p>
            <w:pPr/>
          </w:p>
        </w:tc>
      </w:tr>
      <w:tr>
        <w:trPr>
          <w:trHeight w:val="517" w:hRule="exact"/>
        </w:trPr>
        <w:tc>
          <w:tcPr>
            <w:tcW w:w="3149" w:type="dxa"/>
            <w:tcBorders>
              <w:top w:val="nil"/>
              <w:left w:val="nil"/>
              <w:bottom w:val="nil"/>
              <w:right w:val="nil"/>
            </w:tcBorders>
          </w:tcPr>
          <w:p>
            <w:pPr>
              <w:pStyle w:val="TableParagraph"/>
              <w:spacing w:before="108"/>
              <w:ind w:left="107" w:right="109"/>
              <w:rPr>
                <w:sz w:val="24"/>
              </w:rPr>
            </w:pPr>
            <w:r>
              <w:rPr>
                <w:sz w:val="24"/>
              </w:rPr>
              <w:t>Estearico (C18)</w:t>
            </w:r>
          </w:p>
        </w:tc>
        <w:tc>
          <w:tcPr>
            <w:tcW w:w="951" w:type="dxa"/>
            <w:tcBorders>
              <w:top w:val="nil"/>
              <w:left w:val="nil"/>
              <w:bottom w:val="nil"/>
              <w:right w:val="nil"/>
            </w:tcBorders>
          </w:tcPr>
          <w:p>
            <w:pPr>
              <w:pStyle w:val="TableParagraph"/>
              <w:spacing w:before="108"/>
              <w:ind w:left="130"/>
              <w:rPr>
                <w:sz w:val="24"/>
              </w:rPr>
            </w:pPr>
            <w:r>
              <w:rPr>
                <w:sz w:val="24"/>
              </w:rPr>
              <w:t>1.75</w:t>
            </w:r>
          </w:p>
        </w:tc>
        <w:tc>
          <w:tcPr>
            <w:tcW w:w="1030" w:type="dxa"/>
            <w:tcBorders>
              <w:top w:val="nil"/>
              <w:left w:val="nil"/>
              <w:bottom w:val="nil"/>
              <w:right w:val="nil"/>
            </w:tcBorders>
          </w:tcPr>
          <w:p>
            <w:pPr>
              <w:pStyle w:val="TableParagraph"/>
              <w:spacing w:before="108"/>
              <w:ind w:left="108"/>
              <w:rPr>
                <w:sz w:val="24"/>
              </w:rPr>
            </w:pPr>
            <w:r>
              <w:rPr>
                <w:sz w:val="24"/>
              </w:rPr>
              <w:t>2.97</w:t>
            </w:r>
          </w:p>
        </w:tc>
        <w:tc>
          <w:tcPr>
            <w:tcW w:w="1071" w:type="dxa"/>
            <w:tcBorders>
              <w:top w:val="nil"/>
              <w:left w:val="nil"/>
              <w:bottom w:val="nil"/>
              <w:right w:val="nil"/>
            </w:tcBorders>
          </w:tcPr>
          <w:p>
            <w:pPr>
              <w:pStyle w:val="TableParagraph"/>
              <w:spacing w:before="108"/>
              <w:ind w:left="153"/>
              <w:rPr>
                <w:sz w:val="24"/>
              </w:rPr>
            </w:pPr>
            <w:r>
              <w:rPr>
                <w:sz w:val="24"/>
              </w:rPr>
              <w:t>4.50</w:t>
            </w:r>
          </w:p>
        </w:tc>
        <w:tc>
          <w:tcPr>
            <w:tcW w:w="994" w:type="dxa"/>
            <w:tcBorders>
              <w:top w:val="nil"/>
              <w:left w:val="nil"/>
              <w:bottom w:val="nil"/>
              <w:right w:val="nil"/>
            </w:tcBorders>
          </w:tcPr>
          <w:p>
            <w:pPr>
              <w:pStyle w:val="TableParagraph"/>
              <w:spacing w:before="108"/>
              <w:ind w:left="148"/>
              <w:rPr>
                <w:sz w:val="24"/>
              </w:rPr>
            </w:pPr>
            <w:r>
              <w:rPr>
                <w:sz w:val="24"/>
              </w:rPr>
              <w:t>3.97</w:t>
            </w:r>
          </w:p>
        </w:tc>
        <w:tc>
          <w:tcPr>
            <w:tcW w:w="896" w:type="dxa"/>
            <w:tcBorders>
              <w:top w:val="nil"/>
              <w:left w:val="nil"/>
              <w:bottom w:val="nil"/>
              <w:right w:val="nil"/>
            </w:tcBorders>
          </w:tcPr>
          <w:p>
            <w:pPr/>
          </w:p>
        </w:tc>
        <w:tc>
          <w:tcPr>
            <w:tcW w:w="966" w:type="dxa"/>
            <w:tcBorders>
              <w:top w:val="nil"/>
              <w:left w:val="nil"/>
              <w:bottom w:val="nil"/>
              <w:right w:val="nil"/>
            </w:tcBorders>
          </w:tcPr>
          <w:p>
            <w:pPr/>
          </w:p>
        </w:tc>
      </w:tr>
      <w:tr>
        <w:trPr>
          <w:trHeight w:val="378" w:hRule="exact"/>
        </w:trPr>
        <w:tc>
          <w:tcPr>
            <w:tcW w:w="3149" w:type="dxa"/>
            <w:tcBorders>
              <w:top w:val="nil"/>
              <w:left w:val="nil"/>
              <w:bottom w:val="nil"/>
              <w:right w:val="nil"/>
            </w:tcBorders>
          </w:tcPr>
          <w:p>
            <w:pPr>
              <w:pStyle w:val="TableParagraph"/>
              <w:spacing w:before="107"/>
              <w:ind w:left="107" w:right="109"/>
              <w:rPr>
                <w:sz w:val="24"/>
              </w:rPr>
            </w:pPr>
            <w:r>
              <w:rPr>
                <w:sz w:val="24"/>
              </w:rPr>
              <w:t>Oleico (C18:1 c9)</w:t>
            </w:r>
          </w:p>
        </w:tc>
        <w:tc>
          <w:tcPr>
            <w:tcW w:w="951" w:type="dxa"/>
            <w:tcBorders>
              <w:top w:val="nil"/>
              <w:left w:val="nil"/>
              <w:bottom w:val="nil"/>
              <w:right w:val="nil"/>
            </w:tcBorders>
          </w:tcPr>
          <w:p>
            <w:pPr>
              <w:pStyle w:val="TableParagraph"/>
              <w:spacing w:before="107"/>
              <w:ind w:left="130"/>
              <w:rPr>
                <w:sz w:val="24"/>
              </w:rPr>
            </w:pPr>
            <w:r>
              <w:rPr>
                <w:sz w:val="24"/>
              </w:rPr>
              <w:t>3.05</w:t>
            </w:r>
          </w:p>
        </w:tc>
        <w:tc>
          <w:tcPr>
            <w:tcW w:w="1030" w:type="dxa"/>
            <w:tcBorders>
              <w:top w:val="nil"/>
              <w:left w:val="nil"/>
              <w:bottom w:val="nil"/>
              <w:right w:val="nil"/>
            </w:tcBorders>
          </w:tcPr>
          <w:p>
            <w:pPr>
              <w:pStyle w:val="TableParagraph"/>
              <w:spacing w:before="107"/>
              <w:ind w:left="108"/>
              <w:rPr>
                <w:sz w:val="24"/>
              </w:rPr>
            </w:pPr>
            <w:r>
              <w:rPr>
                <w:sz w:val="24"/>
              </w:rPr>
              <w:t>28.11</w:t>
            </w:r>
          </w:p>
        </w:tc>
        <w:tc>
          <w:tcPr>
            <w:tcW w:w="1071" w:type="dxa"/>
            <w:tcBorders>
              <w:top w:val="nil"/>
              <w:left w:val="nil"/>
              <w:bottom w:val="nil"/>
              <w:right w:val="nil"/>
            </w:tcBorders>
          </w:tcPr>
          <w:p>
            <w:pPr>
              <w:pStyle w:val="TableParagraph"/>
              <w:spacing w:before="107"/>
              <w:ind w:left="153"/>
              <w:rPr>
                <w:sz w:val="24"/>
              </w:rPr>
            </w:pPr>
            <w:r>
              <w:rPr>
                <w:sz w:val="24"/>
              </w:rPr>
              <w:t>25.90</w:t>
            </w:r>
          </w:p>
        </w:tc>
        <w:tc>
          <w:tcPr>
            <w:tcW w:w="994" w:type="dxa"/>
            <w:tcBorders>
              <w:top w:val="nil"/>
              <w:left w:val="nil"/>
              <w:bottom w:val="nil"/>
              <w:right w:val="nil"/>
            </w:tcBorders>
          </w:tcPr>
          <w:p>
            <w:pPr>
              <w:pStyle w:val="TableParagraph"/>
              <w:spacing w:before="107"/>
              <w:ind w:left="148"/>
              <w:rPr>
                <w:sz w:val="24"/>
              </w:rPr>
            </w:pPr>
            <w:r>
              <w:rPr>
                <w:sz w:val="24"/>
              </w:rPr>
              <w:t>24.33</w:t>
            </w:r>
          </w:p>
        </w:tc>
        <w:tc>
          <w:tcPr>
            <w:tcW w:w="896" w:type="dxa"/>
            <w:tcBorders>
              <w:top w:val="nil"/>
              <w:left w:val="nil"/>
              <w:bottom w:val="nil"/>
              <w:right w:val="nil"/>
            </w:tcBorders>
          </w:tcPr>
          <w:p>
            <w:pPr/>
          </w:p>
        </w:tc>
        <w:tc>
          <w:tcPr>
            <w:tcW w:w="966" w:type="dxa"/>
            <w:tcBorders>
              <w:top w:val="nil"/>
              <w:left w:val="nil"/>
              <w:bottom w:val="nil"/>
              <w:right w:val="nil"/>
            </w:tcBorders>
          </w:tcPr>
          <w:p>
            <w:pPr/>
          </w:p>
        </w:tc>
      </w:tr>
    </w:tbl>
    <w:p>
      <w:pPr>
        <w:spacing w:after="0"/>
        <w:sectPr>
          <w:pgSz w:w="12240" w:h="15840"/>
          <w:pgMar w:header="1150" w:footer="1336" w:top="1340" w:bottom="1520" w:left="1660" w:right="1300"/>
        </w:sectPr>
      </w:pPr>
    </w:p>
    <w:p>
      <w:pPr>
        <w:pStyle w:val="BodyText"/>
        <w:rPr>
          <w:b/>
          <w:sz w:val="20"/>
        </w:rPr>
      </w:pPr>
    </w:p>
    <w:p>
      <w:pPr>
        <w:pStyle w:val="BodyText"/>
        <w:spacing w:before="3"/>
        <w:rPr>
          <w:b/>
          <w:sz w:val="22"/>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20"/>
        <w:gridCol w:w="907"/>
        <w:gridCol w:w="1002"/>
        <w:gridCol w:w="1071"/>
        <w:gridCol w:w="1003"/>
      </w:tblGrid>
      <w:tr>
        <w:trPr>
          <w:trHeight w:val="378" w:hRule="exact"/>
        </w:trPr>
        <w:tc>
          <w:tcPr>
            <w:tcW w:w="3120" w:type="dxa"/>
          </w:tcPr>
          <w:p>
            <w:pPr>
              <w:pStyle w:val="TableParagraph"/>
              <w:spacing w:line="245" w:lineRule="exact"/>
              <w:ind w:left="122"/>
              <w:rPr>
                <w:sz w:val="24"/>
              </w:rPr>
            </w:pPr>
            <w:r>
              <w:rPr>
                <w:sz w:val="24"/>
              </w:rPr>
              <w:t>Linoleico (C18:2 c9c12)</w:t>
            </w:r>
          </w:p>
        </w:tc>
        <w:tc>
          <w:tcPr>
            <w:tcW w:w="907" w:type="dxa"/>
          </w:tcPr>
          <w:p>
            <w:pPr>
              <w:pStyle w:val="TableParagraph"/>
              <w:spacing w:line="245" w:lineRule="exact"/>
              <w:ind w:left="154" w:right="173"/>
              <w:jc w:val="center"/>
              <w:rPr>
                <w:sz w:val="24"/>
              </w:rPr>
            </w:pPr>
            <w:r>
              <w:rPr>
                <w:sz w:val="24"/>
              </w:rPr>
              <w:t>10.67</w:t>
            </w:r>
          </w:p>
        </w:tc>
        <w:tc>
          <w:tcPr>
            <w:tcW w:w="1002" w:type="dxa"/>
          </w:tcPr>
          <w:p>
            <w:pPr>
              <w:pStyle w:val="TableParagraph"/>
              <w:spacing w:line="245" w:lineRule="exact"/>
              <w:ind w:left="194"/>
              <w:rPr>
                <w:sz w:val="24"/>
              </w:rPr>
            </w:pPr>
            <w:r>
              <w:rPr>
                <w:sz w:val="24"/>
              </w:rPr>
              <w:t>40.15</w:t>
            </w:r>
          </w:p>
        </w:tc>
        <w:tc>
          <w:tcPr>
            <w:tcW w:w="1071" w:type="dxa"/>
          </w:tcPr>
          <w:p>
            <w:pPr>
              <w:pStyle w:val="TableParagraph"/>
              <w:spacing w:line="245" w:lineRule="exact"/>
              <w:ind w:left="247" w:right="242"/>
              <w:jc w:val="center"/>
              <w:rPr>
                <w:sz w:val="24"/>
              </w:rPr>
            </w:pPr>
            <w:r>
              <w:rPr>
                <w:sz w:val="24"/>
              </w:rPr>
              <w:t>42.60</w:t>
            </w:r>
          </w:p>
        </w:tc>
        <w:tc>
          <w:tcPr>
            <w:tcW w:w="1003" w:type="dxa"/>
          </w:tcPr>
          <w:p>
            <w:pPr>
              <w:pStyle w:val="TableParagraph"/>
              <w:spacing w:line="245" w:lineRule="exact"/>
              <w:ind w:left="242" w:right="180"/>
              <w:jc w:val="center"/>
              <w:rPr>
                <w:sz w:val="24"/>
              </w:rPr>
            </w:pPr>
            <w:r>
              <w:rPr>
                <w:sz w:val="24"/>
              </w:rPr>
              <w:t>48.58</w:t>
            </w:r>
          </w:p>
        </w:tc>
      </w:tr>
      <w:tr>
        <w:trPr>
          <w:trHeight w:val="517" w:hRule="exact"/>
        </w:trPr>
        <w:tc>
          <w:tcPr>
            <w:tcW w:w="3120" w:type="dxa"/>
          </w:tcPr>
          <w:p>
            <w:pPr>
              <w:pStyle w:val="TableParagraph"/>
              <w:spacing w:before="107"/>
              <w:ind w:left="122"/>
              <w:rPr>
                <w:sz w:val="24"/>
              </w:rPr>
            </w:pPr>
            <w:r>
              <w:rPr>
                <w:sz w:val="24"/>
              </w:rPr>
              <w:t>Linolenico (C18:3 c9c12c15)</w:t>
            </w:r>
          </w:p>
        </w:tc>
        <w:tc>
          <w:tcPr>
            <w:tcW w:w="907" w:type="dxa"/>
          </w:tcPr>
          <w:p>
            <w:pPr>
              <w:pStyle w:val="TableParagraph"/>
              <w:spacing w:before="107"/>
              <w:ind w:left="154" w:right="173"/>
              <w:jc w:val="center"/>
              <w:rPr>
                <w:sz w:val="24"/>
              </w:rPr>
            </w:pPr>
            <w:r>
              <w:rPr>
                <w:sz w:val="24"/>
              </w:rPr>
              <w:t>53.01</w:t>
            </w:r>
          </w:p>
        </w:tc>
        <w:tc>
          <w:tcPr>
            <w:tcW w:w="1002" w:type="dxa"/>
          </w:tcPr>
          <w:p>
            <w:pPr>
              <w:pStyle w:val="TableParagraph"/>
              <w:spacing w:before="107"/>
              <w:ind w:left="194"/>
              <w:rPr>
                <w:sz w:val="24"/>
              </w:rPr>
            </w:pPr>
            <w:r>
              <w:rPr>
                <w:sz w:val="24"/>
              </w:rPr>
              <w:t>4.07</w:t>
            </w:r>
          </w:p>
        </w:tc>
        <w:tc>
          <w:tcPr>
            <w:tcW w:w="1071" w:type="dxa"/>
          </w:tcPr>
          <w:p>
            <w:pPr>
              <w:pStyle w:val="TableParagraph"/>
              <w:spacing w:before="107"/>
              <w:ind w:left="129" w:right="242"/>
              <w:jc w:val="center"/>
              <w:rPr>
                <w:sz w:val="24"/>
              </w:rPr>
            </w:pPr>
            <w:r>
              <w:rPr>
                <w:sz w:val="24"/>
              </w:rPr>
              <w:t>6.02</w:t>
            </w:r>
          </w:p>
        </w:tc>
        <w:tc>
          <w:tcPr>
            <w:tcW w:w="1003" w:type="dxa"/>
          </w:tcPr>
          <w:p>
            <w:pPr>
              <w:pStyle w:val="TableParagraph"/>
              <w:spacing w:before="107"/>
              <w:ind w:left="125" w:right="180"/>
              <w:jc w:val="center"/>
              <w:rPr>
                <w:sz w:val="24"/>
              </w:rPr>
            </w:pPr>
            <w:r>
              <w:rPr>
                <w:sz w:val="24"/>
              </w:rPr>
              <w:t>6.53</w:t>
            </w:r>
          </w:p>
        </w:tc>
      </w:tr>
      <w:tr>
        <w:trPr>
          <w:trHeight w:val="637" w:hRule="exact"/>
        </w:trPr>
        <w:tc>
          <w:tcPr>
            <w:tcW w:w="3120" w:type="dxa"/>
          </w:tcPr>
          <w:p>
            <w:pPr>
              <w:pStyle w:val="TableParagraph"/>
              <w:spacing w:before="108"/>
              <w:ind w:left="122"/>
              <w:rPr>
                <w:sz w:val="24"/>
              </w:rPr>
            </w:pPr>
            <w:r>
              <w:rPr>
                <w:sz w:val="24"/>
              </w:rPr>
              <w:t>Otros</w:t>
            </w:r>
          </w:p>
        </w:tc>
        <w:tc>
          <w:tcPr>
            <w:tcW w:w="907" w:type="dxa"/>
          </w:tcPr>
          <w:p>
            <w:pPr>
              <w:pStyle w:val="TableParagraph"/>
              <w:spacing w:before="108"/>
              <w:ind w:left="154" w:right="173"/>
              <w:jc w:val="center"/>
              <w:rPr>
                <w:sz w:val="24"/>
              </w:rPr>
            </w:pPr>
            <w:r>
              <w:rPr>
                <w:sz w:val="24"/>
              </w:rPr>
              <w:t>11.41</w:t>
            </w:r>
          </w:p>
        </w:tc>
        <w:tc>
          <w:tcPr>
            <w:tcW w:w="1002" w:type="dxa"/>
          </w:tcPr>
          <w:p>
            <w:pPr>
              <w:pStyle w:val="TableParagraph"/>
              <w:spacing w:before="108"/>
              <w:ind w:left="194"/>
              <w:rPr>
                <w:sz w:val="24"/>
              </w:rPr>
            </w:pPr>
            <w:r>
              <w:rPr>
                <w:sz w:val="24"/>
              </w:rPr>
              <w:t>3.81</w:t>
            </w:r>
          </w:p>
        </w:tc>
        <w:tc>
          <w:tcPr>
            <w:tcW w:w="1071" w:type="dxa"/>
          </w:tcPr>
          <w:p>
            <w:pPr>
              <w:pStyle w:val="TableParagraph"/>
              <w:spacing w:before="108"/>
              <w:ind w:left="129" w:right="242"/>
              <w:jc w:val="center"/>
              <w:rPr>
                <w:sz w:val="24"/>
              </w:rPr>
            </w:pPr>
            <w:r>
              <w:rPr>
                <w:sz w:val="24"/>
              </w:rPr>
              <w:t>2.53</w:t>
            </w:r>
          </w:p>
        </w:tc>
        <w:tc>
          <w:tcPr>
            <w:tcW w:w="1003" w:type="dxa"/>
          </w:tcPr>
          <w:p>
            <w:pPr>
              <w:pStyle w:val="TableParagraph"/>
              <w:spacing w:before="108"/>
              <w:ind w:left="125" w:right="180"/>
              <w:jc w:val="center"/>
              <w:rPr>
                <w:sz w:val="24"/>
              </w:rPr>
            </w:pPr>
            <w:r>
              <w:rPr>
                <w:sz w:val="24"/>
              </w:rPr>
              <w:t>2.01</w:t>
            </w:r>
          </w:p>
        </w:tc>
      </w:tr>
    </w:tbl>
    <w:p>
      <w:pPr>
        <w:pStyle w:val="BodyText"/>
        <w:spacing w:line="273" w:lineRule="exact"/>
        <w:ind w:left="232"/>
        <w:jc w:val="both"/>
      </w:pPr>
      <w:r>
        <w:rPr/>
        <w:pict>
          <v:group style="position:absolute;margin-left:87.253998pt;margin-top:-.25pt;width:454.1pt;height:.5pt;mso-position-horizontal-relative:page;mso-position-vertical-relative:paragraph;z-index:-128008" coordorigin="1745,-5" coordsize="9082,10">
            <v:line style="position:absolute" from="1750,0" to="4938,0" stroked="true" strokeweight=".48pt" strokecolor="#000000"/>
            <v:line style="position:absolute" from="4923,0" to="4933,0" stroked="true" strokeweight=".48pt" strokecolor="#000000"/>
            <v:line style="position:absolute" from="4933,0" to="5864,0" stroked="true" strokeweight=".48pt" strokecolor="#000000"/>
            <v:line style="position:absolute" from="5850,0" to="5859,0" stroked="true" strokeweight=".48pt" strokecolor="#000000"/>
            <v:line style="position:absolute" from="5859,0" to="6940,0" stroked="true" strokeweight=".48pt" strokecolor="#000000"/>
            <v:line style="position:absolute" from="6925,0" to="6935,0" stroked="true" strokeweight=".48pt" strokecolor="#000000"/>
            <v:line style="position:absolute" from="6935,0" to="8008,0" stroked="true" strokeweight=".48pt" strokecolor="#000000"/>
            <v:line style="position:absolute" from="7993,0" to="8003,0" stroked="true" strokeweight=".48pt" strokecolor="#000000"/>
            <v:line style="position:absolute" from="8003,0" to="9078,0" stroked="true" strokeweight=".48pt" strokecolor="#000000"/>
            <v:line style="position:absolute" from="9064,0" to="9073,0" stroked="true" strokeweight=".48pt" strokecolor="#000000"/>
            <v:line style="position:absolute" from="9073,0" to="9880,0" stroked="true" strokeweight=".48pt" strokecolor="#000000"/>
            <v:line style="position:absolute" from="9866,0" to="9876,0" stroked="true" strokeweight=".48pt" strokecolor="#000000"/>
            <v:line style="position:absolute" from="9876,0" to="10821,0" stroked="true" strokeweight=".48pt" strokecolor="#000000"/>
            <w10:wrap type="none"/>
          </v:group>
        </w:pict>
      </w:r>
      <w:r>
        <w:rPr>
          <w:position w:val="9"/>
          <w:sz w:val="16"/>
        </w:rPr>
        <w:t>†   </w:t>
      </w:r>
      <w:r>
        <w:rPr/>
        <w:t>pTMR-0  =  dieta  completa  mezclada  sin  aceite  de  soya;  pTMR-3  =  dieta   completa</w:t>
      </w:r>
    </w:p>
    <w:p>
      <w:pPr>
        <w:pStyle w:val="BodyText"/>
      </w:pPr>
    </w:p>
    <w:p>
      <w:pPr>
        <w:pStyle w:val="BodyText"/>
        <w:spacing w:line="480" w:lineRule="auto"/>
        <w:ind w:left="232" w:right="232"/>
        <w:jc w:val="both"/>
      </w:pPr>
      <w:r>
        <w:rPr/>
        <w:t>mezclada más 3 % de aceite de soya; pTMR-6 = dieta completa mezclada más 6 % de aceite de</w:t>
      </w:r>
      <w:r>
        <w:rPr>
          <w:spacing w:val="-6"/>
        </w:rPr>
        <w:t> </w:t>
      </w:r>
      <w:r>
        <w:rPr/>
        <w:t>soya.</w:t>
      </w:r>
    </w:p>
    <w:p>
      <w:pPr>
        <w:pStyle w:val="BodyText"/>
        <w:spacing w:line="465" w:lineRule="auto"/>
        <w:ind w:left="232" w:right="226"/>
        <w:jc w:val="both"/>
      </w:pPr>
      <w:r>
        <w:rPr>
          <w:position w:val="9"/>
          <w:sz w:val="16"/>
        </w:rPr>
        <w:t>¶ </w:t>
      </w:r>
      <w:r>
        <w:rPr/>
        <w:t>Valor estimado por la ecuación propuesta por Menke y Steingass (1988). ENL = (9.07- 0.0097*FAD (g kg</w:t>
      </w:r>
      <w:r>
        <w:rPr>
          <w:position w:val="9"/>
          <w:sz w:val="16"/>
        </w:rPr>
        <w:t>-1  </w:t>
      </w:r>
      <w:r>
        <w:rPr/>
        <w:t>MS)). El resultado fue dividido entre 4.184 para obtener Mcal.</w:t>
      </w:r>
    </w:p>
    <w:p>
      <w:pPr>
        <w:pStyle w:val="BodyText"/>
        <w:spacing w:before="8"/>
        <w:ind w:left="1283" w:right="1285"/>
        <w:jc w:val="center"/>
      </w:pPr>
      <w:r>
        <w:rPr/>
        <w:t>Consumo de alimento, producción y composición química de la leche</w:t>
      </w:r>
    </w:p>
    <w:p>
      <w:pPr>
        <w:pStyle w:val="BodyText"/>
        <w:spacing w:before="7"/>
        <w:rPr>
          <w:sz w:val="22"/>
        </w:rPr>
      </w:pPr>
    </w:p>
    <w:p>
      <w:pPr>
        <w:pStyle w:val="BodyText"/>
        <w:spacing w:line="472" w:lineRule="auto"/>
        <w:ind w:left="232" w:right="224" w:firstLine="299"/>
        <w:jc w:val="both"/>
      </w:pPr>
      <w:r>
        <w:rPr/>
        <w:t>No hubo diferencia (p &gt; 0.05) en el consumo de forraje (2.11 kg MS vaca</w:t>
      </w:r>
      <w:r>
        <w:rPr>
          <w:position w:val="9"/>
          <w:sz w:val="16"/>
        </w:rPr>
        <w:t>-1 </w:t>
      </w:r>
      <w:r>
        <w:rPr/>
        <w:t>d</w:t>
      </w:r>
      <w:r>
        <w:rPr>
          <w:position w:val="9"/>
          <w:sz w:val="16"/>
        </w:rPr>
        <w:t>-1</w:t>
      </w:r>
      <w:r>
        <w:rPr/>
        <w:t>) (Cuadro 3). Morales-Almaráz </w:t>
      </w:r>
      <w:r>
        <w:rPr>
          <w:i/>
        </w:rPr>
        <w:t>et al</w:t>
      </w:r>
      <w:r>
        <w:rPr/>
        <w:t>. (2010) reportaron en ganado lechero con12h de acceso a la pradera y una disponibilidad de forraje por vaca de 39.7 kg MS d</w:t>
      </w:r>
      <w:r>
        <w:rPr>
          <w:position w:val="9"/>
          <w:sz w:val="16"/>
        </w:rPr>
        <w:t>-1 </w:t>
      </w:r>
      <w:r>
        <w:rPr/>
        <w:t>un consumo de forraje  de 8.56 kg MS vaca</w:t>
      </w:r>
      <w:r>
        <w:rPr>
          <w:position w:val="9"/>
          <w:sz w:val="16"/>
        </w:rPr>
        <w:t>-1 </w:t>
      </w:r>
      <w:r>
        <w:rPr/>
        <w:t>d</w:t>
      </w:r>
      <w:r>
        <w:rPr>
          <w:position w:val="9"/>
          <w:sz w:val="16"/>
        </w:rPr>
        <w:t>-1 </w:t>
      </w:r>
      <w:r>
        <w:rPr/>
        <w:t>ofertando </w:t>
      </w:r>
      <w:r>
        <w:rPr>
          <w:i/>
        </w:rPr>
        <w:t>ad libitum </w:t>
      </w:r>
      <w:r>
        <w:rPr/>
        <w:t>una TMR a base de ensilado de maíz en la estabulación;</w:t>
      </w:r>
      <w:r>
        <w:rPr>
          <w:spacing w:val="40"/>
        </w:rPr>
        <w:t> </w:t>
      </w:r>
      <w:r>
        <w:rPr/>
        <w:t>Castro-Hernández</w:t>
      </w:r>
      <w:r>
        <w:rPr>
          <w:spacing w:val="41"/>
        </w:rPr>
        <w:t> </w:t>
      </w:r>
      <w:r>
        <w:rPr>
          <w:i/>
        </w:rPr>
        <w:t>et</w:t>
      </w:r>
      <w:r>
        <w:rPr>
          <w:i/>
          <w:spacing w:val="40"/>
        </w:rPr>
        <w:t> </w:t>
      </w:r>
      <w:r>
        <w:rPr>
          <w:i/>
        </w:rPr>
        <w:t>al</w:t>
      </w:r>
      <w:r>
        <w:rPr/>
        <w:t>.</w:t>
      </w:r>
      <w:r>
        <w:rPr>
          <w:spacing w:val="39"/>
        </w:rPr>
        <w:t> </w:t>
      </w:r>
      <w:r>
        <w:rPr/>
        <w:t>(2014)</w:t>
      </w:r>
      <w:r>
        <w:rPr>
          <w:spacing w:val="38"/>
        </w:rPr>
        <w:t> </w:t>
      </w:r>
      <w:r>
        <w:rPr/>
        <w:t>observaron</w:t>
      </w:r>
      <w:r>
        <w:rPr>
          <w:spacing w:val="41"/>
        </w:rPr>
        <w:t> </w:t>
      </w:r>
      <w:r>
        <w:rPr/>
        <w:t>consumos</w:t>
      </w:r>
      <w:r>
        <w:rPr>
          <w:spacing w:val="39"/>
        </w:rPr>
        <w:t> </w:t>
      </w:r>
      <w:r>
        <w:rPr/>
        <w:t>de</w:t>
      </w:r>
      <w:r>
        <w:rPr>
          <w:spacing w:val="38"/>
        </w:rPr>
        <w:t> </w:t>
      </w:r>
      <w:r>
        <w:rPr/>
        <w:t>forraje</w:t>
      </w:r>
      <w:r>
        <w:rPr>
          <w:spacing w:val="39"/>
        </w:rPr>
        <w:t> </w:t>
      </w:r>
      <w:r>
        <w:rPr/>
        <w:t>de</w:t>
      </w:r>
      <w:r>
        <w:rPr>
          <w:spacing w:val="38"/>
        </w:rPr>
        <w:t> </w:t>
      </w:r>
      <w:r>
        <w:rPr/>
        <w:t>3.36</w:t>
      </w:r>
      <w:r>
        <w:rPr>
          <w:spacing w:val="41"/>
        </w:rPr>
        <w:t> </w:t>
      </w:r>
      <w:r>
        <w:rPr/>
        <w:t>y</w:t>
      </w:r>
    </w:p>
    <w:p>
      <w:pPr>
        <w:pStyle w:val="BodyText"/>
        <w:spacing w:line="475" w:lineRule="auto" w:before="3"/>
        <w:ind w:left="232" w:right="230"/>
        <w:jc w:val="both"/>
      </w:pPr>
      <w:r>
        <w:rPr/>
        <w:t>4.63 kg MS vaca</w:t>
      </w:r>
      <w:r>
        <w:rPr>
          <w:position w:val="9"/>
          <w:sz w:val="16"/>
        </w:rPr>
        <w:t>-1 </w:t>
      </w:r>
      <w:r>
        <w:rPr/>
        <w:t>d</w:t>
      </w:r>
      <w:r>
        <w:rPr>
          <w:position w:val="9"/>
          <w:sz w:val="16"/>
        </w:rPr>
        <w:t>-1</w:t>
      </w:r>
      <w:r>
        <w:rPr/>
        <w:t>, al suministrar 4.5 y 2.7 kg MS de concentrado a base de cereales  más ensilado de maíz </w:t>
      </w:r>
      <w:r>
        <w:rPr>
          <w:i/>
        </w:rPr>
        <w:t>ad libitum </w:t>
      </w:r>
      <w:r>
        <w:rPr/>
        <w:t>en estabulación cuando las vacas permanecieron en la pradera 12h con una asignaciòn de forraje de 25kg MS d</w:t>
      </w:r>
      <w:r>
        <w:rPr>
          <w:position w:val="9"/>
          <w:sz w:val="16"/>
        </w:rPr>
        <w:t>-1</w:t>
      </w:r>
      <w:r>
        <w:rPr/>
        <w:t>. En nuestra investigación no se limitó la oferta de TMR a las vacas en el establo, y esto ocasionó que el consumo de forraje en la pradera disminuyera a pesar de permanecer 12 h en la misma con una asignación de  22 kg MS vaca</w:t>
      </w:r>
      <w:r>
        <w:rPr>
          <w:position w:val="9"/>
          <w:sz w:val="16"/>
        </w:rPr>
        <w:t>-1 </w:t>
      </w:r>
      <w:r>
        <w:rPr/>
        <w:t>d</w:t>
      </w:r>
      <w:r>
        <w:rPr>
          <w:position w:val="9"/>
          <w:sz w:val="16"/>
        </w:rPr>
        <w:t>-1</w:t>
      </w:r>
      <w:r>
        <w:rPr/>
        <w:t>. Las vacas lecheras en pastoreo aumentan el consumo de forraje en la pradera cuando se restringe el alimento ofertado en el establo (Palladino </w:t>
      </w:r>
      <w:r>
        <w:rPr>
          <w:i/>
        </w:rPr>
        <w:t>et al</w:t>
      </w:r>
      <w:r>
        <w:rPr/>
        <w:t>.,</w:t>
      </w:r>
      <w:r>
        <w:rPr>
          <w:spacing w:val="-9"/>
        </w:rPr>
        <w:t> </w:t>
      </w:r>
      <w:r>
        <w:rPr/>
        <w:t>2014).</w:t>
      </w:r>
    </w:p>
    <w:p>
      <w:pPr>
        <w:spacing w:after="0" w:line="475" w:lineRule="auto"/>
        <w:jc w:val="both"/>
        <w:sectPr>
          <w:pgSz w:w="12240" w:h="15840"/>
          <w:pgMar w:header="1150" w:footer="1336" w:top="1340" w:bottom="1520" w:left="1640" w:right="1300"/>
        </w:sectPr>
      </w:pPr>
    </w:p>
    <w:p>
      <w:pPr>
        <w:pStyle w:val="BodyText"/>
        <w:rPr>
          <w:sz w:val="20"/>
        </w:rPr>
      </w:pPr>
    </w:p>
    <w:p>
      <w:pPr>
        <w:pStyle w:val="BodyText"/>
        <w:spacing w:before="4"/>
        <w:rPr>
          <w:sz w:val="19"/>
        </w:rPr>
      </w:pPr>
    </w:p>
    <w:p>
      <w:pPr>
        <w:pStyle w:val="BodyText"/>
        <w:ind w:left="512" w:right="328"/>
      </w:pPr>
      <w:r>
        <w:rPr/>
        <w:pict>
          <v:line style="position:absolute;mso-position-horizontal-relative:page;mso-position-vertical-relative:paragraph;z-index:-127984" from="337.48999pt,8.383147pt" to="341.83399pt,8.383147pt" stroked="true" strokeweight=".6pt" strokecolor="#000000">
            <w10:wrap type="none"/>
          </v:line>
        </w:pict>
      </w:r>
      <w:r>
        <w:rPr/>
        <w:t>El consumo de TMR y la ingesta total de MS disminuyeron linealmente (p ≤ 0.05) al</w:t>
      </w:r>
    </w:p>
    <w:p>
      <w:pPr>
        <w:pStyle w:val="BodyText"/>
        <w:spacing w:before="11"/>
        <w:rPr>
          <w:sz w:val="17"/>
        </w:rPr>
      </w:pPr>
    </w:p>
    <w:p>
      <w:pPr>
        <w:pStyle w:val="BodyText"/>
        <w:spacing w:line="480" w:lineRule="auto" w:before="69"/>
        <w:ind w:left="212" w:right="226"/>
        <w:jc w:val="both"/>
      </w:pPr>
      <w:r>
        <w:rPr/>
        <w:t>aumentar el contenido de aceite de soya en la dieta. En nuestro estudio, el consumo de TMR tuvo una relación inversa con el contenido de EE en las dietas; de acuerdo con Chamberlain y Wilkinson (1996), la inclusión de más de 6 % de lípidos insaturados en la dieta puede reducir la actividad microbiana en rumen y se reflejaría en un menor consumo de alimento y menor síntesis de grasa en la</w:t>
      </w:r>
      <w:r>
        <w:rPr>
          <w:spacing w:val="-9"/>
        </w:rPr>
        <w:t> </w:t>
      </w:r>
      <w:r>
        <w:rPr/>
        <w:t>leche.</w:t>
      </w:r>
    </w:p>
    <w:p>
      <w:pPr>
        <w:pStyle w:val="Heading1"/>
        <w:spacing w:line="480" w:lineRule="auto" w:before="15" w:after="14"/>
        <w:ind w:left="1345" w:right="231" w:hanging="1133"/>
        <w:jc w:val="both"/>
      </w:pPr>
      <w:r>
        <w:rPr/>
        <w:t>Cuadro 3. Consumo diario de alimento, producción y composición de la leche de vacas Holstein en pastoreo suplementadas con TMR con diferentes contenidos de aceite de soya.</w:t>
      </w: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3"/>
        <w:gridCol w:w="1099"/>
        <w:gridCol w:w="1132"/>
        <w:gridCol w:w="1266"/>
        <w:gridCol w:w="1144"/>
        <w:gridCol w:w="1036"/>
        <w:gridCol w:w="977"/>
      </w:tblGrid>
      <w:tr>
        <w:trPr>
          <w:trHeight w:val="279" w:hRule="exact"/>
        </w:trPr>
        <w:tc>
          <w:tcPr>
            <w:tcW w:w="5900" w:type="dxa"/>
            <w:gridSpan w:val="4"/>
            <w:tcBorders>
              <w:left w:val="nil"/>
              <w:bottom w:val="nil"/>
              <w:right w:val="nil"/>
            </w:tcBorders>
          </w:tcPr>
          <w:p>
            <w:pPr>
              <w:pStyle w:val="TableParagraph"/>
              <w:spacing w:line="268" w:lineRule="exact"/>
              <w:ind w:left="3502"/>
              <w:rPr>
                <w:sz w:val="16"/>
              </w:rPr>
            </w:pPr>
            <w:r>
              <w:rPr>
                <w:sz w:val="24"/>
              </w:rPr>
              <w:t>Tratamientos</w:t>
            </w:r>
            <w:r>
              <w:rPr>
                <w:position w:val="9"/>
                <w:sz w:val="16"/>
              </w:rPr>
              <w:t>†</w:t>
            </w:r>
          </w:p>
        </w:tc>
        <w:tc>
          <w:tcPr>
            <w:tcW w:w="1144" w:type="dxa"/>
            <w:tcBorders>
              <w:left w:val="nil"/>
              <w:bottom w:val="nil"/>
              <w:right w:val="nil"/>
            </w:tcBorders>
          </w:tcPr>
          <w:p>
            <w:pPr/>
          </w:p>
        </w:tc>
        <w:tc>
          <w:tcPr>
            <w:tcW w:w="2013" w:type="dxa"/>
            <w:gridSpan w:val="2"/>
            <w:tcBorders>
              <w:left w:val="nil"/>
              <w:bottom w:val="nil"/>
              <w:right w:val="nil"/>
            </w:tcBorders>
          </w:tcPr>
          <w:p>
            <w:pPr>
              <w:pStyle w:val="TableParagraph"/>
              <w:spacing w:line="268" w:lineRule="exact"/>
              <w:ind w:left="603" w:right="-36"/>
              <w:rPr>
                <w:sz w:val="16"/>
              </w:rPr>
            </w:pPr>
            <w:r>
              <w:rPr>
                <w:sz w:val="24"/>
              </w:rPr>
              <w:t>Efectos</w:t>
            </w:r>
            <w:r>
              <w:rPr>
                <w:position w:val="9"/>
                <w:sz w:val="16"/>
              </w:rPr>
              <w:t>§</w:t>
            </w:r>
          </w:p>
        </w:tc>
      </w:tr>
      <w:tr>
        <w:trPr>
          <w:trHeight w:val="304" w:hRule="exact"/>
        </w:trPr>
        <w:tc>
          <w:tcPr>
            <w:tcW w:w="7044" w:type="dxa"/>
            <w:gridSpan w:val="5"/>
            <w:tcBorders>
              <w:top w:val="nil"/>
              <w:left w:val="nil"/>
              <w:bottom w:val="nil"/>
              <w:right w:val="nil"/>
            </w:tcBorders>
          </w:tcPr>
          <w:p>
            <w:pPr>
              <w:pStyle w:val="TableParagraph"/>
              <w:tabs>
                <w:tab w:pos="6031" w:val="left" w:leader="none"/>
              </w:tabs>
              <w:spacing w:line="284" w:lineRule="exact"/>
              <w:ind w:left="2376"/>
              <w:rPr>
                <w:sz w:val="16"/>
              </w:rPr>
            </w:pPr>
            <w:r>
              <w:rPr>
                <w:sz w:val="24"/>
                <w:u w:val="single"/>
              </w:rPr>
              <w:t> </w:t>
              <w:tab/>
            </w:r>
            <w:r>
              <w:rPr>
                <w:sz w:val="24"/>
              </w:rPr>
              <w:t>  </w:t>
            </w:r>
            <w:r>
              <w:rPr>
                <w:spacing w:val="9"/>
                <w:sz w:val="24"/>
              </w:rPr>
              <w:t> </w:t>
            </w:r>
            <w:r>
              <w:rPr>
                <w:sz w:val="24"/>
              </w:rPr>
              <w:t>EEM</w:t>
            </w:r>
            <w:r>
              <w:rPr>
                <w:position w:val="9"/>
                <w:sz w:val="16"/>
              </w:rPr>
              <w:t>¶</w:t>
            </w:r>
          </w:p>
        </w:tc>
        <w:tc>
          <w:tcPr>
            <w:tcW w:w="2013" w:type="dxa"/>
            <w:gridSpan w:val="2"/>
            <w:tcBorders>
              <w:top w:val="nil"/>
              <w:left w:val="nil"/>
              <w:bottom w:val="nil"/>
              <w:right w:val="nil"/>
            </w:tcBorders>
          </w:tcPr>
          <w:p>
            <w:pPr>
              <w:pStyle w:val="TableParagraph"/>
              <w:tabs>
                <w:tab w:pos="2048" w:val="left" w:leader="none"/>
              </w:tabs>
              <w:spacing w:line="175" w:lineRule="exact"/>
              <w:ind w:left="1" w:right="-36"/>
              <w:rPr>
                <w:sz w:val="16"/>
              </w:rPr>
            </w:pPr>
            <w:r>
              <w:rPr>
                <w:w w:val="100"/>
                <w:sz w:val="16"/>
                <w:u w:val="single"/>
              </w:rPr>
              <w:t> </w:t>
            </w:r>
            <w:r>
              <w:rPr>
                <w:sz w:val="16"/>
                <w:u w:val="single"/>
              </w:rPr>
              <w:tab/>
            </w:r>
          </w:p>
        </w:tc>
      </w:tr>
      <w:tr>
        <w:trPr>
          <w:trHeight w:val="559" w:hRule="exact"/>
        </w:trPr>
        <w:tc>
          <w:tcPr>
            <w:tcW w:w="2403" w:type="dxa"/>
            <w:tcBorders>
              <w:top w:val="nil"/>
              <w:left w:val="nil"/>
              <w:right w:val="nil"/>
            </w:tcBorders>
          </w:tcPr>
          <w:p>
            <w:pPr/>
          </w:p>
        </w:tc>
        <w:tc>
          <w:tcPr>
            <w:tcW w:w="1099" w:type="dxa"/>
            <w:tcBorders>
              <w:top w:val="nil"/>
              <w:left w:val="nil"/>
              <w:right w:val="nil"/>
            </w:tcBorders>
          </w:tcPr>
          <w:p>
            <w:pPr>
              <w:pStyle w:val="TableParagraph"/>
              <w:spacing w:line="273" w:lineRule="exact"/>
              <w:ind w:right="175"/>
              <w:jc w:val="right"/>
              <w:rPr>
                <w:sz w:val="24"/>
              </w:rPr>
            </w:pPr>
            <w:r>
              <w:rPr>
                <w:sz w:val="24"/>
              </w:rPr>
              <w:t>pTMR-0</w:t>
            </w:r>
          </w:p>
        </w:tc>
        <w:tc>
          <w:tcPr>
            <w:tcW w:w="1132" w:type="dxa"/>
            <w:tcBorders>
              <w:top w:val="nil"/>
              <w:left w:val="nil"/>
              <w:right w:val="nil"/>
            </w:tcBorders>
          </w:tcPr>
          <w:p>
            <w:pPr>
              <w:pStyle w:val="TableParagraph"/>
              <w:spacing w:line="273" w:lineRule="exact"/>
              <w:ind w:left="157" w:right="94"/>
              <w:jc w:val="center"/>
              <w:rPr>
                <w:sz w:val="24"/>
              </w:rPr>
            </w:pPr>
            <w:r>
              <w:rPr>
                <w:sz w:val="24"/>
              </w:rPr>
              <w:t>pTMR-3</w:t>
            </w:r>
          </w:p>
        </w:tc>
        <w:tc>
          <w:tcPr>
            <w:tcW w:w="1266" w:type="dxa"/>
            <w:tcBorders>
              <w:top w:val="nil"/>
              <w:left w:val="nil"/>
              <w:right w:val="nil"/>
            </w:tcBorders>
          </w:tcPr>
          <w:p>
            <w:pPr>
              <w:pStyle w:val="TableParagraph"/>
              <w:spacing w:line="273" w:lineRule="exact"/>
              <w:ind w:right="309"/>
              <w:jc w:val="right"/>
              <w:rPr>
                <w:sz w:val="24"/>
              </w:rPr>
            </w:pPr>
            <w:r>
              <w:rPr>
                <w:sz w:val="24"/>
              </w:rPr>
              <w:t>pTMR-6</w:t>
            </w:r>
          </w:p>
        </w:tc>
        <w:tc>
          <w:tcPr>
            <w:tcW w:w="1144" w:type="dxa"/>
            <w:tcBorders>
              <w:top w:val="nil"/>
              <w:left w:val="nil"/>
              <w:right w:val="nil"/>
            </w:tcBorders>
          </w:tcPr>
          <w:p>
            <w:pPr/>
          </w:p>
        </w:tc>
        <w:tc>
          <w:tcPr>
            <w:tcW w:w="1036" w:type="dxa"/>
            <w:tcBorders>
              <w:top w:val="nil"/>
              <w:left w:val="nil"/>
              <w:right w:val="nil"/>
            </w:tcBorders>
          </w:tcPr>
          <w:p>
            <w:pPr>
              <w:pStyle w:val="TableParagraph"/>
              <w:spacing w:line="270" w:lineRule="exact"/>
              <w:ind w:left="29"/>
              <w:jc w:val="center"/>
              <w:rPr>
                <w:sz w:val="24"/>
              </w:rPr>
            </w:pPr>
            <w:r>
              <w:rPr>
                <w:sz w:val="24"/>
              </w:rPr>
              <w:t>L</w:t>
            </w:r>
          </w:p>
        </w:tc>
        <w:tc>
          <w:tcPr>
            <w:tcW w:w="977" w:type="dxa"/>
            <w:tcBorders>
              <w:top w:val="nil"/>
              <w:left w:val="nil"/>
              <w:right w:val="nil"/>
            </w:tcBorders>
          </w:tcPr>
          <w:p>
            <w:pPr>
              <w:pStyle w:val="TableParagraph"/>
              <w:spacing w:line="270" w:lineRule="exact"/>
              <w:ind w:left="27"/>
              <w:jc w:val="center"/>
              <w:rPr>
                <w:sz w:val="24"/>
              </w:rPr>
            </w:pPr>
            <w:r>
              <w:rPr>
                <w:w w:val="99"/>
                <w:sz w:val="24"/>
              </w:rPr>
              <w:t>Q</w:t>
            </w:r>
          </w:p>
        </w:tc>
      </w:tr>
      <w:tr>
        <w:trPr>
          <w:trHeight w:val="410" w:hRule="exact"/>
        </w:trPr>
        <w:tc>
          <w:tcPr>
            <w:tcW w:w="2403" w:type="dxa"/>
            <w:tcBorders>
              <w:left w:val="nil"/>
              <w:bottom w:val="nil"/>
              <w:right w:val="nil"/>
            </w:tcBorders>
          </w:tcPr>
          <w:p>
            <w:pPr>
              <w:pStyle w:val="TableParagraph"/>
              <w:spacing w:line="268" w:lineRule="exact"/>
              <w:ind w:left="107"/>
              <w:rPr>
                <w:sz w:val="16"/>
              </w:rPr>
            </w:pPr>
            <w:r>
              <w:rPr>
                <w:sz w:val="24"/>
              </w:rPr>
              <w:t>CMS</w:t>
            </w:r>
            <w:r>
              <w:rPr>
                <w:position w:val="9"/>
                <w:sz w:val="16"/>
              </w:rPr>
              <w:t>Þ </w:t>
            </w:r>
            <w:r>
              <w:rPr>
                <w:sz w:val="24"/>
              </w:rPr>
              <w:t>TMR, kg d</w:t>
            </w:r>
            <w:r>
              <w:rPr>
                <w:position w:val="9"/>
                <w:sz w:val="16"/>
              </w:rPr>
              <w:t>-1</w:t>
            </w:r>
          </w:p>
        </w:tc>
        <w:tc>
          <w:tcPr>
            <w:tcW w:w="1099" w:type="dxa"/>
            <w:tcBorders>
              <w:left w:val="nil"/>
              <w:bottom w:val="nil"/>
              <w:right w:val="nil"/>
            </w:tcBorders>
          </w:tcPr>
          <w:p>
            <w:pPr>
              <w:pStyle w:val="TableParagraph"/>
              <w:spacing w:line="268" w:lineRule="exact"/>
              <w:ind w:right="219"/>
              <w:jc w:val="right"/>
              <w:rPr>
                <w:sz w:val="16"/>
              </w:rPr>
            </w:pPr>
            <w:r>
              <w:rPr>
                <w:sz w:val="24"/>
              </w:rPr>
              <w:t>15.44</w:t>
            </w:r>
            <w:r>
              <w:rPr>
                <w:position w:val="9"/>
                <w:sz w:val="16"/>
              </w:rPr>
              <w:t>a</w:t>
            </w:r>
          </w:p>
        </w:tc>
        <w:tc>
          <w:tcPr>
            <w:tcW w:w="1132" w:type="dxa"/>
            <w:tcBorders>
              <w:left w:val="nil"/>
              <w:bottom w:val="nil"/>
              <w:right w:val="nil"/>
            </w:tcBorders>
          </w:tcPr>
          <w:p>
            <w:pPr>
              <w:pStyle w:val="TableParagraph"/>
              <w:spacing w:line="268" w:lineRule="exact"/>
              <w:ind w:left="157" w:right="82"/>
              <w:jc w:val="center"/>
              <w:rPr>
                <w:sz w:val="16"/>
              </w:rPr>
            </w:pPr>
            <w:r>
              <w:rPr>
                <w:sz w:val="24"/>
              </w:rPr>
              <w:t>15.11</w:t>
            </w:r>
            <w:r>
              <w:rPr>
                <w:position w:val="9"/>
                <w:sz w:val="16"/>
              </w:rPr>
              <w:t>ab</w:t>
            </w:r>
          </w:p>
        </w:tc>
        <w:tc>
          <w:tcPr>
            <w:tcW w:w="1266" w:type="dxa"/>
            <w:tcBorders>
              <w:left w:val="nil"/>
              <w:bottom w:val="nil"/>
              <w:right w:val="nil"/>
            </w:tcBorders>
          </w:tcPr>
          <w:p>
            <w:pPr>
              <w:pStyle w:val="TableParagraph"/>
              <w:spacing w:line="268" w:lineRule="exact"/>
              <w:ind w:right="279"/>
              <w:jc w:val="right"/>
              <w:rPr>
                <w:sz w:val="16"/>
              </w:rPr>
            </w:pPr>
            <w:r>
              <w:rPr>
                <w:sz w:val="24"/>
              </w:rPr>
              <w:t>13.21</w:t>
            </w:r>
            <w:r>
              <w:rPr>
                <w:position w:val="9"/>
                <w:sz w:val="16"/>
              </w:rPr>
              <w:t>b</w:t>
            </w:r>
          </w:p>
        </w:tc>
        <w:tc>
          <w:tcPr>
            <w:tcW w:w="1144" w:type="dxa"/>
            <w:tcBorders>
              <w:left w:val="nil"/>
              <w:bottom w:val="nil"/>
              <w:right w:val="nil"/>
            </w:tcBorders>
          </w:tcPr>
          <w:p>
            <w:pPr>
              <w:pStyle w:val="TableParagraph"/>
              <w:spacing w:line="268" w:lineRule="exact"/>
              <w:ind w:right="200"/>
              <w:jc w:val="right"/>
              <w:rPr>
                <w:sz w:val="24"/>
              </w:rPr>
            </w:pPr>
            <w:r>
              <w:rPr>
                <w:sz w:val="24"/>
              </w:rPr>
              <w:t>0.4668</w:t>
            </w:r>
          </w:p>
        </w:tc>
        <w:tc>
          <w:tcPr>
            <w:tcW w:w="1036" w:type="dxa"/>
            <w:tcBorders>
              <w:left w:val="nil"/>
              <w:bottom w:val="nil"/>
              <w:right w:val="nil"/>
            </w:tcBorders>
          </w:tcPr>
          <w:p>
            <w:pPr>
              <w:pStyle w:val="TableParagraph"/>
              <w:spacing w:line="268" w:lineRule="exact"/>
              <w:ind w:left="182" w:right="153"/>
              <w:jc w:val="center"/>
              <w:rPr>
                <w:sz w:val="24"/>
              </w:rPr>
            </w:pPr>
            <w:r>
              <w:rPr>
                <w:sz w:val="24"/>
              </w:rPr>
              <w:t>0.0147</w:t>
            </w:r>
          </w:p>
        </w:tc>
        <w:tc>
          <w:tcPr>
            <w:tcW w:w="977" w:type="dxa"/>
            <w:tcBorders>
              <w:left w:val="nil"/>
              <w:bottom w:val="nil"/>
              <w:right w:val="nil"/>
            </w:tcBorders>
          </w:tcPr>
          <w:p>
            <w:pPr>
              <w:pStyle w:val="TableParagraph"/>
              <w:spacing w:line="268" w:lineRule="exact"/>
              <w:ind w:left="153" w:right="124"/>
              <w:jc w:val="center"/>
              <w:rPr>
                <w:sz w:val="24"/>
              </w:rPr>
            </w:pPr>
            <w:r>
              <w:rPr>
                <w:sz w:val="24"/>
              </w:rPr>
              <w:t>0.2206</w:t>
            </w:r>
          </w:p>
        </w:tc>
      </w:tr>
      <w:tr>
        <w:trPr>
          <w:trHeight w:val="552" w:hRule="exact"/>
        </w:trPr>
        <w:tc>
          <w:tcPr>
            <w:tcW w:w="2403" w:type="dxa"/>
            <w:tcBorders>
              <w:top w:val="nil"/>
              <w:left w:val="nil"/>
              <w:bottom w:val="nil"/>
              <w:right w:val="nil"/>
            </w:tcBorders>
          </w:tcPr>
          <w:p>
            <w:pPr>
              <w:pStyle w:val="TableParagraph"/>
              <w:spacing w:before="123"/>
              <w:ind w:left="107"/>
              <w:rPr>
                <w:sz w:val="16"/>
              </w:rPr>
            </w:pPr>
            <w:r>
              <w:rPr>
                <w:sz w:val="24"/>
              </w:rPr>
              <w:t>CMS Forraje, kg d</w:t>
            </w:r>
            <w:r>
              <w:rPr>
                <w:position w:val="9"/>
                <w:sz w:val="16"/>
              </w:rPr>
              <w:t>-1¤</w:t>
            </w:r>
          </w:p>
        </w:tc>
        <w:tc>
          <w:tcPr>
            <w:tcW w:w="1099" w:type="dxa"/>
            <w:tcBorders>
              <w:top w:val="nil"/>
              <w:left w:val="nil"/>
              <w:bottom w:val="nil"/>
              <w:right w:val="nil"/>
            </w:tcBorders>
          </w:tcPr>
          <w:p>
            <w:pPr>
              <w:pStyle w:val="TableParagraph"/>
              <w:spacing w:before="138"/>
              <w:ind w:left="362"/>
              <w:rPr>
                <w:sz w:val="24"/>
              </w:rPr>
            </w:pPr>
            <w:r>
              <w:rPr>
                <w:sz w:val="24"/>
              </w:rPr>
              <w:t>1.94</w:t>
            </w:r>
          </w:p>
        </w:tc>
        <w:tc>
          <w:tcPr>
            <w:tcW w:w="1132" w:type="dxa"/>
            <w:tcBorders>
              <w:top w:val="nil"/>
              <w:left w:val="nil"/>
              <w:bottom w:val="nil"/>
              <w:right w:val="nil"/>
            </w:tcBorders>
          </w:tcPr>
          <w:p>
            <w:pPr>
              <w:pStyle w:val="TableParagraph"/>
              <w:spacing w:before="138"/>
              <w:ind w:left="157" w:right="82"/>
              <w:jc w:val="center"/>
              <w:rPr>
                <w:sz w:val="24"/>
              </w:rPr>
            </w:pPr>
            <w:r>
              <w:rPr>
                <w:sz w:val="24"/>
              </w:rPr>
              <w:t>2.01</w:t>
            </w:r>
          </w:p>
        </w:tc>
        <w:tc>
          <w:tcPr>
            <w:tcW w:w="1266" w:type="dxa"/>
            <w:tcBorders>
              <w:top w:val="nil"/>
              <w:left w:val="nil"/>
              <w:bottom w:val="nil"/>
              <w:right w:val="nil"/>
            </w:tcBorders>
          </w:tcPr>
          <w:p>
            <w:pPr>
              <w:pStyle w:val="TableParagraph"/>
              <w:spacing w:before="138"/>
              <w:ind w:left="462"/>
              <w:rPr>
                <w:sz w:val="24"/>
              </w:rPr>
            </w:pPr>
            <w:r>
              <w:rPr>
                <w:sz w:val="24"/>
              </w:rPr>
              <w:t>2.39</w:t>
            </w:r>
          </w:p>
        </w:tc>
        <w:tc>
          <w:tcPr>
            <w:tcW w:w="1144" w:type="dxa"/>
            <w:tcBorders>
              <w:top w:val="nil"/>
              <w:left w:val="nil"/>
              <w:bottom w:val="nil"/>
              <w:right w:val="nil"/>
            </w:tcBorders>
          </w:tcPr>
          <w:p>
            <w:pPr>
              <w:pStyle w:val="TableParagraph"/>
              <w:spacing w:before="138"/>
              <w:ind w:right="200"/>
              <w:jc w:val="right"/>
              <w:rPr>
                <w:sz w:val="24"/>
              </w:rPr>
            </w:pPr>
            <w:r>
              <w:rPr>
                <w:sz w:val="24"/>
              </w:rPr>
              <w:t>0.6265</w:t>
            </w:r>
          </w:p>
        </w:tc>
        <w:tc>
          <w:tcPr>
            <w:tcW w:w="1036" w:type="dxa"/>
            <w:tcBorders>
              <w:top w:val="nil"/>
              <w:left w:val="nil"/>
              <w:bottom w:val="nil"/>
              <w:right w:val="nil"/>
            </w:tcBorders>
          </w:tcPr>
          <w:p>
            <w:pPr>
              <w:pStyle w:val="TableParagraph"/>
              <w:spacing w:before="138"/>
              <w:ind w:left="182" w:right="153"/>
              <w:jc w:val="center"/>
              <w:rPr>
                <w:sz w:val="24"/>
              </w:rPr>
            </w:pPr>
            <w:r>
              <w:rPr>
                <w:sz w:val="24"/>
              </w:rPr>
              <w:t>0.6272</w:t>
            </w:r>
          </w:p>
        </w:tc>
        <w:tc>
          <w:tcPr>
            <w:tcW w:w="977" w:type="dxa"/>
            <w:tcBorders>
              <w:top w:val="nil"/>
              <w:left w:val="nil"/>
              <w:bottom w:val="nil"/>
              <w:right w:val="nil"/>
            </w:tcBorders>
          </w:tcPr>
          <w:p>
            <w:pPr>
              <w:pStyle w:val="TableParagraph"/>
              <w:spacing w:before="138"/>
              <w:ind w:left="153" w:right="124"/>
              <w:jc w:val="center"/>
              <w:rPr>
                <w:sz w:val="24"/>
              </w:rPr>
            </w:pPr>
            <w:r>
              <w:rPr>
                <w:sz w:val="24"/>
              </w:rPr>
              <w:t>0.8563</w:t>
            </w:r>
          </w:p>
        </w:tc>
      </w:tr>
      <w:tr>
        <w:trPr>
          <w:trHeight w:val="552" w:hRule="exact"/>
        </w:trPr>
        <w:tc>
          <w:tcPr>
            <w:tcW w:w="2403" w:type="dxa"/>
            <w:tcBorders>
              <w:top w:val="nil"/>
              <w:left w:val="nil"/>
              <w:bottom w:val="nil"/>
              <w:right w:val="nil"/>
            </w:tcBorders>
          </w:tcPr>
          <w:p>
            <w:pPr>
              <w:pStyle w:val="TableParagraph"/>
              <w:spacing w:before="123"/>
              <w:ind w:left="107"/>
              <w:rPr>
                <w:sz w:val="16"/>
              </w:rPr>
            </w:pPr>
            <w:r>
              <w:rPr>
                <w:sz w:val="24"/>
              </w:rPr>
              <w:t>CMS Total, kg d</w:t>
            </w:r>
            <w:r>
              <w:rPr>
                <w:position w:val="9"/>
                <w:sz w:val="16"/>
              </w:rPr>
              <w:t>-1</w:t>
            </w:r>
          </w:p>
        </w:tc>
        <w:tc>
          <w:tcPr>
            <w:tcW w:w="1099" w:type="dxa"/>
            <w:tcBorders>
              <w:top w:val="nil"/>
              <w:left w:val="nil"/>
              <w:bottom w:val="nil"/>
              <w:right w:val="nil"/>
            </w:tcBorders>
          </w:tcPr>
          <w:p>
            <w:pPr>
              <w:pStyle w:val="TableParagraph"/>
              <w:spacing w:before="123"/>
              <w:ind w:right="219"/>
              <w:jc w:val="right"/>
              <w:rPr>
                <w:sz w:val="16"/>
              </w:rPr>
            </w:pPr>
            <w:r>
              <w:rPr>
                <w:sz w:val="24"/>
              </w:rPr>
              <w:t>17.38</w:t>
            </w:r>
            <w:r>
              <w:rPr>
                <w:position w:val="9"/>
                <w:sz w:val="16"/>
              </w:rPr>
              <w:t>a</w:t>
            </w:r>
          </w:p>
        </w:tc>
        <w:tc>
          <w:tcPr>
            <w:tcW w:w="1132" w:type="dxa"/>
            <w:tcBorders>
              <w:top w:val="nil"/>
              <w:left w:val="nil"/>
              <w:bottom w:val="nil"/>
              <w:right w:val="nil"/>
            </w:tcBorders>
          </w:tcPr>
          <w:p>
            <w:pPr>
              <w:pStyle w:val="TableParagraph"/>
              <w:spacing w:before="123"/>
              <w:ind w:left="157" w:right="83"/>
              <w:jc w:val="center"/>
              <w:rPr>
                <w:sz w:val="16"/>
              </w:rPr>
            </w:pPr>
            <w:r>
              <w:rPr>
                <w:sz w:val="24"/>
              </w:rPr>
              <w:t>17.12</w:t>
            </w:r>
            <w:r>
              <w:rPr>
                <w:position w:val="9"/>
                <w:sz w:val="16"/>
              </w:rPr>
              <w:t>a</w:t>
            </w:r>
          </w:p>
        </w:tc>
        <w:tc>
          <w:tcPr>
            <w:tcW w:w="1266" w:type="dxa"/>
            <w:tcBorders>
              <w:top w:val="nil"/>
              <w:left w:val="nil"/>
              <w:bottom w:val="nil"/>
              <w:right w:val="nil"/>
            </w:tcBorders>
          </w:tcPr>
          <w:p>
            <w:pPr>
              <w:pStyle w:val="TableParagraph"/>
              <w:spacing w:before="123"/>
              <w:ind w:right="279"/>
              <w:jc w:val="right"/>
              <w:rPr>
                <w:sz w:val="16"/>
              </w:rPr>
            </w:pPr>
            <w:r>
              <w:rPr>
                <w:sz w:val="24"/>
              </w:rPr>
              <w:t>15.60</w:t>
            </w:r>
            <w:r>
              <w:rPr>
                <w:position w:val="9"/>
                <w:sz w:val="16"/>
              </w:rPr>
              <w:t>b</w:t>
            </w:r>
          </w:p>
        </w:tc>
        <w:tc>
          <w:tcPr>
            <w:tcW w:w="1144" w:type="dxa"/>
            <w:tcBorders>
              <w:top w:val="nil"/>
              <w:left w:val="nil"/>
              <w:bottom w:val="nil"/>
              <w:right w:val="nil"/>
            </w:tcBorders>
          </w:tcPr>
          <w:p>
            <w:pPr>
              <w:pStyle w:val="TableParagraph"/>
              <w:spacing w:before="138"/>
              <w:ind w:right="200"/>
              <w:jc w:val="right"/>
              <w:rPr>
                <w:sz w:val="24"/>
              </w:rPr>
            </w:pPr>
            <w:r>
              <w:rPr>
                <w:sz w:val="24"/>
              </w:rPr>
              <w:t>0.3134</w:t>
            </w:r>
          </w:p>
        </w:tc>
        <w:tc>
          <w:tcPr>
            <w:tcW w:w="1036" w:type="dxa"/>
            <w:tcBorders>
              <w:top w:val="nil"/>
              <w:left w:val="nil"/>
              <w:bottom w:val="nil"/>
              <w:right w:val="nil"/>
            </w:tcBorders>
          </w:tcPr>
          <w:p>
            <w:pPr>
              <w:pStyle w:val="TableParagraph"/>
              <w:spacing w:before="138"/>
              <w:ind w:left="182" w:right="153"/>
              <w:jc w:val="center"/>
              <w:rPr>
                <w:sz w:val="24"/>
              </w:rPr>
            </w:pPr>
            <w:r>
              <w:rPr>
                <w:sz w:val="24"/>
              </w:rPr>
              <w:t>0.0069</w:t>
            </w:r>
          </w:p>
        </w:tc>
        <w:tc>
          <w:tcPr>
            <w:tcW w:w="977" w:type="dxa"/>
            <w:tcBorders>
              <w:top w:val="nil"/>
              <w:left w:val="nil"/>
              <w:bottom w:val="nil"/>
              <w:right w:val="nil"/>
            </w:tcBorders>
          </w:tcPr>
          <w:p>
            <w:pPr>
              <w:pStyle w:val="TableParagraph"/>
              <w:spacing w:before="138"/>
              <w:ind w:left="153" w:right="124"/>
              <w:jc w:val="center"/>
              <w:rPr>
                <w:sz w:val="24"/>
              </w:rPr>
            </w:pPr>
            <w:r>
              <w:rPr>
                <w:sz w:val="24"/>
              </w:rPr>
              <w:t>0.1487</w:t>
            </w:r>
          </w:p>
        </w:tc>
      </w:tr>
      <w:tr>
        <w:trPr>
          <w:trHeight w:val="552" w:hRule="exact"/>
        </w:trPr>
        <w:tc>
          <w:tcPr>
            <w:tcW w:w="2403" w:type="dxa"/>
            <w:tcBorders>
              <w:top w:val="nil"/>
              <w:left w:val="nil"/>
              <w:bottom w:val="nil"/>
              <w:right w:val="nil"/>
            </w:tcBorders>
          </w:tcPr>
          <w:p>
            <w:pPr>
              <w:pStyle w:val="TableParagraph"/>
              <w:spacing w:before="138"/>
              <w:ind w:left="107"/>
              <w:rPr>
                <w:sz w:val="24"/>
              </w:rPr>
            </w:pPr>
            <w:r>
              <w:rPr>
                <w:sz w:val="24"/>
              </w:rPr>
              <w:t>CMS, % peso vivo</w:t>
            </w:r>
          </w:p>
        </w:tc>
        <w:tc>
          <w:tcPr>
            <w:tcW w:w="1099" w:type="dxa"/>
            <w:tcBorders>
              <w:top w:val="nil"/>
              <w:left w:val="nil"/>
              <w:bottom w:val="nil"/>
              <w:right w:val="nil"/>
            </w:tcBorders>
          </w:tcPr>
          <w:p>
            <w:pPr>
              <w:pStyle w:val="TableParagraph"/>
              <w:spacing w:before="123"/>
              <w:ind w:left="326"/>
              <w:rPr>
                <w:sz w:val="16"/>
              </w:rPr>
            </w:pPr>
            <w:r>
              <w:rPr>
                <w:sz w:val="24"/>
              </w:rPr>
              <w:t>2.87</w:t>
            </w:r>
            <w:r>
              <w:rPr>
                <w:position w:val="9"/>
                <w:sz w:val="16"/>
              </w:rPr>
              <w:t>a</w:t>
            </w:r>
          </w:p>
        </w:tc>
        <w:tc>
          <w:tcPr>
            <w:tcW w:w="1132" w:type="dxa"/>
            <w:tcBorders>
              <w:top w:val="nil"/>
              <w:left w:val="nil"/>
              <w:bottom w:val="nil"/>
              <w:right w:val="nil"/>
            </w:tcBorders>
          </w:tcPr>
          <w:p>
            <w:pPr>
              <w:pStyle w:val="TableParagraph"/>
              <w:spacing w:before="123"/>
              <w:ind w:left="157" w:right="83"/>
              <w:jc w:val="center"/>
              <w:rPr>
                <w:sz w:val="16"/>
              </w:rPr>
            </w:pPr>
            <w:r>
              <w:rPr>
                <w:sz w:val="24"/>
              </w:rPr>
              <w:t>2.79</w:t>
            </w:r>
            <w:r>
              <w:rPr>
                <w:position w:val="9"/>
                <w:sz w:val="16"/>
              </w:rPr>
              <w:t>a</w:t>
            </w:r>
          </w:p>
        </w:tc>
        <w:tc>
          <w:tcPr>
            <w:tcW w:w="1266" w:type="dxa"/>
            <w:tcBorders>
              <w:top w:val="nil"/>
              <w:left w:val="nil"/>
              <w:bottom w:val="nil"/>
              <w:right w:val="nil"/>
            </w:tcBorders>
          </w:tcPr>
          <w:p>
            <w:pPr>
              <w:pStyle w:val="TableParagraph"/>
              <w:spacing w:before="123"/>
              <w:ind w:right="339"/>
              <w:jc w:val="right"/>
              <w:rPr>
                <w:sz w:val="16"/>
              </w:rPr>
            </w:pPr>
            <w:r>
              <w:rPr>
                <w:sz w:val="24"/>
              </w:rPr>
              <w:t>2.58</w:t>
            </w:r>
            <w:r>
              <w:rPr>
                <w:position w:val="9"/>
                <w:sz w:val="16"/>
              </w:rPr>
              <w:t>b</w:t>
            </w:r>
          </w:p>
        </w:tc>
        <w:tc>
          <w:tcPr>
            <w:tcW w:w="1144" w:type="dxa"/>
            <w:tcBorders>
              <w:top w:val="nil"/>
              <w:left w:val="nil"/>
              <w:bottom w:val="nil"/>
              <w:right w:val="nil"/>
            </w:tcBorders>
          </w:tcPr>
          <w:p>
            <w:pPr>
              <w:pStyle w:val="TableParagraph"/>
              <w:spacing w:before="138"/>
              <w:ind w:right="200"/>
              <w:jc w:val="right"/>
              <w:rPr>
                <w:sz w:val="24"/>
              </w:rPr>
            </w:pPr>
            <w:r>
              <w:rPr>
                <w:sz w:val="24"/>
              </w:rPr>
              <w:t>0.0476</w:t>
            </w:r>
          </w:p>
        </w:tc>
        <w:tc>
          <w:tcPr>
            <w:tcW w:w="1036" w:type="dxa"/>
            <w:tcBorders>
              <w:top w:val="nil"/>
              <w:left w:val="nil"/>
              <w:bottom w:val="nil"/>
              <w:right w:val="nil"/>
            </w:tcBorders>
          </w:tcPr>
          <w:p>
            <w:pPr>
              <w:pStyle w:val="TableParagraph"/>
              <w:spacing w:before="138"/>
              <w:ind w:left="182" w:right="153"/>
              <w:jc w:val="center"/>
              <w:rPr>
                <w:sz w:val="24"/>
              </w:rPr>
            </w:pPr>
            <w:r>
              <w:rPr>
                <w:sz w:val="24"/>
              </w:rPr>
              <w:t>0.0049</w:t>
            </w:r>
          </w:p>
        </w:tc>
        <w:tc>
          <w:tcPr>
            <w:tcW w:w="977" w:type="dxa"/>
            <w:tcBorders>
              <w:top w:val="nil"/>
              <w:left w:val="nil"/>
              <w:bottom w:val="nil"/>
              <w:right w:val="nil"/>
            </w:tcBorders>
          </w:tcPr>
          <w:p>
            <w:pPr>
              <w:pStyle w:val="TableParagraph"/>
              <w:spacing w:before="138"/>
              <w:ind w:left="153" w:right="124"/>
              <w:jc w:val="center"/>
              <w:rPr>
                <w:sz w:val="24"/>
              </w:rPr>
            </w:pPr>
            <w:r>
              <w:rPr>
                <w:sz w:val="24"/>
              </w:rPr>
              <w:t>0.3024</w:t>
            </w:r>
          </w:p>
        </w:tc>
      </w:tr>
      <w:tr>
        <w:trPr>
          <w:trHeight w:val="552" w:hRule="exact"/>
        </w:trPr>
        <w:tc>
          <w:tcPr>
            <w:tcW w:w="2403" w:type="dxa"/>
            <w:tcBorders>
              <w:top w:val="nil"/>
              <w:left w:val="nil"/>
              <w:bottom w:val="nil"/>
              <w:right w:val="nil"/>
            </w:tcBorders>
          </w:tcPr>
          <w:p>
            <w:pPr>
              <w:pStyle w:val="TableParagraph"/>
              <w:spacing w:before="138"/>
              <w:ind w:left="107"/>
              <w:rPr>
                <w:sz w:val="24"/>
              </w:rPr>
            </w:pPr>
            <w:r>
              <w:rPr>
                <w:sz w:val="24"/>
              </w:rPr>
              <w:t>Eficiencia alimenticia</w:t>
            </w:r>
          </w:p>
        </w:tc>
        <w:tc>
          <w:tcPr>
            <w:tcW w:w="1099" w:type="dxa"/>
            <w:tcBorders>
              <w:top w:val="nil"/>
              <w:left w:val="nil"/>
              <w:bottom w:val="nil"/>
              <w:right w:val="nil"/>
            </w:tcBorders>
          </w:tcPr>
          <w:p>
            <w:pPr>
              <w:pStyle w:val="TableParagraph"/>
              <w:spacing w:before="123"/>
              <w:ind w:left="321"/>
              <w:rPr>
                <w:sz w:val="16"/>
              </w:rPr>
            </w:pPr>
            <w:r>
              <w:rPr>
                <w:sz w:val="24"/>
              </w:rPr>
              <w:t>1.28</w:t>
            </w:r>
            <w:r>
              <w:rPr>
                <w:position w:val="9"/>
                <w:sz w:val="16"/>
              </w:rPr>
              <w:t>b</w:t>
            </w:r>
          </w:p>
        </w:tc>
        <w:tc>
          <w:tcPr>
            <w:tcW w:w="1132" w:type="dxa"/>
            <w:tcBorders>
              <w:top w:val="nil"/>
              <w:left w:val="nil"/>
              <w:bottom w:val="nil"/>
              <w:right w:val="nil"/>
            </w:tcBorders>
          </w:tcPr>
          <w:p>
            <w:pPr>
              <w:pStyle w:val="TableParagraph"/>
              <w:spacing w:before="123"/>
              <w:ind w:left="157" w:right="82"/>
              <w:jc w:val="center"/>
              <w:rPr>
                <w:sz w:val="16"/>
              </w:rPr>
            </w:pPr>
            <w:r>
              <w:rPr>
                <w:sz w:val="24"/>
              </w:rPr>
              <w:t>1.32</w:t>
            </w:r>
            <w:r>
              <w:rPr>
                <w:position w:val="9"/>
                <w:sz w:val="16"/>
              </w:rPr>
              <w:t>ab</w:t>
            </w:r>
          </w:p>
        </w:tc>
        <w:tc>
          <w:tcPr>
            <w:tcW w:w="1266" w:type="dxa"/>
            <w:tcBorders>
              <w:top w:val="nil"/>
              <w:left w:val="nil"/>
              <w:bottom w:val="nil"/>
              <w:right w:val="nil"/>
            </w:tcBorders>
          </w:tcPr>
          <w:p>
            <w:pPr>
              <w:pStyle w:val="TableParagraph"/>
              <w:spacing w:before="123"/>
              <w:ind w:left="426"/>
              <w:rPr>
                <w:sz w:val="16"/>
              </w:rPr>
            </w:pPr>
            <w:r>
              <w:rPr>
                <w:sz w:val="24"/>
              </w:rPr>
              <w:t>1.38</w:t>
            </w:r>
            <w:r>
              <w:rPr>
                <w:position w:val="9"/>
                <w:sz w:val="16"/>
              </w:rPr>
              <w:t>a</w:t>
            </w:r>
          </w:p>
        </w:tc>
        <w:tc>
          <w:tcPr>
            <w:tcW w:w="1144" w:type="dxa"/>
            <w:tcBorders>
              <w:top w:val="nil"/>
              <w:left w:val="nil"/>
              <w:bottom w:val="nil"/>
              <w:right w:val="nil"/>
            </w:tcBorders>
          </w:tcPr>
          <w:p>
            <w:pPr>
              <w:pStyle w:val="TableParagraph"/>
              <w:spacing w:before="138"/>
              <w:ind w:right="200"/>
              <w:jc w:val="right"/>
              <w:rPr>
                <w:sz w:val="24"/>
              </w:rPr>
            </w:pPr>
            <w:r>
              <w:rPr>
                <w:sz w:val="24"/>
              </w:rPr>
              <w:t>0.0172</w:t>
            </w:r>
          </w:p>
        </w:tc>
        <w:tc>
          <w:tcPr>
            <w:tcW w:w="1036" w:type="dxa"/>
            <w:tcBorders>
              <w:top w:val="nil"/>
              <w:left w:val="nil"/>
              <w:bottom w:val="nil"/>
              <w:right w:val="nil"/>
            </w:tcBorders>
          </w:tcPr>
          <w:p>
            <w:pPr>
              <w:pStyle w:val="TableParagraph"/>
              <w:spacing w:before="138"/>
              <w:ind w:left="182" w:right="153"/>
              <w:jc w:val="center"/>
              <w:rPr>
                <w:sz w:val="24"/>
              </w:rPr>
            </w:pPr>
            <w:r>
              <w:rPr>
                <w:sz w:val="24"/>
              </w:rPr>
              <w:t>0.0050</w:t>
            </w:r>
          </w:p>
        </w:tc>
        <w:tc>
          <w:tcPr>
            <w:tcW w:w="977" w:type="dxa"/>
            <w:tcBorders>
              <w:top w:val="nil"/>
              <w:left w:val="nil"/>
              <w:bottom w:val="nil"/>
              <w:right w:val="nil"/>
            </w:tcBorders>
          </w:tcPr>
          <w:p>
            <w:pPr>
              <w:pStyle w:val="TableParagraph"/>
              <w:spacing w:before="138"/>
              <w:ind w:left="153" w:right="124"/>
              <w:jc w:val="center"/>
              <w:rPr>
                <w:sz w:val="24"/>
              </w:rPr>
            </w:pPr>
            <w:r>
              <w:rPr>
                <w:sz w:val="24"/>
              </w:rPr>
              <w:t>0.7341</w:t>
            </w:r>
          </w:p>
        </w:tc>
      </w:tr>
      <w:tr>
        <w:trPr>
          <w:trHeight w:val="1105" w:hRule="exact"/>
        </w:trPr>
        <w:tc>
          <w:tcPr>
            <w:tcW w:w="2403" w:type="dxa"/>
            <w:tcBorders>
              <w:top w:val="nil"/>
              <w:left w:val="nil"/>
              <w:bottom w:val="nil"/>
              <w:right w:val="nil"/>
            </w:tcBorders>
          </w:tcPr>
          <w:p>
            <w:pPr>
              <w:pStyle w:val="TableParagraph"/>
              <w:spacing w:before="138"/>
              <w:ind w:left="107"/>
              <w:rPr>
                <w:sz w:val="24"/>
              </w:rPr>
            </w:pPr>
            <w:r>
              <w:rPr>
                <w:sz w:val="24"/>
              </w:rPr>
              <w:t>Producción de leche,</w:t>
            </w:r>
          </w:p>
          <w:p>
            <w:pPr>
              <w:pStyle w:val="TableParagraph"/>
              <w:spacing w:before="8"/>
              <w:rPr>
                <w:b/>
                <w:sz w:val="22"/>
              </w:rPr>
            </w:pPr>
          </w:p>
          <w:p>
            <w:pPr>
              <w:pStyle w:val="TableParagraph"/>
              <w:ind w:left="107"/>
              <w:rPr>
                <w:sz w:val="16"/>
              </w:rPr>
            </w:pPr>
            <w:r>
              <w:rPr>
                <w:sz w:val="24"/>
              </w:rPr>
              <w:t>kg d</w:t>
            </w:r>
            <w:r>
              <w:rPr>
                <w:position w:val="9"/>
                <w:sz w:val="16"/>
              </w:rPr>
              <w:t>-1</w:t>
            </w:r>
          </w:p>
        </w:tc>
        <w:tc>
          <w:tcPr>
            <w:tcW w:w="1099" w:type="dxa"/>
            <w:tcBorders>
              <w:top w:val="nil"/>
              <w:left w:val="nil"/>
              <w:bottom w:val="nil"/>
              <w:right w:val="nil"/>
            </w:tcBorders>
          </w:tcPr>
          <w:p>
            <w:pPr>
              <w:pStyle w:val="TableParagraph"/>
              <w:spacing w:before="123"/>
              <w:ind w:right="178"/>
              <w:jc w:val="right"/>
              <w:rPr>
                <w:sz w:val="16"/>
              </w:rPr>
            </w:pPr>
            <w:r>
              <w:rPr>
                <w:sz w:val="24"/>
              </w:rPr>
              <w:t>22.22</w:t>
            </w:r>
            <w:r>
              <w:rPr>
                <w:position w:val="9"/>
                <w:sz w:val="16"/>
              </w:rPr>
              <w:t>ab</w:t>
            </w:r>
          </w:p>
        </w:tc>
        <w:tc>
          <w:tcPr>
            <w:tcW w:w="1132" w:type="dxa"/>
            <w:tcBorders>
              <w:top w:val="nil"/>
              <w:left w:val="nil"/>
              <w:bottom w:val="nil"/>
              <w:right w:val="nil"/>
            </w:tcBorders>
          </w:tcPr>
          <w:p>
            <w:pPr>
              <w:pStyle w:val="TableParagraph"/>
              <w:spacing w:before="123"/>
              <w:ind w:left="157" w:right="83"/>
              <w:jc w:val="center"/>
              <w:rPr>
                <w:sz w:val="16"/>
              </w:rPr>
            </w:pPr>
            <w:r>
              <w:rPr>
                <w:sz w:val="24"/>
              </w:rPr>
              <w:t>22.64</w:t>
            </w:r>
            <w:r>
              <w:rPr>
                <w:position w:val="9"/>
                <w:sz w:val="16"/>
              </w:rPr>
              <w:t>a</w:t>
            </w:r>
          </w:p>
        </w:tc>
        <w:tc>
          <w:tcPr>
            <w:tcW w:w="1266" w:type="dxa"/>
            <w:tcBorders>
              <w:top w:val="nil"/>
              <w:left w:val="nil"/>
              <w:bottom w:val="nil"/>
              <w:right w:val="nil"/>
            </w:tcBorders>
          </w:tcPr>
          <w:p>
            <w:pPr>
              <w:pStyle w:val="TableParagraph"/>
              <w:spacing w:before="123"/>
              <w:ind w:right="279"/>
              <w:jc w:val="right"/>
              <w:rPr>
                <w:sz w:val="16"/>
              </w:rPr>
            </w:pPr>
            <w:r>
              <w:rPr>
                <w:sz w:val="24"/>
              </w:rPr>
              <w:t>21.60</w:t>
            </w:r>
            <w:r>
              <w:rPr>
                <w:position w:val="9"/>
                <w:sz w:val="16"/>
              </w:rPr>
              <w:t>b</w:t>
            </w:r>
          </w:p>
        </w:tc>
        <w:tc>
          <w:tcPr>
            <w:tcW w:w="1144" w:type="dxa"/>
            <w:tcBorders>
              <w:top w:val="nil"/>
              <w:left w:val="nil"/>
              <w:bottom w:val="nil"/>
              <w:right w:val="nil"/>
            </w:tcBorders>
          </w:tcPr>
          <w:p>
            <w:pPr>
              <w:pStyle w:val="TableParagraph"/>
              <w:spacing w:before="138"/>
              <w:ind w:right="200"/>
              <w:jc w:val="right"/>
              <w:rPr>
                <w:sz w:val="24"/>
              </w:rPr>
            </w:pPr>
            <w:r>
              <w:rPr>
                <w:sz w:val="24"/>
              </w:rPr>
              <w:t>0.2559</w:t>
            </w:r>
          </w:p>
        </w:tc>
        <w:tc>
          <w:tcPr>
            <w:tcW w:w="1036" w:type="dxa"/>
            <w:tcBorders>
              <w:top w:val="nil"/>
              <w:left w:val="nil"/>
              <w:bottom w:val="nil"/>
              <w:right w:val="nil"/>
            </w:tcBorders>
          </w:tcPr>
          <w:p>
            <w:pPr>
              <w:pStyle w:val="TableParagraph"/>
              <w:spacing w:before="138"/>
              <w:ind w:left="182" w:right="153"/>
              <w:jc w:val="center"/>
              <w:rPr>
                <w:sz w:val="24"/>
              </w:rPr>
            </w:pPr>
            <w:r>
              <w:rPr>
                <w:sz w:val="24"/>
              </w:rPr>
              <w:t>0.0907</w:t>
            </w:r>
          </w:p>
        </w:tc>
        <w:tc>
          <w:tcPr>
            <w:tcW w:w="977" w:type="dxa"/>
            <w:tcBorders>
              <w:top w:val="nil"/>
              <w:left w:val="nil"/>
              <w:bottom w:val="nil"/>
              <w:right w:val="nil"/>
            </w:tcBorders>
          </w:tcPr>
          <w:p>
            <w:pPr>
              <w:pStyle w:val="TableParagraph"/>
              <w:spacing w:before="138"/>
              <w:ind w:left="153" w:right="124"/>
              <w:jc w:val="center"/>
              <w:rPr>
                <w:sz w:val="24"/>
              </w:rPr>
            </w:pPr>
            <w:r>
              <w:rPr>
                <w:sz w:val="24"/>
              </w:rPr>
              <w:t>0.0219</w:t>
            </w:r>
          </w:p>
        </w:tc>
      </w:tr>
      <w:tr>
        <w:trPr>
          <w:trHeight w:val="552" w:hRule="exact"/>
        </w:trPr>
        <w:tc>
          <w:tcPr>
            <w:tcW w:w="9057" w:type="dxa"/>
            <w:gridSpan w:val="7"/>
            <w:tcBorders>
              <w:top w:val="nil"/>
              <w:left w:val="nil"/>
              <w:bottom w:val="nil"/>
              <w:right w:val="nil"/>
            </w:tcBorders>
          </w:tcPr>
          <w:p>
            <w:pPr>
              <w:pStyle w:val="TableParagraph"/>
              <w:spacing w:before="123"/>
              <w:ind w:left="107"/>
              <w:rPr>
                <w:sz w:val="16"/>
              </w:rPr>
            </w:pPr>
            <w:r>
              <w:rPr>
                <w:sz w:val="24"/>
              </w:rPr>
              <w:t>Composición de la leche, g kg</w:t>
            </w:r>
            <w:r>
              <w:rPr>
                <w:position w:val="9"/>
                <w:sz w:val="16"/>
              </w:rPr>
              <w:t>-1</w:t>
            </w:r>
          </w:p>
        </w:tc>
      </w:tr>
      <w:tr>
        <w:trPr>
          <w:trHeight w:val="552" w:hRule="exact"/>
        </w:trPr>
        <w:tc>
          <w:tcPr>
            <w:tcW w:w="2403" w:type="dxa"/>
            <w:tcBorders>
              <w:top w:val="nil"/>
              <w:left w:val="nil"/>
              <w:bottom w:val="nil"/>
              <w:right w:val="nil"/>
            </w:tcBorders>
          </w:tcPr>
          <w:p>
            <w:pPr>
              <w:pStyle w:val="TableParagraph"/>
              <w:spacing w:before="138"/>
              <w:ind w:left="107"/>
              <w:rPr>
                <w:sz w:val="24"/>
              </w:rPr>
            </w:pPr>
            <w:r>
              <w:rPr>
                <w:sz w:val="24"/>
              </w:rPr>
              <w:t>Grasa</w:t>
            </w:r>
          </w:p>
        </w:tc>
        <w:tc>
          <w:tcPr>
            <w:tcW w:w="1099" w:type="dxa"/>
            <w:tcBorders>
              <w:top w:val="nil"/>
              <w:left w:val="nil"/>
              <w:bottom w:val="nil"/>
              <w:right w:val="nil"/>
            </w:tcBorders>
          </w:tcPr>
          <w:p>
            <w:pPr>
              <w:pStyle w:val="TableParagraph"/>
              <w:spacing w:before="123"/>
              <w:ind w:left="196"/>
              <w:rPr>
                <w:sz w:val="16"/>
              </w:rPr>
            </w:pPr>
            <w:r>
              <w:rPr>
                <w:sz w:val="24"/>
              </w:rPr>
              <w:t>38.51</w:t>
            </w:r>
            <w:r>
              <w:rPr>
                <w:position w:val="9"/>
                <w:sz w:val="16"/>
              </w:rPr>
              <w:t>a</w:t>
            </w:r>
          </w:p>
        </w:tc>
        <w:tc>
          <w:tcPr>
            <w:tcW w:w="1132" w:type="dxa"/>
            <w:tcBorders>
              <w:top w:val="nil"/>
              <w:left w:val="nil"/>
              <w:bottom w:val="nil"/>
              <w:right w:val="nil"/>
            </w:tcBorders>
          </w:tcPr>
          <w:p>
            <w:pPr>
              <w:pStyle w:val="TableParagraph"/>
              <w:spacing w:before="123"/>
              <w:ind w:left="157" w:right="83"/>
              <w:jc w:val="center"/>
              <w:rPr>
                <w:sz w:val="16"/>
              </w:rPr>
            </w:pPr>
            <w:r>
              <w:rPr>
                <w:sz w:val="24"/>
              </w:rPr>
              <w:t>36.89</w:t>
            </w:r>
            <w:r>
              <w:rPr>
                <w:position w:val="9"/>
                <w:sz w:val="16"/>
              </w:rPr>
              <w:t>a</w:t>
            </w:r>
          </w:p>
        </w:tc>
        <w:tc>
          <w:tcPr>
            <w:tcW w:w="1266" w:type="dxa"/>
            <w:tcBorders>
              <w:top w:val="nil"/>
              <w:left w:val="nil"/>
              <w:bottom w:val="nil"/>
              <w:right w:val="nil"/>
            </w:tcBorders>
          </w:tcPr>
          <w:p>
            <w:pPr>
              <w:pStyle w:val="TableParagraph"/>
              <w:spacing w:before="123"/>
              <w:ind w:right="279"/>
              <w:jc w:val="right"/>
              <w:rPr>
                <w:sz w:val="16"/>
              </w:rPr>
            </w:pPr>
            <w:r>
              <w:rPr>
                <w:sz w:val="24"/>
              </w:rPr>
              <w:t>30.10</w:t>
            </w:r>
            <w:r>
              <w:rPr>
                <w:position w:val="9"/>
                <w:sz w:val="16"/>
              </w:rPr>
              <w:t>b</w:t>
            </w:r>
          </w:p>
        </w:tc>
        <w:tc>
          <w:tcPr>
            <w:tcW w:w="1144" w:type="dxa"/>
            <w:tcBorders>
              <w:top w:val="nil"/>
              <w:left w:val="nil"/>
              <w:bottom w:val="nil"/>
              <w:right w:val="nil"/>
            </w:tcBorders>
          </w:tcPr>
          <w:p>
            <w:pPr>
              <w:pStyle w:val="TableParagraph"/>
              <w:spacing w:before="138"/>
              <w:ind w:right="200"/>
              <w:jc w:val="right"/>
              <w:rPr>
                <w:sz w:val="24"/>
              </w:rPr>
            </w:pPr>
            <w:r>
              <w:rPr>
                <w:sz w:val="24"/>
              </w:rPr>
              <w:t>0.5077</w:t>
            </w:r>
          </w:p>
        </w:tc>
        <w:tc>
          <w:tcPr>
            <w:tcW w:w="1036" w:type="dxa"/>
            <w:tcBorders>
              <w:top w:val="nil"/>
              <w:left w:val="nil"/>
              <w:bottom w:val="nil"/>
              <w:right w:val="nil"/>
            </w:tcBorders>
          </w:tcPr>
          <w:p>
            <w:pPr>
              <w:pStyle w:val="TableParagraph"/>
              <w:spacing w:before="138"/>
              <w:ind w:left="182" w:right="153"/>
              <w:jc w:val="center"/>
              <w:rPr>
                <w:sz w:val="24"/>
              </w:rPr>
            </w:pPr>
            <w:r>
              <w:rPr>
                <w:sz w:val="24"/>
              </w:rPr>
              <w:t>0.0001</w:t>
            </w:r>
          </w:p>
        </w:tc>
        <w:tc>
          <w:tcPr>
            <w:tcW w:w="977" w:type="dxa"/>
            <w:tcBorders>
              <w:top w:val="nil"/>
              <w:left w:val="nil"/>
              <w:bottom w:val="nil"/>
              <w:right w:val="nil"/>
            </w:tcBorders>
          </w:tcPr>
          <w:p>
            <w:pPr>
              <w:pStyle w:val="TableParagraph"/>
              <w:spacing w:before="138"/>
              <w:ind w:left="153" w:right="124"/>
              <w:jc w:val="center"/>
              <w:rPr>
                <w:sz w:val="24"/>
              </w:rPr>
            </w:pPr>
            <w:r>
              <w:rPr>
                <w:sz w:val="24"/>
              </w:rPr>
              <w:t>0.0001</w:t>
            </w:r>
          </w:p>
        </w:tc>
      </w:tr>
      <w:tr>
        <w:trPr>
          <w:trHeight w:val="410" w:hRule="exact"/>
        </w:trPr>
        <w:tc>
          <w:tcPr>
            <w:tcW w:w="2403" w:type="dxa"/>
            <w:tcBorders>
              <w:top w:val="nil"/>
              <w:left w:val="nil"/>
              <w:bottom w:val="nil"/>
              <w:right w:val="nil"/>
            </w:tcBorders>
          </w:tcPr>
          <w:p>
            <w:pPr>
              <w:pStyle w:val="TableParagraph"/>
              <w:spacing w:before="138"/>
              <w:ind w:left="107"/>
              <w:rPr>
                <w:sz w:val="24"/>
              </w:rPr>
            </w:pPr>
            <w:r>
              <w:rPr>
                <w:sz w:val="24"/>
              </w:rPr>
              <w:t>Proteína</w:t>
            </w:r>
          </w:p>
        </w:tc>
        <w:tc>
          <w:tcPr>
            <w:tcW w:w="1099" w:type="dxa"/>
            <w:tcBorders>
              <w:top w:val="nil"/>
              <w:left w:val="nil"/>
              <w:bottom w:val="nil"/>
              <w:right w:val="nil"/>
            </w:tcBorders>
          </w:tcPr>
          <w:p>
            <w:pPr>
              <w:pStyle w:val="TableParagraph"/>
              <w:spacing w:before="123"/>
              <w:ind w:left="196"/>
              <w:rPr>
                <w:sz w:val="16"/>
              </w:rPr>
            </w:pPr>
            <w:r>
              <w:rPr>
                <w:sz w:val="24"/>
              </w:rPr>
              <w:t>29.14</w:t>
            </w:r>
            <w:r>
              <w:rPr>
                <w:position w:val="9"/>
                <w:sz w:val="16"/>
              </w:rPr>
              <w:t>a</w:t>
            </w:r>
          </w:p>
        </w:tc>
        <w:tc>
          <w:tcPr>
            <w:tcW w:w="1132" w:type="dxa"/>
            <w:tcBorders>
              <w:top w:val="nil"/>
              <w:left w:val="nil"/>
              <w:bottom w:val="nil"/>
              <w:right w:val="nil"/>
            </w:tcBorders>
          </w:tcPr>
          <w:p>
            <w:pPr>
              <w:pStyle w:val="TableParagraph"/>
              <w:spacing w:before="123"/>
              <w:ind w:left="157" w:right="83"/>
              <w:jc w:val="center"/>
              <w:rPr>
                <w:sz w:val="16"/>
              </w:rPr>
            </w:pPr>
            <w:r>
              <w:rPr>
                <w:sz w:val="24"/>
              </w:rPr>
              <w:t>29.06</w:t>
            </w:r>
            <w:r>
              <w:rPr>
                <w:position w:val="9"/>
                <w:sz w:val="16"/>
              </w:rPr>
              <w:t>a</w:t>
            </w:r>
          </w:p>
        </w:tc>
        <w:tc>
          <w:tcPr>
            <w:tcW w:w="1266" w:type="dxa"/>
            <w:tcBorders>
              <w:top w:val="nil"/>
              <w:left w:val="nil"/>
              <w:bottom w:val="nil"/>
              <w:right w:val="nil"/>
            </w:tcBorders>
          </w:tcPr>
          <w:p>
            <w:pPr>
              <w:pStyle w:val="TableParagraph"/>
              <w:spacing w:before="123"/>
              <w:ind w:right="279"/>
              <w:jc w:val="right"/>
              <w:rPr>
                <w:sz w:val="16"/>
              </w:rPr>
            </w:pPr>
            <w:r>
              <w:rPr>
                <w:sz w:val="24"/>
              </w:rPr>
              <w:t>28.81</w:t>
            </w:r>
            <w:r>
              <w:rPr>
                <w:position w:val="9"/>
                <w:sz w:val="16"/>
              </w:rPr>
              <w:t>b</w:t>
            </w:r>
          </w:p>
        </w:tc>
        <w:tc>
          <w:tcPr>
            <w:tcW w:w="1144" w:type="dxa"/>
            <w:tcBorders>
              <w:top w:val="nil"/>
              <w:left w:val="nil"/>
              <w:bottom w:val="nil"/>
              <w:right w:val="nil"/>
            </w:tcBorders>
          </w:tcPr>
          <w:p>
            <w:pPr>
              <w:pStyle w:val="TableParagraph"/>
              <w:spacing w:before="138"/>
              <w:ind w:right="200"/>
              <w:jc w:val="right"/>
              <w:rPr>
                <w:sz w:val="24"/>
              </w:rPr>
            </w:pPr>
            <w:r>
              <w:rPr>
                <w:sz w:val="24"/>
              </w:rPr>
              <w:t>0.0748</w:t>
            </w:r>
          </w:p>
        </w:tc>
        <w:tc>
          <w:tcPr>
            <w:tcW w:w="1036" w:type="dxa"/>
            <w:tcBorders>
              <w:top w:val="nil"/>
              <w:left w:val="nil"/>
              <w:bottom w:val="nil"/>
              <w:right w:val="nil"/>
            </w:tcBorders>
          </w:tcPr>
          <w:p>
            <w:pPr>
              <w:pStyle w:val="TableParagraph"/>
              <w:spacing w:before="138"/>
              <w:ind w:left="182" w:right="153"/>
              <w:jc w:val="center"/>
              <w:rPr>
                <w:sz w:val="24"/>
              </w:rPr>
            </w:pPr>
            <w:r>
              <w:rPr>
                <w:sz w:val="24"/>
              </w:rPr>
              <w:t>0.0021</w:t>
            </w:r>
          </w:p>
        </w:tc>
        <w:tc>
          <w:tcPr>
            <w:tcW w:w="977" w:type="dxa"/>
            <w:tcBorders>
              <w:top w:val="nil"/>
              <w:left w:val="nil"/>
              <w:bottom w:val="nil"/>
              <w:right w:val="nil"/>
            </w:tcBorders>
          </w:tcPr>
          <w:p>
            <w:pPr>
              <w:pStyle w:val="TableParagraph"/>
              <w:spacing w:before="138"/>
              <w:ind w:left="153" w:right="124"/>
              <w:jc w:val="center"/>
              <w:rPr>
                <w:sz w:val="24"/>
              </w:rPr>
            </w:pPr>
            <w:r>
              <w:rPr>
                <w:sz w:val="24"/>
              </w:rPr>
              <w:t>0.3381</w:t>
            </w:r>
          </w:p>
        </w:tc>
      </w:tr>
    </w:tbl>
    <w:p>
      <w:pPr>
        <w:spacing w:after="0"/>
        <w:jc w:val="center"/>
        <w:rPr>
          <w:sz w:val="24"/>
        </w:rPr>
        <w:sectPr>
          <w:pgSz w:w="12240" w:h="15840"/>
          <w:pgMar w:header="1150" w:footer="1336" w:top="1340" w:bottom="1520" w:left="1660" w:right="1300"/>
        </w:sectPr>
      </w:pPr>
    </w:p>
    <w:p>
      <w:pPr>
        <w:pStyle w:val="BodyText"/>
        <w:rPr>
          <w:b/>
          <w:sz w:val="20"/>
        </w:rPr>
      </w:pPr>
    </w:p>
    <w:p>
      <w:pPr>
        <w:pStyle w:val="BodyText"/>
        <w:spacing w:before="8"/>
        <w:rPr>
          <w:b/>
          <w:sz w:val="21"/>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58"/>
        <w:gridCol w:w="1762"/>
        <w:gridCol w:w="1200"/>
        <w:gridCol w:w="1173"/>
        <w:gridCol w:w="1165"/>
        <w:gridCol w:w="1036"/>
        <w:gridCol w:w="977"/>
      </w:tblGrid>
      <w:tr>
        <w:trPr>
          <w:trHeight w:val="534" w:hRule="exact"/>
        </w:trPr>
        <w:tc>
          <w:tcPr>
            <w:tcW w:w="1758" w:type="dxa"/>
            <w:tcBorders>
              <w:bottom w:val="single" w:sz="4" w:space="0" w:color="000000"/>
            </w:tcBorders>
          </w:tcPr>
          <w:p>
            <w:pPr>
              <w:pStyle w:val="TableParagraph"/>
              <w:spacing w:line="250" w:lineRule="exact"/>
              <w:ind w:left="122"/>
              <w:rPr>
                <w:sz w:val="24"/>
              </w:rPr>
            </w:pPr>
            <w:r>
              <w:rPr>
                <w:sz w:val="24"/>
              </w:rPr>
              <w:t>Lactosa</w:t>
            </w:r>
          </w:p>
        </w:tc>
        <w:tc>
          <w:tcPr>
            <w:tcW w:w="1762" w:type="dxa"/>
            <w:tcBorders>
              <w:bottom w:val="single" w:sz="4" w:space="0" w:color="000000"/>
            </w:tcBorders>
          </w:tcPr>
          <w:p>
            <w:pPr>
              <w:pStyle w:val="TableParagraph"/>
              <w:spacing w:line="250" w:lineRule="exact"/>
              <w:ind w:left="891"/>
              <w:rPr>
                <w:sz w:val="24"/>
              </w:rPr>
            </w:pPr>
            <w:r>
              <w:rPr>
                <w:sz w:val="24"/>
              </w:rPr>
              <w:t>43.41</w:t>
            </w:r>
          </w:p>
        </w:tc>
        <w:tc>
          <w:tcPr>
            <w:tcW w:w="1200" w:type="dxa"/>
            <w:tcBorders>
              <w:bottom w:val="single" w:sz="4" w:space="0" w:color="000000"/>
            </w:tcBorders>
          </w:tcPr>
          <w:p>
            <w:pPr>
              <w:pStyle w:val="TableParagraph"/>
              <w:spacing w:line="250" w:lineRule="exact"/>
              <w:ind w:left="329"/>
              <w:rPr>
                <w:sz w:val="24"/>
              </w:rPr>
            </w:pPr>
            <w:r>
              <w:rPr>
                <w:sz w:val="24"/>
              </w:rPr>
              <w:t>43.32</w:t>
            </w:r>
          </w:p>
        </w:tc>
        <w:tc>
          <w:tcPr>
            <w:tcW w:w="1173" w:type="dxa"/>
            <w:tcBorders>
              <w:bottom w:val="single" w:sz="4" w:space="0" w:color="000000"/>
            </w:tcBorders>
          </w:tcPr>
          <w:p>
            <w:pPr>
              <w:pStyle w:val="TableParagraph"/>
              <w:spacing w:line="250" w:lineRule="exact"/>
              <w:ind w:left="329"/>
              <w:rPr>
                <w:sz w:val="24"/>
              </w:rPr>
            </w:pPr>
            <w:r>
              <w:rPr>
                <w:sz w:val="24"/>
              </w:rPr>
              <w:t>43.09</w:t>
            </w:r>
          </w:p>
        </w:tc>
        <w:tc>
          <w:tcPr>
            <w:tcW w:w="1165" w:type="dxa"/>
            <w:tcBorders>
              <w:bottom w:val="single" w:sz="4" w:space="0" w:color="000000"/>
            </w:tcBorders>
          </w:tcPr>
          <w:p>
            <w:pPr>
              <w:pStyle w:val="TableParagraph"/>
              <w:spacing w:line="250" w:lineRule="exact"/>
              <w:ind w:left="302"/>
              <w:rPr>
                <w:sz w:val="24"/>
              </w:rPr>
            </w:pPr>
            <w:r>
              <w:rPr>
                <w:sz w:val="24"/>
              </w:rPr>
              <w:t>0.1093</w:t>
            </w:r>
          </w:p>
        </w:tc>
        <w:tc>
          <w:tcPr>
            <w:tcW w:w="1036" w:type="dxa"/>
            <w:tcBorders>
              <w:bottom w:val="single" w:sz="4" w:space="0" w:color="000000"/>
            </w:tcBorders>
          </w:tcPr>
          <w:p>
            <w:pPr>
              <w:pStyle w:val="TableParagraph"/>
              <w:spacing w:line="250" w:lineRule="exact"/>
              <w:ind w:left="202"/>
              <w:rPr>
                <w:sz w:val="24"/>
              </w:rPr>
            </w:pPr>
            <w:r>
              <w:rPr>
                <w:sz w:val="24"/>
              </w:rPr>
              <w:t>0.0378</w:t>
            </w:r>
          </w:p>
        </w:tc>
        <w:tc>
          <w:tcPr>
            <w:tcW w:w="977" w:type="dxa"/>
            <w:tcBorders>
              <w:bottom w:val="single" w:sz="4" w:space="0" w:color="000000"/>
            </w:tcBorders>
          </w:tcPr>
          <w:p>
            <w:pPr>
              <w:pStyle w:val="TableParagraph"/>
              <w:spacing w:line="250" w:lineRule="exact"/>
              <w:ind w:left="173"/>
              <w:rPr>
                <w:sz w:val="24"/>
              </w:rPr>
            </w:pPr>
            <w:r>
              <w:rPr>
                <w:sz w:val="24"/>
              </w:rPr>
              <w:t>0.5854</w:t>
            </w:r>
          </w:p>
        </w:tc>
      </w:tr>
    </w:tbl>
    <w:p>
      <w:pPr>
        <w:pStyle w:val="BodyText"/>
        <w:spacing w:line="273" w:lineRule="exact"/>
        <w:ind w:left="232"/>
        <w:jc w:val="both"/>
      </w:pPr>
      <w:r>
        <w:rPr>
          <w:position w:val="9"/>
          <w:sz w:val="16"/>
        </w:rPr>
        <w:t>ab </w:t>
      </w:r>
      <w:r>
        <w:rPr/>
        <w:t>Valores medios en la misma hilera con distinta literal son diferentes (p ≤ 0.05) (n = 18)</w:t>
      </w:r>
    </w:p>
    <w:p>
      <w:pPr>
        <w:pStyle w:val="BodyText"/>
        <w:spacing w:before="7"/>
        <w:rPr>
          <w:sz w:val="22"/>
        </w:rPr>
      </w:pPr>
    </w:p>
    <w:p>
      <w:pPr>
        <w:pStyle w:val="BodyText"/>
        <w:spacing w:line="480" w:lineRule="auto"/>
        <w:ind w:left="232" w:right="226"/>
        <w:jc w:val="both"/>
      </w:pPr>
      <w:r>
        <w:rPr>
          <w:position w:val="9"/>
          <w:sz w:val="16"/>
        </w:rPr>
        <w:t>†</w:t>
      </w:r>
      <w:r>
        <w:rPr/>
        <w:t>Tratamientos: pTMR-0 = dieta completa mezclada sin aceite de soya; pTMR-3 = dieta completa mezclada más 3 % de aceite de soya; pTMR-6 = dieta completa mezclada más  </w:t>
      </w:r>
      <w:r>
        <w:rPr>
          <w:spacing w:val="51"/>
        </w:rPr>
        <w:t> </w:t>
      </w:r>
      <w:r>
        <w:rPr/>
        <w:t>6</w:t>
      </w:r>
    </w:p>
    <w:p>
      <w:pPr>
        <w:pStyle w:val="BodyText"/>
        <w:spacing w:line="475" w:lineRule="auto"/>
        <w:ind w:left="232" w:right="224"/>
        <w:jc w:val="both"/>
      </w:pPr>
      <w:r>
        <w:rPr/>
        <w:t>% de aceite de soya. </w:t>
      </w:r>
      <w:r>
        <w:rPr>
          <w:position w:val="9"/>
          <w:sz w:val="16"/>
        </w:rPr>
        <w:t>¶</w:t>
      </w:r>
      <w:r>
        <w:rPr/>
        <w:t>EEM: error estándar de la media. </w:t>
      </w:r>
      <w:r>
        <w:rPr>
          <w:position w:val="9"/>
          <w:sz w:val="16"/>
        </w:rPr>
        <w:t>§</w:t>
      </w:r>
      <w:r>
        <w:rPr/>
        <w:t>Efectos L= lineal; Q= cuadrático. </w:t>
      </w:r>
      <w:r>
        <w:rPr>
          <w:position w:val="9"/>
          <w:sz w:val="16"/>
        </w:rPr>
        <w:t>Þ</w:t>
      </w:r>
      <w:r>
        <w:rPr/>
        <w:t>CMS: consumo de materia seca. </w:t>
      </w:r>
      <w:r>
        <w:rPr>
          <w:position w:val="9"/>
          <w:sz w:val="16"/>
        </w:rPr>
        <w:t>¤ </w:t>
      </w:r>
      <w:r>
        <w:rPr>
          <w:sz w:val="22"/>
        </w:rPr>
        <w:t>E</w:t>
      </w:r>
      <w:r>
        <w:rPr/>
        <w:t>stim</w:t>
      </w:r>
      <w:r>
        <w:rPr>
          <w:sz w:val="22"/>
        </w:rPr>
        <w:t>ado </w:t>
      </w:r>
      <w:r>
        <w:rPr/>
        <w:t>por diferencia entre los requerimientos de energía neta para lactación (ENL) menos la ENL consumida con la TMR (Macoon </w:t>
      </w:r>
      <w:r>
        <w:rPr>
          <w:i/>
        </w:rPr>
        <w:t>et al</w:t>
      </w:r>
      <w:r>
        <w:rPr/>
        <w:t>., 2003)</w:t>
      </w:r>
    </w:p>
    <w:p>
      <w:pPr>
        <w:pStyle w:val="BodyText"/>
        <w:spacing w:line="480" w:lineRule="auto" w:before="15"/>
        <w:ind w:left="232" w:right="225" w:firstLine="302"/>
        <w:jc w:val="both"/>
      </w:pPr>
      <w:r>
        <w:rPr/>
        <w:t>La eficiencia alimenticia (EA = kg de leche por vaca al día/consumo total de MS/d) fue mayor en los tratamientos con aceite de soya. La producción de leche en pTMR-3 fue 1.9  y</w:t>
      </w:r>
    </w:p>
    <w:p>
      <w:pPr>
        <w:pStyle w:val="BodyText"/>
        <w:spacing w:line="477" w:lineRule="auto" w:before="10"/>
        <w:ind w:left="232" w:right="226"/>
        <w:jc w:val="both"/>
      </w:pPr>
      <w:r>
        <w:rPr/>
        <w:t>4.8 % mayor (p ≤ 0.05) que en pTMR-0 y pTMR-6 (Cuadro 3). Una unidad de producción de vacas lecheras en pastoreo puede ser más eficiente cuando se incluye una fuente de lípidos adicional en la dieta. Vacas alimentadas solo a base de pastoreo mostraron una EA de 1.12 (Palladino </w:t>
      </w:r>
      <w:r>
        <w:rPr>
          <w:i/>
        </w:rPr>
        <w:t>et al</w:t>
      </w:r>
      <w:r>
        <w:rPr/>
        <w:t>., 2014) y de 0.95 al suplementar 6.3 kg de concentrado (Roca- Fernández </w:t>
      </w:r>
      <w:r>
        <w:rPr>
          <w:i/>
        </w:rPr>
        <w:t>et al</w:t>
      </w:r>
      <w:r>
        <w:rPr/>
        <w:t>., 2012) con una producción de 22.7 y 22.6 kg de leche d</w:t>
      </w:r>
      <w:r>
        <w:rPr>
          <w:position w:val="9"/>
          <w:sz w:val="16"/>
        </w:rPr>
        <w:t>-1</w:t>
      </w:r>
      <w:r>
        <w:rPr/>
        <w:t>.</w:t>
      </w:r>
    </w:p>
    <w:p>
      <w:pPr>
        <w:pStyle w:val="BodyText"/>
        <w:spacing w:line="480" w:lineRule="auto"/>
        <w:ind w:left="232" w:right="226" w:firstLine="302"/>
        <w:jc w:val="both"/>
      </w:pPr>
      <w:r>
        <w:rPr/>
        <w:t>Los tratamientos tuvieron un efecto cuadrático (p ≤ 0.05) sobre la producción de leche y su contenido de grasa y proteína; los valores menores se observaron en pTMR-6. La influencia de la dieta sobre el contenido de grasa en la leche depende del contenido de fibra y de los lípidos presentes (Bauman y Griinari, 2001). Otros autores (Veira </w:t>
      </w:r>
      <w:r>
        <w:rPr>
          <w:i/>
        </w:rPr>
        <w:t>et al</w:t>
      </w:r>
      <w:r>
        <w:rPr/>
        <w:t>., 2001) observaron una disminución del contenido de grasa (3.24 vs 2.6%) y proteína (3.19 vs 3.18%) en leche cuando suplementaron 0 y 3% de aceite de soya. Esto podría explicarse desde dos vertiente, la actividad celulolítica en rumen disminuye cuando el aceite vegetal es</w:t>
      </w:r>
    </w:p>
    <w:p>
      <w:pPr>
        <w:spacing w:after="0" w:line="480" w:lineRule="auto"/>
        <w:jc w:val="both"/>
        <w:sectPr>
          <w:pgSz w:w="12240" w:h="15840"/>
          <w:pgMar w:header="1150" w:footer="1336" w:top="1340" w:bottom="1520" w:left="1640" w:right="1300"/>
        </w:sectPr>
      </w:pPr>
    </w:p>
    <w:p>
      <w:pPr>
        <w:pStyle w:val="BodyText"/>
        <w:rPr>
          <w:sz w:val="20"/>
        </w:rPr>
      </w:pPr>
    </w:p>
    <w:p>
      <w:pPr>
        <w:pStyle w:val="BodyText"/>
        <w:spacing w:before="4"/>
        <w:rPr>
          <w:sz w:val="19"/>
        </w:rPr>
      </w:pPr>
    </w:p>
    <w:p>
      <w:pPr>
        <w:pStyle w:val="BodyText"/>
        <w:spacing w:line="480" w:lineRule="auto"/>
        <w:ind w:left="152" w:right="147"/>
        <w:jc w:val="both"/>
      </w:pPr>
      <w:r>
        <w:rPr/>
        <w:t>consumido, provocando cambios en la proporción de AG volátiles, fundamentalmente provoca una disminución de la producción de acetato y de la síntesis de AG de cadena corta en la glándula mamaria (Griinari </w:t>
      </w:r>
      <w:r>
        <w:rPr>
          <w:i/>
        </w:rPr>
        <w:t>et al</w:t>
      </w:r>
      <w:r>
        <w:rPr/>
        <w:t>., 1998). Por otro lado, ha sido demostrado que el consumo de aceites insaturados puede resultar en la inhibición de la síntesis de la grasa de la leche derivado de la producción de AG parcialmente hidrogenados, especificamente AG trans (Griinari </w:t>
      </w:r>
      <w:r>
        <w:rPr>
          <w:i/>
        </w:rPr>
        <w:t>et al</w:t>
      </w:r>
      <w:r>
        <w:rPr/>
        <w:t>., 1998). Ambos mecanismos pudieron provacar la disminución de grasa en</w:t>
      </w:r>
      <w:r>
        <w:rPr>
          <w:spacing w:val="-4"/>
        </w:rPr>
        <w:t> </w:t>
      </w:r>
      <w:r>
        <w:rPr/>
        <w:t>leche.</w:t>
      </w:r>
    </w:p>
    <w:p>
      <w:pPr>
        <w:pStyle w:val="BodyText"/>
        <w:spacing w:line="480" w:lineRule="auto" w:before="10"/>
        <w:ind w:left="152" w:right="147" w:firstLine="299"/>
        <w:jc w:val="both"/>
      </w:pPr>
      <w:r>
        <w:rPr/>
        <w:t>El contenido de proteína en la leche de las vacas alimentadas con pTMR-6 fue menor, esto puede ser debido al efecto negativo que los AGI pueden tener sobre los microorganismos del rumen (Buccioni </w:t>
      </w:r>
      <w:r>
        <w:rPr>
          <w:i/>
        </w:rPr>
        <w:t>et al</w:t>
      </w:r>
      <w:r>
        <w:rPr/>
        <w:t>., 2012); el exceso de éstos ácidos en el rumen puede afectar la actividad de los microorganismos y con ello reducir la síntesis de proteína microbiana (Chamberlain y Wilkinson, 1996).</w:t>
      </w:r>
    </w:p>
    <w:p>
      <w:pPr>
        <w:pStyle w:val="BodyText"/>
        <w:spacing w:before="10"/>
        <w:ind w:left="180" w:right="180"/>
        <w:jc w:val="center"/>
      </w:pPr>
      <w:r>
        <w:rPr/>
        <w:t>Perfil de ácidos grasos en leche</w:t>
      </w:r>
    </w:p>
    <w:p>
      <w:pPr>
        <w:pStyle w:val="BodyText"/>
      </w:pPr>
    </w:p>
    <w:p>
      <w:pPr>
        <w:pStyle w:val="BodyText"/>
        <w:spacing w:line="480" w:lineRule="auto"/>
        <w:ind w:left="152" w:right="149" w:firstLine="302"/>
        <w:jc w:val="both"/>
      </w:pPr>
      <w:r>
        <w:rPr>
          <w:spacing w:val="-3"/>
        </w:rPr>
        <w:t>La </w:t>
      </w:r>
      <w:r>
        <w:rPr/>
        <w:t>inclusión de aceite de soya en la dieta de las vacas disminuyó linealmente (p ≤0.05) la concentración de AG saturados (AGS) y con ello la relación AGS/AGI, debido principalmente al aumento del contenido de AG monoinsaturados (AGMI) y AG poliinsaturados (AGPI) en la leche (Cuadro 4). De acuerdo con Dewhurst </w:t>
      </w:r>
      <w:r>
        <w:rPr>
          <w:i/>
        </w:rPr>
        <w:t>et al</w:t>
      </w:r>
      <w:r>
        <w:rPr/>
        <w:t>. (2006), la inclusión de aceites vegetales en la dieta resulta en una reducción de los AG de cadena  corta y media, e incremento de los AG de cadena larga, con una respuesta normalmente caracterizada por un cambio hacia C18 a expensas de C16, y en general una disminución en la proporción de AGS e incremento de AGMI y AGPI en leche. En concordancia, las vacas alimentadas con pTMR-6 y pTMR-3 produjeron una leche nutricionalmente más </w:t>
      </w:r>
      <w:r>
        <w:rPr>
          <w:spacing w:val="46"/>
        </w:rPr>
        <w:t> </w:t>
      </w:r>
      <w:r>
        <w:rPr/>
        <w:t>saludable</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152" w:right="148"/>
        <w:jc w:val="both"/>
      </w:pPr>
      <w:r>
        <w:rPr/>
        <w:t>ya que tuvieron 26.7 y 9.1 % menos AGS, comparados con pTMR-0. Ulbricht y Southgate (1991) sugieren que los humanos deberían consumir más AGMI y AGPI, y menos AGS, para reducir el riesgo a padecer la enfermedad coronaria del corazón.</w:t>
      </w:r>
    </w:p>
    <w:p>
      <w:pPr>
        <w:pStyle w:val="BodyText"/>
        <w:spacing w:line="480" w:lineRule="auto" w:before="10"/>
        <w:ind w:left="152" w:right="144" w:firstLine="299"/>
        <w:jc w:val="both"/>
      </w:pPr>
      <w:r>
        <w:rPr/>
        <w:t>El contenido de AG de cadena corta (C4, C6, C8, C10) y media (C11, C12, C13, C14, C15, C16 y C17) fue menor en la leche de las vacas que consumieron la dieta con 6 % de aceite de soya; cabe destacar que los AG de cadena media C12, C14 y C16 redujeron su contenido en leche 56.7, 43.2 y 18.2 % respecto al tratamiento testigo Los estudios citados en la revisión realizada por Martínez </w:t>
      </w:r>
      <w:r>
        <w:rPr>
          <w:i/>
        </w:rPr>
        <w:t>et al</w:t>
      </w:r>
      <w:r>
        <w:rPr/>
        <w:t>. (2013) muestran que el contenido de AG de cadena corta y media disminuyen en la grasa de la leche cuando se adicionan aceites en la dieta de rumiantes. En nuestro estudio, la adición de aceite de soya en la dieta pudo afectar la producción total de AG volatiles en rumen, por lo tanto, pudo reducirse el ácido acético, el cual es el principal sustrato necesario para la síntesis de </w:t>
      </w:r>
      <w:r>
        <w:rPr>
          <w:i/>
        </w:rPr>
        <w:t>novo </w:t>
      </w:r>
      <w:r>
        <w:rPr/>
        <w:t>de AGS de cadena corta y media (Chilliard y Ferlay, 2004). Una menor síntesis de </w:t>
      </w:r>
      <w:r>
        <w:rPr>
          <w:i/>
        </w:rPr>
        <w:t>novo </w:t>
      </w:r>
      <w:r>
        <w:rPr/>
        <w:t>puede ocurrir por el efecto inhibitorio, debido al mayor contenido de AG de cadena larga, absorbidos en el intestino delgado, con mayor flujo y disponibilidad para la glándula mamaria, sobre las actividades de las enzimas acetil-CoA carboxilasa y ácido graso sintetasa (Martínez </w:t>
      </w:r>
      <w:r>
        <w:rPr>
          <w:i/>
        </w:rPr>
        <w:t>et al</w:t>
      </w:r>
      <w:r>
        <w:rPr/>
        <w:t>., 2013). Los AG C14:1, C16:1 y C17:1 fueron afectados de forma cuadrática (p ≤ 0.05); mientras que el contenido del AG C14:1 disminuyó drásticamente con la dieta pTMR-6, y los AG C16:1 y C17:1 aumentaron, lo cual puede deberse a la actividad de las enzimas desaturasas en el organismo, que se ha observado en algunos pares de AG (C14:1/C14; C16:1/C16; C18:1/C18, AR/AV) (Bauman y Griinari, 2001), pero su índice de actividad depende de</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212" w:right="328"/>
      </w:pPr>
      <w:r>
        <w:rPr/>
        <w:t>cada animal (Soyeurt </w:t>
      </w:r>
      <w:r>
        <w:rPr>
          <w:i/>
        </w:rPr>
        <w:t>et al</w:t>
      </w:r>
      <w:r>
        <w:rPr/>
        <w:t>., 2008), así como de las características del suplemento o  alimento (Shi-jun </w:t>
      </w:r>
      <w:r>
        <w:rPr>
          <w:i/>
        </w:rPr>
        <w:t>et al</w:t>
      </w:r>
      <w:r>
        <w:rPr/>
        <w:t>.,</w:t>
      </w:r>
      <w:r>
        <w:rPr>
          <w:spacing w:val="-5"/>
        </w:rPr>
        <w:t> </w:t>
      </w:r>
      <w:r>
        <w:rPr/>
        <w:t>2007).</w:t>
      </w:r>
    </w:p>
    <w:p>
      <w:pPr>
        <w:pStyle w:val="Heading1"/>
        <w:spacing w:line="480" w:lineRule="auto" w:before="15" w:after="14"/>
        <w:ind w:left="1345" w:right="328" w:hanging="1133"/>
      </w:pPr>
      <w:r>
        <w:rPr/>
        <w:t>Cuadro 4. Perfil de ácidos grasos de la leche de vacas Holstein en pastoreo suplementadas con TMR con diferentes niveles de aceite de soya.</w:t>
      </w: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3"/>
        <w:gridCol w:w="1167"/>
        <w:gridCol w:w="1459"/>
        <w:gridCol w:w="1208"/>
        <w:gridCol w:w="1114"/>
        <w:gridCol w:w="1077"/>
        <w:gridCol w:w="1480"/>
      </w:tblGrid>
      <w:tr>
        <w:trPr>
          <w:trHeight w:val="297" w:hRule="exact"/>
        </w:trPr>
        <w:tc>
          <w:tcPr>
            <w:tcW w:w="1553" w:type="dxa"/>
            <w:vMerge w:val="restart"/>
            <w:tcBorders>
              <w:left w:val="nil"/>
              <w:right w:val="nil"/>
            </w:tcBorders>
          </w:tcPr>
          <w:p>
            <w:pPr>
              <w:pStyle w:val="TableParagraph"/>
              <w:spacing w:line="360" w:lineRule="auto" w:before="109"/>
              <w:ind w:left="107" w:right="745"/>
              <w:rPr>
                <w:sz w:val="24"/>
              </w:rPr>
            </w:pPr>
            <w:r>
              <w:rPr>
                <w:sz w:val="24"/>
              </w:rPr>
              <w:t>Ácidos</w:t>
            </w:r>
            <w:r>
              <w:rPr>
                <w:w w:val="99"/>
                <w:sz w:val="24"/>
              </w:rPr>
              <w:t> </w:t>
            </w:r>
            <w:r>
              <w:rPr>
                <w:sz w:val="24"/>
              </w:rPr>
              <w:t>grasos</w:t>
            </w:r>
          </w:p>
        </w:tc>
        <w:tc>
          <w:tcPr>
            <w:tcW w:w="1167" w:type="dxa"/>
            <w:tcBorders>
              <w:left w:val="nil"/>
              <w:bottom w:val="nil"/>
              <w:right w:val="nil"/>
            </w:tcBorders>
          </w:tcPr>
          <w:p>
            <w:pPr/>
          </w:p>
        </w:tc>
        <w:tc>
          <w:tcPr>
            <w:tcW w:w="1459" w:type="dxa"/>
            <w:tcBorders>
              <w:left w:val="nil"/>
              <w:bottom w:val="nil"/>
              <w:right w:val="nil"/>
            </w:tcBorders>
          </w:tcPr>
          <w:p>
            <w:pPr>
              <w:pStyle w:val="TableParagraph"/>
              <w:spacing w:line="270" w:lineRule="exact"/>
              <w:ind w:left="76"/>
              <w:rPr>
                <w:sz w:val="16"/>
              </w:rPr>
            </w:pPr>
            <w:r>
              <w:rPr>
                <w:sz w:val="24"/>
              </w:rPr>
              <w:t>Tratamientos</w:t>
            </w:r>
            <w:r>
              <w:rPr>
                <w:position w:val="9"/>
                <w:sz w:val="16"/>
              </w:rPr>
              <w:t>†</w:t>
            </w:r>
          </w:p>
        </w:tc>
        <w:tc>
          <w:tcPr>
            <w:tcW w:w="1208" w:type="dxa"/>
            <w:tcBorders>
              <w:left w:val="nil"/>
              <w:bottom w:val="nil"/>
              <w:right w:val="nil"/>
            </w:tcBorders>
          </w:tcPr>
          <w:p>
            <w:pPr/>
          </w:p>
        </w:tc>
        <w:tc>
          <w:tcPr>
            <w:tcW w:w="1114" w:type="dxa"/>
            <w:tcBorders>
              <w:left w:val="nil"/>
              <w:bottom w:val="nil"/>
              <w:right w:val="nil"/>
            </w:tcBorders>
          </w:tcPr>
          <w:p>
            <w:pPr/>
          </w:p>
        </w:tc>
        <w:tc>
          <w:tcPr>
            <w:tcW w:w="2556" w:type="dxa"/>
            <w:gridSpan w:val="2"/>
            <w:tcBorders>
              <w:left w:val="nil"/>
              <w:bottom w:val="nil"/>
              <w:right w:val="nil"/>
            </w:tcBorders>
          </w:tcPr>
          <w:p>
            <w:pPr>
              <w:pStyle w:val="TableParagraph"/>
              <w:spacing w:line="270" w:lineRule="exact"/>
              <w:ind w:left="856" w:right="859"/>
              <w:jc w:val="center"/>
              <w:rPr>
                <w:sz w:val="16"/>
              </w:rPr>
            </w:pPr>
            <w:r>
              <w:rPr>
                <w:sz w:val="24"/>
              </w:rPr>
              <w:t>Efectos</w:t>
            </w:r>
            <w:r>
              <w:rPr>
                <w:position w:val="9"/>
                <w:sz w:val="16"/>
              </w:rPr>
              <w:t>§</w:t>
            </w:r>
          </w:p>
        </w:tc>
      </w:tr>
      <w:tr>
        <w:trPr>
          <w:trHeight w:val="327" w:hRule="exact"/>
        </w:trPr>
        <w:tc>
          <w:tcPr>
            <w:tcW w:w="1553" w:type="dxa"/>
            <w:vMerge/>
            <w:tcBorders>
              <w:left w:val="nil"/>
              <w:right w:val="nil"/>
            </w:tcBorders>
          </w:tcPr>
          <w:p>
            <w:pPr/>
          </w:p>
        </w:tc>
        <w:tc>
          <w:tcPr>
            <w:tcW w:w="1167" w:type="dxa"/>
            <w:tcBorders>
              <w:top w:val="nil"/>
              <w:left w:val="nil"/>
              <w:right w:val="nil"/>
            </w:tcBorders>
          </w:tcPr>
          <w:p>
            <w:pPr/>
          </w:p>
        </w:tc>
        <w:tc>
          <w:tcPr>
            <w:tcW w:w="1459" w:type="dxa"/>
            <w:tcBorders>
              <w:top w:val="nil"/>
              <w:left w:val="nil"/>
              <w:right w:val="nil"/>
            </w:tcBorders>
          </w:tcPr>
          <w:p>
            <w:pPr/>
          </w:p>
        </w:tc>
        <w:tc>
          <w:tcPr>
            <w:tcW w:w="1208" w:type="dxa"/>
            <w:tcBorders>
              <w:top w:val="nil"/>
              <w:left w:val="nil"/>
              <w:right w:val="nil"/>
            </w:tcBorders>
          </w:tcPr>
          <w:p>
            <w:pPr/>
          </w:p>
        </w:tc>
        <w:tc>
          <w:tcPr>
            <w:tcW w:w="1114" w:type="dxa"/>
            <w:tcBorders>
              <w:top w:val="nil"/>
              <w:left w:val="nil"/>
              <w:bottom w:val="nil"/>
              <w:right w:val="nil"/>
            </w:tcBorders>
          </w:tcPr>
          <w:p>
            <w:pPr>
              <w:pStyle w:val="TableParagraph"/>
              <w:spacing w:before="8"/>
              <w:ind w:left="105"/>
              <w:rPr>
                <w:sz w:val="16"/>
              </w:rPr>
            </w:pPr>
            <w:r>
              <w:rPr>
                <w:sz w:val="24"/>
              </w:rPr>
              <w:t>EEM</w:t>
            </w:r>
            <w:r>
              <w:rPr>
                <w:position w:val="9"/>
                <w:sz w:val="16"/>
              </w:rPr>
              <w:t>¶</w:t>
            </w:r>
          </w:p>
        </w:tc>
        <w:tc>
          <w:tcPr>
            <w:tcW w:w="1077" w:type="dxa"/>
            <w:tcBorders>
              <w:top w:val="nil"/>
              <w:left w:val="nil"/>
              <w:right w:val="nil"/>
            </w:tcBorders>
          </w:tcPr>
          <w:p>
            <w:pPr/>
          </w:p>
        </w:tc>
        <w:tc>
          <w:tcPr>
            <w:tcW w:w="1480" w:type="dxa"/>
            <w:tcBorders>
              <w:top w:val="nil"/>
              <w:left w:val="nil"/>
              <w:right w:val="nil"/>
            </w:tcBorders>
          </w:tcPr>
          <w:p>
            <w:pPr/>
          </w:p>
        </w:tc>
      </w:tr>
      <w:tr>
        <w:trPr>
          <w:trHeight w:val="644" w:hRule="exact"/>
        </w:trPr>
        <w:tc>
          <w:tcPr>
            <w:tcW w:w="1553" w:type="dxa"/>
            <w:vMerge/>
            <w:tcBorders>
              <w:left w:val="nil"/>
              <w:right w:val="nil"/>
            </w:tcBorders>
          </w:tcPr>
          <w:p>
            <w:pPr/>
          </w:p>
        </w:tc>
        <w:tc>
          <w:tcPr>
            <w:tcW w:w="1167" w:type="dxa"/>
            <w:tcBorders>
              <w:left w:val="nil"/>
              <w:right w:val="nil"/>
            </w:tcBorders>
          </w:tcPr>
          <w:p>
            <w:pPr>
              <w:pStyle w:val="TableParagraph"/>
              <w:spacing w:before="14"/>
              <w:ind w:left="107"/>
              <w:rPr>
                <w:sz w:val="24"/>
              </w:rPr>
            </w:pPr>
            <w:r>
              <w:rPr>
                <w:sz w:val="24"/>
              </w:rPr>
              <w:t>pTMR-0</w:t>
            </w:r>
          </w:p>
        </w:tc>
        <w:tc>
          <w:tcPr>
            <w:tcW w:w="1459" w:type="dxa"/>
            <w:tcBorders>
              <w:left w:val="nil"/>
              <w:right w:val="nil"/>
            </w:tcBorders>
          </w:tcPr>
          <w:p>
            <w:pPr>
              <w:pStyle w:val="TableParagraph"/>
              <w:spacing w:before="14"/>
              <w:ind w:left="218"/>
              <w:rPr>
                <w:sz w:val="24"/>
              </w:rPr>
            </w:pPr>
            <w:r>
              <w:rPr>
                <w:sz w:val="24"/>
              </w:rPr>
              <w:t>pTMR-3</w:t>
            </w:r>
          </w:p>
        </w:tc>
        <w:tc>
          <w:tcPr>
            <w:tcW w:w="1208" w:type="dxa"/>
            <w:tcBorders>
              <w:left w:val="nil"/>
              <w:right w:val="nil"/>
            </w:tcBorders>
          </w:tcPr>
          <w:p>
            <w:pPr>
              <w:pStyle w:val="TableParagraph"/>
              <w:spacing w:before="14"/>
              <w:ind w:left="36"/>
              <w:rPr>
                <w:sz w:val="24"/>
              </w:rPr>
            </w:pPr>
            <w:r>
              <w:rPr>
                <w:sz w:val="24"/>
              </w:rPr>
              <w:t>pTMR-6</w:t>
            </w:r>
          </w:p>
        </w:tc>
        <w:tc>
          <w:tcPr>
            <w:tcW w:w="1114" w:type="dxa"/>
            <w:tcBorders>
              <w:top w:val="nil"/>
              <w:left w:val="nil"/>
              <w:right w:val="nil"/>
            </w:tcBorders>
          </w:tcPr>
          <w:p>
            <w:pPr/>
          </w:p>
        </w:tc>
        <w:tc>
          <w:tcPr>
            <w:tcW w:w="1077" w:type="dxa"/>
            <w:tcBorders>
              <w:left w:val="nil"/>
              <w:right w:val="nil"/>
            </w:tcBorders>
          </w:tcPr>
          <w:p>
            <w:pPr>
              <w:pStyle w:val="TableParagraph"/>
              <w:spacing w:before="14"/>
              <w:ind w:right="364"/>
              <w:jc w:val="right"/>
              <w:rPr>
                <w:sz w:val="24"/>
              </w:rPr>
            </w:pPr>
            <w:r>
              <w:rPr>
                <w:sz w:val="24"/>
              </w:rPr>
              <w:t>L</w:t>
            </w:r>
          </w:p>
        </w:tc>
        <w:tc>
          <w:tcPr>
            <w:tcW w:w="1480" w:type="dxa"/>
            <w:tcBorders>
              <w:left w:val="nil"/>
              <w:right w:val="nil"/>
            </w:tcBorders>
          </w:tcPr>
          <w:p>
            <w:pPr>
              <w:pStyle w:val="TableParagraph"/>
              <w:spacing w:before="14"/>
              <w:ind w:left="198"/>
              <w:jc w:val="center"/>
              <w:rPr>
                <w:sz w:val="24"/>
              </w:rPr>
            </w:pPr>
            <w:r>
              <w:rPr>
                <w:w w:val="99"/>
                <w:sz w:val="24"/>
              </w:rPr>
              <w:t>Q</w:t>
            </w:r>
          </w:p>
        </w:tc>
      </w:tr>
      <w:tr>
        <w:trPr>
          <w:trHeight w:val="444" w:hRule="exact"/>
        </w:trPr>
        <w:tc>
          <w:tcPr>
            <w:tcW w:w="1553" w:type="dxa"/>
            <w:tcBorders>
              <w:left w:val="nil"/>
              <w:bottom w:val="nil"/>
              <w:right w:val="nil"/>
            </w:tcBorders>
          </w:tcPr>
          <w:p>
            <w:pPr>
              <w:pStyle w:val="TableParagraph"/>
              <w:spacing w:line="270" w:lineRule="exact"/>
              <w:ind w:left="107" w:right="745"/>
              <w:rPr>
                <w:sz w:val="24"/>
              </w:rPr>
            </w:pPr>
            <w:r>
              <w:rPr>
                <w:sz w:val="24"/>
              </w:rPr>
              <w:t>C4</w:t>
            </w:r>
          </w:p>
        </w:tc>
        <w:tc>
          <w:tcPr>
            <w:tcW w:w="1167" w:type="dxa"/>
            <w:tcBorders>
              <w:left w:val="nil"/>
              <w:bottom w:val="nil"/>
              <w:right w:val="nil"/>
            </w:tcBorders>
          </w:tcPr>
          <w:p>
            <w:pPr>
              <w:pStyle w:val="TableParagraph"/>
              <w:spacing w:line="270" w:lineRule="exact"/>
              <w:ind w:left="107"/>
              <w:rPr>
                <w:sz w:val="16"/>
              </w:rPr>
            </w:pPr>
            <w:r>
              <w:rPr>
                <w:sz w:val="24"/>
              </w:rPr>
              <w:t>1.51</w:t>
            </w:r>
            <w:r>
              <w:rPr>
                <w:position w:val="9"/>
                <w:sz w:val="16"/>
              </w:rPr>
              <w:t>ab</w:t>
            </w:r>
          </w:p>
        </w:tc>
        <w:tc>
          <w:tcPr>
            <w:tcW w:w="1459" w:type="dxa"/>
            <w:tcBorders>
              <w:left w:val="nil"/>
              <w:bottom w:val="nil"/>
              <w:right w:val="nil"/>
            </w:tcBorders>
          </w:tcPr>
          <w:p>
            <w:pPr>
              <w:pStyle w:val="TableParagraph"/>
              <w:spacing w:line="270" w:lineRule="exact"/>
              <w:ind w:left="218"/>
              <w:rPr>
                <w:sz w:val="16"/>
              </w:rPr>
            </w:pPr>
            <w:r>
              <w:rPr>
                <w:sz w:val="24"/>
              </w:rPr>
              <w:t>1.94</w:t>
            </w:r>
            <w:r>
              <w:rPr>
                <w:position w:val="9"/>
                <w:sz w:val="16"/>
              </w:rPr>
              <w:t>a</w:t>
            </w:r>
          </w:p>
        </w:tc>
        <w:tc>
          <w:tcPr>
            <w:tcW w:w="1208" w:type="dxa"/>
            <w:tcBorders>
              <w:left w:val="nil"/>
              <w:bottom w:val="nil"/>
              <w:right w:val="nil"/>
            </w:tcBorders>
          </w:tcPr>
          <w:p>
            <w:pPr>
              <w:pStyle w:val="TableParagraph"/>
              <w:spacing w:line="270" w:lineRule="exact"/>
              <w:ind w:left="36"/>
              <w:rPr>
                <w:sz w:val="16"/>
              </w:rPr>
            </w:pPr>
            <w:r>
              <w:rPr>
                <w:sz w:val="24"/>
              </w:rPr>
              <w:t>1.14</w:t>
            </w:r>
            <w:r>
              <w:rPr>
                <w:position w:val="9"/>
                <w:sz w:val="16"/>
              </w:rPr>
              <w:t>b</w:t>
            </w:r>
          </w:p>
        </w:tc>
        <w:tc>
          <w:tcPr>
            <w:tcW w:w="1114" w:type="dxa"/>
            <w:tcBorders>
              <w:left w:val="nil"/>
              <w:bottom w:val="nil"/>
              <w:right w:val="nil"/>
            </w:tcBorders>
          </w:tcPr>
          <w:p>
            <w:pPr>
              <w:pStyle w:val="TableParagraph"/>
              <w:spacing w:line="270" w:lineRule="exact"/>
              <w:ind w:left="105"/>
              <w:rPr>
                <w:sz w:val="24"/>
              </w:rPr>
            </w:pPr>
            <w:r>
              <w:rPr>
                <w:sz w:val="24"/>
              </w:rPr>
              <w:t>0.1812</w:t>
            </w:r>
          </w:p>
        </w:tc>
        <w:tc>
          <w:tcPr>
            <w:tcW w:w="1077" w:type="dxa"/>
            <w:tcBorders>
              <w:left w:val="nil"/>
              <w:bottom w:val="nil"/>
              <w:right w:val="nil"/>
            </w:tcBorders>
          </w:tcPr>
          <w:p>
            <w:pPr>
              <w:pStyle w:val="TableParagraph"/>
              <w:spacing w:line="270" w:lineRule="exact"/>
              <w:ind w:right="306"/>
              <w:jc w:val="right"/>
              <w:rPr>
                <w:sz w:val="24"/>
              </w:rPr>
            </w:pPr>
            <w:r>
              <w:rPr>
                <w:sz w:val="24"/>
              </w:rPr>
              <w:t>0.1642</w:t>
            </w:r>
          </w:p>
        </w:tc>
        <w:tc>
          <w:tcPr>
            <w:tcW w:w="1480" w:type="dxa"/>
            <w:tcBorders>
              <w:left w:val="nil"/>
              <w:bottom w:val="nil"/>
              <w:right w:val="nil"/>
            </w:tcBorders>
          </w:tcPr>
          <w:p>
            <w:pPr>
              <w:pStyle w:val="TableParagraph"/>
              <w:spacing w:line="270" w:lineRule="exact"/>
              <w:ind w:left="308"/>
              <w:rPr>
                <w:sz w:val="24"/>
              </w:rPr>
            </w:pPr>
            <w:r>
              <w:rPr>
                <w:sz w:val="24"/>
              </w:rPr>
              <w:t>0.0087</w:t>
            </w:r>
          </w:p>
        </w:tc>
      </w:tr>
      <w:tr>
        <w:trPr>
          <w:trHeight w:val="614" w:hRule="exact"/>
        </w:trPr>
        <w:tc>
          <w:tcPr>
            <w:tcW w:w="1553" w:type="dxa"/>
            <w:tcBorders>
              <w:top w:val="nil"/>
              <w:left w:val="nil"/>
              <w:bottom w:val="nil"/>
              <w:right w:val="nil"/>
            </w:tcBorders>
          </w:tcPr>
          <w:p>
            <w:pPr>
              <w:pStyle w:val="TableParagraph"/>
              <w:spacing w:before="170"/>
              <w:ind w:left="107" w:right="745"/>
              <w:rPr>
                <w:sz w:val="24"/>
              </w:rPr>
            </w:pPr>
            <w:r>
              <w:rPr>
                <w:sz w:val="24"/>
              </w:rPr>
              <w:t>C6</w:t>
            </w:r>
          </w:p>
        </w:tc>
        <w:tc>
          <w:tcPr>
            <w:tcW w:w="1167" w:type="dxa"/>
            <w:tcBorders>
              <w:top w:val="nil"/>
              <w:left w:val="nil"/>
              <w:bottom w:val="nil"/>
              <w:right w:val="nil"/>
            </w:tcBorders>
          </w:tcPr>
          <w:p>
            <w:pPr>
              <w:pStyle w:val="TableParagraph"/>
              <w:spacing w:before="154"/>
              <w:ind w:left="107"/>
              <w:rPr>
                <w:sz w:val="16"/>
              </w:rPr>
            </w:pPr>
            <w:r>
              <w:rPr>
                <w:sz w:val="24"/>
              </w:rPr>
              <w:t>2.25</w:t>
            </w:r>
            <w:r>
              <w:rPr>
                <w:position w:val="9"/>
                <w:sz w:val="16"/>
              </w:rPr>
              <w:t>a</w:t>
            </w:r>
          </w:p>
        </w:tc>
        <w:tc>
          <w:tcPr>
            <w:tcW w:w="1459" w:type="dxa"/>
            <w:tcBorders>
              <w:top w:val="nil"/>
              <w:left w:val="nil"/>
              <w:bottom w:val="nil"/>
              <w:right w:val="nil"/>
            </w:tcBorders>
          </w:tcPr>
          <w:p>
            <w:pPr>
              <w:pStyle w:val="TableParagraph"/>
              <w:spacing w:before="154"/>
              <w:ind w:left="218"/>
              <w:rPr>
                <w:sz w:val="16"/>
              </w:rPr>
            </w:pPr>
            <w:r>
              <w:rPr>
                <w:sz w:val="24"/>
              </w:rPr>
              <w:t>2.25</w:t>
            </w:r>
            <w:r>
              <w:rPr>
                <w:position w:val="9"/>
                <w:sz w:val="16"/>
              </w:rPr>
              <w:t>a</w:t>
            </w:r>
          </w:p>
        </w:tc>
        <w:tc>
          <w:tcPr>
            <w:tcW w:w="1208" w:type="dxa"/>
            <w:tcBorders>
              <w:top w:val="nil"/>
              <w:left w:val="nil"/>
              <w:bottom w:val="nil"/>
              <w:right w:val="nil"/>
            </w:tcBorders>
          </w:tcPr>
          <w:p>
            <w:pPr>
              <w:pStyle w:val="TableParagraph"/>
              <w:spacing w:before="154"/>
              <w:ind w:left="36"/>
              <w:rPr>
                <w:sz w:val="16"/>
              </w:rPr>
            </w:pPr>
            <w:r>
              <w:rPr>
                <w:sz w:val="24"/>
              </w:rPr>
              <w:t>1.02</w:t>
            </w:r>
            <w:r>
              <w:rPr>
                <w:position w:val="9"/>
                <w:sz w:val="16"/>
              </w:rPr>
              <w:t>b</w:t>
            </w:r>
          </w:p>
        </w:tc>
        <w:tc>
          <w:tcPr>
            <w:tcW w:w="1114" w:type="dxa"/>
            <w:tcBorders>
              <w:top w:val="nil"/>
              <w:left w:val="nil"/>
              <w:bottom w:val="nil"/>
              <w:right w:val="nil"/>
            </w:tcBorders>
          </w:tcPr>
          <w:p>
            <w:pPr>
              <w:pStyle w:val="TableParagraph"/>
              <w:spacing w:before="170"/>
              <w:ind w:left="105"/>
              <w:rPr>
                <w:sz w:val="24"/>
              </w:rPr>
            </w:pPr>
            <w:r>
              <w:rPr>
                <w:sz w:val="24"/>
              </w:rPr>
              <w:t>0.1541</w:t>
            </w:r>
          </w:p>
        </w:tc>
        <w:tc>
          <w:tcPr>
            <w:tcW w:w="1077" w:type="dxa"/>
            <w:tcBorders>
              <w:top w:val="nil"/>
              <w:left w:val="nil"/>
              <w:bottom w:val="nil"/>
              <w:right w:val="nil"/>
            </w:tcBorders>
          </w:tcPr>
          <w:p>
            <w:pPr>
              <w:pStyle w:val="TableParagraph"/>
              <w:spacing w:before="170"/>
              <w:ind w:right="306"/>
              <w:jc w:val="right"/>
              <w:rPr>
                <w:sz w:val="24"/>
              </w:rPr>
            </w:pPr>
            <w:r>
              <w:rPr>
                <w:sz w:val="24"/>
              </w:rPr>
              <w:t>0.0001</w:t>
            </w:r>
          </w:p>
        </w:tc>
        <w:tc>
          <w:tcPr>
            <w:tcW w:w="1480" w:type="dxa"/>
            <w:tcBorders>
              <w:top w:val="nil"/>
              <w:left w:val="nil"/>
              <w:bottom w:val="nil"/>
              <w:right w:val="nil"/>
            </w:tcBorders>
          </w:tcPr>
          <w:p>
            <w:pPr>
              <w:pStyle w:val="TableParagraph"/>
              <w:spacing w:before="170"/>
              <w:ind w:left="308"/>
              <w:rPr>
                <w:sz w:val="24"/>
              </w:rPr>
            </w:pPr>
            <w:r>
              <w:rPr>
                <w:sz w:val="24"/>
              </w:rPr>
              <w:t>0.0024</w:t>
            </w:r>
          </w:p>
        </w:tc>
      </w:tr>
      <w:tr>
        <w:trPr>
          <w:trHeight w:val="614" w:hRule="exact"/>
        </w:trPr>
        <w:tc>
          <w:tcPr>
            <w:tcW w:w="1553" w:type="dxa"/>
            <w:tcBorders>
              <w:top w:val="nil"/>
              <w:left w:val="nil"/>
              <w:bottom w:val="nil"/>
              <w:right w:val="nil"/>
            </w:tcBorders>
          </w:tcPr>
          <w:p>
            <w:pPr>
              <w:pStyle w:val="TableParagraph"/>
              <w:spacing w:before="170"/>
              <w:ind w:left="107" w:right="745"/>
              <w:rPr>
                <w:sz w:val="24"/>
              </w:rPr>
            </w:pPr>
            <w:r>
              <w:rPr>
                <w:sz w:val="24"/>
              </w:rPr>
              <w:t>C8</w:t>
            </w:r>
          </w:p>
        </w:tc>
        <w:tc>
          <w:tcPr>
            <w:tcW w:w="1167" w:type="dxa"/>
            <w:tcBorders>
              <w:top w:val="nil"/>
              <w:left w:val="nil"/>
              <w:bottom w:val="nil"/>
              <w:right w:val="nil"/>
            </w:tcBorders>
          </w:tcPr>
          <w:p>
            <w:pPr>
              <w:pStyle w:val="TableParagraph"/>
              <w:spacing w:before="154"/>
              <w:ind w:left="107"/>
              <w:rPr>
                <w:sz w:val="16"/>
              </w:rPr>
            </w:pPr>
            <w:r>
              <w:rPr>
                <w:sz w:val="24"/>
              </w:rPr>
              <w:t>1.34</w:t>
            </w:r>
            <w:r>
              <w:rPr>
                <w:position w:val="9"/>
                <w:sz w:val="16"/>
              </w:rPr>
              <w:t>a</w:t>
            </w:r>
          </w:p>
        </w:tc>
        <w:tc>
          <w:tcPr>
            <w:tcW w:w="1459" w:type="dxa"/>
            <w:tcBorders>
              <w:top w:val="nil"/>
              <w:left w:val="nil"/>
              <w:bottom w:val="nil"/>
              <w:right w:val="nil"/>
            </w:tcBorders>
          </w:tcPr>
          <w:p>
            <w:pPr>
              <w:pStyle w:val="TableParagraph"/>
              <w:spacing w:before="154"/>
              <w:ind w:left="218"/>
              <w:rPr>
                <w:sz w:val="16"/>
              </w:rPr>
            </w:pPr>
            <w:r>
              <w:rPr>
                <w:sz w:val="24"/>
              </w:rPr>
              <w:t>1.20</w:t>
            </w:r>
            <w:r>
              <w:rPr>
                <w:position w:val="9"/>
                <w:sz w:val="16"/>
              </w:rPr>
              <w:t>a</w:t>
            </w:r>
          </w:p>
        </w:tc>
        <w:tc>
          <w:tcPr>
            <w:tcW w:w="1208" w:type="dxa"/>
            <w:tcBorders>
              <w:top w:val="nil"/>
              <w:left w:val="nil"/>
              <w:bottom w:val="nil"/>
              <w:right w:val="nil"/>
            </w:tcBorders>
          </w:tcPr>
          <w:p>
            <w:pPr>
              <w:pStyle w:val="TableParagraph"/>
              <w:spacing w:before="154"/>
              <w:ind w:left="36"/>
              <w:rPr>
                <w:sz w:val="16"/>
              </w:rPr>
            </w:pPr>
            <w:r>
              <w:rPr>
                <w:sz w:val="24"/>
              </w:rPr>
              <w:t>0.50</w:t>
            </w:r>
            <w:r>
              <w:rPr>
                <w:position w:val="9"/>
                <w:sz w:val="16"/>
              </w:rPr>
              <w:t>b</w:t>
            </w:r>
          </w:p>
        </w:tc>
        <w:tc>
          <w:tcPr>
            <w:tcW w:w="1114" w:type="dxa"/>
            <w:tcBorders>
              <w:top w:val="nil"/>
              <w:left w:val="nil"/>
              <w:bottom w:val="nil"/>
              <w:right w:val="nil"/>
            </w:tcBorders>
          </w:tcPr>
          <w:p>
            <w:pPr>
              <w:pStyle w:val="TableParagraph"/>
              <w:spacing w:before="170"/>
              <w:ind w:left="105"/>
              <w:rPr>
                <w:sz w:val="24"/>
              </w:rPr>
            </w:pPr>
            <w:r>
              <w:rPr>
                <w:sz w:val="24"/>
              </w:rPr>
              <w:t>0.0789</w:t>
            </w:r>
          </w:p>
        </w:tc>
        <w:tc>
          <w:tcPr>
            <w:tcW w:w="1077" w:type="dxa"/>
            <w:tcBorders>
              <w:top w:val="nil"/>
              <w:left w:val="nil"/>
              <w:bottom w:val="nil"/>
              <w:right w:val="nil"/>
            </w:tcBorders>
          </w:tcPr>
          <w:p>
            <w:pPr>
              <w:pStyle w:val="TableParagraph"/>
              <w:spacing w:before="170"/>
              <w:ind w:right="306"/>
              <w:jc w:val="right"/>
              <w:rPr>
                <w:sz w:val="24"/>
              </w:rPr>
            </w:pPr>
            <w:r>
              <w:rPr>
                <w:sz w:val="24"/>
              </w:rPr>
              <w:t>0.0001</w:t>
            </w:r>
          </w:p>
        </w:tc>
        <w:tc>
          <w:tcPr>
            <w:tcW w:w="1480" w:type="dxa"/>
            <w:tcBorders>
              <w:top w:val="nil"/>
              <w:left w:val="nil"/>
              <w:bottom w:val="nil"/>
              <w:right w:val="nil"/>
            </w:tcBorders>
          </w:tcPr>
          <w:p>
            <w:pPr>
              <w:pStyle w:val="TableParagraph"/>
              <w:spacing w:before="170"/>
              <w:ind w:left="308"/>
              <w:rPr>
                <w:sz w:val="24"/>
              </w:rPr>
            </w:pPr>
            <w:r>
              <w:rPr>
                <w:sz w:val="24"/>
              </w:rPr>
              <w:t>0.00630</w:t>
            </w:r>
          </w:p>
        </w:tc>
      </w:tr>
      <w:tr>
        <w:trPr>
          <w:trHeight w:val="614" w:hRule="exact"/>
        </w:trPr>
        <w:tc>
          <w:tcPr>
            <w:tcW w:w="1553" w:type="dxa"/>
            <w:tcBorders>
              <w:top w:val="nil"/>
              <w:left w:val="nil"/>
              <w:bottom w:val="nil"/>
              <w:right w:val="nil"/>
            </w:tcBorders>
          </w:tcPr>
          <w:p>
            <w:pPr>
              <w:pStyle w:val="TableParagraph"/>
              <w:spacing w:before="170"/>
              <w:ind w:left="107" w:right="745"/>
              <w:rPr>
                <w:sz w:val="24"/>
              </w:rPr>
            </w:pPr>
            <w:r>
              <w:rPr>
                <w:sz w:val="24"/>
              </w:rPr>
              <w:t>C10</w:t>
            </w:r>
          </w:p>
        </w:tc>
        <w:tc>
          <w:tcPr>
            <w:tcW w:w="1167" w:type="dxa"/>
            <w:tcBorders>
              <w:top w:val="nil"/>
              <w:left w:val="nil"/>
              <w:bottom w:val="nil"/>
              <w:right w:val="nil"/>
            </w:tcBorders>
          </w:tcPr>
          <w:p>
            <w:pPr>
              <w:pStyle w:val="TableParagraph"/>
              <w:spacing w:before="154"/>
              <w:ind w:left="107"/>
              <w:rPr>
                <w:sz w:val="16"/>
              </w:rPr>
            </w:pPr>
            <w:r>
              <w:rPr>
                <w:sz w:val="24"/>
              </w:rPr>
              <w:t>2.90</w:t>
            </w:r>
            <w:r>
              <w:rPr>
                <w:position w:val="9"/>
                <w:sz w:val="16"/>
              </w:rPr>
              <w:t>a</w:t>
            </w:r>
          </w:p>
        </w:tc>
        <w:tc>
          <w:tcPr>
            <w:tcW w:w="1459" w:type="dxa"/>
            <w:tcBorders>
              <w:top w:val="nil"/>
              <w:left w:val="nil"/>
              <w:bottom w:val="nil"/>
              <w:right w:val="nil"/>
            </w:tcBorders>
          </w:tcPr>
          <w:p>
            <w:pPr>
              <w:pStyle w:val="TableParagraph"/>
              <w:spacing w:before="154"/>
              <w:ind w:left="218"/>
              <w:rPr>
                <w:sz w:val="16"/>
              </w:rPr>
            </w:pPr>
            <w:r>
              <w:rPr>
                <w:sz w:val="24"/>
              </w:rPr>
              <w:t>2.35</w:t>
            </w:r>
            <w:r>
              <w:rPr>
                <w:position w:val="9"/>
                <w:sz w:val="16"/>
              </w:rPr>
              <w:t>b</w:t>
            </w:r>
          </w:p>
        </w:tc>
        <w:tc>
          <w:tcPr>
            <w:tcW w:w="1208" w:type="dxa"/>
            <w:tcBorders>
              <w:top w:val="nil"/>
              <w:left w:val="nil"/>
              <w:bottom w:val="nil"/>
              <w:right w:val="nil"/>
            </w:tcBorders>
          </w:tcPr>
          <w:p>
            <w:pPr>
              <w:pStyle w:val="TableParagraph"/>
              <w:spacing w:before="154"/>
              <w:ind w:left="36"/>
              <w:rPr>
                <w:sz w:val="16"/>
              </w:rPr>
            </w:pPr>
            <w:r>
              <w:rPr>
                <w:sz w:val="24"/>
              </w:rPr>
              <w:t>1.02</w:t>
            </w:r>
            <w:r>
              <w:rPr>
                <w:position w:val="9"/>
                <w:sz w:val="16"/>
              </w:rPr>
              <w:t>c</w:t>
            </w:r>
          </w:p>
        </w:tc>
        <w:tc>
          <w:tcPr>
            <w:tcW w:w="1114" w:type="dxa"/>
            <w:tcBorders>
              <w:top w:val="nil"/>
              <w:left w:val="nil"/>
              <w:bottom w:val="nil"/>
              <w:right w:val="nil"/>
            </w:tcBorders>
          </w:tcPr>
          <w:p>
            <w:pPr>
              <w:pStyle w:val="TableParagraph"/>
              <w:spacing w:before="170"/>
              <w:ind w:left="105"/>
              <w:rPr>
                <w:sz w:val="24"/>
              </w:rPr>
            </w:pPr>
            <w:r>
              <w:rPr>
                <w:sz w:val="24"/>
              </w:rPr>
              <w:t>0.1196</w:t>
            </w:r>
          </w:p>
        </w:tc>
        <w:tc>
          <w:tcPr>
            <w:tcW w:w="1077" w:type="dxa"/>
            <w:tcBorders>
              <w:top w:val="nil"/>
              <w:left w:val="nil"/>
              <w:bottom w:val="nil"/>
              <w:right w:val="nil"/>
            </w:tcBorders>
          </w:tcPr>
          <w:p>
            <w:pPr>
              <w:pStyle w:val="TableParagraph"/>
              <w:spacing w:before="170"/>
              <w:ind w:right="306"/>
              <w:jc w:val="right"/>
              <w:rPr>
                <w:sz w:val="24"/>
              </w:rPr>
            </w:pPr>
            <w:r>
              <w:rPr>
                <w:sz w:val="24"/>
              </w:rPr>
              <w:t>0.0001</w:t>
            </w:r>
          </w:p>
        </w:tc>
        <w:tc>
          <w:tcPr>
            <w:tcW w:w="1480" w:type="dxa"/>
            <w:tcBorders>
              <w:top w:val="nil"/>
              <w:left w:val="nil"/>
              <w:bottom w:val="nil"/>
              <w:right w:val="nil"/>
            </w:tcBorders>
          </w:tcPr>
          <w:p>
            <w:pPr>
              <w:pStyle w:val="TableParagraph"/>
              <w:spacing w:before="170"/>
              <w:ind w:left="308"/>
              <w:rPr>
                <w:sz w:val="24"/>
              </w:rPr>
            </w:pPr>
            <w:r>
              <w:rPr>
                <w:sz w:val="24"/>
              </w:rPr>
              <w:t>0.0102</w:t>
            </w:r>
          </w:p>
        </w:tc>
      </w:tr>
      <w:tr>
        <w:trPr>
          <w:trHeight w:val="614" w:hRule="exact"/>
        </w:trPr>
        <w:tc>
          <w:tcPr>
            <w:tcW w:w="1553" w:type="dxa"/>
            <w:tcBorders>
              <w:top w:val="nil"/>
              <w:left w:val="nil"/>
              <w:bottom w:val="nil"/>
              <w:right w:val="nil"/>
            </w:tcBorders>
          </w:tcPr>
          <w:p>
            <w:pPr>
              <w:pStyle w:val="TableParagraph"/>
              <w:spacing w:before="170"/>
              <w:ind w:left="107" w:right="745"/>
              <w:rPr>
                <w:sz w:val="24"/>
              </w:rPr>
            </w:pPr>
            <w:r>
              <w:rPr>
                <w:sz w:val="24"/>
              </w:rPr>
              <w:t>C11</w:t>
            </w:r>
          </w:p>
        </w:tc>
        <w:tc>
          <w:tcPr>
            <w:tcW w:w="1167" w:type="dxa"/>
            <w:tcBorders>
              <w:top w:val="nil"/>
              <w:left w:val="nil"/>
              <w:bottom w:val="nil"/>
              <w:right w:val="nil"/>
            </w:tcBorders>
          </w:tcPr>
          <w:p>
            <w:pPr>
              <w:pStyle w:val="TableParagraph"/>
              <w:spacing w:before="155"/>
              <w:ind w:left="107"/>
              <w:rPr>
                <w:sz w:val="16"/>
              </w:rPr>
            </w:pPr>
            <w:r>
              <w:rPr>
                <w:sz w:val="24"/>
              </w:rPr>
              <w:t>0.29</w:t>
            </w:r>
            <w:r>
              <w:rPr>
                <w:position w:val="9"/>
                <w:sz w:val="16"/>
              </w:rPr>
              <w:t>a</w:t>
            </w:r>
          </w:p>
        </w:tc>
        <w:tc>
          <w:tcPr>
            <w:tcW w:w="1459" w:type="dxa"/>
            <w:tcBorders>
              <w:top w:val="nil"/>
              <w:left w:val="nil"/>
              <w:bottom w:val="nil"/>
              <w:right w:val="nil"/>
            </w:tcBorders>
          </w:tcPr>
          <w:p>
            <w:pPr>
              <w:pStyle w:val="TableParagraph"/>
              <w:spacing w:before="155"/>
              <w:ind w:left="218"/>
              <w:rPr>
                <w:sz w:val="16"/>
              </w:rPr>
            </w:pPr>
            <w:r>
              <w:rPr>
                <w:sz w:val="24"/>
              </w:rPr>
              <w:t>0.22</w:t>
            </w:r>
            <w:r>
              <w:rPr>
                <w:position w:val="9"/>
                <w:sz w:val="16"/>
              </w:rPr>
              <w:t>b</w:t>
            </w:r>
          </w:p>
        </w:tc>
        <w:tc>
          <w:tcPr>
            <w:tcW w:w="1208" w:type="dxa"/>
            <w:tcBorders>
              <w:top w:val="nil"/>
              <w:left w:val="nil"/>
              <w:bottom w:val="nil"/>
              <w:right w:val="nil"/>
            </w:tcBorders>
          </w:tcPr>
          <w:p>
            <w:pPr>
              <w:pStyle w:val="TableParagraph"/>
              <w:spacing w:before="155"/>
              <w:ind w:left="36"/>
              <w:rPr>
                <w:sz w:val="16"/>
              </w:rPr>
            </w:pPr>
            <w:r>
              <w:rPr>
                <w:sz w:val="24"/>
              </w:rPr>
              <w:t>0.08</w:t>
            </w:r>
            <w:r>
              <w:rPr>
                <w:position w:val="9"/>
                <w:sz w:val="16"/>
              </w:rPr>
              <w:t>c</w:t>
            </w:r>
          </w:p>
        </w:tc>
        <w:tc>
          <w:tcPr>
            <w:tcW w:w="1114" w:type="dxa"/>
            <w:tcBorders>
              <w:top w:val="nil"/>
              <w:left w:val="nil"/>
              <w:bottom w:val="nil"/>
              <w:right w:val="nil"/>
            </w:tcBorders>
          </w:tcPr>
          <w:p>
            <w:pPr>
              <w:pStyle w:val="TableParagraph"/>
              <w:spacing w:before="170"/>
              <w:ind w:left="105"/>
              <w:rPr>
                <w:sz w:val="24"/>
              </w:rPr>
            </w:pPr>
            <w:r>
              <w:rPr>
                <w:sz w:val="24"/>
              </w:rPr>
              <w:t>0.0182</w:t>
            </w:r>
          </w:p>
        </w:tc>
        <w:tc>
          <w:tcPr>
            <w:tcW w:w="1077" w:type="dxa"/>
            <w:tcBorders>
              <w:top w:val="nil"/>
              <w:left w:val="nil"/>
              <w:bottom w:val="nil"/>
              <w:right w:val="nil"/>
            </w:tcBorders>
          </w:tcPr>
          <w:p>
            <w:pPr>
              <w:pStyle w:val="TableParagraph"/>
              <w:spacing w:before="170"/>
              <w:ind w:right="306"/>
              <w:jc w:val="right"/>
              <w:rPr>
                <w:sz w:val="24"/>
              </w:rPr>
            </w:pPr>
            <w:r>
              <w:rPr>
                <w:sz w:val="24"/>
              </w:rPr>
              <w:t>0.0001</w:t>
            </w:r>
          </w:p>
        </w:tc>
        <w:tc>
          <w:tcPr>
            <w:tcW w:w="1480" w:type="dxa"/>
            <w:tcBorders>
              <w:top w:val="nil"/>
              <w:left w:val="nil"/>
              <w:bottom w:val="nil"/>
              <w:right w:val="nil"/>
            </w:tcBorders>
          </w:tcPr>
          <w:p>
            <w:pPr>
              <w:pStyle w:val="TableParagraph"/>
              <w:spacing w:before="170"/>
              <w:ind w:left="308"/>
              <w:rPr>
                <w:sz w:val="24"/>
              </w:rPr>
            </w:pPr>
            <w:r>
              <w:rPr>
                <w:sz w:val="24"/>
              </w:rPr>
              <w:t>0.1182</w:t>
            </w:r>
          </w:p>
        </w:tc>
      </w:tr>
      <w:tr>
        <w:trPr>
          <w:trHeight w:val="613" w:hRule="exact"/>
        </w:trPr>
        <w:tc>
          <w:tcPr>
            <w:tcW w:w="1553" w:type="dxa"/>
            <w:tcBorders>
              <w:top w:val="nil"/>
              <w:left w:val="nil"/>
              <w:bottom w:val="nil"/>
              <w:right w:val="nil"/>
            </w:tcBorders>
          </w:tcPr>
          <w:p>
            <w:pPr>
              <w:pStyle w:val="TableParagraph"/>
              <w:spacing w:before="168"/>
              <w:ind w:left="107" w:right="745"/>
              <w:rPr>
                <w:sz w:val="24"/>
              </w:rPr>
            </w:pPr>
            <w:r>
              <w:rPr>
                <w:sz w:val="24"/>
              </w:rPr>
              <w:t>C12</w:t>
            </w:r>
          </w:p>
        </w:tc>
        <w:tc>
          <w:tcPr>
            <w:tcW w:w="1167" w:type="dxa"/>
            <w:tcBorders>
              <w:top w:val="nil"/>
              <w:left w:val="nil"/>
              <w:bottom w:val="nil"/>
              <w:right w:val="nil"/>
            </w:tcBorders>
          </w:tcPr>
          <w:p>
            <w:pPr>
              <w:pStyle w:val="TableParagraph"/>
              <w:spacing w:before="153"/>
              <w:ind w:left="107"/>
              <w:rPr>
                <w:sz w:val="16"/>
              </w:rPr>
            </w:pPr>
            <w:r>
              <w:rPr>
                <w:sz w:val="24"/>
              </w:rPr>
              <w:t>3.15</w:t>
            </w:r>
            <w:r>
              <w:rPr>
                <w:position w:val="9"/>
                <w:sz w:val="16"/>
              </w:rPr>
              <w:t>a</w:t>
            </w:r>
          </w:p>
        </w:tc>
        <w:tc>
          <w:tcPr>
            <w:tcW w:w="1459" w:type="dxa"/>
            <w:tcBorders>
              <w:top w:val="nil"/>
              <w:left w:val="nil"/>
              <w:bottom w:val="nil"/>
              <w:right w:val="nil"/>
            </w:tcBorders>
          </w:tcPr>
          <w:p>
            <w:pPr>
              <w:pStyle w:val="TableParagraph"/>
              <w:spacing w:before="153"/>
              <w:ind w:left="218"/>
              <w:rPr>
                <w:sz w:val="16"/>
              </w:rPr>
            </w:pPr>
            <w:r>
              <w:rPr>
                <w:sz w:val="24"/>
              </w:rPr>
              <w:t>2.23</w:t>
            </w:r>
            <w:r>
              <w:rPr>
                <w:position w:val="9"/>
                <w:sz w:val="16"/>
              </w:rPr>
              <w:t>b</w:t>
            </w:r>
          </w:p>
        </w:tc>
        <w:tc>
          <w:tcPr>
            <w:tcW w:w="1208" w:type="dxa"/>
            <w:tcBorders>
              <w:top w:val="nil"/>
              <w:left w:val="nil"/>
              <w:bottom w:val="nil"/>
              <w:right w:val="nil"/>
            </w:tcBorders>
          </w:tcPr>
          <w:p>
            <w:pPr>
              <w:pStyle w:val="TableParagraph"/>
              <w:spacing w:before="153"/>
              <w:ind w:left="36"/>
              <w:rPr>
                <w:sz w:val="16"/>
              </w:rPr>
            </w:pPr>
            <w:r>
              <w:rPr>
                <w:sz w:val="24"/>
              </w:rPr>
              <w:t>1.38</w:t>
            </w:r>
            <w:r>
              <w:rPr>
                <w:position w:val="9"/>
                <w:sz w:val="16"/>
              </w:rPr>
              <w:t>c</w:t>
            </w:r>
          </w:p>
        </w:tc>
        <w:tc>
          <w:tcPr>
            <w:tcW w:w="1114" w:type="dxa"/>
            <w:tcBorders>
              <w:top w:val="nil"/>
              <w:left w:val="nil"/>
              <w:bottom w:val="nil"/>
              <w:right w:val="nil"/>
            </w:tcBorders>
          </w:tcPr>
          <w:p>
            <w:pPr>
              <w:pStyle w:val="TableParagraph"/>
              <w:spacing w:before="168"/>
              <w:ind w:left="105"/>
              <w:rPr>
                <w:sz w:val="24"/>
              </w:rPr>
            </w:pPr>
            <w:r>
              <w:rPr>
                <w:sz w:val="24"/>
              </w:rPr>
              <w:t>0.1371</w:t>
            </w:r>
          </w:p>
        </w:tc>
        <w:tc>
          <w:tcPr>
            <w:tcW w:w="1077" w:type="dxa"/>
            <w:tcBorders>
              <w:top w:val="nil"/>
              <w:left w:val="nil"/>
              <w:bottom w:val="nil"/>
              <w:right w:val="nil"/>
            </w:tcBorders>
          </w:tcPr>
          <w:p>
            <w:pPr>
              <w:pStyle w:val="TableParagraph"/>
              <w:spacing w:before="168"/>
              <w:ind w:right="306"/>
              <w:jc w:val="right"/>
              <w:rPr>
                <w:sz w:val="24"/>
              </w:rPr>
            </w:pPr>
            <w:r>
              <w:rPr>
                <w:sz w:val="24"/>
              </w:rPr>
              <w:t>0.0001</w:t>
            </w:r>
          </w:p>
        </w:tc>
        <w:tc>
          <w:tcPr>
            <w:tcW w:w="1480" w:type="dxa"/>
            <w:tcBorders>
              <w:top w:val="nil"/>
              <w:left w:val="nil"/>
              <w:bottom w:val="nil"/>
              <w:right w:val="nil"/>
            </w:tcBorders>
          </w:tcPr>
          <w:p>
            <w:pPr>
              <w:pStyle w:val="TableParagraph"/>
              <w:spacing w:before="168"/>
              <w:ind w:left="308"/>
              <w:rPr>
                <w:sz w:val="24"/>
              </w:rPr>
            </w:pPr>
            <w:r>
              <w:rPr>
                <w:sz w:val="24"/>
              </w:rPr>
              <w:t>0.8170</w:t>
            </w:r>
          </w:p>
        </w:tc>
      </w:tr>
      <w:tr>
        <w:trPr>
          <w:trHeight w:val="614" w:hRule="exact"/>
        </w:trPr>
        <w:tc>
          <w:tcPr>
            <w:tcW w:w="1553" w:type="dxa"/>
            <w:tcBorders>
              <w:top w:val="nil"/>
              <w:left w:val="nil"/>
              <w:bottom w:val="nil"/>
              <w:right w:val="nil"/>
            </w:tcBorders>
          </w:tcPr>
          <w:p>
            <w:pPr>
              <w:pStyle w:val="TableParagraph"/>
              <w:spacing w:before="170"/>
              <w:ind w:left="107" w:right="745"/>
              <w:rPr>
                <w:sz w:val="24"/>
              </w:rPr>
            </w:pPr>
            <w:r>
              <w:rPr>
                <w:sz w:val="24"/>
              </w:rPr>
              <w:t>C13</w:t>
            </w:r>
          </w:p>
        </w:tc>
        <w:tc>
          <w:tcPr>
            <w:tcW w:w="1167" w:type="dxa"/>
            <w:tcBorders>
              <w:top w:val="nil"/>
              <w:left w:val="nil"/>
              <w:bottom w:val="nil"/>
              <w:right w:val="nil"/>
            </w:tcBorders>
          </w:tcPr>
          <w:p>
            <w:pPr>
              <w:pStyle w:val="TableParagraph"/>
              <w:spacing w:before="154"/>
              <w:ind w:left="107"/>
              <w:rPr>
                <w:sz w:val="16"/>
              </w:rPr>
            </w:pPr>
            <w:r>
              <w:rPr>
                <w:sz w:val="24"/>
              </w:rPr>
              <w:t>0.12</w:t>
            </w:r>
            <w:r>
              <w:rPr>
                <w:position w:val="9"/>
                <w:sz w:val="16"/>
              </w:rPr>
              <w:t>a</w:t>
            </w:r>
          </w:p>
        </w:tc>
        <w:tc>
          <w:tcPr>
            <w:tcW w:w="1459" w:type="dxa"/>
            <w:tcBorders>
              <w:top w:val="nil"/>
              <w:left w:val="nil"/>
              <w:bottom w:val="nil"/>
              <w:right w:val="nil"/>
            </w:tcBorders>
          </w:tcPr>
          <w:p>
            <w:pPr>
              <w:pStyle w:val="TableParagraph"/>
              <w:spacing w:before="154"/>
              <w:ind w:left="218"/>
              <w:rPr>
                <w:sz w:val="16"/>
              </w:rPr>
            </w:pPr>
            <w:r>
              <w:rPr>
                <w:sz w:val="24"/>
              </w:rPr>
              <w:t>0.09</w:t>
            </w:r>
            <w:r>
              <w:rPr>
                <w:position w:val="9"/>
                <w:sz w:val="16"/>
              </w:rPr>
              <w:t>b</w:t>
            </w:r>
          </w:p>
        </w:tc>
        <w:tc>
          <w:tcPr>
            <w:tcW w:w="1208" w:type="dxa"/>
            <w:tcBorders>
              <w:top w:val="nil"/>
              <w:left w:val="nil"/>
              <w:bottom w:val="nil"/>
              <w:right w:val="nil"/>
            </w:tcBorders>
          </w:tcPr>
          <w:p>
            <w:pPr>
              <w:pStyle w:val="TableParagraph"/>
              <w:spacing w:before="154"/>
              <w:ind w:left="36"/>
              <w:rPr>
                <w:sz w:val="16"/>
              </w:rPr>
            </w:pPr>
            <w:r>
              <w:rPr>
                <w:sz w:val="24"/>
              </w:rPr>
              <w:t>0.06</w:t>
            </w:r>
            <w:r>
              <w:rPr>
                <w:position w:val="9"/>
                <w:sz w:val="16"/>
              </w:rPr>
              <w:t>c</w:t>
            </w:r>
          </w:p>
        </w:tc>
        <w:tc>
          <w:tcPr>
            <w:tcW w:w="1114" w:type="dxa"/>
            <w:tcBorders>
              <w:top w:val="nil"/>
              <w:left w:val="nil"/>
              <w:bottom w:val="nil"/>
              <w:right w:val="nil"/>
            </w:tcBorders>
          </w:tcPr>
          <w:p>
            <w:pPr>
              <w:pStyle w:val="TableParagraph"/>
              <w:spacing w:before="170"/>
              <w:ind w:left="105"/>
              <w:rPr>
                <w:sz w:val="24"/>
              </w:rPr>
            </w:pPr>
            <w:r>
              <w:rPr>
                <w:sz w:val="24"/>
              </w:rPr>
              <w:t>0.0065</w:t>
            </w:r>
          </w:p>
        </w:tc>
        <w:tc>
          <w:tcPr>
            <w:tcW w:w="1077" w:type="dxa"/>
            <w:tcBorders>
              <w:top w:val="nil"/>
              <w:left w:val="nil"/>
              <w:bottom w:val="nil"/>
              <w:right w:val="nil"/>
            </w:tcBorders>
          </w:tcPr>
          <w:p>
            <w:pPr>
              <w:pStyle w:val="TableParagraph"/>
              <w:spacing w:before="170"/>
              <w:ind w:right="306"/>
              <w:jc w:val="right"/>
              <w:rPr>
                <w:sz w:val="24"/>
              </w:rPr>
            </w:pPr>
            <w:r>
              <w:rPr>
                <w:sz w:val="24"/>
              </w:rPr>
              <w:t>0.0001</w:t>
            </w:r>
          </w:p>
        </w:tc>
        <w:tc>
          <w:tcPr>
            <w:tcW w:w="1480" w:type="dxa"/>
            <w:tcBorders>
              <w:top w:val="nil"/>
              <w:left w:val="nil"/>
              <w:bottom w:val="nil"/>
              <w:right w:val="nil"/>
            </w:tcBorders>
          </w:tcPr>
          <w:p>
            <w:pPr>
              <w:pStyle w:val="TableParagraph"/>
              <w:spacing w:before="170"/>
              <w:ind w:left="308"/>
              <w:rPr>
                <w:sz w:val="24"/>
              </w:rPr>
            </w:pPr>
            <w:r>
              <w:rPr>
                <w:sz w:val="24"/>
              </w:rPr>
              <w:t>0.5243</w:t>
            </w:r>
          </w:p>
        </w:tc>
      </w:tr>
      <w:tr>
        <w:trPr>
          <w:trHeight w:val="614" w:hRule="exact"/>
        </w:trPr>
        <w:tc>
          <w:tcPr>
            <w:tcW w:w="1553" w:type="dxa"/>
            <w:tcBorders>
              <w:top w:val="nil"/>
              <w:left w:val="nil"/>
              <w:bottom w:val="nil"/>
              <w:right w:val="nil"/>
            </w:tcBorders>
          </w:tcPr>
          <w:p>
            <w:pPr>
              <w:pStyle w:val="TableParagraph"/>
              <w:spacing w:before="170"/>
              <w:ind w:left="107" w:right="745"/>
              <w:rPr>
                <w:sz w:val="24"/>
              </w:rPr>
            </w:pPr>
            <w:r>
              <w:rPr>
                <w:sz w:val="24"/>
              </w:rPr>
              <w:t>C14</w:t>
            </w:r>
          </w:p>
        </w:tc>
        <w:tc>
          <w:tcPr>
            <w:tcW w:w="1167" w:type="dxa"/>
            <w:tcBorders>
              <w:top w:val="nil"/>
              <w:left w:val="nil"/>
              <w:bottom w:val="nil"/>
              <w:right w:val="nil"/>
            </w:tcBorders>
          </w:tcPr>
          <w:p>
            <w:pPr>
              <w:pStyle w:val="TableParagraph"/>
              <w:spacing w:before="154"/>
              <w:ind w:left="107"/>
              <w:rPr>
                <w:sz w:val="16"/>
              </w:rPr>
            </w:pPr>
            <w:r>
              <w:rPr>
                <w:sz w:val="24"/>
              </w:rPr>
              <w:t>11.45</w:t>
            </w:r>
            <w:r>
              <w:rPr>
                <w:position w:val="9"/>
                <w:sz w:val="16"/>
              </w:rPr>
              <w:t>a</w:t>
            </w:r>
          </w:p>
        </w:tc>
        <w:tc>
          <w:tcPr>
            <w:tcW w:w="1459" w:type="dxa"/>
            <w:tcBorders>
              <w:top w:val="nil"/>
              <w:left w:val="nil"/>
              <w:bottom w:val="nil"/>
              <w:right w:val="nil"/>
            </w:tcBorders>
          </w:tcPr>
          <w:p>
            <w:pPr>
              <w:pStyle w:val="TableParagraph"/>
              <w:spacing w:before="154"/>
              <w:ind w:left="218"/>
              <w:rPr>
                <w:sz w:val="16"/>
              </w:rPr>
            </w:pPr>
            <w:r>
              <w:rPr>
                <w:sz w:val="24"/>
              </w:rPr>
              <w:t>9.72</w:t>
            </w:r>
            <w:r>
              <w:rPr>
                <w:position w:val="9"/>
                <w:sz w:val="16"/>
              </w:rPr>
              <w:t>b</w:t>
            </w:r>
          </w:p>
        </w:tc>
        <w:tc>
          <w:tcPr>
            <w:tcW w:w="1208" w:type="dxa"/>
            <w:tcBorders>
              <w:top w:val="nil"/>
              <w:left w:val="nil"/>
              <w:bottom w:val="nil"/>
              <w:right w:val="nil"/>
            </w:tcBorders>
          </w:tcPr>
          <w:p>
            <w:pPr>
              <w:pStyle w:val="TableParagraph"/>
              <w:spacing w:before="154"/>
              <w:ind w:left="36"/>
              <w:rPr>
                <w:sz w:val="16"/>
              </w:rPr>
            </w:pPr>
            <w:r>
              <w:rPr>
                <w:sz w:val="24"/>
              </w:rPr>
              <w:t>6.61</w:t>
            </w:r>
            <w:r>
              <w:rPr>
                <w:position w:val="9"/>
                <w:sz w:val="16"/>
              </w:rPr>
              <w:t>c</w:t>
            </w:r>
          </w:p>
        </w:tc>
        <w:tc>
          <w:tcPr>
            <w:tcW w:w="1114" w:type="dxa"/>
            <w:tcBorders>
              <w:top w:val="nil"/>
              <w:left w:val="nil"/>
              <w:bottom w:val="nil"/>
              <w:right w:val="nil"/>
            </w:tcBorders>
          </w:tcPr>
          <w:p>
            <w:pPr>
              <w:pStyle w:val="TableParagraph"/>
              <w:spacing w:before="170"/>
              <w:ind w:left="105"/>
              <w:rPr>
                <w:sz w:val="24"/>
              </w:rPr>
            </w:pPr>
            <w:r>
              <w:rPr>
                <w:sz w:val="24"/>
              </w:rPr>
              <w:t>0.2892</w:t>
            </w:r>
          </w:p>
        </w:tc>
        <w:tc>
          <w:tcPr>
            <w:tcW w:w="1077" w:type="dxa"/>
            <w:tcBorders>
              <w:top w:val="nil"/>
              <w:left w:val="nil"/>
              <w:bottom w:val="nil"/>
              <w:right w:val="nil"/>
            </w:tcBorders>
          </w:tcPr>
          <w:p>
            <w:pPr>
              <w:pStyle w:val="TableParagraph"/>
              <w:spacing w:before="170"/>
              <w:ind w:right="306"/>
              <w:jc w:val="right"/>
              <w:rPr>
                <w:sz w:val="24"/>
              </w:rPr>
            </w:pPr>
            <w:r>
              <w:rPr>
                <w:sz w:val="24"/>
              </w:rPr>
              <w:t>0.0001</w:t>
            </w:r>
          </w:p>
        </w:tc>
        <w:tc>
          <w:tcPr>
            <w:tcW w:w="1480" w:type="dxa"/>
            <w:tcBorders>
              <w:top w:val="nil"/>
              <w:left w:val="nil"/>
              <w:bottom w:val="nil"/>
              <w:right w:val="nil"/>
            </w:tcBorders>
          </w:tcPr>
          <w:p>
            <w:pPr>
              <w:pStyle w:val="TableParagraph"/>
              <w:spacing w:before="170"/>
              <w:ind w:left="308"/>
              <w:rPr>
                <w:sz w:val="24"/>
              </w:rPr>
            </w:pPr>
            <w:r>
              <w:rPr>
                <w:sz w:val="24"/>
              </w:rPr>
              <w:t>0.0605</w:t>
            </w:r>
          </w:p>
        </w:tc>
      </w:tr>
      <w:tr>
        <w:trPr>
          <w:trHeight w:val="614" w:hRule="exact"/>
        </w:trPr>
        <w:tc>
          <w:tcPr>
            <w:tcW w:w="1553" w:type="dxa"/>
            <w:tcBorders>
              <w:top w:val="nil"/>
              <w:left w:val="nil"/>
              <w:bottom w:val="nil"/>
              <w:right w:val="nil"/>
            </w:tcBorders>
          </w:tcPr>
          <w:p>
            <w:pPr>
              <w:pStyle w:val="TableParagraph"/>
              <w:spacing w:before="170"/>
              <w:ind w:left="107"/>
              <w:rPr>
                <w:sz w:val="24"/>
              </w:rPr>
            </w:pPr>
            <w:r>
              <w:rPr>
                <w:sz w:val="24"/>
              </w:rPr>
              <w:t>C14:1 c9</w:t>
            </w:r>
          </w:p>
        </w:tc>
        <w:tc>
          <w:tcPr>
            <w:tcW w:w="1167" w:type="dxa"/>
            <w:tcBorders>
              <w:top w:val="nil"/>
              <w:left w:val="nil"/>
              <w:bottom w:val="nil"/>
              <w:right w:val="nil"/>
            </w:tcBorders>
          </w:tcPr>
          <w:p>
            <w:pPr>
              <w:pStyle w:val="TableParagraph"/>
              <w:spacing w:before="154"/>
              <w:ind w:left="107"/>
              <w:rPr>
                <w:sz w:val="16"/>
              </w:rPr>
            </w:pPr>
            <w:r>
              <w:rPr>
                <w:sz w:val="24"/>
              </w:rPr>
              <w:t>1.07</w:t>
            </w:r>
            <w:r>
              <w:rPr>
                <w:position w:val="9"/>
                <w:sz w:val="16"/>
              </w:rPr>
              <w:t>a</w:t>
            </w:r>
          </w:p>
        </w:tc>
        <w:tc>
          <w:tcPr>
            <w:tcW w:w="1459" w:type="dxa"/>
            <w:tcBorders>
              <w:top w:val="nil"/>
              <w:left w:val="nil"/>
              <w:bottom w:val="nil"/>
              <w:right w:val="nil"/>
            </w:tcBorders>
          </w:tcPr>
          <w:p>
            <w:pPr>
              <w:pStyle w:val="TableParagraph"/>
              <w:spacing w:before="154"/>
              <w:ind w:left="218"/>
              <w:rPr>
                <w:sz w:val="16"/>
              </w:rPr>
            </w:pPr>
            <w:r>
              <w:rPr>
                <w:sz w:val="24"/>
              </w:rPr>
              <w:t>0.81</w:t>
            </w:r>
            <w:r>
              <w:rPr>
                <w:position w:val="9"/>
                <w:sz w:val="16"/>
              </w:rPr>
              <w:t>b</w:t>
            </w:r>
          </w:p>
        </w:tc>
        <w:tc>
          <w:tcPr>
            <w:tcW w:w="1208" w:type="dxa"/>
            <w:tcBorders>
              <w:top w:val="nil"/>
              <w:left w:val="nil"/>
              <w:bottom w:val="nil"/>
              <w:right w:val="nil"/>
            </w:tcBorders>
          </w:tcPr>
          <w:p>
            <w:pPr>
              <w:pStyle w:val="TableParagraph"/>
              <w:spacing w:before="154"/>
              <w:ind w:left="36"/>
              <w:rPr>
                <w:sz w:val="16"/>
              </w:rPr>
            </w:pPr>
            <w:r>
              <w:rPr>
                <w:sz w:val="24"/>
              </w:rPr>
              <w:t>0.71</w:t>
            </w:r>
            <w:r>
              <w:rPr>
                <w:position w:val="9"/>
                <w:sz w:val="16"/>
              </w:rPr>
              <w:t>c</w:t>
            </w:r>
          </w:p>
        </w:tc>
        <w:tc>
          <w:tcPr>
            <w:tcW w:w="1114" w:type="dxa"/>
            <w:tcBorders>
              <w:top w:val="nil"/>
              <w:left w:val="nil"/>
              <w:bottom w:val="nil"/>
              <w:right w:val="nil"/>
            </w:tcBorders>
          </w:tcPr>
          <w:p>
            <w:pPr>
              <w:pStyle w:val="TableParagraph"/>
              <w:spacing w:before="170"/>
              <w:ind w:left="105"/>
              <w:rPr>
                <w:sz w:val="24"/>
              </w:rPr>
            </w:pPr>
            <w:r>
              <w:rPr>
                <w:sz w:val="24"/>
              </w:rPr>
              <w:t>0.0264</w:t>
            </w:r>
          </w:p>
        </w:tc>
        <w:tc>
          <w:tcPr>
            <w:tcW w:w="1077" w:type="dxa"/>
            <w:tcBorders>
              <w:top w:val="nil"/>
              <w:left w:val="nil"/>
              <w:bottom w:val="nil"/>
              <w:right w:val="nil"/>
            </w:tcBorders>
          </w:tcPr>
          <w:p>
            <w:pPr>
              <w:pStyle w:val="TableParagraph"/>
              <w:spacing w:before="170"/>
              <w:ind w:right="306"/>
              <w:jc w:val="right"/>
              <w:rPr>
                <w:sz w:val="24"/>
              </w:rPr>
            </w:pPr>
            <w:r>
              <w:rPr>
                <w:sz w:val="24"/>
              </w:rPr>
              <w:t>0.0001</w:t>
            </w:r>
          </w:p>
        </w:tc>
        <w:tc>
          <w:tcPr>
            <w:tcW w:w="1480" w:type="dxa"/>
            <w:tcBorders>
              <w:top w:val="nil"/>
              <w:left w:val="nil"/>
              <w:bottom w:val="nil"/>
              <w:right w:val="nil"/>
            </w:tcBorders>
          </w:tcPr>
          <w:p>
            <w:pPr>
              <w:pStyle w:val="TableParagraph"/>
              <w:spacing w:before="170"/>
              <w:ind w:left="308"/>
              <w:rPr>
                <w:sz w:val="24"/>
              </w:rPr>
            </w:pPr>
            <w:r>
              <w:rPr>
                <w:sz w:val="24"/>
              </w:rPr>
              <w:t>0.0218</w:t>
            </w:r>
          </w:p>
        </w:tc>
      </w:tr>
      <w:tr>
        <w:trPr>
          <w:trHeight w:val="614" w:hRule="exact"/>
        </w:trPr>
        <w:tc>
          <w:tcPr>
            <w:tcW w:w="1553" w:type="dxa"/>
            <w:tcBorders>
              <w:top w:val="nil"/>
              <w:left w:val="nil"/>
              <w:bottom w:val="nil"/>
              <w:right w:val="nil"/>
            </w:tcBorders>
          </w:tcPr>
          <w:p>
            <w:pPr>
              <w:pStyle w:val="TableParagraph"/>
              <w:spacing w:before="170"/>
              <w:ind w:left="107" w:right="745"/>
              <w:rPr>
                <w:sz w:val="24"/>
              </w:rPr>
            </w:pPr>
            <w:r>
              <w:rPr>
                <w:sz w:val="24"/>
              </w:rPr>
              <w:t>C15</w:t>
            </w:r>
          </w:p>
        </w:tc>
        <w:tc>
          <w:tcPr>
            <w:tcW w:w="1167" w:type="dxa"/>
            <w:tcBorders>
              <w:top w:val="nil"/>
              <w:left w:val="nil"/>
              <w:bottom w:val="nil"/>
              <w:right w:val="nil"/>
            </w:tcBorders>
          </w:tcPr>
          <w:p>
            <w:pPr>
              <w:pStyle w:val="TableParagraph"/>
              <w:spacing w:before="154"/>
              <w:ind w:left="107"/>
              <w:rPr>
                <w:sz w:val="16"/>
              </w:rPr>
            </w:pPr>
            <w:r>
              <w:rPr>
                <w:sz w:val="24"/>
              </w:rPr>
              <w:t>1.12</w:t>
            </w:r>
            <w:r>
              <w:rPr>
                <w:position w:val="9"/>
                <w:sz w:val="16"/>
              </w:rPr>
              <w:t>a</w:t>
            </w:r>
          </w:p>
        </w:tc>
        <w:tc>
          <w:tcPr>
            <w:tcW w:w="1459" w:type="dxa"/>
            <w:tcBorders>
              <w:top w:val="nil"/>
              <w:left w:val="nil"/>
              <w:bottom w:val="nil"/>
              <w:right w:val="nil"/>
            </w:tcBorders>
          </w:tcPr>
          <w:p>
            <w:pPr>
              <w:pStyle w:val="TableParagraph"/>
              <w:spacing w:before="154"/>
              <w:ind w:left="218"/>
              <w:rPr>
                <w:sz w:val="16"/>
              </w:rPr>
            </w:pPr>
            <w:r>
              <w:rPr>
                <w:sz w:val="24"/>
              </w:rPr>
              <w:t>0.97</w:t>
            </w:r>
            <w:r>
              <w:rPr>
                <w:position w:val="9"/>
                <w:sz w:val="16"/>
              </w:rPr>
              <w:t>ab</w:t>
            </w:r>
          </w:p>
        </w:tc>
        <w:tc>
          <w:tcPr>
            <w:tcW w:w="1208" w:type="dxa"/>
            <w:tcBorders>
              <w:top w:val="nil"/>
              <w:left w:val="nil"/>
              <w:bottom w:val="nil"/>
              <w:right w:val="nil"/>
            </w:tcBorders>
          </w:tcPr>
          <w:p>
            <w:pPr>
              <w:pStyle w:val="TableParagraph"/>
              <w:spacing w:before="154"/>
              <w:ind w:left="36"/>
              <w:rPr>
                <w:sz w:val="16"/>
              </w:rPr>
            </w:pPr>
            <w:r>
              <w:rPr>
                <w:sz w:val="24"/>
              </w:rPr>
              <w:t>0.82</w:t>
            </w:r>
            <w:r>
              <w:rPr>
                <w:position w:val="9"/>
                <w:sz w:val="16"/>
              </w:rPr>
              <w:t>b</w:t>
            </w:r>
          </w:p>
        </w:tc>
        <w:tc>
          <w:tcPr>
            <w:tcW w:w="1114" w:type="dxa"/>
            <w:tcBorders>
              <w:top w:val="nil"/>
              <w:left w:val="nil"/>
              <w:bottom w:val="nil"/>
              <w:right w:val="nil"/>
            </w:tcBorders>
          </w:tcPr>
          <w:p>
            <w:pPr>
              <w:pStyle w:val="TableParagraph"/>
              <w:spacing w:before="170"/>
              <w:ind w:left="105"/>
              <w:rPr>
                <w:sz w:val="24"/>
              </w:rPr>
            </w:pPr>
            <w:r>
              <w:rPr>
                <w:sz w:val="24"/>
              </w:rPr>
              <w:t>0.0823</w:t>
            </w:r>
          </w:p>
        </w:tc>
        <w:tc>
          <w:tcPr>
            <w:tcW w:w="1077" w:type="dxa"/>
            <w:tcBorders>
              <w:top w:val="nil"/>
              <w:left w:val="nil"/>
              <w:bottom w:val="nil"/>
              <w:right w:val="nil"/>
            </w:tcBorders>
          </w:tcPr>
          <w:p>
            <w:pPr>
              <w:pStyle w:val="TableParagraph"/>
              <w:spacing w:before="170"/>
              <w:ind w:right="306"/>
              <w:jc w:val="right"/>
              <w:rPr>
                <w:sz w:val="24"/>
              </w:rPr>
            </w:pPr>
            <w:r>
              <w:rPr>
                <w:sz w:val="24"/>
              </w:rPr>
              <w:t>0.0147</w:t>
            </w:r>
          </w:p>
        </w:tc>
        <w:tc>
          <w:tcPr>
            <w:tcW w:w="1480" w:type="dxa"/>
            <w:tcBorders>
              <w:top w:val="nil"/>
              <w:left w:val="nil"/>
              <w:bottom w:val="nil"/>
              <w:right w:val="nil"/>
            </w:tcBorders>
          </w:tcPr>
          <w:p>
            <w:pPr>
              <w:pStyle w:val="TableParagraph"/>
              <w:spacing w:before="170"/>
              <w:ind w:left="308"/>
              <w:rPr>
                <w:sz w:val="24"/>
              </w:rPr>
            </w:pPr>
            <w:r>
              <w:rPr>
                <w:sz w:val="24"/>
              </w:rPr>
              <w:t>0.9922</w:t>
            </w:r>
          </w:p>
        </w:tc>
      </w:tr>
      <w:tr>
        <w:trPr>
          <w:trHeight w:val="613" w:hRule="exact"/>
        </w:trPr>
        <w:tc>
          <w:tcPr>
            <w:tcW w:w="1553" w:type="dxa"/>
            <w:tcBorders>
              <w:top w:val="nil"/>
              <w:left w:val="nil"/>
              <w:bottom w:val="nil"/>
              <w:right w:val="nil"/>
            </w:tcBorders>
          </w:tcPr>
          <w:p>
            <w:pPr>
              <w:pStyle w:val="TableParagraph"/>
              <w:spacing w:before="169"/>
              <w:ind w:left="107" w:right="745"/>
              <w:rPr>
                <w:sz w:val="24"/>
              </w:rPr>
            </w:pPr>
            <w:r>
              <w:rPr>
                <w:sz w:val="24"/>
              </w:rPr>
              <w:t>C16</w:t>
            </w:r>
          </w:p>
        </w:tc>
        <w:tc>
          <w:tcPr>
            <w:tcW w:w="1167" w:type="dxa"/>
            <w:tcBorders>
              <w:top w:val="nil"/>
              <w:left w:val="nil"/>
              <w:bottom w:val="nil"/>
              <w:right w:val="nil"/>
            </w:tcBorders>
          </w:tcPr>
          <w:p>
            <w:pPr>
              <w:pStyle w:val="TableParagraph"/>
              <w:spacing w:before="153"/>
              <w:ind w:left="107"/>
              <w:rPr>
                <w:sz w:val="16"/>
              </w:rPr>
            </w:pPr>
            <w:r>
              <w:rPr>
                <w:sz w:val="24"/>
              </w:rPr>
              <w:t>28.40</w:t>
            </w:r>
            <w:r>
              <w:rPr>
                <w:position w:val="9"/>
                <w:sz w:val="16"/>
              </w:rPr>
              <w:t>a</w:t>
            </w:r>
          </w:p>
        </w:tc>
        <w:tc>
          <w:tcPr>
            <w:tcW w:w="1459" w:type="dxa"/>
            <w:tcBorders>
              <w:top w:val="nil"/>
              <w:left w:val="nil"/>
              <w:bottom w:val="nil"/>
              <w:right w:val="nil"/>
            </w:tcBorders>
          </w:tcPr>
          <w:p>
            <w:pPr>
              <w:pStyle w:val="TableParagraph"/>
              <w:spacing w:before="153"/>
              <w:ind w:left="218"/>
              <w:rPr>
                <w:sz w:val="16"/>
              </w:rPr>
            </w:pPr>
            <w:r>
              <w:rPr>
                <w:sz w:val="24"/>
              </w:rPr>
              <w:t>25.25</w:t>
            </w:r>
            <w:r>
              <w:rPr>
                <w:position w:val="9"/>
                <w:sz w:val="16"/>
              </w:rPr>
              <w:t>b</w:t>
            </w:r>
          </w:p>
        </w:tc>
        <w:tc>
          <w:tcPr>
            <w:tcW w:w="1208" w:type="dxa"/>
            <w:tcBorders>
              <w:top w:val="nil"/>
              <w:left w:val="nil"/>
              <w:bottom w:val="nil"/>
              <w:right w:val="nil"/>
            </w:tcBorders>
          </w:tcPr>
          <w:p>
            <w:pPr>
              <w:pStyle w:val="TableParagraph"/>
              <w:spacing w:before="153"/>
              <w:ind w:left="36"/>
              <w:rPr>
                <w:sz w:val="16"/>
              </w:rPr>
            </w:pPr>
            <w:r>
              <w:rPr>
                <w:sz w:val="24"/>
              </w:rPr>
              <w:t>22.97</w:t>
            </w:r>
            <w:r>
              <w:rPr>
                <w:position w:val="9"/>
                <w:sz w:val="16"/>
              </w:rPr>
              <w:t>c</w:t>
            </w:r>
          </w:p>
        </w:tc>
        <w:tc>
          <w:tcPr>
            <w:tcW w:w="1114" w:type="dxa"/>
            <w:tcBorders>
              <w:top w:val="nil"/>
              <w:left w:val="nil"/>
              <w:bottom w:val="nil"/>
              <w:right w:val="nil"/>
            </w:tcBorders>
          </w:tcPr>
          <w:p>
            <w:pPr>
              <w:pStyle w:val="TableParagraph"/>
              <w:spacing w:before="169"/>
              <w:ind w:left="105"/>
              <w:rPr>
                <w:sz w:val="24"/>
              </w:rPr>
            </w:pPr>
            <w:r>
              <w:rPr>
                <w:sz w:val="24"/>
              </w:rPr>
              <w:t>0.5653</w:t>
            </w:r>
          </w:p>
        </w:tc>
        <w:tc>
          <w:tcPr>
            <w:tcW w:w="1077" w:type="dxa"/>
            <w:tcBorders>
              <w:top w:val="nil"/>
              <w:left w:val="nil"/>
              <w:bottom w:val="nil"/>
              <w:right w:val="nil"/>
            </w:tcBorders>
          </w:tcPr>
          <w:p>
            <w:pPr>
              <w:pStyle w:val="TableParagraph"/>
              <w:spacing w:before="169"/>
              <w:ind w:right="306"/>
              <w:jc w:val="right"/>
              <w:rPr>
                <w:sz w:val="24"/>
              </w:rPr>
            </w:pPr>
            <w:r>
              <w:rPr>
                <w:sz w:val="24"/>
              </w:rPr>
              <w:t>0.0001</w:t>
            </w:r>
          </w:p>
        </w:tc>
        <w:tc>
          <w:tcPr>
            <w:tcW w:w="1480" w:type="dxa"/>
            <w:tcBorders>
              <w:top w:val="nil"/>
              <w:left w:val="nil"/>
              <w:bottom w:val="nil"/>
              <w:right w:val="nil"/>
            </w:tcBorders>
          </w:tcPr>
          <w:p>
            <w:pPr>
              <w:pStyle w:val="TableParagraph"/>
              <w:spacing w:before="169"/>
              <w:ind w:left="308"/>
              <w:rPr>
                <w:sz w:val="24"/>
              </w:rPr>
            </w:pPr>
            <w:r>
              <w:rPr>
                <w:sz w:val="24"/>
              </w:rPr>
              <w:t>0.5385</w:t>
            </w:r>
          </w:p>
        </w:tc>
      </w:tr>
      <w:tr>
        <w:trPr>
          <w:trHeight w:val="614" w:hRule="exact"/>
        </w:trPr>
        <w:tc>
          <w:tcPr>
            <w:tcW w:w="1553" w:type="dxa"/>
            <w:tcBorders>
              <w:top w:val="nil"/>
              <w:left w:val="nil"/>
              <w:bottom w:val="nil"/>
              <w:right w:val="nil"/>
            </w:tcBorders>
          </w:tcPr>
          <w:p>
            <w:pPr>
              <w:pStyle w:val="TableParagraph"/>
              <w:spacing w:before="170"/>
              <w:ind w:left="107"/>
              <w:rPr>
                <w:sz w:val="24"/>
              </w:rPr>
            </w:pPr>
            <w:r>
              <w:rPr>
                <w:sz w:val="24"/>
              </w:rPr>
              <w:t>C16:1 c9</w:t>
            </w:r>
          </w:p>
        </w:tc>
        <w:tc>
          <w:tcPr>
            <w:tcW w:w="1167" w:type="dxa"/>
            <w:tcBorders>
              <w:top w:val="nil"/>
              <w:left w:val="nil"/>
              <w:bottom w:val="nil"/>
              <w:right w:val="nil"/>
            </w:tcBorders>
          </w:tcPr>
          <w:p>
            <w:pPr>
              <w:pStyle w:val="TableParagraph"/>
              <w:spacing w:before="154"/>
              <w:ind w:left="107"/>
              <w:rPr>
                <w:sz w:val="16"/>
              </w:rPr>
            </w:pPr>
            <w:r>
              <w:rPr>
                <w:sz w:val="24"/>
              </w:rPr>
              <w:t>1.84</w:t>
            </w:r>
            <w:r>
              <w:rPr>
                <w:position w:val="9"/>
                <w:sz w:val="16"/>
              </w:rPr>
              <w:t>a</w:t>
            </w:r>
          </w:p>
        </w:tc>
        <w:tc>
          <w:tcPr>
            <w:tcW w:w="1459" w:type="dxa"/>
            <w:tcBorders>
              <w:top w:val="nil"/>
              <w:left w:val="nil"/>
              <w:bottom w:val="nil"/>
              <w:right w:val="nil"/>
            </w:tcBorders>
          </w:tcPr>
          <w:p>
            <w:pPr>
              <w:pStyle w:val="TableParagraph"/>
              <w:spacing w:before="154"/>
              <w:ind w:left="218"/>
              <w:rPr>
                <w:sz w:val="16"/>
              </w:rPr>
            </w:pPr>
            <w:r>
              <w:rPr>
                <w:sz w:val="24"/>
              </w:rPr>
              <w:t>1.43</w:t>
            </w:r>
            <w:r>
              <w:rPr>
                <w:position w:val="9"/>
                <w:sz w:val="16"/>
              </w:rPr>
              <w:t>b</w:t>
            </w:r>
          </w:p>
        </w:tc>
        <w:tc>
          <w:tcPr>
            <w:tcW w:w="1208" w:type="dxa"/>
            <w:tcBorders>
              <w:top w:val="nil"/>
              <w:left w:val="nil"/>
              <w:bottom w:val="nil"/>
              <w:right w:val="nil"/>
            </w:tcBorders>
          </w:tcPr>
          <w:p>
            <w:pPr>
              <w:pStyle w:val="TableParagraph"/>
              <w:spacing w:before="154"/>
              <w:ind w:left="36"/>
              <w:rPr>
                <w:sz w:val="16"/>
              </w:rPr>
            </w:pPr>
            <w:r>
              <w:rPr>
                <w:sz w:val="24"/>
              </w:rPr>
              <w:t>1.71</w:t>
            </w:r>
            <w:r>
              <w:rPr>
                <w:position w:val="9"/>
                <w:sz w:val="16"/>
              </w:rPr>
              <w:t>a</w:t>
            </w:r>
          </w:p>
        </w:tc>
        <w:tc>
          <w:tcPr>
            <w:tcW w:w="1114" w:type="dxa"/>
            <w:tcBorders>
              <w:top w:val="nil"/>
              <w:left w:val="nil"/>
              <w:bottom w:val="nil"/>
              <w:right w:val="nil"/>
            </w:tcBorders>
          </w:tcPr>
          <w:p>
            <w:pPr>
              <w:pStyle w:val="TableParagraph"/>
              <w:spacing w:before="170"/>
              <w:ind w:left="105"/>
              <w:rPr>
                <w:sz w:val="24"/>
              </w:rPr>
            </w:pPr>
            <w:r>
              <w:rPr>
                <w:sz w:val="24"/>
              </w:rPr>
              <w:t>0.0473</w:t>
            </w:r>
          </w:p>
        </w:tc>
        <w:tc>
          <w:tcPr>
            <w:tcW w:w="1077" w:type="dxa"/>
            <w:tcBorders>
              <w:top w:val="nil"/>
              <w:left w:val="nil"/>
              <w:bottom w:val="nil"/>
              <w:right w:val="nil"/>
            </w:tcBorders>
          </w:tcPr>
          <w:p>
            <w:pPr>
              <w:pStyle w:val="TableParagraph"/>
              <w:spacing w:before="170"/>
              <w:ind w:right="306"/>
              <w:jc w:val="right"/>
              <w:rPr>
                <w:sz w:val="24"/>
              </w:rPr>
            </w:pPr>
            <w:r>
              <w:rPr>
                <w:sz w:val="24"/>
              </w:rPr>
              <w:t>0.0594</w:t>
            </w:r>
          </w:p>
        </w:tc>
        <w:tc>
          <w:tcPr>
            <w:tcW w:w="1480" w:type="dxa"/>
            <w:tcBorders>
              <w:top w:val="nil"/>
              <w:left w:val="nil"/>
              <w:bottom w:val="nil"/>
              <w:right w:val="nil"/>
            </w:tcBorders>
          </w:tcPr>
          <w:p>
            <w:pPr>
              <w:pStyle w:val="TableParagraph"/>
              <w:spacing w:before="170"/>
              <w:ind w:left="308"/>
              <w:rPr>
                <w:sz w:val="24"/>
              </w:rPr>
            </w:pPr>
            <w:r>
              <w:rPr>
                <w:sz w:val="24"/>
              </w:rPr>
              <w:t>0.0001</w:t>
            </w:r>
          </w:p>
        </w:tc>
      </w:tr>
      <w:tr>
        <w:trPr>
          <w:trHeight w:val="614" w:hRule="exact"/>
        </w:trPr>
        <w:tc>
          <w:tcPr>
            <w:tcW w:w="1553" w:type="dxa"/>
            <w:tcBorders>
              <w:top w:val="nil"/>
              <w:left w:val="nil"/>
              <w:bottom w:val="nil"/>
              <w:right w:val="nil"/>
            </w:tcBorders>
          </w:tcPr>
          <w:p>
            <w:pPr>
              <w:pStyle w:val="TableParagraph"/>
              <w:spacing w:before="170"/>
              <w:ind w:left="107" w:right="745"/>
              <w:rPr>
                <w:sz w:val="24"/>
              </w:rPr>
            </w:pPr>
            <w:r>
              <w:rPr>
                <w:sz w:val="24"/>
              </w:rPr>
              <w:t>C17</w:t>
            </w:r>
          </w:p>
        </w:tc>
        <w:tc>
          <w:tcPr>
            <w:tcW w:w="1167" w:type="dxa"/>
            <w:tcBorders>
              <w:top w:val="nil"/>
              <w:left w:val="nil"/>
              <w:bottom w:val="nil"/>
              <w:right w:val="nil"/>
            </w:tcBorders>
          </w:tcPr>
          <w:p>
            <w:pPr>
              <w:pStyle w:val="TableParagraph"/>
              <w:spacing w:before="154"/>
              <w:ind w:left="107"/>
              <w:rPr>
                <w:sz w:val="16"/>
              </w:rPr>
            </w:pPr>
            <w:r>
              <w:rPr>
                <w:sz w:val="24"/>
              </w:rPr>
              <w:t>0.59</w:t>
            </w:r>
            <w:r>
              <w:rPr>
                <w:position w:val="9"/>
                <w:sz w:val="16"/>
              </w:rPr>
              <w:t>a</w:t>
            </w:r>
          </w:p>
        </w:tc>
        <w:tc>
          <w:tcPr>
            <w:tcW w:w="1459" w:type="dxa"/>
            <w:tcBorders>
              <w:top w:val="nil"/>
              <w:left w:val="nil"/>
              <w:bottom w:val="nil"/>
              <w:right w:val="nil"/>
            </w:tcBorders>
          </w:tcPr>
          <w:p>
            <w:pPr>
              <w:pStyle w:val="TableParagraph"/>
              <w:spacing w:before="154"/>
              <w:ind w:left="218"/>
              <w:rPr>
                <w:sz w:val="16"/>
              </w:rPr>
            </w:pPr>
            <w:r>
              <w:rPr>
                <w:sz w:val="24"/>
              </w:rPr>
              <w:t>0.38</w:t>
            </w:r>
            <w:r>
              <w:rPr>
                <w:position w:val="9"/>
                <w:sz w:val="16"/>
              </w:rPr>
              <w:t>b</w:t>
            </w:r>
          </w:p>
        </w:tc>
        <w:tc>
          <w:tcPr>
            <w:tcW w:w="1208" w:type="dxa"/>
            <w:tcBorders>
              <w:top w:val="nil"/>
              <w:left w:val="nil"/>
              <w:bottom w:val="nil"/>
              <w:right w:val="nil"/>
            </w:tcBorders>
          </w:tcPr>
          <w:p>
            <w:pPr>
              <w:pStyle w:val="TableParagraph"/>
              <w:spacing w:before="154"/>
              <w:ind w:left="36"/>
              <w:rPr>
                <w:sz w:val="16"/>
              </w:rPr>
            </w:pPr>
            <w:r>
              <w:rPr>
                <w:sz w:val="24"/>
              </w:rPr>
              <w:t>0.37</w:t>
            </w:r>
            <w:r>
              <w:rPr>
                <w:position w:val="9"/>
                <w:sz w:val="16"/>
              </w:rPr>
              <w:t>b</w:t>
            </w:r>
          </w:p>
        </w:tc>
        <w:tc>
          <w:tcPr>
            <w:tcW w:w="1114" w:type="dxa"/>
            <w:tcBorders>
              <w:top w:val="nil"/>
              <w:left w:val="nil"/>
              <w:bottom w:val="nil"/>
              <w:right w:val="nil"/>
            </w:tcBorders>
          </w:tcPr>
          <w:p>
            <w:pPr>
              <w:pStyle w:val="TableParagraph"/>
              <w:spacing w:before="170"/>
              <w:ind w:left="105"/>
              <w:rPr>
                <w:sz w:val="24"/>
              </w:rPr>
            </w:pPr>
            <w:r>
              <w:rPr>
                <w:sz w:val="24"/>
              </w:rPr>
              <w:t>0.0255</w:t>
            </w:r>
          </w:p>
        </w:tc>
        <w:tc>
          <w:tcPr>
            <w:tcW w:w="1077" w:type="dxa"/>
            <w:tcBorders>
              <w:top w:val="nil"/>
              <w:left w:val="nil"/>
              <w:bottom w:val="nil"/>
              <w:right w:val="nil"/>
            </w:tcBorders>
          </w:tcPr>
          <w:p>
            <w:pPr>
              <w:pStyle w:val="TableParagraph"/>
              <w:spacing w:before="170"/>
              <w:ind w:right="306"/>
              <w:jc w:val="right"/>
              <w:rPr>
                <w:sz w:val="24"/>
              </w:rPr>
            </w:pPr>
            <w:r>
              <w:rPr>
                <w:sz w:val="24"/>
              </w:rPr>
              <w:t>0.0001</w:t>
            </w:r>
          </w:p>
        </w:tc>
        <w:tc>
          <w:tcPr>
            <w:tcW w:w="1480" w:type="dxa"/>
            <w:tcBorders>
              <w:top w:val="nil"/>
              <w:left w:val="nil"/>
              <w:bottom w:val="nil"/>
              <w:right w:val="nil"/>
            </w:tcBorders>
          </w:tcPr>
          <w:p>
            <w:pPr>
              <w:pStyle w:val="TableParagraph"/>
              <w:spacing w:before="170"/>
              <w:ind w:left="308"/>
              <w:rPr>
                <w:sz w:val="24"/>
              </w:rPr>
            </w:pPr>
            <w:r>
              <w:rPr>
                <w:sz w:val="24"/>
              </w:rPr>
              <w:t>0.0035</w:t>
            </w:r>
          </w:p>
        </w:tc>
      </w:tr>
      <w:tr>
        <w:trPr>
          <w:trHeight w:val="441" w:hRule="exact"/>
        </w:trPr>
        <w:tc>
          <w:tcPr>
            <w:tcW w:w="1553" w:type="dxa"/>
            <w:tcBorders>
              <w:top w:val="nil"/>
              <w:left w:val="nil"/>
              <w:bottom w:val="nil"/>
              <w:right w:val="nil"/>
            </w:tcBorders>
          </w:tcPr>
          <w:p>
            <w:pPr>
              <w:pStyle w:val="TableParagraph"/>
              <w:spacing w:before="170"/>
              <w:ind w:left="107"/>
              <w:rPr>
                <w:sz w:val="24"/>
              </w:rPr>
            </w:pPr>
            <w:r>
              <w:rPr>
                <w:sz w:val="24"/>
              </w:rPr>
              <w:t>C17:1 c10</w:t>
            </w:r>
          </w:p>
        </w:tc>
        <w:tc>
          <w:tcPr>
            <w:tcW w:w="1167" w:type="dxa"/>
            <w:tcBorders>
              <w:top w:val="nil"/>
              <w:left w:val="nil"/>
              <w:bottom w:val="nil"/>
              <w:right w:val="nil"/>
            </w:tcBorders>
          </w:tcPr>
          <w:p>
            <w:pPr>
              <w:pStyle w:val="TableParagraph"/>
              <w:spacing w:before="154"/>
              <w:ind w:left="107"/>
              <w:rPr>
                <w:sz w:val="16"/>
              </w:rPr>
            </w:pPr>
            <w:r>
              <w:rPr>
                <w:sz w:val="24"/>
              </w:rPr>
              <w:t>0.14</w:t>
            </w:r>
            <w:r>
              <w:rPr>
                <w:position w:val="9"/>
                <w:sz w:val="16"/>
              </w:rPr>
              <w:t>a</w:t>
            </w:r>
          </w:p>
        </w:tc>
        <w:tc>
          <w:tcPr>
            <w:tcW w:w="1459" w:type="dxa"/>
            <w:tcBorders>
              <w:top w:val="nil"/>
              <w:left w:val="nil"/>
              <w:bottom w:val="nil"/>
              <w:right w:val="nil"/>
            </w:tcBorders>
          </w:tcPr>
          <w:p>
            <w:pPr>
              <w:pStyle w:val="TableParagraph"/>
              <w:spacing w:before="154"/>
              <w:ind w:left="218"/>
              <w:rPr>
                <w:sz w:val="16"/>
              </w:rPr>
            </w:pPr>
            <w:r>
              <w:rPr>
                <w:sz w:val="24"/>
              </w:rPr>
              <w:t>0.10</w:t>
            </w:r>
            <w:r>
              <w:rPr>
                <w:position w:val="9"/>
                <w:sz w:val="16"/>
              </w:rPr>
              <w:t>b</w:t>
            </w:r>
          </w:p>
        </w:tc>
        <w:tc>
          <w:tcPr>
            <w:tcW w:w="1208" w:type="dxa"/>
            <w:tcBorders>
              <w:top w:val="nil"/>
              <w:left w:val="nil"/>
              <w:bottom w:val="nil"/>
              <w:right w:val="nil"/>
            </w:tcBorders>
          </w:tcPr>
          <w:p>
            <w:pPr>
              <w:pStyle w:val="TableParagraph"/>
              <w:spacing w:before="154"/>
              <w:ind w:left="36"/>
              <w:rPr>
                <w:sz w:val="16"/>
              </w:rPr>
            </w:pPr>
            <w:r>
              <w:rPr>
                <w:sz w:val="24"/>
              </w:rPr>
              <w:t>0.12</w:t>
            </w:r>
            <w:r>
              <w:rPr>
                <w:position w:val="9"/>
                <w:sz w:val="16"/>
              </w:rPr>
              <w:t>ba</w:t>
            </w:r>
          </w:p>
        </w:tc>
        <w:tc>
          <w:tcPr>
            <w:tcW w:w="1114" w:type="dxa"/>
            <w:tcBorders>
              <w:top w:val="nil"/>
              <w:left w:val="nil"/>
              <w:bottom w:val="nil"/>
              <w:right w:val="nil"/>
            </w:tcBorders>
          </w:tcPr>
          <w:p>
            <w:pPr>
              <w:pStyle w:val="TableParagraph"/>
              <w:spacing w:before="170"/>
              <w:ind w:left="105"/>
              <w:rPr>
                <w:sz w:val="24"/>
              </w:rPr>
            </w:pPr>
            <w:r>
              <w:rPr>
                <w:sz w:val="24"/>
              </w:rPr>
              <w:t>0.0091</w:t>
            </w:r>
          </w:p>
        </w:tc>
        <w:tc>
          <w:tcPr>
            <w:tcW w:w="1077" w:type="dxa"/>
            <w:tcBorders>
              <w:top w:val="nil"/>
              <w:left w:val="nil"/>
              <w:bottom w:val="nil"/>
              <w:right w:val="nil"/>
            </w:tcBorders>
          </w:tcPr>
          <w:p>
            <w:pPr>
              <w:pStyle w:val="TableParagraph"/>
              <w:spacing w:before="170"/>
              <w:ind w:right="306"/>
              <w:jc w:val="right"/>
              <w:rPr>
                <w:sz w:val="24"/>
              </w:rPr>
            </w:pPr>
            <w:r>
              <w:rPr>
                <w:sz w:val="24"/>
              </w:rPr>
              <w:t>0.0722</w:t>
            </w:r>
          </w:p>
        </w:tc>
        <w:tc>
          <w:tcPr>
            <w:tcW w:w="1480" w:type="dxa"/>
            <w:tcBorders>
              <w:top w:val="nil"/>
              <w:left w:val="nil"/>
              <w:bottom w:val="nil"/>
              <w:right w:val="nil"/>
            </w:tcBorders>
          </w:tcPr>
          <w:p>
            <w:pPr>
              <w:pStyle w:val="TableParagraph"/>
              <w:spacing w:before="170"/>
              <w:ind w:left="308"/>
              <w:rPr>
                <w:sz w:val="24"/>
              </w:rPr>
            </w:pPr>
            <w:r>
              <w:rPr>
                <w:sz w:val="24"/>
              </w:rPr>
              <w:t>0.0160</w:t>
            </w:r>
          </w:p>
        </w:tc>
      </w:tr>
    </w:tbl>
    <w:p>
      <w:pPr>
        <w:spacing w:after="0"/>
        <w:rPr>
          <w:sz w:val="24"/>
        </w:rPr>
        <w:sectPr>
          <w:pgSz w:w="12240" w:h="15840"/>
          <w:pgMar w:header="1150" w:footer="1336" w:top="1340" w:bottom="1520" w:left="1660" w:right="1300"/>
        </w:sectPr>
      </w:pPr>
    </w:p>
    <w:p>
      <w:pPr>
        <w:pStyle w:val="BodyText"/>
        <w:rPr>
          <w:b/>
          <w:sz w:val="20"/>
        </w:rPr>
      </w:pPr>
    </w:p>
    <w:p>
      <w:pPr>
        <w:pStyle w:val="BodyText"/>
        <w:spacing w:before="10"/>
        <w:rPr>
          <w:b/>
          <w:sz w:val="19"/>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08"/>
        <w:gridCol w:w="1111"/>
        <w:gridCol w:w="1282"/>
        <w:gridCol w:w="1272"/>
        <w:gridCol w:w="1221"/>
        <w:gridCol w:w="1197"/>
        <w:gridCol w:w="1169"/>
      </w:tblGrid>
      <w:tr>
        <w:trPr>
          <w:trHeight w:val="441" w:hRule="exact"/>
        </w:trPr>
        <w:tc>
          <w:tcPr>
            <w:tcW w:w="1508" w:type="dxa"/>
          </w:tcPr>
          <w:p>
            <w:pPr>
              <w:pStyle w:val="TableParagraph"/>
              <w:spacing w:line="273" w:lineRule="exact"/>
              <w:ind w:left="122"/>
              <w:rPr>
                <w:sz w:val="24"/>
              </w:rPr>
            </w:pPr>
            <w:r>
              <w:rPr>
                <w:sz w:val="24"/>
              </w:rPr>
              <w:t>C18:2 c9c12</w:t>
            </w:r>
          </w:p>
        </w:tc>
        <w:tc>
          <w:tcPr>
            <w:tcW w:w="1111" w:type="dxa"/>
          </w:tcPr>
          <w:p>
            <w:pPr>
              <w:pStyle w:val="TableParagraph"/>
              <w:spacing w:line="273" w:lineRule="exact"/>
              <w:ind w:left="166"/>
              <w:rPr>
                <w:sz w:val="16"/>
              </w:rPr>
            </w:pPr>
            <w:r>
              <w:rPr>
                <w:sz w:val="24"/>
              </w:rPr>
              <w:t>0.17</w:t>
            </w:r>
            <w:r>
              <w:rPr>
                <w:position w:val="9"/>
                <w:sz w:val="16"/>
              </w:rPr>
              <w:t>c</w:t>
            </w:r>
          </w:p>
        </w:tc>
        <w:tc>
          <w:tcPr>
            <w:tcW w:w="1282" w:type="dxa"/>
          </w:tcPr>
          <w:p>
            <w:pPr>
              <w:pStyle w:val="TableParagraph"/>
              <w:spacing w:line="273" w:lineRule="exact"/>
              <w:ind w:left="333"/>
              <w:rPr>
                <w:sz w:val="16"/>
              </w:rPr>
            </w:pPr>
            <w:r>
              <w:rPr>
                <w:sz w:val="24"/>
              </w:rPr>
              <w:t>0.34</w:t>
            </w:r>
            <w:r>
              <w:rPr>
                <w:position w:val="9"/>
                <w:sz w:val="16"/>
              </w:rPr>
              <w:t>b</w:t>
            </w:r>
          </w:p>
        </w:tc>
        <w:tc>
          <w:tcPr>
            <w:tcW w:w="1272" w:type="dxa"/>
          </w:tcPr>
          <w:p>
            <w:pPr>
              <w:pStyle w:val="TableParagraph"/>
              <w:spacing w:line="273" w:lineRule="exact"/>
              <w:ind w:left="328"/>
              <w:rPr>
                <w:sz w:val="16"/>
              </w:rPr>
            </w:pPr>
            <w:r>
              <w:rPr>
                <w:sz w:val="24"/>
              </w:rPr>
              <w:t>0.48</w:t>
            </w:r>
            <w:r>
              <w:rPr>
                <w:position w:val="9"/>
                <w:sz w:val="16"/>
              </w:rPr>
              <w:t>a</w:t>
            </w:r>
          </w:p>
        </w:tc>
        <w:tc>
          <w:tcPr>
            <w:tcW w:w="1221" w:type="dxa"/>
          </w:tcPr>
          <w:p>
            <w:pPr>
              <w:pStyle w:val="TableParagraph"/>
              <w:spacing w:line="273" w:lineRule="exact"/>
              <w:ind w:right="227"/>
              <w:jc w:val="right"/>
              <w:rPr>
                <w:sz w:val="24"/>
              </w:rPr>
            </w:pPr>
            <w:r>
              <w:rPr>
                <w:sz w:val="24"/>
              </w:rPr>
              <w:t>0.0226</w:t>
            </w:r>
          </w:p>
        </w:tc>
        <w:tc>
          <w:tcPr>
            <w:tcW w:w="1197" w:type="dxa"/>
          </w:tcPr>
          <w:p>
            <w:pPr>
              <w:pStyle w:val="TableParagraph"/>
              <w:spacing w:line="273" w:lineRule="exact"/>
              <w:ind w:left="227"/>
              <w:rPr>
                <w:sz w:val="24"/>
              </w:rPr>
            </w:pPr>
            <w:r>
              <w:rPr>
                <w:sz w:val="24"/>
              </w:rPr>
              <w:t>0.0001</w:t>
            </w:r>
          </w:p>
        </w:tc>
        <w:tc>
          <w:tcPr>
            <w:tcW w:w="1169" w:type="dxa"/>
          </w:tcPr>
          <w:p>
            <w:pPr>
              <w:pStyle w:val="TableParagraph"/>
              <w:spacing w:line="273" w:lineRule="exact"/>
              <w:ind w:right="198"/>
              <w:jc w:val="right"/>
              <w:rPr>
                <w:sz w:val="24"/>
              </w:rPr>
            </w:pPr>
            <w:r>
              <w:rPr>
                <w:sz w:val="24"/>
              </w:rPr>
              <w:t>0.5060</w:t>
            </w:r>
          </w:p>
        </w:tc>
      </w:tr>
      <w:tr>
        <w:trPr>
          <w:trHeight w:val="613" w:hRule="exact"/>
        </w:trPr>
        <w:tc>
          <w:tcPr>
            <w:tcW w:w="1508" w:type="dxa"/>
          </w:tcPr>
          <w:p>
            <w:pPr>
              <w:pStyle w:val="TableParagraph"/>
              <w:spacing w:before="170"/>
              <w:ind w:left="122"/>
              <w:rPr>
                <w:sz w:val="24"/>
              </w:rPr>
            </w:pPr>
            <w:r>
              <w:rPr>
                <w:sz w:val="24"/>
              </w:rPr>
              <w:t>C18:2 c9t11</w:t>
            </w:r>
          </w:p>
        </w:tc>
        <w:tc>
          <w:tcPr>
            <w:tcW w:w="1111" w:type="dxa"/>
          </w:tcPr>
          <w:p>
            <w:pPr>
              <w:pStyle w:val="TableParagraph"/>
              <w:spacing w:before="154"/>
              <w:ind w:left="166"/>
              <w:rPr>
                <w:sz w:val="16"/>
              </w:rPr>
            </w:pPr>
            <w:r>
              <w:rPr>
                <w:sz w:val="24"/>
              </w:rPr>
              <w:t>0.79</w:t>
            </w:r>
            <w:r>
              <w:rPr>
                <w:position w:val="9"/>
                <w:sz w:val="16"/>
              </w:rPr>
              <w:t>b</w:t>
            </w:r>
          </w:p>
        </w:tc>
        <w:tc>
          <w:tcPr>
            <w:tcW w:w="1282" w:type="dxa"/>
          </w:tcPr>
          <w:p>
            <w:pPr>
              <w:pStyle w:val="TableParagraph"/>
              <w:spacing w:before="154"/>
              <w:ind w:left="333"/>
              <w:rPr>
                <w:sz w:val="16"/>
              </w:rPr>
            </w:pPr>
            <w:r>
              <w:rPr>
                <w:sz w:val="24"/>
              </w:rPr>
              <w:t>1.49</w:t>
            </w:r>
            <w:r>
              <w:rPr>
                <w:position w:val="9"/>
                <w:sz w:val="16"/>
              </w:rPr>
              <w:t>a</w:t>
            </w:r>
          </w:p>
        </w:tc>
        <w:tc>
          <w:tcPr>
            <w:tcW w:w="1272" w:type="dxa"/>
          </w:tcPr>
          <w:p>
            <w:pPr>
              <w:pStyle w:val="TableParagraph"/>
              <w:spacing w:before="154"/>
              <w:ind w:left="328"/>
              <w:rPr>
                <w:sz w:val="16"/>
              </w:rPr>
            </w:pPr>
            <w:r>
              <w:rPr>
                <w:sz w:val="24"/>
              </w:rPr>
              <w:t>1.40</w:t>
            </w:r>
            <w:r>
              <w:rPr>
                <w:position w:val="9"/>
                <w:sz w:val="16"/>
              </w:rPr>
              <w:t>a</w:t>
            </w:r>
          </w:p>
        </w:tc>
        <w:tc>
          <w:tcPr>
            <w:tcW w:w="1221" w:type="dxa"/>
          </w:tcPr>
          <w:p>
            <w:pPr>
              <w:pStyle w:val="TableParagraph"/>
              <w:spacing w:before="170"/>
              <w:ind w:right="227"/>
              <w:jc w:val="right"/>
              <w:rPr>
                <w:sz w:val="24"/>
              </w:rPr>
            </w:pPr>
            <w:r>
              <w:rPr>
                <w:sz w:val="24"/>
              </w:rPr>
              <w:t>0.0628</w:t>
            </w:r>
          </w:p>
        </w:tc>
        <w:tc>
          <w:tcPr>
            <w:tcW w:w="1197" w:type="dxa"/>
          </w:tcPr>
          <w:p>
            <w:pPr>
              <w:pStyle w:val="TableParagraph"/>
              <w:spacing w:before="170"/>
              <w:ind w:left="227"/>
              <w:rPr>
                <w:sz w:val="24"/>
              </w:rPr>
            </w:pPr>
            <w:r>
              <w:rPr>
                <w:sz w:val="24"/>
              </w:rPr>
              <w:t>0.0001</w:t>
            </w:r>
          </w:p>
        </w:tc>
        <w:tc>
          <w:tcPr>
            <w:tcW w:w="1169" w:type="dxa"/>
          </w:tcPr>
          <w:p>
            <w:pPr>
              <w:pStyle w:val="TableParagraph"/>
              <w:spacing w:before="170"/>
              <w:ind w:right="198"/>
              <w:jc w:val="right"/>
              <w:rPr>
                <w:sz w:val="24"/>
              </w:rPr>
            </w:pPr>
            <w:r>
              <w:rPr>
                <w:sz w:val="24"/>
              </w:rPr>
              <w:t>0.0001</w:t>
            </w:r>
          </w:p>
        </w:tc>
      </w:tr>
      <w:tr>
        <w:trPr>
          <w:trHeight w:val="627" w:hRule="exact"/>
        </w:trPr>
        <w:tc>
          <w:tcPr>
            <w:tcW w:w="1508" w:type="dxa"/>
          </w:tcPr>
          <w:p>
            <w:pPr>
              <w:pStyle w:val="TableParagraph"/>
              <w:spacing w:before="168"/>
              <w:ind w:left="122"/>
              <w:rPr>
                <w:sz w:val="24"/>
              </w:rPr>
            </w:pPr>
            <w:r>
              <w:rPr>
                <w:sz w:val="24"/>
              </w:rPr>
              <w:t>C20</w:t>
            </w:r>
          </w:p>
        </w:tc>
        <w:tc>
          <w:tcPr>
            <w:tcW w:w="1111" w:type="dxa"/>
          </w:tcPr>
          <w:p>
            <w:pPr>
              <w:pStyle w:val="TableParagraph"/>
              <w:spacing w:before="153"/>
              <w:ind w:left="166"/>
              <w:rPr>
                <w:sz w:val="16"/>
              </w:rPr>
            </w:pPr>
            <w:r>
              <w:rPr>
                <w:sz w:val="24"/>
              </w:rPr>
              <w:t>0.14</w:t>
            </w:r>
            <w:r>
              <w:rPr>
                <w:position w:val="9"/>
                <w:sz w:val="16"/>
              </w:rPr>
              <w:t>a</w:t>
            </w:r>
          </w:p>
        </w:tc>
        <w:tc>
          <w:tcPr>
            <w:tcW w:w="1282" w:type="dxa"/>
          </w:tcPr>
          <w:p>
            <w:pPr>
              <w:pStyle w:val="TableParagraph"/>
              <w:spacing w:before="153"/>
              <w:ind w:left="333"/>
              <w:rPr>
                <w:sz w:val="16"/>
              </w:rPr>
            </w:pPr>
            <w:r>
              <w:rPr>
                <w:sz w:val="24"/>
              </w:rPr>
              <w:t>0.10</w:t>
            </w:r>
            <w:r>
              <w:rPr>
                <w:position w:val="9"/>
                <w:sz w:val="16"/>
              </w:rPr>
              <w:t>b</w:t>
            </w:r>
          </w:p>
        </w:tc>
        <w:tc>
          <w:tcPr>
            <w:tcW w:w="1272" w:type="dxa"/>
          </w:tcPr>
          <w:p>
            <w:pPr>
              <w:pStyle w:val="TableParagraph"/>
              <w:spacing w:before="153"/>
              <w:ind w:left="328"/>
              <w:rPr>
                <w:sz w:val="16"/>
              </w:rPr>
            </w:pPr>
            <w:r>
              <w:rPr>
                <w:sz w:val="24"/>
              </w:rPr>
              <w:t>0.13</w:t>
            </w:r>
            <w:r>
              <w:rPr>
                <w:position w:val="9"/>
                <w:sz w:val="16"/>
              </w:rPr>
              <w:t>a</w:t>
            </w:r>
          </w:p>
        </w:tc>
        <w:tc>
          <w:tcPr>
            <w:tcW w:w="1221" w:type="dxa"/>
          </w:tcPr>
          <w:p>
            <w:pPr>
              <w:pStyle w:val="TableParagraph"/>
              <w:spacing w:before="168"/>
              <w:ind w:right="227"/>
              <w:jc w:val="right"/>
              <w:rPr>
                <w:sz w:val="24"/>
              </w:rPr>
            </w:pPr>
            <w:r>
              <w:rPr>
                <w:sz w:val="24"/>
              </w:rPr>
              <w:t>0.0082</w:t>
            </w:r>
          </w:p>
        </w:tc>
        <w:tc>
          <w:tcPr>
            <w:tcW w:w="1197" w:type="dxa"/>
          </w:tcPr>
          <w:p>
            <w:pPr>
              <w:pStyle w:val="TableParagraph"/>
              <w:spacing w:before="168"/>
              <w:ind w:left="227"/>
              <w:rPr>
                <w:sz w:val="24"/>
              </w:rPr>
            </w:pPr>
            <w:r>
              <w:rPr>
                <w:sz w:val="24"/>
              </w:rPr>
              <w:t>0.4232</w:t>
            </w:r>
          </w:p>
        </w:tc>
        <w:tc>
          <w:tcPr>
            <w:tcW w:w="1169" w:type="dxa"/>
          </w:tcPr>
          <w:p>
            <w:pPr>
              <w:pStyle w:val="TableParagraph"/>
              <w:spacing w:before="168"/>
              <w:ind w:right="198"/>
              <w:jc w:val="right"/>
              <w:rPr>
                <w:sz w:val="24"/>
              </w:rPr>
            </w:pPr>
            <w:r>
              <w:rPr>
                <w:sz w:val="24"/>
              </w:rPr>
              <w:t>0.0032</w:t>
            </w:r>
          </w:p>
        </w:tc>
      </w:tr>
      <w:tr>
        <w:trPr>
          <w:trHeight w:val="601" w:hRule="exact"/>
        </w:trPr>
        <w:tc>
          <w:tcPr>
            <w:tcW w:w="1508" w:type="dxa"/>
          </w:tcPr>
          <w:p>
            <w:pPr>
              <w:pStyle w:val="TableParagraph"/>
              <w:spacing w:before="156"/>
              <w:ind w:left="122"/>
              <w:rPr>
                <w:sz w:val="24"/>
              </w:rPr>
            </w:pPr>
            <w:r>
              <w:rPr>
                <w:sz w:val="24"/>
              </w:rPr>
              <w:t>C20:1 c11</w:t>
            </w:r>
          </w:p>
        </w:tc>
        <w:tc>
          <w:tcPr>
            <w:tcW w:w="1111" w:type="dxa"/>
          </w:tcPr>
          <w:p>
            <w:pPr>
              <w:pStyle w:val="TableParagraph"/>
              <w:spacing w:before="156"/>
              <w:ind w:left="166"/>
              <w:rPr>
                <w:sz w:val="24"/>
              </w:rPr>
            </w:pPr>
            <w:r>
              <w:rPr>
                <w:sz w:val="24"/>
              </w:rPr>
              <w:t>0.22</w:t>
            </w:r>
          </w:p>
        </w:tc>
        <w:tc>
          <w:tcPr>
            <w:tcW w:w="1282" w:type="dxa"/>
          </w:tcPr>
          <w:p>
            <w:pPr>
              <w:pStyle w:val="TableParagraph"/>
              <w:spacing w:before="156"/>
              <w:ind w:left="333"/>
              <w:rPr>
                <w:sz w:val="24"/>
              </w:rPr>
            </w:pPr>
            <w:r>
              <w:rPr>
                <w:sz w:val="24"/>
              </w:rPr>
              <w:t>0.11</w:t>
            </w:r>
          </w:p>
        </w:tc>
        <w:tc>
          <w:tcPr>
            <w:tcW w:w="1272" w:type="dxa"/>
          </w:tcPr>
          <w:p>
            <w:pPr>
              <w:pStyle w:val="TableParagraph"/>
              <w:spacing w:before="156"/>
              <w:ind w:left="328"/>
              <w:rPr>
                <w:sz w:val="24"/>
              </w:rPr>
            </w:pPr>
            <w:r>
              <w:rPr>
                <w:sz w:val="24"/>
              </w:rPr>
              <w:t>0.10</w:t>
            </w:r>
          </w:p>
        </w:tc>
        <w:tc>
          <w:tcPr>
            <w:tcW w:w="1221" w:type="dxa"/>
          </w:tcPr>
          <w:p>
            <w:pPr>
              <w:pStyle w:val="TableParagraph"/>
              <w:spacing w:before="156"/>
              <w:ind w:right="227"/>
              <w:jc w:val="right"/>
              <w:rPr>
                <w:sz w:val="24"/>
              </w:rPr>
            </w:pPr>
            <w:r>
              <w:rPr>
                <w:sz w:val="24"/>
              </w:rPr>
              <w:t>0.0550</w:t>
            </w:r>
          </w:p>
        </w:tc>
        <w:tc>
          <w:tcPr>
            <w:tcW w:w="1197" w:type="dxa"/>
          </w:tcPr>
          <w:p>
            <w:pPr>
              <w:pStyle w:val="TableParagraph"/>
              <w:spacing w:before="156"/>
              <w:ind w:left="227"/>
              <w:rPr>
                <w:sz w:val="24"/>
              </w:rPr>
            </w:pPr>
            <w:r>
              <w:rPr>
                <w:sz w:val="24"/>
              </w:rPr>
              <w:t>0.1336</w:t>
            </w:r>
          </w:p>
        </w:tc>
        <w:tc>
          <w:tcPr>
            <w:tcW w:w="1169" w:type="dxa"/>
          </w:tcPr>
          <w:p>
            <w:pPr>
              <w:pStyle w:val="TableParagraph"/>
              <w:spacing w:before="156"/>
              <w:ind w:right="198"/>
              <w:jc w:val="right"/>
              <w:rPr>
                <w:sz w:val="24"/>
              </w:rPr>
            </w:pPr>
            <w:r>
              <w:rPr>
                <w:sz w:val="24"/>
              </w:rPr>
              <w:t>0.4489</w:t>
            </w:r>
          </w:p>
        </w:tc>
      </w:tr>
      <w:tr>
        <w:trPr>
          <w:trHeight w:val="615" w:hRule="exact"/>
        </w:trPr>
        <w:tc>
          <w:tcPr>
            <w:tcW w:w="1508" w:type="dxa"/>
          </w:tcPr>
          <w:p>
            <w:pPr>
              <w:pStyle w:val="TableParagraph"/>
              <w:spacing w:before="170"/>
              <w:ind w:left="122"/>
              <w:rPr>
                <w:sz w:val="24"/>
              </w:rPr>
            </w:pPr>
            <w:r>
              <w:rPr>
                <w:sz w:val="24"/>
              </w:rPr>
              <w:t>Otros</w:t>
            </w:r>
          </w:p>
        </w:tc>
        <w:tc>
          <w:tcPr>
            <w:tcW w:w="1111" w:type="dxa"/>
          </w:tcPr>
          <w:p>
            <w:pPr>
              <w:pStyle w:val="TableParagraph"/>
              <w:spacing w:before="154"/>
              <w:ind w:left="166"/>
              <w:rPr>
                <w:sz w:val="16"/>
              </w:rPr>
            </w:pPr>
            <w:r>
              <w:rPr>
                <w:sz w:val="24"/>
              </w:rPr>
              <w:t>0.75</w:t>
            </w:r>
            <w:r>
              <w:rPr>
                <w:position w:val="9"/>
                <w:sz w:val="16"/>
              </w:rPr>
              <w:t>a</w:t>
            </w:r>
          </w:p>
        </w:tc>
        <w:tc>
          <w:tcPr>
            <w:tcW w:w="1282" w:type="dxa"/>
          </w:tcPr>
          <w:p>
            <w:pPr>
              <w:pStyle w:val="TableParagraph"/>
              <w:spacing w:before="154"/>
              <w:ind w:left="333"/>
              <w:rPr>
                <w:sz w:val="16"/>
              </w:rPr>
            </w:pPr>
            <w:r>
              <w:rPr>
                <w:sz w:val="24"/>
              </w:rPr>
              <w:t>0.61</w:t>
            </w:r>
            <w:r>
              <w:rPr>
                <w:position w:val="9"/>
                <w:sz w:val="16"/>
              </w:rPr>
              <w:t>a</w:t>
            </w:r>
          </w:p>
        </w:tc>
        <w:tc>
          <w:tcPr>
            <w:tcW w:w="1272" w:type="dxa"/>
          </w:tcPr>
          <w:p>
            <w:pPr>
              <w:pStyle w:val="TableParagraph"/>
              <w:spacing w:before="154"/>
              <w:ind w:left="328"/>
              <w:rPr>
                <w:sz w:val="16"/>
              </w:rPr>
            </w:pPr>
            <w:r>
              <w:rPr>
                <w:sz w:val="24"/>
              </w:rPr>
              <w:t>0.39</w:t>
            </w:r>
            <w:r>
              <w:rPr>
                <w:position w:val="9"/>
                <w:sz w:val="16"/>
              </w:rPr>
              <w:t>b</w:t>
            </w:r>
          </w:p>
        </w:tc>
        <w:tc>
          <w:tcPr>
            <w:tcW w:w="1221" w:type="dxa"/>
          </w:tcPr>
          <w:p>
            <w:pPr>
              <w:pStyle w:val="TableParagraph"/>
              <w:spacing w:before="170"/>
              <w:ind w:right="227"/>
              <w:jc w:val="right"/>
              <w:rPr>
                <w:sz w:val="24"/>
              </w:rPr>
            </w:pPr>
            <w:r>
              <w:rPr>
                <w:sz w:val="24"/>
              </w:rPr>
              <w:t>0.0626</w:t>
            </w:r>
          </w:p>
        </w:tc>
        <w:tc>
          <w:tcPr>
            <w:tcW w:w="1197" w:type="dxa"/>
          </w:tcPr>
          <w:p>
            <w:pPr>
              <w:pStyle w:val="TableParagraph"/>
              <w:spacing w:before="170"/>
              <w:ind w:left="227"/>
              <w:rPr>
                <w:sz w:val="24"/>
              </w:rPr>
            </w:pPr>
            <w:r>
              <w:rPr>
                <w:sz w:val="24"/>
              </w:rPr>
              <w:t>0.0002</w:t>
            </w:r>
          </w:p>
        </w:tc>
        <w:tc>
          <w:tcPr>
            <w:tcW w:w="1169" w:type="dxa"/>
          </w:tcPr>
          <w:p>
            <w:pPr>
              <w:pStyle w:val="TableParagraph"/>
              <w:spacing w:before="170"/>
              <w:ind w:right="198"/>
              <w:jc w:val="right"/>
              <w:rPr>
                <w:sz w:val="24"/>
              </w:rPr>
            </w:pPr>
            <w:r>
              <w:rPr>
                <w:sz w:val="24"/>
              </w:rPr>
              <w:t>0.5940</w:t>
            </w:r>
          </w:p>
        </w:tc>
      </w:tr>
      <w:tr>
        <w:trPr>
          <w:trHeight w:val="615" w:hRule="exact"/>
        </w:trPr>
        <w:tc>
          <w:tcPr>
            <w:tcW w:w="1508" w:type="dxa"/>
          </w:tcPr>
          <w:p>
            <w:pPr>
              <w:pStyle w:val="TableParagraph"/>
              <w:spacing w:before="155"/>
              <w:ind w:left="122"/>
              <w:rPr>
                <w:sz w:val="16"/>
              </w:rPr>
            </w:pPr>
            <w:r>
              <w:rPr>
                <w:sz w:val="24"/>
              </w:rPr>
              <w:t>Categoría</w:t>
            </w:r>
            <w:r>
              <w:rPr>
                <w:position w:val="9"/>
                <w:sz w:val="16"/>
              </w:rPr>
              <w:t>Þ</w:t>
            </w:r>
          </w:p>
        </w:tc>
        <w:tc>
          <w:tcPr>
            <w:tcW w:w="1111" w:type="dxa"/>
          </w:tcPr>
          <w:p>
            <w:pPr/>
          </w:p>
        </w:tc>
        <w:tc>
          <w:tcPr>
            <w:tcW w:w="1282" w:type="dxa"/>
          </w:tcPr>
          <w:p>
            <w:pPr/>
          </w:p>
        </w:tc>
        <w:tc>
          <w:tcPr>
            <w:tcW w:w="1272" w:type="dxa"/>
          </w:tcPr>
          <w:p>
            <w:pPr/>
          </w:p>
        </w:tc>
        <w:tc>
          <w:tcPr>
            <w:tcW w:w="1221" w:type="dxa"/>
          </w:tcPr>
          <w:p>
            <w:pPr/>
          </w:p>
        </w:tc>
        <w:tc>
          <w:tcPr>
            <w:tcW w:w="1197" w:type="dxa"/>
          </w:tcPr>
          <w:p>
            <w:pPr/>
          </w:p>
        </w:tc>
        <w:tc>
          <w:tcPr>
            <w:tcW w:w="1169" w:type="dxa"/>
          </w:tcPr>
          <w:p>
            <w:pPr/>
          </w:p>
        </w:tc>
      </w:tr>
      <w:tr>
        <w:trPr>
          <w:trHeight w:val="614" w:hRule="exact"/>
        </w:trPr>
        <w:tc>
          <w:tcPr>
            <w:tcW w:w="1508" w:type="dxa"/>
          </w:tcPr>
          <w:p>
            <w:pPr>
              <w:pStyle w:val="TableParagraph"/>
              <w:spacing w:before="170"/>
              <w:ind w:left="122"/>
              <w:rPr>
                <w:sz w:val="24"/>
              </w:rPr>
            </w:pPr>
            <w:r>
              <w:rPr>
                <w:sz w:val="24"/>
              </w:rPr>
              <w:t>AGS</w:t>
            </w:r>
          </w:p>
        </w:tc>
        <w:tc>
          <w:tcPr>
            <w:tcW w:w="1111" w:type="dxa"/>
          </w:tcPr>
          <w:p>
            <w:pPr>
              <w:pStyle w:val="TableParagraph"/>
              <w:spacing w:before="154"/>
              <w:ind w:left="166"/>
              <w:rPr>
                <w:sz w:val="16"/>
              </w:rPr>
            </w:pPr>
            <w:r>
              <w:rPr>
                <w:sz w:val="24"/>
              </w:rPr>
              <w:t>66.27</w:t>
            </w:r>
            <w:r>
              <w:rPr>
                <w:position w:val="9"/>
                <w:sz w:val="16"/>
              </w:rPr>
              <w:t>a</w:t>
            </w:r>
          </w:p>
        </w:tc>
        <w:tc>
          <w:tcPr>
            <w:tcW w:w="1282" w:type="dxa"/>
          </w:tcPr>
          <w:p>
            <w:pPr>
              <w:pStyle w:val="TableParagraph"/>
              <w:spacing w:before="154"/>
              <w:ind w:left="333"/>
              <w:rPr>
                <w:sz w:val="16"/>
              </w:rPr>
            </w:pPr>
            <w:r>
              <w:rPr>
                <w:sz w:val="24"/>
              </w:rPr>
              <w:t>61.23</w:t>
            </w:r>
            <w:r>
              <w:rPr>
                <w:position w:val="9"/>
                <w:sz w:val="16"/>
              </w:rPr>
              <w:t>b</w:t>
            </w:r>
          </w:p>
        </w:tc>
        <w:tc>
          <w:tcPr>
            <w:tcW w:w="1272" w:type="dxa"/>
          </w:tcPr>
          <w:p>
            <w:pPr>
              <w:pStyle w:val="TableParagraph"/>
              <w:spacing w:before="154"/>
              <w:ind w:left="328"/>
              <w:rPr>
                <w:sz w:val="16"/>
              </w:rPr>
            </w:pPr>
            <w:r>
              <w:rPr>
                <w:sz w:val="24"/>
              </w:rPr>
              <w:t>52.48</w:t>
            </w:r>
            <w:r>
              <w:rPr>
                <w:position w:val="9"/>
                <w:sz w:val="16"/>
              </w:rPr>
              <w:t>c</w:t>
            </w:r>
          </w:p>
        </w:tc>
        <w:tc>
          <w:tcPr>
            <w:tcW w:w="1221" w:type="dxa"/>
          </w:tcPr>
          <w:p>
            <w:pPr>
              <w:pStyle w:val="TableParagraph"/>
              <w:spacing w:before="170"/>
              <w:ind w:right="227"/>
              <w:jc w:val="right"/>
              <w:rPr>
                <w:sz w:val="24"/>
              </w:rPr>
            </w:pPr>
            <w:r>
              <w:rPr>
                <w:sz w:val="24"/>
              </w:rPr>
              <w:t>0.6810</w:t>
            </w:r>
          </w:p>
        </w:tc>
        <w:tc>
          <w:tcPr>
            <w:tcW w:w="1197" w:type="dxa"/>
          </w:tcPr>
          <w:p>
            <w:pPr>
              <w:pStyle w:val="TableParagraph"/>
              <w:spacing w:before="170"/>
              <w:ind w:left="227"/>
              <w:rPr>
                <w:sz w:val="24"/>
              </w:rPr>
            </w:pPr>
            <w:r>
              <w:rPr>
                <w:sz w:val="24"/>
              </w:rPr>
              <w:t>0.0001</w:t>
            </w:r>
          </w:p>
        </w:tc>
        <w:tc>
          <w:tcPr>
            <w:tcW w:w="1169" w:type="dxa"/>
          </w:tcPr>
          <w:p>
            <w:pPr>
              <w:pStyle w:val="TableParagraph"/>
              <w:spacing w:before="170"/>
              <w:ind w:right="198"/>
              <w:jc w:val="right"/>
              <w:rPr>
                <w:sz w:val="24"/>
              </w:rPr>
            </w:pPr>
            <w:r>
              <w:rPr>
                <w:sz w:val="24"/>
              </w:rPr>
              <w:t>0.0293</w:t>
            </w:r>
          </w:p>
        </w:tc>
      </w:tr>
      <w:tr>
        <w:trPr>
          <w:trHeight w:val="613" w:hRule="exact"/>
        </w:trPr>
        <w:tc>
          <w:tcPr>
            <w:tcW w:w="1508" w:type="dxa"/>
          </w:tcPr>
          <w:p>
            <w:pPr>
              <w:pStyle w:val="TableParagraph"/>
              <w:spacing w:before="170"/>
              <w:ind w:left="122"/>
              <w:rPr>
                <w:sz w:val="24"/>
              </w:rPr>
            </w:pPr>
            <w:r>
              <w:rPr>
                <w:sz w:val="24"/>
              </w:rPr>
              <w:t>AGMI</w:t>
            </w:r>
          </w:p>
        </w:tc>
        <w:tc>
          <w:tcPr>
            <w:tcW w:w="1111" w:type="dxa"/>
          </w:tcPr>
          <w:p>
            <w:pPr>
              <w:pStyle w:val="TableParagraph"/>
              <w:spacing w:before="154"/>
              <w:ind w:left="166"/>
              <w:rPr>
                <w:sz w:val="16"/>
              </w:rPr>
            </w:pPr>
            <w:r>
              <w:rPr>
                <w:sz w:val="24"/>
              </w:rPr>
              <w:t>30.26</w:t>
            </w:r>
            <w:r>
              <w:rPr>
                <w:position w:val="9"/>
                <w:sz w:val="16"/>
              </w:rPr>
              <w:t>c</w:t>
            </w:r>
          </w:p>
        </w:tc>
        <w:tc>
          <w:tcPr>
            <w:tcW w:w="1282" w:type="dxa"/>
          </w:tcPr>
          <w:p>
            <w:pPr>
              <w:pStyle w:val="TableParagraph"/>
              <w:spacing w:before="154"/>
              <w:ind w:left="333"/>
              <w:rPr>
                <w:sz w:val="16"/>
              </w:rPr>
            </w:pPr>
            <w:r>
              <w:rPr>
                <w:sz w:val="24"/>
              </w:rPr>
              <w:t>34.46</w:t>
            </w:r>
            <w:r>
              <w:rPr>
                <w:position w:val="9"/>
                <w:sz w:val="16"/>
              </w:rPr>
              <w:t>b</w:t>
            </w:r>
          </w:p>
        </w:tc>
        <w:tc>
          <w:tcPr>
            <w:tcW w:w="1272" w:type="dxa"/>
          </w:tcPr>
          <w:p>
            <w:pPr>
              <w:pStyle w:val="TableParagraph"/>
              <w:spacing w:before="154"/>
              <w:ind w:left="328"/>
              <w:rPr>
                <w:sz w:val="16"/>
              </w:rPr>
            </w:pPr>
            <w:r>
              <w:rPr>
                <w:sz w:val="24"/>
              </w:rPr>
              <w:t>43.05</w:t>
            </w:r>
            <w:r>
              <w:rPr>
                <w:position w:val="9"/>
                <w:sz w:val="16"/>
              </w:rPr>
              <w:t>a</w:t>
            </w:r>
          </w:p>
        </w:tc>
        <w:tc>
          <w:tcPr>
            <w:tcW w:w="1221" w:type="dxa"/>
          </w:tcPr>
          <w:p>
            <w:pPr>
              <w:pStyle w:val="TableParagraph"/>
              <w:spacing w:before="170"/>
              <w:ind w:right="227"/>
              <w:jc w:val="right"/>
              <w:rPr>
                <w:sz w:val="24"/>
              </w:rPr>
            </w:pPr>
            <w:r>
              <w:rPr>
                <w:sz w:val="24"/>
              </w:rPr>
              <w:t>0.6172</w:t>
            </w:r>
          </w:p>
        </w:tc>
        <w:tc>
          <w:tcPr>
            <w:tcW w:w="1197" w:type="dxa"/>
          </w:tcPr>
          <w:p>
            <w:pPr>
              <w:pStyle w:val="TableParagraph"/>
              <w:spacing w:before="170"/>
              <w:ind w:left="227"/>
              <w:rPr>
                <w:sz w:val="24"/>
              </w:rPr>
            </w:pPr>
            <w:r>
              <w:rPr>
                <w:sz w:val="24"/>
              </w:rPr>
              <w:t>0.0001</w:t>
            </w:r>
          </w:p>
        </w:tc>
        <w:tc>
          <w:tcPr>
            <w:tcW w:w="1169" w:type="dxa"/>
          </w:tcPr>
          <w:p>
            <w:pPr>
              <w:pStyle w:val="TableParagraph"/>
              <w:spacing w:before="170"/>
              <w:ind w:right="198"/>
              <w:jc w:val="right"/>
              <w:rPr>
                <w:sz w:val="24"/>
              </w:rPr>
            </w:pPr>
            <w:r>
              <w:rPr>
                <w:sz w:val="24"/>
              </w:rPr>
              <w:t>0.0053</w:t>
            </w:r>
          </w:p>
        </w:tc>
      </w:tr>
      <w:tr>
        <w:trPr>
          <w:trHeight w:val="613" w:hRule="exact"/>
        </w:trPr>
        <w:tc>
          <w:tcPr>
            <w:tcW w:w="1508" w:type="dxa"/>
          </w:tcPr>
          <w:p>
            <w:pPr>
              <w:pStyle w:val="TableParagraph"/>
              <w:spacing w:before="168"/>
              <w:ind w:left="122"/>
              <w:rPr>
                <w:sz w:val="24"/>
              </w:rPr>
            </w:pPr>
            <w:r>
              <w:rPr>
                <w:sz w:val="24"/>
              </w:rPr>
              <w:t>AGPI</w:t>
            </w:r>
          </w:p>
        </w:tc>
        <w:tc>
          <w:tcPr>
            <w:tcW w:w="1111" w:type="dxa"/>
          </w:tcPr>
          <w:p>
            <w:pPr>
              <w:pStyle w:val="TableParagraph"/>
              <w:spacing w:before="153"/>
              <w:ind w:left="166"/>
              <w:rPr>
                <w:sz w:val="16"/>
              </w:rPr>
            </w:pPr>
            <w:r>
              <w:rPr>
                <w:sz w:val="24"/>
              </w:rPr>
              <w:t>3.46</w:t>
            </w:r>
            <w:r>
              <w:rPr>
                <w:position w:val="9"/>
                <w:sz w:val="16"/>
              </w:rPr>
              <w:t>b</w:t>
            </w:r>
          </w:p>
        </w:tc>
        <w:tc>
          <w:tcPr>
            <w:tcW w:w="1282" w:type="dxa"/>
          </w:tcPr>
          <w:p>
            <w:pPr>
              <w:pStyle w:val="TableParagraph"/>
              <w:spacing w:before="153"/>
              <w:ind w:left="333"/>
              <w:rPr>
                <w:sz w:val="16"/>
              </w:rPr>
            </w:pPr>
            <w:r>
              <w:rPr>
                <w:sz w:val="24"/>
              </w:rPr>
              <w:t>4.41</w:t>
            </w:r>
            <w:r>
              <w:rPr>
                <w:position w:val="9"/>
                <w:sz w:val="16"/>
              </w:rPr>
              <w:t>a</w:t>
            </w:r>
          </w:p>
        </w:tc>
        <w:tc>
          <w:tcPr>
            <w:tcW w:w="1272" w:type="dxa"/>
          </w:tcPr>
          <w:p>
            <w:pPr>
              <w:pStyle w:val="TableParagraph"/>
              <w:spacing w:before="153"/>
              <w:ind w:left="328"/>
              <w:rPr>
                <w:sz w:val="16"/>
              </w:rPr>
            </w:pPr>
            <w:r>
              <w:rPr>
                <w:sz w:val="24"/>
              </w:rPr>
              <w:t>4.47</w:t>
            </w:r>
            <w:r>
              <w:rPr>
                <w:position w:val="9"/>
                <w:sz w:val="16"/>
              </w:rPr>
              <w:t>a</w:t>
            </w:r>
          </w:p>
        </w:tc>
        <w:tc>
          <w:tcPr>
            <w:tcW w:w="1221" w:type="dxa"/>
          </w:tcPr>
          <w:p>
            <w:pPr>
              <w:pStyle w:val="TableParagraph"/>
              <w:spacing w:before="168"/>
              <w:ind w:right="227"/>
              <w:jc w:val="right"/>
              <w:rPr>
                <w:sz w:val="24"/>
              </w:rPr>
            </w:pPr>
            <w:r>
              <w:rPr>
                <w:sz w:val="24"/>
              </w:rPr>
              <w:t>0.1078</w:t>
            </w:r>
          </w:p>
        </w:tc>
        <w:tc>
          <w:tcPr>
            <w:tcW w:w="1197" w:type="dxa"/>
          </w:tcPr>
          <w:p>
            <w:pPr>
              <w:pStyle w:val="TableParagraph"/>
              <w:spacing w:before="168"/>
              <w:ind w:left="227"/>
              <w:rPr>
                <w:sz w:val="24"/>
              </w:rPr>
            </w:pPr>
            <w:r>
              <w:rPr>
                <w:sz w:val="24"/>
              </w:rPr>
              <w:t>0.0001</w:t>
            </w:r>
          </w:p>
        </w:tc>
        <w:tc>
          <w:tcPr>
            <w:tcW w:w="1169" w:type="dxa"/>
          </w:tcPr>
          <w:p>
            <w:pPr>
              <w:pStyle w:val="TableParagraph"/>
              <w:spacing w:before="168"/>
              <w:ind w:right="198"/>
              <w:jc w:val="right"/>
              <w:rPr>
                <w:sz w:val="24"/>
              </w:rPr>
            </w:pPr>
            <w:r>
              <w:rPr>
                <w:sz w:val="24"/>
              </w:rPr>
              <w:t>0.0013</w:t>
            </w:r>
          </w:p>
        </w:tc>
      </w:tr>
      <w:tr>
        <w:trPr>
          <w:trHeight w:val="795" w:hRule="exact"/>
        </w:trPr>
        <w:tc>
          <w:tcPr>
            <w:tcW w:w="1508" w:type="dxa"/>
          </w:tcPr>
          <w:p>
            <w:pPr>
              <w:pStyle w:val="TableParagraph"/>
              <w:spacing w:before="170"/>
              <w:ind w:left="122"/>
              <w:rPr>
                <w:sz w:val="24"/>
              </w:rPr>
            </w:pPr>
            <w:r>
              <w:rPr>
                <w:sz w:val="24"/>
              </w:rPr>
              <w:t>AGS/AGI</w:t>
            </w:r>
          </w:p>
        </w:tc>
        <w:tc>
          <w:tcPr>
            <w:tcW w:w="1111" w:type="dxa"/>
          </w:tcPr>
          <w:p>
            <w:pPr>
              <w:pStyle w:val="TableParagraph"/>
              <w:spacing w:before="154"/>
              <w:ind w:left="166"/>
              <w:rPr>
                <w:sz w:val="16"/>
              </w:rPr>
            </w:pPr>
            <w:r>
              <w:rPr>
                <w:sz w:val="24"/>
              </w:rPr>
              <w:t>2.00</w:t>
            </w:r>
            <w:r>
              <w:rPr>
                <w:position w:val="9"/>
                <w:sz w:val="16"/>
              </w:rPr>
              <w:t>a</w:t>
            </w:r>
          </w:p>
        </w:tc>
        <w:tc>
          <w:tcPr>
            <w:tcW w:w="1282" w:type="dxa"/>
          </w:tcPr>
          <w:p>
            <w:pPr>
              <w:pStyle w:val="TableParagraph"/>
              <w:spacing w:before="154"/>
              <w:ind w:left="333"/>
              <w:rPr>
                <w:sz w:val="16"/>
              </w:rPr>
            </w:pPr>
            <w:r>
              <w:rPr>
                <w:sz w:val="24"/>
              </w:rPr>
              <w:t>1.62</w:t>
            </w:r>
            <w:r>
              <w:rPr>
                <w:position w:val="9"/>
                <w:sz w:val="16"/>
              </w:rPr>
              <w:t>b</w:t>
            </w:r>
          </w:p>
        </w:tc>
        <w:tc>
          <w:tcPr>
            <w:tcW w:w="1272" w:type="dxa"/>
          </w:tcPr>
          <w:p>
            <w:pPr>
              <w:pStyle w:val="TableParagraph"/>
              <w:spacing w:before="154"/>
              <w:ind w:left="328"/>
              <w:rPr>
                <w:sz w:val="16"/>
              </w:rPr>
            </w:pPr>
            <w:r>
              <w:rPr>
                <w:sz w:val="24"/>
              </w:rPr>
              <w:t>1.12</w:t>
            </w:r>
            <w:r>
              <w:rPr>
                <w:position w:val="9"/>
                <w:sz w:val="16"/>
              </w:rPr>
              <w:t>c</w:t>
            </w:r>
          </w:p>
        </w:tc>
        <w:tc>
          <w:tcPr>
            <w:tcW w:w="1221" w:type="dxa"/>
          </w:tcPr>
          <w:p>
            <w:pPr>
              <w:pStyle w:val="TableParagraph"/>
              <w:spacing w:before="170"/>
              <w:ind w:right="227"/>
              <w:jc w:val="right"/>
              <w:rPr>
                <w:sz w:val="24"/>
              </w:rPr>
            </w:pPr>
            <w:r>
              <w:rPr>
                <w:sz w:val="24"/>
              </w:rPr>
              <w:t>0.0584</w:t>
            </w:r>
          </w:p>
        </w:tc>
        <w:tc>
          <w:tcPr>
            <w:tcW w:w="1197" w:type="dxa"/>
          </w:tcPr>
          <w:p>
            <w:pPr>
              <w:pStyle w:val="TableParagraph"/>
              <w:spacing w:before="170"/>
              <w:ind w:left="227"/>
              <w:rPr>
                <w:sz w:val="24"/>
              </w:rPr>
            </w:pPr>
            <w:r>
              <w:rPr>
                <w:sz w:val="24"/>
              </w:rPr>
              <w:t>0.0001</w:t>
            </w:r>
          </w:p>
        </w:tc>
        <w:tc>
          <w:tcPr>
            <w:tcW w:w="1169" w:type="dxa"/>
          </w:tcPr>
          <w:p>
            <w:pPr>
              <w:pStyle w:val="TableParagraph"/>
              <w:spacing w:before="170"/>
              <w:ind w:right="198"/>
              <w:jc w:val="right"/>
              <w:rPr>
                <w:sz w:val="24"/>
              </w:rPr>
            </w:pPr>
            <w:r>
              <w:rPr>
                <w:sz w:val="24"/>
              </w:rPr>
              <w:t>0.4140</w:t>
            </w:r>
          </w:p>
        </w:tc>
      </w:tr>
    </w:tbl>
    <w:p>
      <w:pPr>
        <w:pStyle w:val="BodyText"/>
        <w:spacing w:line="273" w:lineRule="exact"/>
        <w:ind w:left="232" w:right="121"/>
      </w:pPr>
      <w:r>
        <w:rPr/>
        <w:pict>
          <v:group style="position:absolute;margin-left:87.228996pt;margin-top:-.275pt;width:454.1pt;height:.550pt;mso-position-horizontal-relative:page;mso-position-vertical-relative:paragraph;z-index:-127960" coordorigin="1745,-6" coordsize="9082,11">
            <v:line style="position:absolute" from="1750,0" to="3317,0" stroked="true" strokeweight=".504pt" strokecolor="#000000"/>
            <v:line style="position:absolute" from="3303,0" to="3312,0" stroked="true" strokeweight=".504pt" strokecolor="#000000"/>
            <v:line style="position:absolute" from="3312,0" to="4594,0" stroked="true" strokeweight=".504pt" strokecolor="#000000"/>
            <v:line style="position:absolute" from="4580,0" to="4590,0" stroked="true" strokeweight=".504pt" strokecolor="#000000"/>
            <v:line style="position:absolute" from="4590,0" to="5871,0" stroked="true" strokeweight=".504pt" strokecolor="#000000"/>
            <v:line style="position:absolute" from="5857,0" to="5867,0" stroked="true" strokeweight=".504pt" strokecolor="#000000"/>
            <v:line style="position:absolute" from="5867,0" to="7151,0" stroked="true" strokeweight=".504pt" strokecolor="#000000"/>
            <v:line style="position:absolute" from="7137,0" to="7146,0" stroked="true" strokeweight=".504pt" strokecolor="#000000"/>
            <v:line style="position:absolute" from="7146,0" to="8265,0" stroked="true" strokeweight=".504pt" strokecolor="#000000"/>
            <v:line style="position:absolute" from="8250,0" to="8260,0" stroked="true" strokeweight=".504pt" strokecolor="#000000"/>
            <v:line style="position:absolute" from="8260,0" to="9541,0" stroked="true" strokeweight=".504pt" strokecolor="#000000"/>
            <v:line style="position:absolute" from="9527,0" to="9537,0" stroked="true" strokeweight=".504pt" strokecolor="#000000"/>
            <v:line style="position:absolute" from="9537,0" to="10821,0" stroked="true" strokeweight=".504pt" strokecolor="#000000"/>
            <w10:wrap type="none"/>
          </v:group>
        </w:pict>
      </w:r>
      <w:r>
        <w:rPr>
          <w:position w:val="9"/>
          <w:sz w:val="16"/>
        </w:rPr>
        <w:t>ab </w:t>
      </w:r>
      <w:r>
        <w:rPr/>
        <w:t>Valores medios en un renglón con distinta literal son diferentes (p ≤ 0.05) (n = 18)</w:t>
      </w:r>
    </w:p>
    <w:p>
      <w:pPr>
        <w:pStyle w:val="BodyText"/>
        <w:spacing w:before="7"/>
        <w:rPr>
          <w:sz w:val="22"/>
        </w:rPr>
      </w:pPr>
    </w:p>
    <w:p>
      <w:pPr>
        <w:pStyle w:val="BodyText"/>
        <w:spacing w:line="480" w:lineRule="auto"/>
        <w:ind w:left="232" w:right="121"/>
      </w:pPr>
      <w:r>
        <w:rPr>
          <w:position w:val="9"/>
          <w:sz w:val="16"/>
        </w:rPr>
        <w:t>†</w:t>
      </w:r>
      <w:r>
        <w:rPr/>
        <w:t>Tratamientos: pTMR-0 =dieta completa mezclada sin aceite de soya; pTMR-3 =dieta completa mezclada más 3 % de aceite de soya; pTMR-6 =dieta completa mezclada más 6</w:t>
      </w:r>
    </w:p>
    <w:p>
      <w:pPr>
        <w:pStyle w:val="BodyText"/>
        <w:spacing w:line="286" w:lineRule="exact"/>
        <w:ind w:left="232" w:right="121"/>
      </w:pPr>
      <w:r>
        <w:rPr/>
        <w:t>% de aceite de soya. </w:t>
      </w:r>
      <w:r>
        <w:rPr>
          <w:position w:val="9"/>
          <w:sz w:val="16"/>
        </w:rPr>
        <w:t>¶</w:t>
      </w:r>
      <w:r>
        <w:rPr/>
        <w:t>EEM: error estándar de la media. </w:t>
      </w:r>
      <w:r>
        <w:rPr>
          <w:position w:val="9"/>
          <w:sz w:val="16"/>
        </w:rPr>
        <w:t>§</w:t>
      </w:r>
      <w:r>
        <w:rPr/>
        <w:t>Efectos L= lineal; Q= cuadrático.</w:t>
      </w:r>
    </w:p>
    <w:p>
      <w:pPr>
        <w:pStyle w:val="BodyText"/>
        <w:spacing w:before="7"/>
        <w:rPr>
          <w:sz w:val="22"/>
        </w:rPr>
      </w:pPr>
    </w:p>
    <w:p>
      <w:pPr>
        <w:pStyle w:val="BodyText"/>
        <w:ind w:left="232" w:right="121"/>
      </w:pPr>
      <w:r>
        <w:rPr>
          <w:position w:val="9"/>
          <w:sz w:val="16"/>
        </w:rPr>
        <w:t>Þ</w:t>
      </w:r>
      <w:r>
        <w:rPr/>
        <w:t>Categoría: AGS =ácidos grasos saturados; AGMI =ácidos grasos monoinsaturados;  AGPI</w:t>
      </w:r>
    </w:p>
    <w:p>
      <w:pPr>
        <w:pStyle w:val="BodyText"/>
      </w:pPr>
    </w:p>
    <w:p>
      <w:pPr>
        <w:pStyle w:val="BodyText"/>
        <w:ind w:left="232" w:right="121"/>
      </w:pPr>
      <w:r>
        <w:rPr/>
        <w:t>=ácidos grasos poliinsaturados; AGI =ácidos grasos insaturados.</w:t>
      </w:r>
    </w:p>
    <w:p>
      <w:pPr>
        <w:pStyle w:val="BodyText"/>
      </w:pPr>
    </w:p>
    <w:p>
      <w:pPr>
        <w:pStyle w:val="BodyText"/>
        <w:spacing w:line="480" w:lineRule="auto"/>
        <w:ind w:left="232" w:right="226" w:firstLine="242"/>
        <w:jc w:val="both"/>
      </w:pPr>
      <w:r>
        <w:rPr/>
        <w:t>La Figura 1 muestra los efectos lineal y cuadrático (p ≤ 0.05) observados en el contenido de los AG esteárico y oleico en leche; en las dietas pTMR-3 y pTMR-6 el AG esteárico aumentó su concentración 13.8 y 26.1 %, comparado con la dieta pTMR-0; mientras que el AG oleico aumentó 14.3 y 40.6 %. El aumento del AG esteárico con la adición de aceite de soya puede deberse a la acción de los microorganismos del rumen, los cuales saturan los</w:t>
      </w:r>
    </w:p>
    <w:p>
      <w:pPr>
        <w:spacing w:after="0" w:line="480" w:lineRule="auto"/>
        <w:jc w:val="both"/>
        <w:sectPr>
          <w:pgSz w:w="12240" w:h="15840"/>
          <w:pgMar w:header="1150" w:footer="1336" w:top="1340" w:bottom="1520" w:left="1640" w:right="1300"/>
        </w:sectPr>
      </w:pPr>
    </w:p>
    <w:p>
      <w:pPr>
        <w:pStyle w:val="BodyText"/>
        <w:rPr>
          <w:sz w:val="20"/>
        </w:rPr>
      </w:pPr>
    </w:p>
    <w:p>
      <w:pPr>
        <w:pStyle w:val="BodyText"/>
        <w:spacing w:before="4"/>
        <w:rPr>
          <w:sz w:val="19"/>
        </w:rPr>
      </w:pPr>
    </w:p>
    <w:p>
      <w:pPr>
        <w:pStyle w:val="BodyText"/>
        <w:spacing w:line="472" w:lineRule="auto"/>
        <w:ind w:left="152" w:right="789"/>
        <w:jc w:val="both"/>
      </w:pPr>
      <w:r>
        <w:rPr/>
        <w:t>AGI de 18 carbonos (Buccioni </w:t>
      </w:r>
      <w:r>
        <w:rPr>
          <w:i/>
        </w:rPr>
        <w:t>et al</w:t>
      </w:r>
      <w:r>
        <w:rPr/>
        <w:t>., 2012); y el incremento del AG oleico puede estar asociado a la acción de la enzima delta</w:t>
      </w:r>
      <w:r>
        <w:rPr>
          <w:position w:val="9"/>
          <w:sz w:val="16"/>
        </w:rPr>
        <w:t>9 </w:t>
      </w:r>
      <w:r>
        <w:rPr/>
        <w:t>desaturasa, la cual usa al AG esterárico como sustrato para síntesis al AG oleico (Griinari </w:t>
      </w:r>
      <w:r>
        <w:rPr>
          <w:i/>
        </w:rPr>
        <w:t>et al</w:t>
      </w:r>
      <w:r>
        <w:rPr/>
        <w:t>., 2000).</w:t>
      </w:r>
    </w:p>
    <w:p>
      <w:pPr>
        <w:pStyle w:val="BodyText"/>
        <w:spacing w:before="7"/>
        <w:rPr>
          <w:sz w:val="23"/>
        </w:rPr>
      </w:pPr>
    </w:p>
    <w:p>
      <w:pPr>
        <w:spacing w:before="72"/>
        <w:ind w:left="998" w:right="1990" w:firstLine="0"/>
        <w:jc w:val="left"/>
        <w:rPr>
          <w:b/>
          <w:sz w:val="22"/>
        </w:rPr>
      </w:pPr>
      <w:r>
        <w:rPr/>
        <w:pict>
          <v:group style="position:absolute;margin-left:152.625pt;margin-top:-1.525481pt;width:272.7pt;height:130.9500pt;mso-position-horizontal-relative:page;mso-position-vertical-relative:paragraph;z-index:1600" coordorigin="3053,-31" coordsize="5454,2619">
            <v:shape style="position:absolute;left:3060;top:-23;width:5439;height:2604" coordorigin="3060,-23" coordsize="5439,2604" path="m3125,2514l3125,-23m3060,2514l3125,2514m3060,1746l3125,1746m3060,978l3125,978m3060,207l3125,207m3125,2514l8498,2514m3125,2514l3125,2581m4918,2514l4918,2581m6708,2514l6708,2581m8498,2514l8498,2581e" filled="false" stroked="true" strokeweight=".72pt" strokecolor="#858585">
              <v:path arrowok="t"/>
            </v:shape>
            <v:shape style="position:absolute;left:3977;top:61;width:3672;height:2072" coordorigin="3977,61" coordsize="3672,2072" path="m4020,1052l4020,1352m4020,1052l4020,750m3977,1352l4066,1352m3977,750l4066,750m5813,788l5813,1093m5813,788l5813,486m5767,1093l5858,1093m5767,486l5858,486m7603,301l7603,541m7603,301l7603,61m7558,541l7649,541m7558,61l7649,61m4020,1907l4020,2132m4020,1907l4020,1681m3977,2132l4066,2132m3977,1681l4066,1681m5813,1770l5813,1895m5813,1770l5813,1645m5767,1895l5858,1895m5767,1645l5858,1645m7603,1647l7603,1794m7603,1647l7603,1501m7558,1794l7649,1794m7558,1501l7649,1501e" filled="false" stroked="true" strokeweight=".72pt" strokecolor="#000000">
              <v:path arrowok="t"/>
            </v:shape>
            <v:shape style="position:absolute;left:4020;top:301;width:3584;height:752" coordorigin="4020,301" coordsize="3584,752" path="m4020,1052l5813,788,7603,301e" filled="false" stroked="true" strokeweight=".48pt" strokecolor="#000000">
              <v:path arrowok="t"/>
              <v:stroke dashstyle="dash"/>
            </v:shape>
            <v:shape style="position:absolute;left:3988;top:269;width:3644;height:812" coordorigin="3988,269" coordsize="3644,812" path="m3988,1080l4048,1080,4048,1020,3988,1020,3988,1080xm5781,816l5841,816,5841,756,5781,756,5781,816xm7571,329l7631,329,7631,269,7571,269,7571,329xe" filled="false" stroked="true" strokeweight=".72pt" strokecolor="#000000">
              <v:path arrowok="t"/>
            </v:shape>
            <v:shape style="position:absolute;left:4020;top:1647;width:3584;height:260" coordorigin="4020,1647" coordsize="3584,260" path="m4020,1907l5813,1770,7603,1647e" filled="false" stroked="true" strokeweight=".48pt" strokecolor="#000000">
              <v:path arrowok="t"/>
              <v:stroke dashstyle="dash"/>
            </v:shape>
            <v:shape style="position:absolute;left:3981;top:1608;width:3660;height:336" coordorigin="3981,1608" coordsize="3660,336" path="m4019,1868l4057,1944,3981,1944,4019,1868xm5812,1731l5850,1808,5773,1808,5812,1731xm7602,1608l7641,1685,7564,1685,7602,1608xe" filled="false" stroked="true" strokeweight=".72pt" strokecolor="#404040">
              <v:path arrowok="t"/>
            </v:shape>
            <v:shape style="position:absolute;left:5373;top:249;width:915;height:200" type="#_x0000_t202" filled="false" stroked="false">
              <v:textbox inset="0,0,0,0">
                <w:txbxContent>
                  <w:p>
                    <w:pPr>
                      <w:spacing w:line="199" w:lineRule="exact" w:before="0"/>
                      <w:ind w:left="0" w:right="-19" w:firstLine="0"/>
                      <w:jc w:val="left"/>
                      <w:rPr>
                        <w:b/>
                        <w:sz w:val="20"/>
                      </w:rPr>
                    </w:pPr>
                    <w:r>
                      <w:rPr>
                        <w:b/>
                        <w:sz w:val="20"/>
                      </w:rPr>
                      <w:t>Q (p&lt;0.05)</w:t>
                    </w:r>
                  </w:p>
                </w:txbxContent>
              </v:textbox>
              <w10:wrap type="none"/>
            </v:shape>
            <v:shape style="position:absolute;left:4020;top:1457;width:891;height:200" type="#_x0000_t202" filled="false" stroked="false">
              <v:textbox inset="0,0,0,0">
                <w:txbxContent>
                  <w:p>
                    <w:pPr>
                      <w:spacing w:line="199" w:lineRule="exact" w:before="0"/>
                      <w:ind w:left="0" w:right="-17" w:firstLine="0"/>
                      <w:jc w:val="left"/>
                      <w:rPr>
                        <w:b/>
                        <w:sz w:val="20"/>
                      </w:rPr>
                    </w:pPr>
                    <w:r>
                      <w:rPr>
                        <w:b/>
                        <w:sz w:val="20"/>
                      </w:rPr>
                      <w:t>L</w:t>
                    </w:r>
                    <w:r>
                      <w:rPr>
                        <w:b/>
                        <w:spacing w:val="-4"/>
                        <w:sz w:val="20"/>
                      </w:rPr>
                      <w:t> </w:t>
                    </w:r>
                    <w:r>
                      <w:rPr>
                        <w:b/>
                        <w:sz w:val="20"/>
                      </w:rPr>
                      <w:t>(p&lt;0.05)</w:t>
                    </w:r>
                  </w:p>
                </w:txbxContent>
              </v:textbox>
              <w10:wrap type="none"/>
            </v:shape>
            <w10:wrap type="none"/>
          </v:group>
        </w:pict>
      </w:r>
      <w:r>
        <w:rPr>
          <w:b/>
          <w:sz w:val="22"/>
        </w:rPr>
        <w:t>35</w:t>
      </w:r>
    </w:p>
    <w:p>
      <w:pPr>
        <w:pStyle w:val="BodyText"/>
        <w:rPr>
          <w:b/>
          <w:sz w:val="20"/>
        </w:rPr>
      </w:pPr>
    </w:p>
    <w:p>
      <w:pPr>
        <w:pStyle w:val="BodyText"/>
        <w:spacing w:before="6"/>
        <w:rPr>
          <w:b/>
          <w:sz w:val="18"/>
        </w:rPr>
      </w:pPr>
    </w:p>
    <w:p>
      <w:pPr>
        <w:spacing w:line="247" w:lineRule="exact" w:before="73"/>
        <w:ind w:left="998" w:right="1990" w:firstLine="0"/>
        <w:jc w:val="left"/>
        <w:rPr>
          <w:b/>
          <w:sz w:val="22"/>
        </w:rPr>
      </w:pPr>
      <w:r>
        <w:rPr/>
        <w:pict>
          <v:shape style="position:absolute;margin-left:107.539787pt;margin-top:-1.42344pt;width:13.45pt;height:60.45pt;mso-position-horizontal-relative:page;mso-position-vertical-relative:paragraph;z-index:1672" type="#_x0000_t202" filled="false" stroked="false">
            <v:textbox inset="0,0,0,0" style="layout-flow:vertical;mso-layout-flow-alt:bottom-to-top">
              <w:txbxContent>
                <w:p>
                  <w:pPr>
                    <w:spacing w:line="253" w:lineRule="exact" w:before="0"/>
                    <w:ind w:left="20" w:right="0" w:firstLine="0"/>
                    <w:jc w:val="left"/>
                    <w:rPr>
                      <w:b/>
                      <w:sz w:val="22"/>
                    </w:rPr>
                  </w:pPr>
                  <w:r>
                    <w:rPr>
                      <w:b/>
                      <w:w w:val="100"/>
                      <w:sz w:val="22"/>
                    </w:rPr>
                    <w:t>g</w:t>
                  </w:r>
                  <w:r>
                    <w:rPr>
                      <w:b/>
                      <w:sz w:val="22"/>
                    </w:rPr>
                    <w:t> </w:t>
                  </w:r>
                  <w:r>
                    <w:rPr>
                      <w:b/>
                      <w:w w:val="100"/>
                      <w:sz w:val="22"/>
                    </w:rPr>
                    <w:t>100</w:t>
                  </w:r>
                  <w:r>
                    <w:rPr>
                      <w:b/>
                      <w:spacing w:val="-3"/>
                      <w:sz w:val="22"/>
                    </w:rPr>
                    <w:t> </w:t>
                  </w:r>
                  <w:r>
                    <w:rPr>
                      <w:b/>
                      <w:w w:val="100"/>
                      <w:sz w:val="22"/>
                    </w:rPr>
                    <w:t>g</w:t>
                  </w:r>
                  <w:r>
                    <w:rPr>
                      <w:b/>
                      <w:spacing w:val="-1"/>
                      <w:w w:val="104"/>
                      <w:position w:val="7"/>
                      <w:sz w:val="14"/>
                    </w:rPr>
                    <w:t>-</w:t>
                  </w:r>
                  <w:r>
                    <w:rPr>
                      <w:b/>
                      <w:w w:val="104"/>
                      <w:position w:val="7"/>
                      <w:sz w:val="14"/>
                    </w:rPr>
                    <w:t>1</w:t>
                  </w:r>
                  <w:r>
                    <w:rPr>
                      <w:b/>
                      <w:position w:val="7"/>
                      <w:sz w:val="14"/>
                    </w:rPr>
                    <w:t> </w:t>
                  </w:r>
                  <w:r>
                    <w:rPr>
                      <w:b/>
                      <w:spacing w:val="-14"/>
                      <w:position w:val="7"/>
                      <w:sz w:val="14"/>
                    </w:rPr>
                    <w:t> </w:t>
                  </w:r>
                  <w:r>
                    <w:rPr>
                      <w:b/>
                      <w:spacing w:val="-2"/>
                      <w:w w:val="100"/>
                      <w:sz w:val="22"/>
                    </w:rPr>
                    <w:t>A</w:t>
                  </w:r>
                  <w:r>
                    <w:rPr>
                      <w:b/>
                      <w:w w:val="100"/>
                      <w:sz w:val="22"/>
                    </w:rPr>
                    <w:t>G</w:t>
                  </w:r>
                </w:p>
              </w:txbxContent>
            </v:textbox>
            <w10:wrap type="none"/>
          </v:shape>
        </w:pict>
      </w:r>
      <w:r>
        <w:rPr>
          <w:b/>
          <w:sz w:val="22"/>
        </w:rPr>
        <w:t>25</w:t>
      </w:r>
    </w:p>
    <w:p>
      <w:pPr>
        <w:spacing w:line="247" w:lineRule="exact" w:before="0"/>
        <w:ind w:left="0" w:right="1337" w:firstLine="0"/>
        <w:jc w:val="right"/>
        <w:rPr>
          <w:b/>
          <w:sz w:val="22"/>
        </w:rPr>
      </w:pPr>
      <w:r>
        <w:rPr/>
        <w:pict>
          <v:group style="position:absolute;margin-left:438.350006pt;margin-top:4.530056pt;width:25.7pt;height:3.75pt;mso-position-horizontal-relative:page;mso-position-vertical-relative:paragraph;z-index:1624" coordorigin="8767,91" coordsize="514,75">
            <v:line style="position:absolute" from="8772,129" to="9276,129" stroked="true" strokeweight=".48pt" strokecolor="#000000">
              <v:stroke dashstyle="dash"/>
            </v:line>
            <v:rect style="position:absolute;left:8993;top:98;width:60;height:60" filled="false" stroked="true" strokeweight=".72pt" strokecolor="#000000"/>
            <w10:wrap type="none"/>
          </v:group>
        </w:pict>
      </w:r>
      <w:r>
        <w:rPr>
          <w:b/>
          <w:sz w:val="22"/>
        </w:rPr>
        <w:t>C18:1 c9</w:t>
      </w:r>
    </w:p>
    <w:p>
      <w:pPr>
        <w:tabs>
          <w:tab w:pos="561" w:val="left" w:leader="none"/>
        </w:tabs>
        <w:spacing w:line="213" w:lineRule="exact" w:before="101"/>
        <w:ind w:left="0" w:right="1602" w:firstLine="0"/>
        <w:jc w:val="right"/>
        <w:rPr>
          <w:b/>
          <w:sz w:val="22"/>
        </w:rPr>
      </w:pPr>
      <w:r>
        <w:rPr/>
        <w:pict>
          <v:group style="position:absolute;margin-left:438.350006pt;margin-top:9.424509pt;width:25.7pt;height:4.6pt;mso-position-horizontal-relative:page;mso-position-vertical-relative:paragraph;z-index:-127840" coordorigin="8767,188" coordsize="514,92">
            <v:line style="position:absolute" from="8772,237" to="9276,237" stroked="true" strokeweight=".48pt" strokecolor="#000000">
              <v:stroke dashstyle="dash"/>
            </v:line>
            <v:shape style="position:absolute;left:8986;top:196;width:77;height:77" coordorigin="8986,196" coordsize="77,77" path="m9024,196l9062,273,8986,273,9024,196xe" filled="false" stroked="true" strokeweight=".72pt" strokecolor="#404040">
              <v:path arrowok="t"/>
            </v:shape>
            <w10:wrap type="none"/>
          </v:group>
        </w:pict>
      </w:r>
      <w:r>
        <w:rPr>
          <w:b/>
          <w:w w:val="100"/>
          <w:sz w:val="22"/>
        </w:rPr>
        <w:t> </w:t>
      </w:r>
      <w:r>
        <w:rPr>
          <w:b/>
          <w:sz w:val="22"/>
        </w:rPr>
        <w:tab/>
      </w:r>
      <w:r>
        <w:rPr>
          <w:b/>
          <w:spacing w:val="-1"/>
          <w:sz w:val="22"/>
        </w:rPr>
        <w:t>C18:0</w:t>
      </w:r>
    </w:p>
    <w:p>
      <w:pPr>
        <w:spacing w:line="213" w:lineRule="exact" w:before="0"/>
        <w:ind w:left="998" w:right="1990" w:firstLine="0"/>
        <w:jc w:val="left"/>
        <w:rPr>
          <w:b/>
          <w:sz w:val="22"/>
        </w:rPr>
      </w:pPr>
      <w:r>
        <w:rPr>
          <w:b/>
          <w:sz w:val="22"/>
        </w:rPr>
        <w:t>15</w:t>
      </w:r>
    </w:p>
    <w:p>
      <w:pPr>
        <w:pStyle w:val="BodyText"/>
        <w:rPr>
          <w:b/>
          <w:sz w:val="20"/>
        </w:rPr>
      </w:pPr>
    </w:p>
    <w:p>
      <w:pPr>
        <w:pStyle w:val="BodyText"/>
        <w:spacing w:before="6"/>
        <w:rPr>
          <w:b/>
          <w:sz w:val="18"/>
        </w:rPr>
      </w:pPr>
    </w:p>
    <w:p>
      <w:pPr>
        <w:spacing w:before="73"/>
        <w:ind w:left="1109" w:right="0" w:firstLine="0"/>
        <w:jc w:val="left"/>
        <w:rPr>
          <w:b/>
          <w:sz w:val="22"/>
        </w:rPr>
      </w:pPr>
      <w:r>
        <w:rPr>
          <w:b/>
          <w:w w:val="100"/>
          <w:sz w:val="22"/>
        </w:rPr>
        <w:t>5</w:t>
      </w:r>
    </w:p>
    <w:p>
      <w:pPr>
        <w:tabs>
          <w:tab w:pos="3683" w:val="left" w:leader="none"/>
          <w:tab w:pos="5475" w:val="left" w:leader="none"/>
        </w:tabs>
        <w:spacing w:before="5"/>
        <w:ind w:left="1892" w:right="1990" w:firstLine="0"/>
        <w:jc w:val="left"/>
        <w:rPr>
          <w:b/>
          <w:sz w:val="22"/>
        </w:rPr>
      </w:pPr>
      <w:r>
        <w:rPr>
          <w:b/>
          <w:sz w:val="22"/>
        </w:rPr>
        <w:t>pTMR-0</w:t>
        <w:tab/>
        <w:t>pTMR-3</w:t>
        <w:tab/>
        <w:t>pTMR-6</w:t>
      </w:r>
    </w:p>
    <w:p>
      <w:pPr>
        <w:pStyle w:val="Heading1"/>
        <w:spacing w:before="145"/>
        <w:ind w:left="2402" w:right="4227"/>
        <w:jc w:val="center"/>
      </w:pPr>
      <w:r>
        <w:rPr/>
        <w:t>Tratamiento</w:t>
      </w:r>
    </w:p>
    <w:p>
      <w:pPr>
        <w:pStyle w:val="BodyText"/>
        <w:rPr>
          <w:b/>
          <w:sz w:val="21"/>
        </w:rPr>
      </w:pPr>
    </w:p>
    <w:p>
      <w:pPr>
        <w:pStyle w:val="BodyText"/>
        <w:spacing w:line="480" w:lineRule="auto" w:before="69"/>
        <w:ind w:left="1146" w:right="794" w:hanging="994"/>
        <w:jc w:val="both"/>
      </w:pPr>
      <w:r>
        <w:rPr/>
        <w:t>Figura 1. Efecto de la adición de aceite de soya en la dieta sobre el contenido de los ácidos grasos oleico (C18:1 c9) y esteárico (C18:0) en la grasa de la leche de vacas Holstein en pastoreo. Efectos: L= Lineal, Q= cuadrático.</w:t>
      </w:r>
    </w:p>
    <w:p>
      <w:pPr>
        <w:pStyle w:val="BodyText"/>
      </w:pPr>
    </w:p>
    <w:p>
      <w:pPr>
        <w:pStyle w:val="BodyText"/>
        <w:spacing w:before="10"/>
      </w:pPr>
    </w:p>
    <w:p>
      <w:pPr>
        <w:pStyle w:val="BodyText"/>
        <w:spacing w:line="480" w:lineRule="auto"/>
        <w:ind w:left="152" w:right="784" w:firstLine="299"/>
        <w:jc w:val="both"/>
        <w:rPr>
          <w:i/>
        </w:rPr>
      </w:pPr>
      <w:r>
        <w:rPr/>
        <w:t>El contenido de AG ALN disminuyó (p ≤ 0.05) ligeramente en la grasa de la leche al aumentar el nivel de aceite de soya en las TMR (Figura 2). Los niveles de ALN en leche encontrados son menores a los reportados por otros autores al asignar el mismo tiempo de acceso a la pradera (Castro-Hernández </w:t>
      </w:r>
      <w:r>
        <w:rPr>
          <w:i/>
        </w:rPr>
        <w:t>et al</w:t>
      </w:r>
      <w:r>
        <w:rPr/>
        <w:t>., 2014; Morales-Almaraz </w:t>
      </w:r>
      <w:r>
        <w:rPr>
          <w:i/>
        </w:rPr>
        <w:t>et al</w:t>
      </w:r>
      <w:r>
        <w:rPr/>
        <w:t>., 2010). El forraje fresco es una de las mayores fuentes de ALN, evita el proceso de BH ruminal, llega a la glándula mamaria y se incorpora a la leche. En nuestro estudio, el menor consumo de forraje fresco en las vacas ayuda a explica su ligero menor contenido en la leche. Huang  </w:t>
      </w:r>
      <w:r>
        <w:rPr>
          <w:spacing w:val="6"/>
        </w:rPr>
        <w:t> </w:t>
      </w:r>
      <w:r>
        <w:rPr>
          <w:i/>
        </w:rPr>
        <w:t>et</w:t>
      </w:r>
    </w:p>
    <w:p>
      <w:pPr>
        <w:spacing w:after="0" w:line="480" w:lineRule="auto"/>
        <w:jc w:val="both"/>
        <w:sectPr>
          <w:pgSz w:w="12240" w:h="15840"/>
          <w:pgMar w:header="1150" w:footer="1336" w:top="1340" w:bottom="1520" w:left="1720" w:right="740"/>
        </w:sectPr>
      </w:pPr>
    </w:p>
    <w:p>
      <w:pPr>
        <w:pStyle w:val="BodyText"/>
        <w:rPr>
          <w:i/>
          <w:sz w:val="20"/>
        </w:rPr>
      </w:pPr>
    </w:p>
    <w:p>
      <w:pPr>
        <w:pStyle w:val="BodyText"/>
        <w:spacing w:line="480" w:lineRule="auto" w:before="208"/>
        <w:ind w:left="152"/>
      </w:pPr>
      <w:r>
        <w:rPr>
          <w:i/>
        </w:rPr>
        <w:t>al</w:t>
      </w:r>
      <w:r>
        <w:rPr/>
        <w:t>. (2008) indicaron menor ALN (0.24 </w:t>
      </w:r>
      <w:r>
        <w:rPr>
          <w:i/>
        </w:rPr>
        <w:t>vs </w:t>
      </w:r>
      <w:r>
        <w:rPr/>
        <w:t>0.30 g 100 g</w:t>
      </w:r>
      <w:r>
        <w:rPr>
          <w:position w:val="9"/>
          <w:sz w:val="16"/>
        </w:rPr>
        <w:t>-1 </w:t>
      </w:r>
      <w:r>
        <w:rPr/>
        <w:t>AG) en la leche de vacas Holstein estabuladas y cuya dieta incluyó 5 % de aceite de soya, en comparación con el testigo.</w:t>
      </w:r>
    </w:p>
    <w:p>
      <w:pPr>
        <w:pStyle w:val="BodyText"/>
        <w:spacing w:line="480" w:lineRule="auto" w:before="10"/>
        <w:ind w:left="152" w:right="153" w:firstLine="302"/>
        <w:jc w:val="both"/>
      </w:pPr>
      <w:r>
        <w:rPr/>
        <w:t>La inclusión de aceite de soya en la dieta aumentó (p ≤ 0.05) AL en la grasa de la leche, lo cual puede deberse a su mayor aporte con el aceite de soya incluido en la dieta. Una respuesta similar se observó en otros estudios con la adición de aceite de soya en la dieta de vacas lecheras (Huang </w:t>
      </w:r>
      <w:r>
        <w:rPr>
          <w:i/>
        </w:rPr>
        <w:t>et al</w:t>
      </w:r>
      <w:r>
        <w:rPr/>
        <w:t>., 2008; Rego </w:t>
      </w:r>
      <w:r>
        <w:rPr>
          <w:i/>
        </w:rPr>
        <w:t>et al</w:t>
      </w:r>
      <w:r>
        <w:rPr/>
        <w:t>., 2005).</w:t>
      </w:r>
    </w:p>
    <w:p>
      <w:pPr>
        <w:pStyle w:val="BodyText"/>
        <w:spacing w:line="480" w:lineRule="auto" w:before="10"/>
        <w:ind w:left="152" w:right="148" w:firstLine="299"/>
        <w:jc w:val="both"/>
      </w:pPr>
      <w:r>
        <w:rPr/>
        <w:t>El AG AV es el mayor AG </w:t>
      </w:r>
      <w:r>
        <w:rPr>
          <w:i/>
        </w:rPr>
        <w:t>trans </w:t>
      </w:r>
      <w:r>
        <w:rPr/>
        <w:t>producido por la biohidrogenación de Los AG AL y ALN (Bauman y Griinari, 2001). En la nuestra investigación se mostró que un aumento del contenido de aceite de soya en la dieta, incrementó la concentración del AG AV en la leche (p ≤ 0.05) y fue 50.3 y 128.7 % mayor en pTMR-3 y -6 comparado con pTMR-0 (Figura 2). Sun y Gibbs (2012) concluyeron que alimentar vacas con dietas alto contenido de AGPI puede inhibir la última fase del proceso de biohidrogenación en el rumen; en consecuencia, habría mayor concentración de AG intermediarios, y un mayor flujo de estos hacia el intestino delgado donde se absorben y se transportan a la glándula mamaria para ser excretados en la leche. Un aspecto importante del contenido del AG AV en la leche de vacas radica en que este AG es un precursor de la síntesis del ácido AR en humanos (Turpeinen </w:t>
      </w:r>
      <w:r>
        <w:rPr>
          <w:i/>
        </w:rPr>
        <w:t>et al</w:t>
      </w:r>
      <w:r>
        <w:rPr/>
        <w:t>., 2002). Tanto al AG AV como el AR se les han asociado propiedades para reducir la enfermedad coronaria del corazón y el riesgo de la aterosclerosis en modelos animales, y probablemente en el humano (Wang </w:t>
      </w:r>
      <w:r>
        <w:rPr>
          <w:i/>
        </w:rPr>
        <w:t>et al</w:t>
      </w:r>
      <w:r>
        <w:rPr/>
        <w:t>., 2012). En nuestra investigación el contenido de ácido AR fue afectado de forma cuadrática (p ≤ 0.05), su mayor contenido se observó en la dieta pTMR-3 (Figura 2). En contraste, el tratamiento pTMR-6 redujo el contenido de AR en leche; esto puede deberse a una posible inhibición de la actividad de</w:t>
      </w:r>
      <w:r>
        <w:rPr>
          <w:spacing w:val="58"/>
        </w:rPr>
        <w:t> </w:t>
      </w:r>
      <w:r>
        <w:rPr/>
        <w:t>la</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line="480" w:lineRule="auto" w:before="208"/>
        <w:ind w:left="152" w:right="308"/>
        <w:jc w:val="both"/>
      </w:pPr>
      <w:r>
        <w:rPr/>
        <w:t>enzima delta</w:t>
      </w:r>
      <w:r>
        <w:rPr>
          <w:position w:val="9"/>
          <w:sz w:val="16"/>
        </w:rPr>
        <w:t>9 </w:t>
      </w:r>
      <w:r>
        <w:rPr/>
        <w:t>desaturasa por el AG C18:2 t10c12, tal vez debido a una menor expresión del gen responsable de esta enzima (Choi </w:t>
      </w:r>
      <w:r>
        <w:rPr>
          <w:i/>
        </w:rPr>
        <w:t>et al</w:t>
      </w:r>
      <w:r>
        <w:rPr/>
        <w:t>., 2000). Asimismo, el isómero C18:2 t10c12 del CLA, proviene de la isomerización del AL, y se ha observado mayor contenido cuando la proporción de concentrado en la dieta es mayor que la de forraje (Bauman </w:t>
      </w:r>
      <w:r>
        <w:rPr>
          <w:i/>
        </w:rPr>
        <w:t>et al</w:t>
      </w:r>
      <w:r>
        <w:rPr/>
        <w:t>., 1999).</w:t>
      </w:r>
    </w:p>
    <w:p>
      <w:pPr>
        <w:pStyle w:val="BodyText"/>
        <w:spacing w:before="5"/>
        <w:rPr>
          <w:sz w:val="16"/>
        </w:rPr>
      </w:pPr>
    </w:p>
    <w:p>
      <w:pPr>
        <w:tabs>
          <w:tab w:pos="6787" w:val="left" w:leader="none"/>
          <w:tab w:pos="7349" w:val="left" w:leader="none"/>
        </w:tabs>
        <w:spacing w:before="75"/>
        <w:ind w:left="958" w:right="121" w:firstLine="0"/>
        <w:jc w:val="left"/>
        <w:rPr>
          <w:b/>
          <w:sz w:val="22"/>
        </w:rPr>
      </w:pPr>
      <w:r>
        <w:rPr/>
        <w:pict>
          <v:group style="position:absolute;margin-left:145.065002pt;margin-top:.014561pt;width:277.7pt;height:120.1pt;mso-position-horizontal-relative:page;mso-position-vertical-relative:paragraph;z-index:-127720" coordorigin="2901,0" coordsize="5554,2402">
            <v:shape style="position:absolute;left:2909;top:30;width:5477;height:2364" coordorigin="2909,30" coordsize="5477,2364" path="m2974,2329l2974,30m2909,2329l2974,2329m2909,1621l2974,1621m2909,916l2974,916m2909,208l2974,208m2974,2329l8386,2329m2974,2329l2974,2394m4778,2329l4778,2394m6583,2329l6583,2394m8386,2329l8386,2394e" filled="false" stroked="true" strokeweight=".72pt" strokecolor="#858585">
              <v:path arrowok="t"/>
            </v:shape>
            <v:shape style="position:absolute;left:3833;top:83;width:1894;height:1731" coordorigin="3833,83" coordsize="1894,1731" path="m3876,1331l3876,1813m3876,1331l3876,851m3833,1813l3922,1813m3833,851l3922,851m5681,829l5681,1576m5681,829l5681,83m5635,1576l5726,1576m5635,83l5726,83e" filled="false" stroked="true" strokeweight=".72pt" strokecolor="#000000">
              <v:path arrowok="t"/>
            </v:shape>
            <v:line style="position:absolute" from="7483,30" to="7483,1057" stroked="true" strokeweight=".72pt" strokecolor="#000000"/>
            <v:line style="position:absolute" from="7440,1057" to="7529,1057" stroked="true" strokeweight=".72pt" strokecolor="#000000"/>
            <v:shape style="position:absolute;left:3833;top:1472;width:3696;height:788" coordorigin="3833,1472" coordsize="3696,788" path="m3876,1722l3876,1830m3876,1722l3876,1612m3833,1830l3922,1830m3833,1612l3922,1612m5681,1648l5681,1777m5681,1648l5681,1516m5635,1777l5726,1777m5635,1516l5726,1516m7483,1573l7483,1672m7483,1573l7483,1472m7440,1672l7529,1672m7440,1472l7529,1472m3876,2053l3876,2178m3876,2053l3876,1931m3833,2178l3922,2178m3833,1931l3922,1931m5681,1799l5681,1909m5681,1799l5681,1688m5635,1909l5726,1909m5635,1688l5726,1688m7483,1830l7483,1976m7483,1830l7483,1686m7440,1976l7529,1976m7440,1686l7529,1686m3876,2204l3876,2252m3876,2204l3876,2159m3833,2252l3922,2252m3833,2159l3922,2159m5681,2224l5681,2260m5681,2224l5681,2188m5635,2260l5726,2260m5635,2188l5726,2188e" filled="false" stroked="true" strokeweight=".72pt" strokecolor="#000000">
              <v:path arrowok="t"/>
            </v:shape>
            <v:line style="position:absolute" from="7476,2239" to="7490,2239" stroked="true" strokeweight=".84pt" strokecolor="#000000"/>
            <v:line style="position:absolute" from="7476,2221" to="7490,2221" stroked="true" strokeweight=".96pt" strokecolor="#000000"/>
            <v:shape style="position:absolute;left:7440;top:2212;width:89;height:36" coordorigin="7440,2212" coordsize="89,36" path="m7440,2248l7529,2248m7440,2212l7529,2212e" filled="false" stroked="true" strokeweight=".72pt" strokecolor="#000000">
              <v:path arrowok="t"/>
            </v:shape>
            <v:shape style="position:absolute;left:3876;top:49;width:3608;height:1282" coordorigin="3876,49" coordsize="3608,1282" path="m3876,1331l5681,829,7483,49e" filled="false" stroked="true" strokeweight=".48pt" strokecolor="#000000">
              <v:path arrowok="t"/>
              <v:stroke dashstyle="dash"/>
            </v:shape>
            <v:shape style="position:absolute;left:3834;top:8;width:3687;height:1361" coordorigin="3834,8" coordsize="3687,1361" path="m3913,1329l3910,1344,3902,1357,3889,1365,3874,1369,3858,1365,3846,1357,3837,1344,3834,1329,3837,1314,3846,1301,3858,1293,3874,1289,3889,1293,3902,1301,3910,1314,3913,1329xm5718,827l5715,843,5707,855,5694,864,5679,867,5663,864,5651,855,5642,843,5639,827,5642,812,5651,799,5663,791,5679,788,5694,791,5707,799,5715,812,5718,827xm7521,47l7517,63,7509,75,7496,84,7481,87,7466,84,7453,75,7445,63,7441,47,7445,32,7453,19,7466,11,7481,8,7496,11,7509,19,7517,32,7521,47xe" filled="false" stroked="true" strokeweight=".72pt" strokecolor="#000000">
              <v:path arrowok="t"/>
            </v:shape>
            <v:shape style="position:absolute;left:3876;top:1573;width:3608;height:149" coordorigin="3876,1573" coordsize="3608,149" path="m3876,1722l5681,1648,7483,1573e" filled="false" stroked="true" strokeweight=".48pt" strokecolor="#000000">
              <v:path arrowok="t"/>
              <v:stroke dashstyle="dash"/>
            </v:shape>
            <v:shape style="position:absolute;left:3837;top:1534;width:3684;height:226" coordorigin="3837,1534" coordsize="3684,226" path="m3875,1683l3913,1721,3875,1760,3837,1721,3875,1683xm5680,1609l5718,1647,5680,1685,5641,1647,5680,1609xm7482,1534l7521,1573,7482,1611,7444,1573,7482,1534xe" filled="false" stroked="true" strokeweight=".72pt" strokecolor="#000000">
              <v:path arrowok="t"/>
            </v:shape>
            <v:shape style="position:absolute;left:3876;top:1799;width:3608;height:255" coordorigin="3876,1799" coordsize="3608,255" path="m3876,2053l5681,1799,7483,1830e" filled="false" stroked="true" strokeweight=".48pt" strokecolor="#0d0d0d">
              <v:path arrowok="t"/>
              <v:stroke dashstyle="dash"/>
            </v:shape>
            <v:shape style="position:absolute;left:3837;top:1760;width:3684;height:332" coordorigin="3837,1760" coordsize="3684,332" path="m3875,2014l3913,2091,3837,2091,3875,2014xm5680,1760l5718,1837,5641,1837,5680,1760xm7482,1791l7521,1868,7444,1868,7482,1791xe" filled="false" stroked="true" strokeweight=".72pt" strokecolor="#404040">
              <v:path arrowok="t"/>
            </v:shape>
            <v:line style="position:absolute" from="3876,2218" to="7483,2218" stroked="true" strokeweight="1.32pt" strokecolor="#0d0d0d">
              <v:stroke dashstyle="dash"/>
            </v:line>
            <v:shape style="position:absolute;left:3844;top:2173;width:60;height:60" coordorigin="3844,2173" coordsize="60,60" path="m3874,2173l3862,2175,3853,2181,3846,2191,3844,2203,3846,2214,3853,2224,3862,2230,3874,2233,3885,2230,3895,2224,3901,2214,3904,2203,3901,2191,3895,2181,3885,2175,3874,2173xe" filled="true" fillcolor="#404040" stroked="false">
              <v:path arrowok="t"/>
              <v:fill type="solid"/>
            </v:shape>
            <v:shape style="position:absolute;left:3844;top:2173;width:60;height:60" coordorigin="3844,2173" coordsize="60,60" path="m3904,2203l3901,2214,3895,2224,3885,2230,3874,2233,3862,2230,3853,2224,3846,2214,3844,2203,3846,2191,3853,2181,3862,2175,3874,2173,3885,2175,3895,2181,3901,2191,3904,2203xe" filled="false" stroked="true" strokeweight=".72pt" strokecolor="#404040">
              <v:path arrowok="t"/>
            </v:shape>
            <v:shape style="position:absolute;left:5649;top:2192;width:60;height:60" coordorigin="5649,2192" coordsize="60,60" path="m5679,2192l5667,2194,5657,2201,5651,2210,5649,2222,5651,2233,5657,2243,5667,2249,5679,2252,5690,2249,5700,2243,5706,2233,5709,2222,5706,2210,5700,2201,5690,2194,5679,2192xe" filled="true" fillcolor="#404040" stroked="false">
              <v:path arrowok="t"/>
              <v:fill type="solid"/>
            </v:shape>
            <v:shape style="position:absolute;left:5649;top:2192;width:60;height:60" coordorigin="5649,2192" coordsize="60,60" path="m5709,2222l5706,2233,5700,2243,5690,2249,5679,2252,5667,2249,5657,2243,5651,2233,5649,2222,5651,2210,5657,2201,5667,2194,5679,2192,5690,2194,5700,2201,5706,2210,5709,2222xe" filled="false" stroked="true" strokeweight=".72pt" strokecolor="#404040">
              <v:path arrowok="t"/>
            </v:shape>
            <v:shape style="position:absolute;left:7451;top:2199;width:60;height:60" coordorigin="7451,2199" coordsize="60,60" path="m7481,2199l7469,2201,7460,2208,7453,2217,7451,2229,7453,2241,7460,2250,7469,2257,7481,2259,7493,2257,7502,2250,7509,2241,7511,2229,7509,2217,7502,2208,7493,2201,7481,2199xe" filled="true" fillcolor="#404040" stroked="false">
              <v:path arrowok="t"/>
              <v:fill type="solid"/>
            </v:shape>
            <v:shape style="position:absolute;left:7451;top:2199;width:60;height:60" coordorigin="7451,2199" coordsize="60,60" path="m7511,2229l7509,2241,7502,2250,7493,2257,7481,2259,7469,2257,7460,2250,7453,2241,7451,2229,7453,2217,7460,2208,7469,2201,7481,2199,7493,2201,7502,2208,7509,2217,7511,2229xe" filled="false" stroked="true" strokeweight=".72pt" strokecolor="#404040">
              <v:path arrowok="t"/>
            </v:shape>
            <v:shape style="position:absolute;left:5825;top:165;width:891;height:200" type="#_x0000_t202" filled="false" stroked="false">
              <v:textbox inset="0,0,0,0">
                <w:txbxContent>
                  <w:p>
                    <w:pPr>
                      <w:spacing w:line="199" w:lineRule="exact" w:before="0"/>
                      <w:ind w:left="0" w:right="-17" w:firstLine="0"/>
                      <w:jc w:val="left"/>
                      <w:rPr>
                        <w:b/>
                        <w:sz w:val="20"/>
                      </w:rPr>
                    </w:pPr>
                    <w:r>
                      <w:rPr>
                        <w:b/>
                        <w:sz w:val="20"/>
                      </w:rPr>
                      <w:t>L</w:t>
                    </w:r>
                    <w:r>
                      <w:rPr>
                        <w:b/>
                        <w:spacing w:val="-4"/>
                        <w:sz w:val="20"/>
                      </w:rPr>
                      <w:t> </w:t>
                    </w:r>
                    <w:r>
                      <w:rPr>
                        <w:b/>
                        <w:sz w:val="20"/>
                      </w:rPr>
                      <w:t>(p&lt;0.05)</w:t>
                    </w:r>
                  </w:p>
                </w:txbxContent>
              </v:textbox>
              <w10:wrap type="none"/>
            </v:shape>
            <v:shape style="position:absolute;left:6509;top:1287;width:891;height:200" type="#_x0000_t202" filled="false" stroked="false">
              <v:textbox inset="0,0,0,0">
                <w:txbxContent>
                  <w:p>
                    <w:pPr>
                      <w:spacing w:line="199" w:lineRule="exact" w:before="0"/>
                      <w:ind w:left="0" w:right="-17" w:firstLine="0"/>
                      <w:jc w:val="left"/>
                      <w:rPr>
                        <w:b/>
                        <w:sz w:val="20"/>
                      </w:rPr>
                    </w:pPr>
                    <w:r>
                      <w:rPr>
                        <w:b/>
                        <w:sz w:val="20"/>
                      </w:rPr>
                      <w:t>L</w:t>
                    </w:r>
                    <w:r>
                      <w:rPr>
                        <w:b/>
                        <w:spacing w:val="-4"/>
                        <w:sz w:val="20"/>
                      </w:rPr>
                      <w:t> </w:t>
                    </w:r>
                    <w:r>
                      <w:rPr>
                        <w:b/>
                        <w:sz w:val="20"/>
                      </w:rPr>
                      <w:t>(p&lt;0.05)</w:t>
                    </w:r>
                  </w:p>
                </w:txbxContent>
              </v:textbox>
              <w10:wrap type="none"/>
            </v:shape>
            <v:shape style="position:absolute;left:7524;top:1753;width:931;height:566" type="#_x0000_t202" filled="false" stroked="false">
              <v:textbox inset="0,0,0,0">
                <w:txbxContent>
                  <w:p>
                    <w:pPr>
                      <w:spacing w:line="204" w:lineRule="exact" w:before="0"/>
                      <w:ind w:left="0" w:right="-3" w:firstLine="0"/>
                      <w:jc w:val="left"/>
                      <w:rPr>
                        <w:b/>
                        <w:sz w:val="20"/>
                      </w:rPr>
                    </w:pPr>
                    <w:r>
                      <w:rPr>
                        <w:b/>
                        <w:sz w:val="20"/>
                      </w:rPr>
                      <w:t>Q (p&lt;0.05)</w:t>
                    </w:r>
                  </w:p>
                  <w:p>
                    <w:pPr>
                      <w:spacing w:line="226" w:lineRule="exact" w:before="136"/>
                      <w:ind w:left="39" w:right="-20" w:firstLine="0"/>
                      <w:jc w:val="left"/>
                      <w:rPr>
                        <w:b/>
                        <w:sz w:val="20"/>
                      </w:rPr>
                    </w:pPr>
                    <w:r>
                      <w:rPr>
                        <w:b/>
                        <w:sz w:val="20"/>
                      </w:rPr>
                      <w:t>L (p&lt;0.05)</w:t>
                    </w:r>
                  </w:p>
                </w:txbxContent>
              </v:textbox>
              <w10:wrap type="none"/>
            </v:shape>
            <w10:wrap type="none"/>
          </v:group>
        </w:pict>
      </w:r>
      <w:r>
        <w:rPr/>
        <w:pict>
          <v:group style="position:absolute;margin-left:425.149994pt;margin-top:10.00456pt;width:25.7pt;height:4.75pt;mso-position-horizontal-relative:page;mso-position-vertical-relative:paragraph;z-index:-127696" coordorigin="8503,200" coordsize="514,95">
            <v:line style="position:absolute" from="8508,251" to="9012,251" stroked="true" strokeweight=".48pt" strokecolor="#000000">
              <v:stroke dashstyle="dash"/>
            </v:line>
            <v:shape style="position:absolute;left:8719;top:208;width:80;height:80" coordorigin="8719,208" coordsize="80,80" path="m8798,247l8795,263,8787,275,8774,284,8759,287,8743,284,8731,275,8722,263,8719,247,8722,232,8731,219,8743,211,8759,208,8774,211,8787,219,8795,232,8798,247xe" filled="false" stroked="true" strokeweight=".72pt" strokecolor="#000000">
              <v:path arrowok="t"/>
            </v:shape>
            <w10:wrap type="none"/>
          </v:group>
        </w:pict>
      </w:r>
      <w:r>
        <w:rPr>
          <w:b/>
          <w:position w:val="4"/>
          <w:sz w:val="22"/>
        </w:rPr>
        <w:t>6</w:t>
        <w:tab/>
      </w:r>
      <w:r>
        <w:rPr>
          <w:b/>
          <w:sz w:val="22"/>
        </w:rPr>
        <w:tab/>
        <w:t>C18:1</w:t>
      </w:r>
      <w:r>
        <w:rPr>
          <w:b/>
          <w:spacing w:val="-1"/>
          <w:sz w:val="22"/>
        </w:rPr>
        <w:t> </w:t>
      </w:r>
      <w:r>
        <w:rPr>
          <w:b/>
          <w:sz w:val="22"/>
        </w:rPr>
        <w:t>t11</w:t>
      </w:r>
    </w:p>
    <w:p>
      <w:pPr>
        <w:pStyle w:val="BodyText"/>
        <w:spacing w:before="11"/>
        <w:rPr>
          <w:b/>
          <w:sz w:val="10"/>
        </w:rPr>
      </w:pPr>
    </w:p>
    <w:p>
      <w:pPr>
        <w:tabs>
          <w:tab w:pos="561" w:val="left" w:leader="none"/>
        </w:tabs>
        <w:spacing w:line="233" w:lineRule="exact" w:before="72"/>
        <w:ind w:left="0" w:right="806" w:firstLine="0"/>
        <w:jc w:val="right"/>
        <w:rPr>
          <w:b/>
          <w:sz w:val="22"/>
        </w:rPr>
      </w:pPr>
      <w:r>
        <w:rPr/>
        <w:pict>
          <v:group style="position:absolute;margin-left:425.149994pt;margin-top:8.074543pt;width:25.7pt;height:4.6pt;mso-position-horizontal-relative:page;mso-position-vertical-relative:paragraph;z-index:-127672" coordorigin="8503,161" coordsize="514,92">
            <v:line style="position:absolute" from="8508,207" to="9012,207" stroked="true" strokeweight=".48pt" strokecolor="#000000">
              <v:stroke dashstyle="dash"/>
            </v:line>
            <v:shape style="position:absolute;left:8722;top:169;width:77;height:77" coordorigin="8722,169" coordsize="77,77" path="m8760,169l8798,207,8760,246,8722,207,8760,169xe" filled="false" stroked="true" strokeweight=".72pt" strokecolor="#000000">
              <v:path arrowok="t"/>
            </v:shape>
            <w10:wrap type="none"/>
          </v:group>
        </w:pict>
      </w:r>
      <w:r>
        <w:rPr/>
        <w:pict>
          <v:shape style="position:absolute;margin-left:110.419785pt;margin-top:12.546597pt;width:13.45pt;height:60.4pt;mso-position-horizontal-relative:page;mso-position-vertical-relative:paragraph;z-index:1888" type="#_x0000_t202" filled="false" stroked="false">
            <v:textbox inset="0,0,0,0" style="layout-flow:vertical;mso-layout-flow-alt:bottom-to-top">
              <w:txbxContent>
                <w:p>
                  <w:pPr>
                    <w:spacing w:line="253" w:lineRule="exact" w:before="0"/>
                    <w:ind w:left="20" w:right="0" w:firstLine="0"/>
                    <w:jc w:val="left"/>
                    <w:rPr>
                      <w:b/>
                      <w:sz w:val="22"/>
                    </w:rPr>
                  </w:pPr>
                  <w:r>
                    <w:rPr>
                      <w:b/>
                      <w:w w:val="100"/>
                      <w:sz w:val="22"/>
                    </w:rPr>
                    <w:t>g</w:t>
                  </w:r>
                  <w:r>
                    <w:rPr>
                      <w:b/>
                      <w:sz w:val="22"/>
                    </w:rPr>
                    <w:t> </w:t>
                  </w:r>
                  <w:r>
                    <w:rPr>
                      <w:b/>
                      <w:w w:val="100"/>
                      <w:sz w:val="22"/>
                    </w:rPr>
                    <w:t>100</w:t>
                  </w:r>
                  <w:r>
                    <w:rPr>
                      <w:b/>
                      <w:spacing w:val="-3"/>
                      <w:sz w:val="22"/>
                    </w:rPr>
                    <w:t> </w:t>
                  </w:r>
                  <w:r>
                    <w:rPr>
                      <w:b/>
                      <w:w w:val="100"/>
                      <w:sz w:val="22"/>
                    </w:rPr>
                    <w:t>g</w:t>
                  </w:r>
                  <w:r>
                    <w:rPr>
                      <w:b/>
                      <w:spacing w:val="-1"/>
                      <w:w w:val="104"/>
                      <w:position w:val="7"/>
                      <w:sz w:val="14"/>
                    </w:rPr>
                    <w:t>-</w:t>
                  </w:r>
                  <w:r>
                    <w:rPr>
                      <w:b/>
                      <w:w w:val="104"/>
                      <w:position w:val="7"/>
                      <w:sz w:val="14"/>
                    </w:rPr>
                    <w:t>1</w:t>
                  </w:r>
                  <w:r>
                    <w:rPr>
                      <w:b/>
                      <w:position w:val="7"/>
                      <w:sz w:val="14"/>
                    </w:rPr>
                    <w:t> </w:t>
                  </w:r>
                  <w:r>
                    <w:rPr>
                      <w:b/>
                      <w:spacing w:val="-14"/>
                      <w:position w:val="7"/>
                      <w:sz w:val="14"/>
                    </w:rPr>
                    <w:t> </w:t>
                  </w:r>
                  <w:r>
                    <w:rPr>
                      <w:b/>
                      <w:spacing w:val="-2"/>
                      <w:w w:val="100"/>
                      <w:sz w:val="22"/>
                    </w:rPr>
                    <w:t>A</w:t>
                  </w:r>
                  <w:r>
                    <w:rPr>
                      <w:b/>
                      <w:w w:val="100"/>
                      <w:sz w:val="22"/>
                    </w:rPr>
                    <w:t>G</w:t>
                  </w:r>
                </w:p>
              </w:txbxContent>
            </v:textbox>
            <w10:wrap type="none"/>
          </v:shape>
        </w:pict>
      </w:r>
      <w:r>
        <w:rPr>
          <w:b/>
          <w:w w:val="100"/>
          <w:sz w:val="22"/>
        </w:rPr>
        <w:t> </w:t>
      </w:r>
      <w:r>
        <w:rPr>
          <w:b/>
          <w:sz w:val="22"/>
        </w:rPr>
        <w:tab/>
        <w:t>C18:2</w:t>
      </w:r>
      <w:r>
        <w:rPr>
          <w:b/>
          <w:spacing w:val="-3"/>
          <w:sz w:val="22"/>
        </w:rPr>
        <w:t> </w:t>
      </w:r>
      <w:r>
        <w:rPr>
          <w:b/>
          <w:sz w:val="22"/>
        </w:rPr>
        <w:t>c9c12</w:t>
      </w:r>
    </w:p>
    <w:p>
      <w:pPr>
        <w:spacing w:line="226" w:lineRule="exact" w:before="0"/>
        <w:ind w:left="958" w:right="0" w:firstLine="0"/>
        <w:jc w:val="left"/>
        <w:rPr>
          <w:b/>
          <w:sz w:val="22"/>
        </w:rPr>
      </w:pPr>
      <w:r>
        <w:rPr>
          <w:b/>
          <w:w w:val="100"/>
          <w:sz w:val="22"/>
        </w:rPr>
        <w:t>4</w:t>
      </w:r>
    </w:p>
    <w:p>
      <w:pPr>
        <w:tabs>
          <w:tab w:pos="561" w:val="left" w:leader="none"/>
        </w:tabs>
        <w:spacing w:line="246" w:lineRule="exact" w:before="0"/>
        <w:ind w:left="0" w:right="830" w:firstLine="0"/>
        <w:jc w:val="right"/>
        <w:rPr>
          <w:b/>
          <w:sz w:val="22"/>
        </w:rPr>
      </w:pPr>
      <w:r>
        <w:rPr/>
        <w:pict>
          <v:group style="position:absolute;margin-left:425.149994pt;margin-top:4.085081pt;width:25.7pt;height:4.6pt;mso-position-horizontal-relative:page;mso-position-vertical-relative:paragraph;z-index:-127648" coordorigin="8503,82" coordsize="514,92">
            <v:line style="position:absolute" from="8508,128" to="9012,128" stroked="true" strokeweight=".48pt" strokecolor="#0d0d0d">
              <v:stroke dashstyle="dash"/>
            </v:line>
            <v:shape style="position:absolute;left:8722;top:89;width:77;height:77" coordorigin="8722,89" coordsize="77,77" path="m8760,89l8798,166,8722,166,8760,89xe" filled="false" stroked="true" strokeweight=".72pt" strokecolor="#404040">
              <v:path arrowok="t"/>
            </v:shape>
            <w10:wrap type="none"/>
          </v:group>
        </w:pict>
      </w:r>
      <w:r>
        <w:rPr>
          <w:b/>
          <w:w w:val="100"/>
          <w:sz w:val="22"/>
        </w:rPr>
        <w:t> </w:t>
      </w:r>
      <w:r>
        <w:rPr>
          <w:b/>
          <w:sz w:val="22"/>
        </w:rPr>
        <w:tab/>
        <w:t>C18:2</w:t>
      </w:r>
      <w:r>
        <w:rPr>
          <w:b/>
          <w:spacing w:val="-3"/>
          <w:sz w:val="22"/>
        </w:rPr>
        <w:t> </w:t>
      </w:r>
      <w:r>
        <w:rPr>
          <w:b/>
          <w:sz w:val="22"/>
        </w:rPr>
        <w:t>c9t11</w:t>
      </w:r>
    </w:p>
    <w:p>
      <w:pPr>
        <w:tabs>
          <w:tab w:pos="6787" w:val="left" w:leader="none"/>
          <w:tab w:pos="7349" w:val="left" w:leader="none"/>
        </w:tabs>
        <w:spacing w:before="194"/>
        <w:ind w:left="958" w:right="121" w:firstLine="0"/>
        <w:jc w:val="left"/>
        <w:rPr>
          <w:b/>
          <w:sz w:val="22"/>
        </w:rPr>
      </w:pPr>
      <w:r>
        <w:rPr/>
        <w:pict>
          <v:group style="position:absolute;margin-left:425.149994pt;margin-top:14.664523pt;width:25.7pt;height:3.75pt;mso-position-horizontal-relative:page;mso-position-vertical-relative:paragraph;z-index:-127624" coordorigin="8503,293" coordsize="514,75">
            <v:line style="position:absolute" from="8508,334" to="9012,334" stroked="true" strokeweight=".48pt" strokecolor="#0d0d0d">
              <v:stroke dashstyle="dash"/>
            </v:line>
            <v:shape style="position:absolute;left:8729;top:301;width:60;height:60" coordorigin="8729,301" coordsize="60,60" path="m8759,301l8747,303,8738,310,8731,319,8729,331,8731,342,8738,352,8747,358,8759,361,8770,358,8780,352,8786,342,8789,331,8786,319,8780,310,8770,303,8759,301xe" filled="true" fillcolor="#404040" stroked="false">
              <v:path arrowok="t"/>
              <v:fill type="solid"/>
            </v:shape>
            <v:shape style="position:absolute;left:8729;top:301;width:60;height:60" coordorigin="8729,301" coordsize="60,60" path="m8789,331l8786,342,8780,352,8770,358,8759,361,8747,358,8738,352,8731,342,8729,331,8731,319,8738,310,8747,303,8759,301,8770,303,8780,310,8786,319,8789,331xe" filled="false" stroked="true" strokeweight=".72pt" strokecolor="#404040">
              <v:path arrowok="t"/>
            </v:shape>
            <w10:wrap type="none"/>
          </v:group>
        </w:pict>
      </w:r>
      <w:r>
        <w:rPr>
          <w:b/>
          <w:sz w:val="22"/>
        </w:rPr>
        <w:t>2</w:t>
        <w:tab/>
      </w:r>
      <w:r>
        <w:rPr>
          <w:b/>
          <w:position w:val="2"/>
          <w:sz w:val="22"/>
        </w:rPr>
        <w:tab/>
        <w:t>C18:3</w:t>
      </w:r>
      <w:r>
        <w:rPr>
          <w:b/>
          <w:spacing w:val="-1"/>
          <w:position w:val="2"/>
          <w:sz w:val="22"/>
        </w:rPr>
        <w:t> </w:t>
      </w:r>
      <w:r>
        <w:rPr>
          <w:b/>
          <w:position w:val="2"/>
          <w:sz w:val="22"/>
        </w:rPr>
        <w:t>c9c12c15</w:t>
      </w:r>
    </w:p>
    <w:p>
      <w:pPr>
        <w:pStyle w:val="BodyText"/>
        <w:rPr>
          <w:b/>
          <w:sz w:val="20"/>
        </w:rPr>
      </w:pPr>
    </w:p>
    <w:p>
      <w:pPr>
        <w:pStyle w:val="BodyText"/>
        <w:spacing w:before="5"/>
        <w:rPr>
          <w:b/>
          <w:sz w:val="19"/>
        </w:rPr>
      </w:pPr>
    </w:p>
    <w:p>
      <w:pPr>
        <w:spacing w:before="1"/>
        <w:ind w:left="958" w:right="0" w:firstLine="0"/>
        <w:jc w:val="left"/>
        <w:rPr>
          <w:b/>
          <w:sz w:val="22"/>
        </w:rPr>
      </w:pPr>
      <w:r>
        <w:rPr>
          <w:b/>
          <w:w w:val="100"/>
          <w:sz w:val="22"/>
        </w:rPr>
        <w:t>0</w:t>
      </w:r>
    </w:p>
    <w:p>
      <w:pPr>
        <w:pStyle w:val="BodyText"/>
        <w:spacing w:before="3"/>
        <w:rPr>
          <w:b/>
          <w:sz w:val="22"/>
        </w:rPr>
      </w:pPr>
    </w:p>
    <w:p>
      <w:pPr>
        <w:pStyle w:val="Heading1"/>
        <w:spacing w:before="69"/>
        <w:ind w:left="1283" w:right="2628"/>
        <w:jc w:val="center"/>
      </w:pPr>
      <w:r>
        <w:rPr/>
        <w:t>Tratamiento</w:t>
      </w:r>
    </w:p>
    <w:p>
      <w:pPr>
        <w:pStyle w:val="BodyText"/>
        <w:spacing w:before="11"/>
        <w:rPr>
          <w:b/>
          <w:sz w:val="19"/>
        </w:rPr>
      </w:pPr>
    </w:p>
    <w:p>
      <w:pPr>
        <w:pStyle w:val="BodyText"/>
        <w:spacing w:line="480" w:lineRule="auto" w:before="69"/>
        <w:ind w:left="1146" w:right="308" w:hanging="994"/>
        <w:jc w:val="both"/>
      </w:pPr>
      <w:r>
        <w:rPr/>
        <w:t>Figura 2. Efecto de la adición de aceite de soya en la dieta sobre el contenido de los ácidos grasos vaccénico (C18:1 t11), linoleico (C18:2 c9c12), ruménico (C18:2 c9t11) y linolénico (C18:3 c9c12c15) en la grasa de la leche de vacas Holstein en pastoreo. Efectos: L= Lineal, Q=</w:t>
      </w:r>
      <w:r>
        <w:rPr>
          <w:spacing w:val="-8"/>
        </w:rPr>
        <w:t> </w:t>
      </w:r>
      <w:r>
        <w:rPr/>
        <w:t>cuadrático.</w:t>
      </w:r>
    </w:p>
    <w:p>
      <w:pPr>
        <w:pStyle w:val="BodyText"/>
      </w:pPr>
    </w:p>
    <w:p>
      <w:pPr>
        <w:pStyle w:val="BodyText"/>
        <w:spacing w:before="10"/>
      </w:pPr>
    </w:p>
    <w:p>
      <w:pPr>
        <w:pStyle w:val="BodyText"/>
        <w:ind w:left="1126" w:right="1285"/>
        <w:jc w:val="center"/>
      </w:pPr>
      <w:r>
        <w:rPr/>
        <w:t>CONCLUSIONES</w:t>
      </w:r>
    </w:p>
    <w:p>
      <w:pPr>
        <w:pStyle w:val="BodyText"/>
      </w:pPr>
    </w:p>
    <w:p>
      <w:pPr>
        <w:pStyle w:val="BodyText"/>
        <w:spacing w:line="480" w:lineRule="auto"/>
        <w:ind w:left="152" w:right="306" w:firstLine="299"/>
        <w:jc w:val="both"/>
      </w:pPr>
      <w:r>
        <w:rPr/>
        <w:t>El uso de 6% de aceite de soya en una ración completa mezclada a vacas lecheras en pastoreo, con 12h de permanencia en la pradera y una asignación de forraje de 22 kg de MS, permite incrementar el contenido total de ácidos grasos insaturados en la leche y reduce el contenido de ácidos grasos saturados, principalmente, C12, C14 y C16, pero provoca una disminución en el contenido total de grasa y proteína de la leche. El contenido de</w:t>
      </w:r>
      <w:r>
        <w:rPr>
          <w:spacing w:val="38"/>
        </w:rPr>
        <w:t> </w:t>
      </w:r>
      <w:r>
        <w:rPr/>
        <w:t>ácido</w:t>
      </w:r>
      <w:r>
        <w:rPr>
          <w:spacing w:val="40"/>
        </w:rPr>
        <w:t> </w:t>
      </w:r>
      <w:r>
        <w:rPr/>
        <w:t>ruménico</w:t>
      </w:r>
      <w:r>
        <w:rPr>
          <w:spacing w:val="42"/>
        </w:rPr>
        <w:t> </w:t>
      </w:r>
      <w:r>
        <w:rPr/>
        <w:t>en</w:t>
      </w:r>
      <w:r>
        <w:rPr>
          <w:spacing w:val="41"/>
        </w:rPr>
        <w:t> </w:t>
      </w:r>
      <w:r>
        <w:rPr/>
        <w:t>leche</w:t>
      </w:r>
      <w:r>
        <w:rPr>
          <w:spacing w:val="40"/>
        </w:rPr>
        <w:t> </w:t>
      </w:r>
      <w:r>
        <w:rPr/>
        <w:t>es</w:t>
      </w:r>
      <w:r>
        <w:rPr>
          <w:spacing w:val="39"/>
        </w:rPr>
        <w:t> </w:t>
      </w:r>
      <w:r>
        <w:rPr/>
        <w:t>duplicado</w:t>
      </w:r>
      <w:r>
        <w:rPr>
          <w:spacing w:val="39"/>
        </w:rPr>
        <w:t> </w:t>
      </w:r>
      <w:r>
        <w:rPr/>
        <w:t>con</w:t>
      </w:r>
      <w:r>
        <w:rPr>
          <w:spacing w:val="41"/>
        </w:rPr>
        <w:t> </w:t>
      </w:r>
      <w:r>
        <w:rPr/>
        <w:t>la</w:t>
      </w:r>
      <w:r>
        <w:rPr>
          <w:spacing w:val="38"/>
        </w:rPr>
        <w:t> </w:t>
      </w:r>
      <w:r>
        <w:rPr/>
        <w:t>adición</w:t>
      </w:r>
      <w:r>
        <w:rPr>
          <w:spacing w:val="41"/>
        </w:rPr>
        <w:t> </w:t>
      </w:r>
      <w:r>
        <w:rPr/>
        <w:t>de</w:t>
      </w:r>
      <w:r>
        <w:rPr>
          <w:spacing w:val="41"/>
        </w:rPr>
        <w:t> </w:t>
      </w:r>
      <w:r>
        <w:rPr/>
        <w:t>aceite</w:t>
      </w:r>
      <w:r>
        <w:rPr>
          <w:spacing w:val="38"/>
        </w:rPr>
        <w:t> </w:t>
      </w:r>
      <w:r>
        <w:rPr/>
        <w:t>de</w:t>
      </w:r>
      <w:r>
        <w:rPr>
          <w:spacing w:val="40"/>
        </w:rPr>
        <w:t> </w:t>
      </w:r>
      <w:r>
        <w:rPr/>
        <w:t>soya</w:t>
      </w:r>
      <w:r>
        <w:rPr>
          <w:spacing w:val="40"/>
        </w:rPr>
        <w:t> </w:t>
      </w:r>
      <w:r>
        <w:rPr/>
        <w:t>en</w:t>
      </w:r>
      <w:r>
        <w:rPr>
          <w:spacing w:val="41"/>
        </w:rPr>
        <w:t> </w:t>
      </w:r>
      <w:r>
        <w:rPr/>
        <w:t>la</w:t>
      </w:r>
      <w:r>
        <w:rPr>
          <w:spacing w:val="39"/>
        </w:rPr>
        <w:t> </w:t>
      </w:r>
      <w:r>
        <w:rPr/>
        <w:t>ración</w:t>
      </w:r>
    </w:p>
    <w:p>
      <w:pPr>
        <w:spacing w:after="0" w:line="480" w:lineRule="auto"/>
        <w:jc w:val="both"/>
        <w:sectPr>
          <w:pgSz w:w="12240" w:h="15840"/>
          <w:pgMar w:header="1150" w:footer="1336" w:top="1340" w:bottom="1520" w:left="1720" w:right="1220"/>
        </w:sectPr>
      </w:pPr>
    </w:p>
    <w:p>
      <w:pPr>
        <w:pStyle w:val="BodyText"/>
        <w:rPr>
          <w:sz w:val="20"/>
        </w:rPr>
      </w:pPr>
    </w:p>
    <w:p>
      <w:pPr>
        <w:pStyle w:val="BodyText"/>
        <w:spacing w:before="4"/>
        <w:rPr>
          <w:sz w:val="19"/>
        </w:rPr>
      </w:pPr>
    </w:p>
    <w:p>
      <w:pPr>
        <w:pStyle w:val="BodyText"/>
        <w:spacing w:line="480" w:lineRule="auto"/>
        <w:ind w:left="152"/>
      </w:pPr>
      <w:r>
        <w:rPr/>
        <w:t>independientemente del porcentaje de aceite de soya añadido, mientras que el contenido de ácido vaccénico incrementó con el aumento de la inclusión de aceite de soya.</w:t>
      </w:r>
    </w:p>
    <w:p>
      <w:pPr>
        <w:pStyle w:val="BodyText"/>
      </w:pPr>
    </w:p>
    <w:p>
      <w:pPr>
        <w:pStyle w:val="BodyText"/>
        <w:spacing w:before="10"/>
      </w:pPr>
    </w:p>
    <w:p>
      <w:pPr>
        <w:pStyle w:val="BodyText"/>
        <w:ind w:left="181" w:right="179"/>
        <w:jc w:val="center"/>
      </w:pPr>
      <w:r>
        <w:rPr/>
        <w:t>LITERATURA CITADA</w:t>
      </w:r>
    </w:p>
    <w:p>
      <w:pPr>
        <w:pStyle w:val="BodyText"/>
        <w:spacing w:before="3"/>
      </w:pPr>
    </w:p>
    <w:p>
      <w:pPr>
        <w:pStyle w:val="BodyText"/>
        <w:ind w:left="152"/>
      </w:pPr>
      <w:r>
        <w:rPr/>
        <w:t>AOAC (Association of O</w:t>
      </w:r>
      <w:r>
        <w:rPr>
          <w:rFonts w:ascii="Cambria Math" w:hAnsi="Cambria Math"/>
        </w:rPr>
        <w:t>ﬃ</w:t>
      </w:r>
      <w:r>
        <w:rPr/>
        <w:t>cial Analytical Chemists). 2012. O</w:t>
      </w:r>
      <w:r>
        <w:rPr>
          <w:rFonts w:ascii="Cambria Math" w:hAnsi="Cambria Math"/>
        </w:rPr>
        <w:t>ﬃ</w:t>
      </w:r>
      <w:r>
        <w:rPr/>
        <w:t>cial Methods of   Analysis.</w:t>
      </w:r>
    </w:p>
    <w:p>
      <w:pPr>
        <w:pStyle w:val="BodyText"/>
        <w:spacing w:before="1"/>
      </w:pPr>
    </w:p>
    <w:p>
      <w:pPr>
        <w:pStyle w:val="BodyText"/>
        <w:ind w:left="860"/>
      </w:pPr>
      <w:r>
        <w:rPr/>
        <w:t>19th ed. AOAC: International, USA. pp: 34-36.</w:t>
      </w:r>
    </w:p>
    <w:p>
      <w:pPr>
        <w:pStyle w:val="BodyText"/>
      </w:pPr>
    </w:p>
    <w:p>
      <w:pPr>
        <w:pStyle w:val="BodyText"/>
        <w:spacing w:line="480" w:lineRule="auto"/>
        <w:ind w:left="860" w:right="149" w:hanging="708"/>
        <w:jc w:val="both"/>
      </w:pPr>
      <w:r>
        <w:rPr/>
        <w:t>Bargo F., J. E. Delahoy, G. F. Schroeder, L. H. Baumgard, and L. D. Muller. 2006. Supplementing total mixed rations with pasture increase the content of conjugated linoleic acid in milk. Anim. Feed Sci. Technol. 131: 226-240.</w:t>
      </w:r>
    </w:p>
    <w:p>
      <w:pPr>
        <w:pStyle w:val="BodyText"/>
        <w:spacing w:line="480" w:lineRule="auto" w:before="10"/>
        <w:ind w:left="860" w:right="153" w:hanging="708"/>
        <w:jc w:val="both"/>
      </w:pPr>
      <w:r>
        <w:rPr/>
        <w:t>Bauman D. E., I. H. Mather, R. J. Wall, and A. L. Lock. 2006. Major advances associated with the biosynthesis of milk. J. Dairy Sci. 89: 1235-1243.</w:t>
      </w:r>
    </w:p>
    <w:p>
      <w:pPr>
        <w:pStyle w:val="BodyText"/>
        <w:spacing w:line="480" w:lineRule="auto" w:before="10"/>
        <w:ind w:left="860" w:right="154" w:hanging="708"/>
        <w:jc w:val="both"/>
      </w:pPr>
      <w:r>
        <w:rPr/>
        <w:t>Bauman D. E., and J. M. Griinari. 2001. Regulation and nutritional manipulation of milk fat: low-fat milk syndrome: Review. Livest. Prod. Sci. 70: 15-29.</w:t>
      </w:r>
    </w:p>
    <w:p>
      <w:pPr>
        <w:pStyle w:val="BodyText"/>
        <w:spacing w:line="480" w:lineRule="auto" w:before="10"/>
        <w:ind w:left="860" w:right="153" w:hanging="708"/>
        <w:jc w:val="both"/>
      </w:pPr>
      <w:r>
        <w:rPr/>
        <w:t>Bauman D. E., L. H. Baumgard, B. A. Corl., and J. M. Griinari. 1999. Biosynthesis of conjugated linoleic acid in ruminants. Proc. American Soc. Animal Sci. pp: 1-15.</w:t>
      </w:r>
    </w:p>
    <w:p>
      <w:pPr>
        <w:pStyle w:val="BodyText"/>
        <w:spacing w:line="480" w:lineRule="auto" w:before="10"/>
        <w:ind w:left="860" w:right="146" w:hanging="708"/>
        <w:jc w:val="both"/>
      </w:pPr>
      <w:r>
        <w:rPr/>
        <w:t>Buccioni A, M. Decandia, S. Minieri, G. Molle, and A. Cabiddu. 2012. Lipid metabolism  in the rumen: New insights on lipolysis and bio hydrogenation with an emphasis on the role of endogenous plant factors. Anim. Feed Sci. Technol. 174:</w:t>
      </w:r>
      <w:r>
        <w:rPr>
          <w:spacing w:val="-12"/>
        </w:rPr>
        <w:t> </w:t>
      </w:r>
      <w:r>
        <w:rPr/>
        <w:t>1-25.</w:t>
      </w:r>
    </w:p>
    <w:p>
      <w:pPr>
        <w:pStyle w:val="BodyText"/>
        <w:spacing w:line="480" w:lineRule="auto" w:before="10"/>
        <w:ind w:left="860" w:right="144" w:hanging="708"/>
        <w:jc w:val="both"/>
      </w:pPr>
      <w:r>
        <w:rPr/>
        <w:t>Castro-Hernández H., F. F. González-Martínez, I. A. Domínguez-Vara, J. M. Pinos- Rodríguez, E. Morales-Almaráz, y R. Vieyra-Alberto. 2014. Efecto del nivel de concentrado sobre el perfil de ácidos grasos de la leche de vacas Holstein en pastoreo. Agrociencia 48: 765-775.</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46" w:hanging="708"/>
        <w:jc w:val="both"/>
      </w:pPr>
      <w:r>
        <w:rPr/>
        <w:t>Chamberlain A. T. and J. M. Wilkinson. 1996. Feeding the dairy cow. Chalcombe Publications, Lincoln, UK. 241 p.</w:t>
      </w:r>
    </w:p>
    <w:p>
      <w:pPr>
        <w:pStyle w:val="BodyText"/>
        <w:spacing w:line="480" w:lineRule="auto" w:before="10"/>
        <w:ind w:left="860" w:right="150" w:hanging="708"/>
        <w:jc w:val="both"/>
      </w:pPr>
      <w:r>
        <w:rPr/>
        <w:t>Chilliard Y, A. Ferlay, R. M. Mansbridge, and M. M. Doreau. 2000. Ruminant milk fat plasticity: nutritional control of saturated, polyunsaturated, </w:t>
      </w:r>
      <w:r>
        <w:rPr>
          <w:i/>
        </w:rPr>
        <w:t>trans </w:t>
      </w:r>
      <w:r>
        <w:rPr/>
        <w:t>and conjugated fatty acids. Ann. Zootech. 49: 181-205.</w:t>
      </w:r>
    </w:p>
    <w:p>
      <w:pPr>
        <w:pStyle w:val="BodyText"/>
        <w:spacing w:line="480" w:lineRule="auto" w:before="11"/>
        <w:ind w:left="860" w:right="146" w:hanging="708"/>
        <w:jc w:val="both"/>
      </w:pPr>
      <w:r>
        <w:rPr/>
        <w:t>Chilliard Y. and A. Ferlay. 2004. Dietary lipids and forages interactions on cow and goat milk fatty acid composition and sensory properties. Reprod. Nutr. Dev. 44(5):467- 492.</w:t>
      </w:r>
    </w:p>
    <w:p>
      <w:pPr>
        <w:pStyle w:val="BodyText"/>
        <w:spacing w:line="480" w:lineRule="auto" w:before="10"/>
        <w:ind w:left="860" w:right="145" w:hanging="708"/>
        <w:jc w:val="both"/>
      </w:pPr>
      <w:r>
        <w:rPr/>
        <w:t>Choi Y., Y. C. Kim, Y. B. Han, Y. Park, M. W. Pariza, and J. M. Ntambi. 2000. The </w:t>
      </w:r>
      <w:r>
        <w:rPr>
          <w:i/>
        </w:rPr>
        <w:t>trans </w:t>
      </w:r>
      <w:r>
        <w:rPr/>
        <w:t>10, cis 12 isomer of conjugated linoleic acid down regulates stearoyl-CoA desaturase 1 gene expression in 3T3-L1 adipocytes. J. Nutr. 130:</w:t>
      </w:r>
      <w:r>
        <w:rPr>
          <w:spacing w:val="-11"/>
        </w:rPr>
        <w:t> </w:t>
      </w:r>
      <w:r>
        <w:rPr/>
        <w:t>1920-1924.</w:t>
      </w:r>
    </w:p>
    <w:p>
      <w:pPr>
        <w:pStyle w:val="BodyText"/>
        <w:spacing w:line="480" w:lineRule="auto" w:before="10"/>
        <w:ind w:left="860" w:right="153" w:hanging="708"/>
        <w:jc w:val="both"/>
      </w:pPr>
      <w:r>
        <w:rPr/>
        <w:t>Chouinard P. Y., C. Louise, D. M. Barbano, L. E. Metzger, and D. E. Bauman. 1999. Conjugated linoleic acids alter milk fatty acid composition and inhibit milk fat secretion in dairy cows. J. Nutr. 129: 1579-1584.</w:t>
      </w:r>
    </w:p>
    <w:p>
      <w:pPr>
        <w:pStyle w:val="BodyText"/>
        <w:spacing w:line="480" w:lineRule="auto" w:before="10"/>
        <w:ind w:left="860" w:right="150" w:hanging="708"/>
        <w:jc w:val="both"/>
      </w:pPr>
      <w:r>
        <w:rPr/>
        <w:t>Christie W. W. 1982. A simple procedure for rapid transmethylation of glycerolipids and cholesterol esters. J. Lipid Res. 23: 1072-1075.</w:t>
      </w:r>
    </w:p>
    <w:p>
      <w:pPr>
        <w:pStyle w:val="BodyText"/>
        <w:spacing w:line="480" w:lineRule="auto" w:before="10"/>
        <w:ind w:left="860" w:right="148" w:hanging="708"/>
        <w:jc w:val="both"/>
      </w:pPr>
      <w:r>
        <w:rPr/>
        <w:t>Dewhurst R.J., K.J. Shingfield, M.R.F. Lee, and N.D. Scollan. 2006. Increasing the concentrations of beneficial polyunsaturated fatty acids in milk produced by dairy cows in high-forage systems. Anim. Feed Sci. Technol. 131: 168-206.</w:t>
      </w:r>
    </w:p>
    <w:p>
      <w:pPr>
        <w:pStyle w:val="BodyText"/>
        <w:spacing w:line="480" w:lineRule="auto" w:before="10"/>
        <w:ind w:left="860" w:right="155" w:hanging="708"/>
        <w:jc w:val="both"/>
      </w:pPr>
      <w:r>
        <w:rPr/>
        <w:t>Feng S., A. L. Lock, and P. C. Garnsworthy. 2004. Technical note: A rapid lipid separation method for determining fatty acid composition of milk. J. Dairy Sci. 87: 3785-3788.</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52" w:hanging="708"/>
        <w:jc w:val="both"/>
      </w:pPr>
      <w:r>
        <w:rPr/>
        <w:t>Griinari J. M., B. A. Corl, S. H. Lacy, P. Y. Chouinard, K. V. V. Nurmela, and D. E. Bauman. 2000. Conjugated linoleic acid is synthesized endogenously in lactating dairy cows by delta9-desaturase. J. Nutr. 130: 2285-2291.</w:t>
      </w:r>
    </w:p>
    <w:p>
      <w:pPr>
        <w:pStyle w:val="BodyText"/>
        <w:spacing w:line="480" w:lineRule="auto" w:before="10"/>
        <w:ind w:left="860" w:right="145" w:hanging="708"/>
        <w:jc w:val="both"/>
      </w:pPr>
      <w:r>
        <w:rPr/>
        <w:t>Griinari J. M., D. A. Dwyer, M. A. McGuire, D. E. Bauman, D. L. Palmquist, and K. V. V. Nurmela. 1998. </w:t>
      </w:r>
      <w:r>
        <w:rPr>
          <w:i/>
        </w:rPr>
        <w:t>Trans</w:t>
      </w:r>
      <w:r>
        <w:rPr/>
        <w:t>-octadecenoic acids and milk fat depression in lactatong dairy cows. J. Dairy Sci. 81: 1251-1261.</w:t>
      </w:r>
    </w:p>
    <w:p>
      <w:pPr>
        <w:pStyle w:val="BodyText"/>
        <w:spacing w:line="480" w:lineRule="auto" w:before="10"/>
        <w:ind w:left="860" w:right="143" w:hanging="708"/>
        <w:jc w:val="both"/>
      </w:pPr>
      <w:r>
        <w:rPr/>
        <w:t>Huang Y., J. P. Schoonmaker, B. J. Bradford, and D. C. Beitz. 2008. Response of milk fatty acid composition to dietary supplementation of soy oil, conjugated linoleic acid, or both. J. Dairy Sci. 91: 260-270.</w:t>
      </w:r>
    </w:p>
    <w:p>
      <w:pPr>
        <w:pStyle w:val="BodyText"/>
        <w:spacing w:line="480" w:lineRule="auto" w:before="10"/>
        <w:ind w:left="860" w:right="154" w:hanging="708"/>
        <w:jc w:val="both"/>
      </w:pPr>
      <w:r>
        <w:rPr/>
        <w:t>Ip, C., S. Banni, E. Angioni, G. Carta, J. McGinley, H. J. Thompson, B. Barbano, and D. E. Bauman. 1999. Conjugated linoleic acid-enriched butterfat alters mammary gland morphogenesis and reduces cancer risk in rats. J. Nutr. 129: 2135-2142.</w:t>
      </w:r>
    </w:p>
    <w:p>
      <w:pPr>
        <w:pStyle w:val="BodyText"/>
        <w:spacing w:line="480" w:lineRule="auto" w:before="10"/>
        <w:ind w:left="860" w:right="147" w:hanging="708"/>
        <w:jc w:val="both"/>
      </w:pPr>
      <w:r>
        <w:rPr/>
        <w:t>Loor J. J. and J. H. Herbein. 2003. Dietary canola or soybean oil with two levels of conjugated linoleic acids (CLA) alter proﬁles of 18:1 and 18:2 isomers in blood plasma and milk fat from dairy cows. Anim. Feed Sci. Technol. 103: 63-83.</w:t>
      </w:r>
    </w:p>
    <w:p>
      <w:pPr>
        <w:pStyle w:val="BodyText"/>
        <w:spacing w:line="480" w:lineRule="auto" w:before="10"/>
        <w:ind w:left="860" w:right="147" w:hanging="708"/>
        <w:jc w:val="both"/>
      </w:pPr>
      <w:r>
        <w:rPr/>
        <w:t>Macoon B., E. Sollenberger, E. Moore, R. Staples, H. Fike, and M. Portier. 2003. Comparison of three techniques for estimating the forage intake of lactating dairy cows on pasture. J. Anim. Sci. 81: 2357-2366.</w:t>
      </w:r>
    </w:p>
    <w:p>
      <w:pPr>
        <w:pStyle w:val="BodyText"/>
        <w:spacing w:line="480" w:lineRule="auto" w:before="8"/>
        <w:ind w:left="860" w:right="145" w:hanging="708"/>
        <w:jc w:val="both"/>
      </w:pPr>
      <w:r>
        <w:rPr/>
        <w:t>Martínez Marín A.L., M. Pérez Hernández, L. M. Pérez Alba, D. Carrión Pardo, G. Gómez Castro, and A. I. Garzón Sígler. 2013. Efecto de los aceites y semillas en dietas para rumiantes sobre el perfil de ácidos grasos de la leche. Revisión. Rev. Mex. Cienc. Pecu. 4(3): 319-338.</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46" w:hanging="708"/>
        <w:jc w:val="both"/>
      </w:pPr>
      <w:r>
        <w:rPr/>
        <w:t>Menke H and H. Steingass. 1988. Estimation of energetic feed value obtained from chemical analysis and </w:t>
      </w:r>
      <w:r>
        <w:rPr>
          <w:i/>
        </w:rPr>
        <w:t>in vitro </w:t>
      </w:r>
      <w:r>
        <w:rPr/>
        <w:t>gas production using rumen fluid. Anim. Res. Dev. 28: 7-55.</w:t>
      </w:r>
    </w:p>
    <w:p>
      <w:pPr>
        <w:pStyle w:val="BodyText"/>
        <w:spacing w:line="480" w:lineRule="auto" w:before="10"/>
        <w:ind w:left="860" w:right="144" w:hanging="708"/>
        <w:jc w:val="both"/>
      </w:pPr>
      <w:r>
        <w:rPr/>
        <w:t>Morales-Almaráz E., A. Soldado, A. González, A. Martínez-Fernández, I. A. Domínguez- Vara, B. de la Rosa-Delgado, and F. Vicente. 2010. Improving the fatty acid profile of dairy cow milk by combining grazing with feeding of total mixed ration. J. Dairy Res. 77: 225-230.</w:t>
      </w:r>
    </w:p>
    <w:p>
      <w:pPr>
        <w:pStyle w:val="BodyText"/>
        <w:spacing w:line="480" w:lineRule="auto" w:before="10"/>
        <w:ind w:left="860" w:right="154" w:hanging="708"/>
        <w:jc w:val="both"/>
      </w:pPr>
      <w:r>
        <w:rPr/>
        <w:t>NRC. 2001. Nutrient Requirements of Dairy Cattle. 7th Edn. National Academic Press, Washington, DC. USA.</w:t>
      </w:r>
    </w:p>
    <w:p>
      <w:pPr>
        <w:pStyle w:val="BodyText"/>
        <w:spacing w:line="480" w:lineRule="auto" w:before="10"/>
        <w:ind w:left="860" w:right="145" w:hanging="708"/>
        <w:jc w:val="both"/>
      </w:pPr>
      <w:r>
        <w:rPr/>
        <w:t>Noble R. C., J. H. More, and C. G. Harfoot. 1974. Observations of the pattern of biohydrogenation of esterifield and unesterified linoleic acid in the rumen. Br. J. Nutr. 31: 99-108.</w:t>
      </w:r>
    </w:p>
    <w:p>
      <w:pPr>
        <w:pStyle w:val="BodyText"/>
        <w:spacing w:line="480" w:lineRule="auto" w:before="10"/>
        <w:ind w:left="860" w:right="153" w:hanging="708"/>
        <w:jc w:val="both"/>
      </w:pPr>
      <w:r>
        <w:rPr/>
        <w:t>FAO (Organización de las Naciones Unidas para la Alimentación y la Agricultura). 2015. Leche y productos lácteos. Disponible en [</w:t>
      </w:r>
      <w:hyperlink r:id="rId25">
        <w:r>
          <w:rPr/>
          <w:t>http://www.fao.org</w:t>
        </w:r>
      </w:hyperlink>
      <w:r>
        <w:rPr/>
        <w:t>]. (Consulta: Marzo 2015).</w:t>
      </w:r>
    </w:p>
    <w:p>
      <w:pPr>
        <w:pStyle w:val="BodyText"/>
        <w:spacing w:line="480" w:lineRule="auto" w:before="10"/>
        <w:ind w:left="860" w:right="145" w:hanging="708"/>
        <w:jc w:val="both"/>
      </w:pPr>
      <w:r>
        <w:rPr/>
        <w:t>Palladino R. A., M. O’Donovan, and D. A. Kenny. 2014. Fatty acid intake and rumen fatty acid composition is affected by pre-grazing herbage mass and daily herbage allowance in Holstein dairy cows. Spanish J. Agric. Res. 12: 708-716.</w:t>
      </w:r>
    </w:p>
    <w:p>
      <w:pPr>
        <w:pStyle w:val="BodyText"/>
        <w:spacing w:line="480" w:lineRule="auto" w:before="8"/>
        <w:ind w:left="860" w:right="147" w:hanging="708"/>
        <w:jc w:val="both"/>
      </w:pPr>
      <w:r>
        <w:rPr/>
        <w:t>Palmquist D. L. and T. C. Jenkins. 2003. Challenges with fast and fatty acid methods. J. Anim. Sci. 81: 3250-3254.</w:t>
      </w:r>
    </w:p>
    <w:p>
      <w:pPr>
        <w:pStyle w:val="BodyText"/>
        <w:spacing w:line="480" w:lineRule="auto" w:before="10"/>
        <w:ind w:left="860" w:right="154" w:hanging="708"/>
        <w:jc w:val="both"/>
      </w:pPr>
      <w:r>
        <w:rPr/>
        <w:t>Parodi P. W. 1999. Conjugated linoleic acid and other anticarcinogenic agents of bovine milk fat. J. Dairy Sci. 82:1339-1349.</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ind w:left="152"/>
      </w:pPr>
      <w:r>
        <w:rPr/>
        <w:t>Rego O. A., H. J. D. Rosa, P. V. Portugal, T. Franco, C. M. Vouzela, A. E. S. Borba, and R.</w:t>
      </w:r>
    </w:p>
    <w:p>
      <w:pPr>
        <w:pStyle w:val="BodyText"/>
      </w:pPr>
    </w:p>
    <w:p>
      <w:pPr>
        <w:pStyle w:val="BodyText"/>
        <w:spacing w:line="480" w:lineRule="auto"/>
        <w:ind w:left="860" w:right="154"/>
      </w:pPr>
      <w:r>
        <w:rPr/>
        <w:t>J. B. Bessa. 2005. The effects of supplementation with sunflower and soybean oils on the fatty acids profile of milk fat from grazing dairy cows. Anim. Res. 54: 17-24.</w:t>
      </w:r>
    </w:p>
    <w:p>
      <w:pPr>
        <w:pStyle w:val="BodyText"/>
        <w:spacing w:line="480" w:lineRule="auto" w:before="10"/>
        <w:ind w:left="860" w:right="146" w:hanging="708"/>
        <w:jc w:val="both"/>
      </w:pPr>
      <w:r>
        <w:rPr/>
        <w:t>Roca-Fernandez A. I., A. Gonzalez-Rodriguez, O. P. Vazquez-Yanez, and J. A. Fernandez- Casado. 2012. Effect of forage source (grazing </w:t>
      </w:r>
      <w:r>
        <w:rPr>
          <w:i/>
        </w:rPr>
        <w:t>vs</w:t>
      </w:r>
      <w:r>
        <w:rPr/>
        <w:t>. silage) on conjugated linoleic acid content in milk fat of Holstein-Friesian dairy cows from Galicia (NW Spain). Spanish J. Agric. Res. 10:</w:t>
      </w:r>
      <w:r>
        <w:rPr>
          <w:spacing w:val="-5"/>
        </w:rPr>
        <w:t> </w:t>
      </w:r>
      <w:r>
        <w:rPr/>
        <w:t>116-122.</w:t>
      </w:r>
    </w:p>
    <w:p>
      <w:pPr>
        <w:pStyle w:val="BodyText"/>
        <w:spacing w:line="480" w:lineRule="auto" w:before="10"/>
        <w:ind w:left="860" w:right="149" w:hanging="708"/>
        <w:jc w:val="both"/>
      </w:pPr>
      <w:r>
        <w:rPr/>
        <w:t>Schroeder G. F., G. A. Gagliostro, F. Bargo, J. E. Delahoy, and L. D. Muller. 2004. Effects of fat supplementation on milk production and composition by dairy cows on pasture: a review. Livest. Prod. Sci. 86: 1-18.</w:t>
      </w:r>
    </w:p>
    <w:p>
      <w:pPr>
        <w:pStyle w:val="BodyText"/>
        <w:spacing w:line="480" w:lineRule="auto" w:before="10"/>
        <w:ind w:left="860" w:right="148" w:hanging="708"/>
        <w:jc w:val="both"/>
      </w:pPr>
      <w:r>
        <w:rPr/>
        <w:t>Shi-jun L., W. Jia-qi, B. Deng-pan, W. Hong-yang, Z. Ling-yun, and L. Qiu-jiang. 2007. The effect of dietary vegetable oilseeds supplement on fatty acid profiles in milk fat from lactating dairy cows. Agric. Sci. in China 6: 1002-1008.</w:t>
      </w:r>
    </w:p>
    <w:p>
      <w:pPr>
        <w:pStyle w:val="BodyText"/>
        <w:spacing w:line="480" w:lineRule="auto" w:before="10"/>
        <w:ind w:left="860" w:right="150" w:hanging="708"/>
        <w:jc w:val="both"/>
      </w:pPr>
      <w:r>
        <w:rPr/>
        <w:t>SMN (Sistema Meteorológico Nacional). 2014. Temperatura y precipitación. </w:t>
      </w:r>
      <w:hyperlink r:id="rId23">
        <w:r>
          <w:rPr/>
          <w:t>www.smn.conagua.gob.mx</w:t>
        </w:r>
      </w:hyperlink>
      <w:r>
        <w:rPr/>
        <w:t> (Consulta: Noviembre 2014).</w:t>
      </w:r>
    </w:p>
    <w:p>
      <w:pPr>
        <w:pStyle w:val="BodyText"/>
        <w:spacing w:line="480" w:lineRule="auto" w:before="10"/>
        <w:ind w:left="860" w:right="146" w:hanging="708"/>
        <w:jc w:val="both"/>
      </w:pPr>
      <w:r>
        <w:rPr/>
        <w:t>Soyeurt H., F. Dehareng, P. Mayeres, C. Bertozzi, N. Gengler. 2008. Variation of Δ9- desaturase activity in dairy cattle. J. Dairy Sci. 91: 3211-3224.</w:t>
      </w:r>
    </w:p>
    <w:p>
      <w:pPr>
        <w:pStyle w:val="BodyText"/>
        <w:spacing w:line="477" w:lineRule="auto" w:before="11"/>
        <w:ind w:left="860" w:right="155" w:hanging="708"/>
        <w:jc w:val="both"/>
      </w:pPr>
      <w:r>
        <w:rPr/>
        <w:t>SAS Institute, Inc. 1999. ‘SAS/STATTM User's Guide.’ Statistical Analysis System Institute, Inc. Cary, North Caroline, USA. 315 p.</w:t>
      </w:r>
    </w:p>
    <w:p>
      <w:pPr>
        <w:pStyle w:val="BodyText"/>
        <w:spacing w:line="480" w:lineRule="auto" w:before="13"/>
        <w:ind w:left="860" w:right="153" w:hanging="708"/>
        <w:jc w:val="both"/>
      </w:pPr>
      <w:r>
        <w:rPr/>
        <w:t>Sukhija P. S. and D. L. Palmquist. 1988. Rapid method for determination of total fatty acid content and composition of feedstuffs and feces. J. Agr. Food Chem. 36: 1202-1206.</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54" w:hanging="708"/>
        <w:jc w:val="both"/>
      </w:pPr>
      <w:r>
        <w:rPr/>
        <w:t>Sun X. Q. and Gibbs. 2012. Diurnal variation in fatty acid profiles in rumen digesta from dairy cows grazing high-quality pasture. Anim. Feed Sci. Technol. 177: 152-160.</w:t>
      </w:r>
    </w:p>
    <w:p>
      <w:pPr>
        <w:pStyle w:val="BodyText"/>
        <w:spacing w:line="480" w:lineRule="auto" w:before="10"/>
        <w:ind w:left="860" w:right="147" w:hanging="708"/>
        <w:jc w:val="both"/>
      </w:pPr>
      <w:r>
        <w:rPr/>
        <w:t>Teuber K. N., O. Balocchi L., and J. Parga M. 2007. Manejo del Pastoreo. Imprenta America. Chile. 129 p.</w:t>
      </w:r>
    </w:p>
    <w:p>
      <w:pPr>
        <w:pStyle w:val="BodyText"/>
        <w:spacing w:line="480" w:lineRule="auto" w:before="10"/>
        <w:ind w:left="860" w:right="146" w:hanging="708"/>
        <w:jc w:val="both"/>
      </w:pPr>
      <w:r>
        <w:rPr/>
        <w:t>Turpeinen A. M., M. Mutanen, A. Aro, I. Salminen, S. Basu, D. L. Palmquist, and J. M. Griinari. 2002. Bioconversion of vaccenic acid to conjugated linoleic acid in humans. Am. J. Clin. Nutr. 76: 504-10.</w:t>
      </w:r>
    </w:p>
    <w:p>
      <w:pPr>
        <w:pStyle w:val="BodyText"/>
        <w:spacing w:line="480" w:lineRule="auto" w:before="10"/>
        <w:ind w:left="860" w:right="152" w:hanging="708"/>
        <w:jc w:val="both"/>
      </w:pPr>
      <w:r>
        <w:rPr/>
        <w:t>Ulbricht T. L. V. and D. A. T. Southgate. 1991. Coronary heart disease: seven dietary factors. The Lancet 338: 985-992.</w:t>
      </w:r>
    </w:p>
    <w:p>
      <w:pPr>
        <w:pStyle w:val="BodyText"/>
        <w:spacing w:line="480" w:lineRule="auto" w:before="10"/>
        <w:ind w:left="860" w:right="145" w:hanging="708"/>
        <w:jc w:val="both"/>
      </w:pPr>
      <w:r>
        <w:rPr/>
        <w:t>Van Soest P. J., J. B. Roberson, and B. A. Lewis. 1991. Methods for dietary fiber, neutral detergent and non-starch polysaccharides in relation to animal nutrition. J. Dairy  Sci. 74:</w:t>
      </w:r>
      <w:r>
        <w:rPr>
          <w:spacing w:val="-3"/>
        </w:rPr>
        <w:t> </w:t>
      </w:r>
      <w:r>
        <w:rPr/>
        <w:t>3583-3897.</w:t>
      </w:r>
    </w:p>
    <w:p>
      <w:pPr>
        <w:pStyle w:val="BodyText"/>
        <w:spacing w:line="480" w:lineRule="auto" w:before="10"/>
        <w:ind w:left="860" w:right="151" w:hanging="708"/>
        <w:jc w:val="both"/>
      </w:pPr>
      <w:r>
        <w:rPr/>
        <w:t>Veira D. M., L. L. Charmley, E. Charmley, and A. J. Lee. 2001. The effect of feeding soybean oil to mid lactation dairy cows on milk production and composition and on diet digestion. Can. J. Anim. Sci. 81: 425-428.</w:t>
      </w:r>
    </w:p>
    <w:p>
      <w:pPr>
        <w:pStyle w:val="BodyText"/>
        <w:spacing w:line="480" w:lineRule="auto" w:before="10"/>
        <w:ind w:left="860" w:right="152" w:hanging="708"/>
        <w:jc w:val="both"/>
      </w:pPr>
      <w:r>
        <w:rPr/>
        <w:t>Wang Y., M. M. Jacome-Sosa, and S. D. Proctor. 2012. The role of ruminant trans fat as a potential nutraceutical in the prevention of cardiovascular disease. Food Res. Int.  46:</w:t>
      </w:r>
      <w:r>
        <w:rPr>
          <w:spacing w:val="-1"/>
        </w:rPr>
        <w:t> </w:t>
      </w:r>
      <w:r>
        <w:rPr/>
        <w:t>460-468.</w:t>
      </w:r>
    </w:p>
    <w:p>
      <w:pPr>
        <w:pStyle w:val="BodyText"/>
        <w:spacing w:line="480" w:lineRule="auto" w:before="8"/>
        <w:ind w:left="860" w:right="145" w:hanging="708"/>
        <w:jc w:val="both"/>
      </w:pPr>
      <w:r>
        <w:rPr/>
        <w:t>Wayne C. C. 1964. Symposium on nutrition of forages and pastures: Collecting samples representative of ingested material of grazing animals for nutritional studies. J. Anim. Sci. 23: 265-270.</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9"/>
        <w:rPr>
          <w:sz w:val="19"/>
        </w:rPr>
      </w:pPr>
    </w:p>
    <w:p>
      <w:pPr>
        <w:pStyle w:val="Heading1"/>
        <w:numPr>
          <w:ilvl w:val="0"/>
          <w:numId w:val="11"/>
        </w:numPr>
        <w:tabs>
          <w:tab w:pos="3897" w:val="left" w:leader="none"/>
        </w:tabs>
        <w:spacing w:line="240" w:lineRule="auto" w:before="0" w:after="0"/>
        <w:ind w:left="3897" w:right="0" w:hanging="574"/>
        <w:jc w:val="left"/>
      </w:pPr>
      <w:bookmarkStart w:name="_bookmark28" w:id="48"/>
      <w:bookmarkEnd w:id="48"/>
      <w:r>
        <w:rPr>
          <w:b w:val="0"/>
        </w:rPr>
      </w:r>
      <w:bookmarkStart w:name="_bookmark28" w:id="49"/>
      <w:bookmarkEnd w:id="49"/>
      <w:r>
        <w:rPr/>
        <w:t>CON</w:t>
      </w:r>
      <w:r>
        <w:rPr/>
        <w:t>CLUSIONES</w:t>
      </w:r>
    </w:p>
    <w:p>
      <w:pPr>
        <w:pStyle w:val="BodyText"/>
        <w:spacing w:before="6"/>
        <w:rPr>
          <w:b/>
          <w:sz w:val="23"/>
        </w:rPr>
      </w:pPr>
    </w:p>
    <w:p>
      <w:pPr>
        <w:pStyle w:val="BodyText"/>
        <w:spacing w:line="480" w:lineRule="auto"/>
        <w:ind w:left="152" w:right="148"/>
        <w:jc w:val="both"/>
      </w:pPr>
      <w:r>
        <w:rPr/>
        <w:t>El tiempo de permanencia en la pradera tiene influencia sobre el consumo de ensilado de maíz cuando es suministrado a libre acceso en condiciones de estabulación. El consumo de pasto fue menor y la ingesta de ensilado de maíz fue mayor cuando las vacas  permanecieron un menor tiempo en la</w:t>
      </w:r>
      <w:r>
        <w:rPr>
          <w:spacing w:val="-9"/>
        </w:rPr>
        <w:t> </w:t>
      </w:r>
      <w:r>
        <w:rPr/>
        <w:t>pradera.</w:t>
      </w:r>
    </w:p>
    <w:p>
      <w:pPr>
        <w:pStyle w:val="BodyText"/>
        <w:spacing w:line="480" w:lineRule="auto" w:before="11"/>
        <w:ind w:left="152" w:right="147"/>
        <w:jc w:val="both"/>
      </w:pPr>
      <w:r>
        <w:rPr/>
        <w:t>Con la permanencia de 12 h de las vacas en la pradera, la concentración del ácido graso ruménico (C18:2 c9 t11) en la grasa de la leche fue mayor comparada con aquellas que permanecen un menor tiempo, sin afectar su rendimiento productivo. El perfil de ácidos grasos en la leche de vacas en pastoreo no se modificó con la permanencia de ocho horas continuas o divididas en dos momentos.</w:t>
      </w:r>
    </w:p>
    <w:p>
      <w:pPr>
        <w:pStyle w:val="BodyText"/>
        <w:spacing w:line="480" w:lineRule="auto" w:before="10"/>
        <w:ind w:left="152" w:right="149"/>
        <w:jc w:val="both"/>
      </w:pPr>
      <w:r>
        <w:rPr/>
        <w:t>Adicionar 60 g/kg materia seca al día en dietas completas mezcladas tiene efectos negativos sobre el consumo de alimento, la producción de leche y el rendimiento de grasa, proteína y lactosa de la leche de vacas en pastoreo.</w:t>
      </w:r>
    </w:p>
    <w:p>
      <w:pPr>
        <w:pStyle w:val="BodyText"/>
        <w:spacing w:line="480" w:lineRule="auto" w:before="10"/>
        <w:ind w:left="152" w:right="148"/>
        <w:jc w:val="both"/>
      </w:pPr>
      <w:r>
        <w:rPr/>
        <w:t>El contenido del ácido graso ruménico (C18:2 c9 t11) en leche es duplicado con la adición de aceite de soya en la ración, independientemente del porcentaje de aceite de soya  añadido, mientras que el contenido de ácido vaccénico (C18:1 t11) aumento al incluir el aceite de soya en la</w:t>
      </w:r>
      <w:r>
        <w:rPr>
          <w:spacing w:val="-5"/>
        </w:rPr>
        <w:t> </w:t>
      </w:r>
      <w:r>
        <w:rPr/>
        <w:t>dieta.</w:t>
      </w:r>
    </w:p>
    <w:p>
      <w:pPr>
        <w:pStyle w:val="BodyText"/>
        <w:spacing w:line="480" w:lineRule="auto" w:before="11"/>
        <w:ind w:left="152" w:right="149"/>
        <w:jc w:val="both"/>
      </w:pPr>
      <w:r>
        <w:rPr/>
        <w:t>Se puede potencializar la producción de una leche más saludable con alto contenido de ácidos grasos poliinsaturados benéficos al consumidor cuando en las dietas de las vacas se incluyen alimentos ricos en ácidos grasos linoleico y linolénico presentes en el aceite de soya y el forraje fresco de la pradera.</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9"/>
        <w:rPr>
          <w:sz w:val="19"/>
        </w:rPr>
      </w:pPr>
    </w:p>
    <w:p>
      <w:pPr>
        <w:pStyle w:val="Heading1"/>
        <w:numPr>
          <w:ilvl w:val="0"/>
          <w:numId w:val="11"/>
        </w:numPr>
        <w:tabs>
          <w:tab w:pos="2820" w:val="left" w:leader="none"/>
        </w:tabs>
        <w:spacing w:line="240" w:lineRule="auto" w:before="0" w:after="0"/>
        <w:ind w:left="2819" w:right="0" w:hanging="386"/>
        <w:jc w:val="left"/>
      </w:pPr>
      <w:bookmarkStart w:name="_bookmark29" w:id="50"/>
      <w:bookmarkEnd w:id="50"/>
      <w:r>
        <w:rPr>
          <w:b w:val="0"/>
        </w:rPr>
      </w:r>
      <w:bookmarkStart w:name="_bookmark29" w:id="51"/>
      <w:bookmarkEnd w:id="51"/>
      <w:r>
        <w:rPr/>
        <w:t>RE</w:t>
      </w:r>
      <w:r>
        <w:rPr/>
        <w:t>FERENCIAS</w:t>
      </w:r>
      <w:r>
        <w:rPr>
          <w:spacing w:val="-6"/>
        </w:rPr>
        <w:t> </w:t>
      </w:r>
      <w:r>
        <w:rPr/>
        <w:t>BIBLIOGRÁFICAS</w:t>
      </w:r>
    </w:p>
    <w:p>
      <w:pPr>
        <w:pStyle w:val="BodyText"/>
        <w:spacing w:before="6"/>
        <w:rPr>
          <w:b/>
          <w:sz w:val="23"/>
        </w:rPr>
      </w:pPr>
    </w:p>
    <w:p>
      <w:pPr>
        <w:pStyle w:val="BodyText"/>
        <w:spacing w:line="480" w:lineRule="auto"/>
        <w:ind w:left="860" w:right="148" w:hanging="708"/>
        <w:jc w:val="both"/>
      </w:pPr>
      <w:r>
        <w:rPr/>
        <w:t>Adlof RO, Duval S, Emken EA. 2000. Biosynthesis of Conjugated Linoleic Acid in Humans. Lipids, 35:131-135.</w:t>
      </w:r>
    </w:p>
    <w:p>
      <w:pPr>
        <w:pStyle w:val="BodyText"/>
        <w:spacing w:line="480" w:lineRule="auto" w:before="10"/>
        <w:ind w:left="860" w:right="154" w:hanging="708"/>
        <w:jc w:val="both"/>
      </w:pPr>
      <w:r>
        <w:rPr/>
        <w:t>AFRC. 1993. Energy and protein requirements of ruminants Agricultural and Food Research Council. CAB International. U.K.</w:t>
      </w:r>
    </w:p>
    <w:p>
      <w:pPr>
        <w:pStyle w:val="BodyText"/>
        <w:spacing w:line="480" w:lineRule="auto" w:before="11"/>
        <w:ind w:left="860" w:right="147" w:hanging="708"/>
        <w:jc w:val="both"/>
      </w:pPr>
      <w:r>
        <w:rPr/>
        <w:t>Albarrán PB, García A, Espinoza A, Espinosa E, Arriaga JCM. 2012. Maize silage in the dry season for grazing dairy cows in small-scale production systems in Mexico’s highlands. Indian Journal Animal Research, 46:317-324.</w:t>
      </w:r>
    </w:p>
    <w:p>
      <w:pPr>
        <w:pStyle w:val="BodyText"/>
        <w:spacing w:line="480" w:lineRule="auto" w:before="10"/>
        <w:ind w:left="860" w:right="148" w:hanging="708"/>
        <w:jc w:val="both"/>
      </w:pPr>
      <w:r>
        <w:rPr/>
        <w:t>Angulo J, Hiller B, Olivera M, Mahecha L, Dannenberger D, Nuernberg G, Losand B, Nuernberg K. 2012. Dietary fatty acid intervention of lactating cows simultaneously affects lipid profiles of meat and milk. Journal of the Science of Food and Agriculture, 92:2968-2974.</w:t>
      </w:r>
    </w:p>
    <w:p>
      <w:pPr>
        <w:pStyle w:val="BodyText"/>
        <w:spacing w:before="13"/>
        <w:ind w:left="152"/>
      </w:pPr>
      <w:r>
        <w:rPr/>
        <w:t>AOAC. 2012. O</w:t>
      </w:r>
      <w:r>
        <w:rPr>
          <w:rFonts w:ascii="Cambria Math" w:hAnsi="Cambria Math"/>
        </w:rPr>
        <w:t>ﬃ</w:t>
      </w:r>
      <w:r>
        <w:rPr/>
        <w:t>cial Methods of Analysis. 19th ed. AOAC: International, USA.</w:t>
      </w:r>
    </w:p>
    <w:p>
      <w:pPr>
        <w:pStyle w:val="BodyText"/>
        <w:spacing w:before="1"/>
      </w:pPr>
    </w:p>
    <w:p>
      <w:pPr>
        <w:pStyle w:val="BodyText"/>
        <w:spacing w:line="480" w:lineRule="auto"/>
        <w:ind w:left="860" w:right="148" w:hanging="708"/>
        <w:jc w:val="both"/>
      </w:pPr>
      <w:r>
        <w:rPr/>
        <w:t>Arbiza S, De Lucas J. 2001. La leche caprina y su producción. 1ra ed. Editores Mexicanos Unidos S. A. México.</w:t>
      </w:r>
    </w:p>
    <w:p>
      <w:pPr>
        <w:pStyle w:val="BodyText"/>
        <w:spacing w:line="480" w:lineRule="auto" w:before="10"/>
        <w:ind w:left="860" w:right="148" w:hanging="708"/>
        <w:jc w:val="both"/>
      </w:pPr>
      <w:r>
        <w:rPr/>
        <w:t>Aro A, Mannisto S, Salminen I, Ovaskainen ML, Kataja V, Uusitupa M. 2000. Inverse association between dietary and serum conjugated linoleic acid and risk of breast cancer in post-menopausal women. Nutr. Cancer, 38:151–157.</w:t>
      </w:r>
    </w:p>
    <w:p>
      <w:pPr>
        <w:pStyle w:val="BodyText"/>
        <w:spacing w:line="480" w:lineRule="auto" w:before="10"/>
        <w:ind w:left="860" w:right="144" w:hanging="708"/>
        <w:jc w:val="both"/>
      </w:pPr>
      <w:r>
        <w:rPr/>
        <w:t>Bargo F, Muller LD, Delahoy JE, Cassidy TW. 2002. Performance of high producing dairy cows with three different feeding and systems combing pasture and total mixed rations. J. Dairy Sci., 85:2948-2963.</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47" w:hanging="708"/>
        <w:jc w:val="both"/>
      </w:pPr>
      <w:r>
        <w:rPr/>
        <w:t>Bargo F, Delahoy JE, Schroeder GF, Baumgard LH, Muller LD. 2006. Supplementing total mixed rations with pasture increase the content of conjugated linoleic acid in milk. Anim. Feed Sci. Technol., 131:226-240.</w:t>
      </w:r>
    </w:p>
    <w:p>
      <w:pPr>
        <w:pStyle w:val="BodyText"/>
        <w:spacing w:line="480" w:lineRule="auto" w:before="10"/>
        <w:ind w:left="860" w:right="151" w:hanging="708"/>
        <w:jc w:val="both"/>
      </w:pPr>
      <w:r>
        <w:rPr/>
        <w:t>Bargo F, Muller LD, Kolver ES, Delahoy JE. 2003. Invited review: Production and digestion of supplemented dairy cows on pasture. J. Dairy Sci., 86:1–42.</w:t>
      </w:r>
    </w:p>
    <w:p>
      <w:pPr>
        <w:pStyle w:val="BodyText"/>
        <w:spacing w:line="480" w:lineRule="auto" w:before="11"/>
        <w:ind w:left="860" w:right="146" w:hanging="708"/>
        <w:jc w:val="both"/>
      </w:pPr>
      <w:r>
        <w:rPr/>
        <w:t>Bauman DE, Griinari JM. 2001. Regulation and nutritional manipulation of milk fat: low- fat milk syndrome: Review. Livest. Prod. Sci., 70:15-29.</w:t>
      </w:r>
    </w:p>
    <w:p>
      <w:pPr>
        <w:pStyle w:val="BodyText"/>
        <w:spacing w:line="480" w:lineRule="auto" w:before="10"/>
        <w:ind w:left="860" w:right="150" w:hanging="708"/>
        <w:jc w:val="both"/>
      </w:pPr>
      <w:r>
        <w:rPr/>
        <w:t>Bauman DE, Mather IH, Wall RJ, Lock AL. 2006. Major advances associated with the biosynthesis of milk. J. Dairy Sci., 89:1235-1243.</w:t>
      </w:r>
    </w:p>
    <w:p>
      <w:pPr>
        <w:pStyle w:val="BodyText"/>
        <w:spacing w:line="480" w:lineRule="auto" w:before="10"/>
        <w:ind w:left="860" w:right="151" w:hanging="708"/>
        <w:jc w:val="both"/>
      </w:pPr>
      <w:r>
        <w:rPr/>
        <w:t>Bauman DE, Baumgard LH, Corl BA, Griinari JM. 1999. Biosynthesis of conjugated linoleic acid in ruminants. Proc. American Soc. Animal Sci., pp:1-15.</w:t>
      </w:r>
    </w:p>
    <w:p>
      <w:pPr>
        <w:pStyle w:val="BodyText"/>
        <w:spacing w:line="480" w:lineRule="auto" w:before="10"/>
        <w:ind w:left="860" w:right="149" w:hanging="708"/>
        <w:jc w:val="both"/>
      </w:pPr>
      <w:r>
        <w:rPr/>
        <w:t>Bauman DE, Griinari JM. 2003. Nutritional regulation of milk fat synthesis. Ann. Rev Nutr., 23:203-227.</w:t>
      </w:r>
    </w:p>
    <w:p>
      <w:pPr>
        <w:pStyle w:val="BodyText"/>
        <w:spacing w:line="480" w:lineRule="auto" w:before="10"/>
        <w:ind w:left="860" w:right="147" w:hanging="708"/>
        <w:jc w:val="both"/>
      </w:pPr>
      <w:r>
        <w:rPr/>
        <w:t>Bauman DE, Corl BA, Baumgard LH, Griinari JM. 2001. Conjugated linoleic acid (CLA) and the dietary cow. in: Recent Advances in Animal Nutrition. Garnsworthy PC, Wiseman J. (Eds). Nottingham University Press. Nottingham, UK.</w:t>
      </w:r>
    </w:p>
    <w:p>
      <w:pPr>
        <w:pStyle w:val="BodyText"/>
        <w:spacing w:line="480" w:lineRule="auto" w:before="10"/>
        <w:ind w:left="860" w:right="150" w:hanging="708"/>
        <w:jc w:val="both"/>
      </w:pPr>
      <w:r>
        <w:rPr/>
        <w:t>Beaulieu AD, Palmquist DL. 1995. Differential effects of high fat diets on fatty acid composition in milk Holstein cows. J. Dairy Sci., 78:1336-1344.</w:t>
      </w:r>
    </w:p>
    <w:p>
      <w:pPr>
        <w:pStyle w:val="BodyText"/>
        <w:spacing w:line="480" w:lineRule="auto" w:before="8"/>
        <w:ind w:left="860" w:right="150" w:hanging="708"/>
        <w:jc w:val="both"/>
      </w:pPr>
      <w:r>
        <w:rPr/>
        <w:t>Belury MA. 1995. Conjugated dienoic linoleate: A polyunsaturated fatty acid with unique chemoprotective properties. Nutr. Rev., 53:83-89.</w:t>
      </w:r>
    </w:p>
    <w:p>
      <w:pPr>
        <w:pStyle w:val="BodyText"/>
        <w:spacing w:line="480" w:lineRule="auto" w:before="10"/>
        <w:ind w:left="860" w:right="156" w:hanging="708"/>
        <w:jc w:val="both"/>
      </w:pPr>
      <w:r>
        <w:rPr/>
        <w:t>Belury MA. 2002. Dietary conjugated linoleic acid in health: physiological effects and mechanisms of action. Annu. Rev. Nutr., 22:505-531.</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55" w:hanging="708"/>
        <w:jc w:val="both"/>
      </w:pPr>
      <w:r>
        <w:rPr/>
        <w:t>Bhattacharya A, Banu J, Rahman M, Causey J, Fernandes G. 2006. Biological effects of conjugated linoleic acids in health and disease. Journal of Nutritional Biochemistry, 17:789-810.</w:t>
      </w:r>
    </w:p>
    <w:p>
      <w:pPr>
        <w:pStyle w:val="BodyText"/>
        <w:spacing w:line="480" w:lineRule="auto" w:before="10"/>
        <w:ind w:left="860" w:right="145" w:hanging="708"/>
        <w:jc w:val="both"/>
      </w:pPr>
      <w:r>
        <w:rPr/>
        <w:t>Buccioni A, Decandia M, Minieri S, Molle G, Cabiddu A. 2012. Lipid metabolism in the rumen: New insights on lipolysis and bio hydrogenation with an emphasis on the role of endogenous plant factors. Animal Feed Science and Technology, 174:1-25.</w:t>
      </w:r>
    </w:p>
    <w:p>
      <w:pPr>
        <w:pStyle w:val="BodyText"/>
        <w:spacing w:line="480" w:lineRule="auto" w:before="10"/>
        <w:ind w:left="860" w:right="144" w:hanging="708"/>
        <w:jc w:val="both"/>
      </w:pPr>
      <w:r>
        <w:rPr/>
        <w:t>Castro-Hernández H, González-Martínez FF, Domínguez-Vara IA, Pinos-Rodríguez JM, Morales-Almaráz E, Vieyra-Alberto R. 2014. Efecto del nivel de concentrado sobre el perfil de ácidos grasos de la leche de vacas Holstein en pastoreo. Agrociencia, 48:765-775.</w:t>
      </w:r>
    </w:p>
    <w:p>
      <w:pPr>
        <w:pStyle w:val="BodyText"/>
        <w:spacing w:line="480" w:lineRule="auto" w:before="10"/>
        <w:ind w:left="860" w:right="149" w:hanging="708"/>
        <w:jc w:val="both"/>
      </w:pPr>
      <w:r>
        <w:rPr/>
        <w:t>Chalupa W. Vecchiarelli B. Elser AE. Kronfeld DS. Sklan D, Palmquist DL. 1986.  Ruminal fermentation </w:t>
      </w:r>
      <w:r>
        <w:rPr>
          <w:i/>
        </w:rPr>
        <w:t>in vivo </w:t>
      </w:r>
      <w:r>
        <w:rPr/>
        <w:t>as influenced </w:t>
      </w:r>
      <w:r>
        <w:rPr>
          <w:spacing w:val="2"/>
        </w:rPr>
        <w:t>by </w:t>
      </w:r>
      <w:r>
        <w:rPr/>
        <w:t>long-chain fatty acids. J. Dairy Sci., 69:1293–1301.</w:t>
      </w:r>
    </w:p>
    <w:p>
      <w:pPr>
        <w:pStyle w:val="BodyText"/>
        <w:spacing w:line="480" w:lineRule="auto" w:before="10"/>
        <w:ind w:left="860" w:right="146" w:hanging="708"/>
        <w:jc w:val="both"/>
      </w:pPr>
      <w:r>
        <w:rPr/>
        <w:t>Chamberlain AT, Wilkinson JM. 1996. Feeding the dairy cow. Chalcombe Publications, UK.</w:t>
      </w:r>
    </w:p>
    <w:p>
      <w:pPr>
        <w:pStyle w:val="BodyText"/>
        <w:spacing w:line="480" w:lineRule="auto" w:before="10"/>
        <w:ind w:left="860" w:right="147" w:hanging="708"/>
        <w:jc w:val="both"/>
      </w:pPr>
      <w:r>
        <w:rPr/>
        <w:t>Chen S, Bobe G, Zimmerman S, Hammond EG, Luhman CM, Boylston TD, Freeman AE, Beitz DC. 2004. Physical and sensory properties of dairy products from cows with various milk fatty acid compositions. J. Agric. Food Chem., 52:3422–3428.</w:t>
      </w:r>
    </w:p>
    <w:p>
      <w:pPr>
        <w:pStyle w:val="BodyText"/>
        <w:spacing w:line="480" w:lineRule="auto" w:before="8"/>
        <w:ind w:left="860" w:right="145" w:hanging="708"/>
        <w:jc w:val="both"/>
      </w:pPr>
      <w:r>
        <w:rPr/>
        <w:t>Chilibroste P, Mattiauda DA, Elizondo F, Coster A. 2004. Herbage allowance and grazing session allocation of dairy cows– effects on milk production and composition. </w:t>
      </w:r>
      <w:r>
        <w:rPr>
          <w:spacing w:val="-3"/>
        </w:rPr>
        <w:t>In</w:t>
      </w:r>
      <w:r>
        <w:rPr>
          <w:spacing w:val="54"/>
        </w:rPr>
        <w:t> </w:t>
      </w:r>
      <w:r>
        <w:rPr/>
        <w:t>Proc. 2nd Symp. Grassl. Ecophysiol. Graz. Ecol. Brazil.</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47" w:hanging="708"/>
        <w:jc w:val="both"/>
      </w:pPr>
      <w:r>
        <w:rPr/>
        <w:t>Chilliard Y, Ferlay A, Mansbridge RM, Doreau MM. 2000. Ruminant milk fat plasticity: nutritional control of saturated, polyunsaturated, </w:t>
      </w:r>
      <w:r>
        <w:rPr>
          <w:i/>
        </w:rPr>
        <w:t>trans </w:t>
      </w:r>
      <w:r>
        <w:rPr/>
        <w:t>and conjugated fatty acids. Ann. Zootech., 49:181-205.</w:t>
      </w:r>
    </w:p>
    <w:p>
      <w:pPr>
        <w:pStyle w:val="BodyText"/>
        <w:spacing w:line="480" w:lineRule="auto" w:before="10"/>
        <w:ind w:left="860" w:right="153" w:hanging="708"/>
        <w:jc w:val="both"/>
      </w:pPr>
      <w:r>
        <w:rPr/>
        <w:t>Chilliard Y, Ferlay A. 2004. Dietary lipids and forages interactions on cow and goat milk fatty acid composition and sensory properties. Reprod. Nutr. Dev., 44(5):467-492.</w:t>
      </w:r>
    </w:p>
    <w:p>
      <w:pPr>
        <w:pStyle w:val="BodyText"/>
        <w:spacing w:line="480" w:lineRule="auto" w:before="11"/>
        <w:ind w:left="860" w:right="145" w:hanging="708"/>
        <w:jc w:val="both"/>
      </w:pPr>
      <w:r>
        <w:rPr/>
        <w:t>Chilliard Y, Ferlay A, Doreau M. 2001. Effect of different types of forages animal fat marine oils in cows diet on milk fat secretion and composition, especially conjugated linoleic acid (CLA) and polyunsaturated fatty acids. Livest. Prod. Sci., 70:31-48.</w:t>
      </w:r>
    </w:p>
    <w:p>
      <w:pPr>
        <w:pStyle w:val="BodyText"/>
        <w:spacing w:line="480" w:lineRule="auto" w:before="10"/>
        <w:ind w:left="860" w:right="153" w:hanging="708"/>
        <w:jc w:val="both"/>
      </w:pPr>
      <w:r>
        <w:rPr/>
        <w:t>Chistie WW. 1982. A simple procedure for rapid transmethylation of glycerolipids and cholesterol esters. Journal of Lipid Research, 23:1072-1075.</w:t>
      </w:r>
    </w:p>
    <w:p>
      <w:pPr>
        <w:pStyle w:val="BodyText"/>
        <w:spacing w:line="480" w:lineRule="auto" w:before="10"/>
        <w:ind w:left="860" w:right="145" w:hanging="708"/>
        <w:jc w:val="both"/>
      </w:pPr>
      <w:r>
        <w:rPr/>
        <w:t>Choi Y, Kim YC, Han YB, Park Y, Pariza MW, Ntambi JM. 2000. The </w:t>
      </w:r>
      <w:r>
        <w:rPr>
          <w:i/>
        </w:rPr>
        <w:t>trans </w:t>
      </w:r>
      <w:r>
        <w:rPr/>
        <w:t>10, cis 12 isomer of conjugated linoleic acid down regulates stearoyl-CoA desaturase 1 gene expression in 3T3-L1 adipocytes. J. Nutr., 130:1920-1924.</w:t>
      </w:r>
    </w:p>
    <w:p>
      <w:pPr>
        <w:pStyle w:val="BodyText"/>
        <w:spacing w:line="480" w:lineRule="auto" w:before="10"/>
        <w:ind w:left="860" w:right="149" w:hanging="708"/>
        <w:jc w:val="both"/>
      </w:pPr>
      <w:r>
        <w:rPr/>
        <w:t>Chouinard PY, Louise C, Barbano DM, Metzger LE, Bauman DE. 1999. Conjugated linoleic acids alter milk fatty acid composition and inhibit milk fat secretion in dairy cows. Journal of Nutrition, 129:1579-1584.</w:t>
      </w:r>
    </w:p>
    <w:p>
      <w:pPr>
        <w:pStyle w:val="BodyText"/>
        <w:spacing w:line="477" w:lineRule="auto" w:before="11"/>
        <w:ind w:left="860" w:right="151" w:hanging="708"/>
        <w:jc w:val="both"/>
      </w:pPr>
      <w:r>
        <w:rPr/>
        <w:t>Christie W. W. 1982. A simple procedure for rapid transmethylation of glycerolipids and cholesterol esters. J. Lipid Res., 23:1072-1075.</w:t>
      </w:r>
    </w:p>
    <w:p>
      <w:pPr>
        <w:pStyle w:val="BodyText"/>
        <w:spacing w:line="480" w:lineRule="auto" w:before="13"/>
        <w:ind w:left="860" w:right="150" w:hanging="708"/>
        <w:jc w:val="both"/>
      </w:pPr>
      <w:r>
        <w:rPr/>
        <w:t>Delaby L, Peyraud JL, Pérez-Ramírez E, Delagarde R. 2008. Effect and carryover effect of spring grazing access time on dairy cow performance. Grassland Science in Europe, 13:759-761.</w:t>
      </w:r>
    </w:p>
    <w:p>
      <w:pPr>
        <w:spacing w:after="0" w:line="480" w:lineRule="auto"/>
        <w:jc w:val="both"/>
        <w:sectPr>
          <w:footerReference w:type="default" r:id="rId26"/>
          <w:pgSz w:w="12240" w:h="15840"/>
          <w:pgMar w:footer="1336" w:header="1150" w:top="1340" w:bottom="1520" w:left="1720" w:right="1380"/>
        </w:sectPr>
      </w:pPr>
    </w:p>
    <w:p>
      <w:pPr>
        <w:pStyle w:val="BodyText"/>
        <w:rPr>
          <w:sz w:val="20"/>
        </w:rPr>
      </w:pPr>
    </w:p>
    <w:p>
      <w:pPr>
        <w:pStyle w:val="BodyText"/>
        <w:spacing w:before="4"/>
        <w:rPr>
          <w:sz w:val="19"/>
        </w:rPr>
      </w:pPr>
    </w:p>
    <w:p>
      <w:pPr>
        <w:pStyle w:val="BodyText"/>
        <w:spacing w:line="480" w:lineRule="auto"/>
        <w:ind w:left="860" w:right="146" w:hanging="708"/>
        <w:jc w:val="both"/>
      </w:pPr>
      <w:r>
        <w:rPr/>
        <w:t>Demment MW, Allen LH. 2004. Animal source foods to improve micronutrient nutrition and human function in developing countries. J. Nutr., 133 (Suppl.):11-S II.</w:t>
      </w:r>
    </w:p>
    <w:p>
      <w:pPr>
        <w:pStyle w:val="BodyText"/>
        <w:spacing w:line="480" w:lineRule="auto" w:before="10"/>
        <w:ind w:left="860" w:right="148" w:hanging="708"/>
        <w:jc w:val="both"/>
      </w:pPr>
      <w:r>
        <w:rPr/>
        <w:t>Dewhurst RJ, Shingfield KJ, Lee MRF, Scollan ND. 2006. Increasing the concentrations of beneficial polyunsaturated fatty acids in milk produced by dairy cows in high-forage systems. Anim. Feed Sci. Technol., 131:168-206.</w:t>
      </w:r>
    </w:p>
    <w:p>
      <w:pPr>
        <w:pStyle w:val="BodyText"/>
        <w:spacing w:line="480" w:lineRule="auto" w:before="11"/>
        <w:ind w:left="860" w:right="146" w:hanging="708"/>
        <w:jc w:val="both"/>
      </w:pPr>
      <w:r>
        <w:rPr/>
        <w:t>Dhiman TR, Anand GR, Satter LD, Pariza MW. 1999. Conjugated linoleic acid content of milk from cows fed different diets. Journal of Dairy Science, 82:2146-2156.</w:t>
      </w:r>
    </w:p>
    <w:p>
      <w:pPr>
        <w:pStyle w:val="BodyText"/>
        <w:spacing w:line="480" w:lineRule="auto" w:before="10"/>
        <w:ind w:left="860" w:right="146" w:hanging="708"/>
        <w:jc w:val="both"/>
      </w:pPr>
      <w:r>
        <w:rPr/>
        <w:t>Eastridge ML, Firkins JL. 1991. Feeding Hydrogenated Fatty Acids and Triglycerides to Lacting Dairy Cows. J. Dairy Sci., 74:2610-2616</w:t>
      </w:r>
    </w:p>
    <w:p>
      <w:pPr>
        <w:pStyle w:val="BodyText"/>
        <w:spacing w:before="10"/>
        <w:ind w:left="152"/>
      </w:pPr>
      <w:r>
        <w:rPr/>
        <w:t>Elgersma A, Tamminga S, Ellen G. 2006. Modifying milk composition through forage.</w:t>
      </w:r>
    </w:p>
    <w:p>
      <w:pPr>
        <w:pStyle w:val="BodyText"/>
      </w:pPr>
    </w:p>
    <w:p>
      <w:pPr>
        <w:pStyle w:val="BodyText"/>
        <w:ind w:left="860"/>
      </w:pPr>
      <w:r>
        <w:rPr/>
        <w:t>Animal Feed Science and Technology, 131:207-225.</w:t>
      </w:r>
    </w:p>
    <w:p>
      <w:pPr>
        <w:pStyle w:val="BodyText"/>
      </w:pPr>
    </w:p>
    <w:p>
      <w:pPr>
        <w:pStyle w:val="BodyText"/>
        <w:spacing w:line="480" w:lineRule="auto"/>
        <w:ind w:left="860" w:right="147" w:hanging="708"/>
        <w:jc w:val="both"/>
      </w:pPr>
      <w:r>
        <w:rPr/>
        <w:t>FAO. 2015. Leche y productos lácteos. Disponible en [</w:t>
      </w:r>
      <w:hyperlink r:id="rId25">
        <w:r>
          <w:rPr/>
          <w:t>http://www.fao.org</w:t>
        </w:r>
      </w:hyperlink>
      <w:r>
        <w:rPr/>
        <w:t>]. (Consulta: Marzo 2015).</w:t>
      </w:r>
    </w:p>
    <w:p>
      <w:pPr>
        <w:pStyle w:val="BodyText"/>
        <w:spacing w:line="480" w:lineRule="auto" w:before="10"/>
        <w:ind w:left="860" w:right="144" w:hanging="708"/>
        <w:jc w:val="both"/>
      </w:pPr>
      <w:r>
        <w:rPr/>
        <w:t>Feng S, Lock AL, Garnsworthy PC. 2004. Technical note: A rapid lipid separation method for determining fatty acid composition of milk. Journal of Dairy Science, 87:3785- 3788.</w:t>
      </w:r>
    </w:p>
    <w:p>
      <w:pPr>
        <w:pStyle w:val="BodyText"/>
        <w:spacing w:line="480" w:lineRule="auto" w:before="10"/>
        <w:ind w:left="860" w:right="145" w:hanging="708"/>
        <w:jc w:val="both"/>
      </w:pPr>
      <w:r>
        <w:rPr/>
        <w:t>Field CJ, Schely PD. 2004. Evidence for potential mechanisms for the effect of conjugated linoleic acid on tumor metabolism and immune function: lessons from n-3 fatty acids. Am J Clin Nutr., 79:1190-1198.</w:t>
      </w:r>
    </w:p>
    <w:p>
      <w:pPr>
        <w:pStyle w:val="BodyText"/>
        <w:spacing w:before="10"/>
        <w:ind w:left="152"/>
      </w:pPr>
      <w:r>
        <w:rPr/>
        <w:t>Fox PF, McSweeney PLH, Cogan TM, Guinee TP. 2000. Fundamentals of Cheese Science.</w:t>
      </w:r>
    </w:p>
    <w:p>
      <w:pPr>
        <w:pStyle w:val="BodyText"/>
      </w:pPr>
    </w:p>
    <w:p>
      <w:pPr>
        <w:pStyle w:val="BodyText"/>
        <w:ind w:left="860"/>
      </w:pPr>
      <w:r>
        <w:rPr/>
        <w:t>Springer. Germany.</w:t>
      </w:r>
    </w:p>
    <w:p>
      <w:pPr>
        <w:pStyle w:val="BodyText"/>
      </w:pPr>
    </w:p>
    <w:p>
      <w:pPr>
        <w:pStyle w:val="BodyText"/>
        <w:ind w:left="152"/>
      </w:pPr>
      <w:r>
        <w:rPr/>
        <w:t>Fox PF, McSweeney PLH. 1998. Principles of milk composition. Academic Press. USA.</w:t>
      </w:r>
    </w:p>
    <w:p>
      <w:pPr>
        <w:spacing w:after="0"/>
        <w:sectPr>
          <w:footerReference w:type="default" r:id="rId27"/>
          <w:pgSz w:w="12240" w:h="15840"/>
          <w:pgMar w:footer="1336" w:header="1150" w:top="1340" w:bottom="1520" w:left="1720" w:right="1380"/>
          <w:pgNumType w:start="101"/>
        </w:sectPr>
      </w:pPr>
    </w:p>
    <w:p>
      <w:pPr>
        <w:pStyle w:val="BodyText"/>
        <w:rPr>
          <w:sz w:val="20"/>
        </w:rPr>
      </w:pPr>
    </w:p>
    <w:p>
      <w:pPr>
        <w:pStyle w:val="BodyText"/>
        <w:spacing w:before="4"/>
        <w:rPr>
          <w:sz w:val="19"/>
        </w:rPr>
      </w:pPr>
    </w:p>
    <w:p>
      <w:pPr>
        <w:pStyle w:val="BodyText"/>
        <w:spacing w:line="480" w:lineRule="auto"/>
        <w:ind w:left="860" w:right="147" w:hanging="708"/>
        <w:jc w:val="both"/>
      </w:pPr>
      <w:r>
        <w:rPr/>
        <w:t>Gama MAS, Garnsworthy PC, Griinari JM, Leme PR, Rodrigues PHM, Souza  LWO, Lanna DPD. 2008. Diet-induced milk fat depression: Association with changes in milk fatty acid composition and fluidity of milk fat. Livestock Science, 115:319– 331.</w:t>
      </w:r>
    </w:p>
    <w:p>
      <w:pPr>
        <w:pStyle w:val="BodyText"/>
        <w:spacing w:line="480" w:lineRule="auto" w:before="10"/>
        <w:ind w:left="860" w:right="151" w:hanging="708"/>
        <w:jc w:val="both"/>
      </w:pPr>
      <w:r>
        <w:rPr/>
        <w:t>Gangliostro GA, Schroeder GF. 2007. Efectos de la suplementación con sales cálcicas de ácidos grasos insaturados sobre la digestión ruminal en vacas lecheras en pastoreo. Arch. Latinoam. Prod. Anim., 15:85-97.</w:t>
      </w:r>
    </w:p>
    <w:p>
      <w:pPr>
        <w:pStyle w:val="BodyText"/>
        <w:spacing w:line="480" w:lineRule="auto" w:before="10"/>
        <w:ind w:left="860" w:right="146" w:hanging="708"/>
        <w:jc w:val="both"/>
      </w:pPr>
      <w:r>
        <w:rPr/>
        <w:t>Garnsworthy PC. 1997. Fats in dairy cow diets. In: Garnsworthy PC, Cole DJA (Eds.), Recent Advances in Animal Nutrition. pp. 87–103. University of Nottingham.</w:t>
      </w:r>
    </w:p>
    <w:p>
      <w:pPr>
        <w:pStyle w:val="BodyText"/>
        <w:spacing w:line="480" w:lineRule="auto" w:before="10"/>
        <w:ind w:left="860" w:right="147" w:hanging="708"/>
        <w:jc w:val="both"/>
      </w:pPr>
      <w:r>
        <w:rPr/>
        <w:t>Gibson JP. 1989. Altering milk composition through genetic selection. J. Dairy Sci., 72:2815-2825.</w:t>
      </w:r>
    </w:p>
    <w:p>
      <w:pPr>
        <w:pStyle w:val="BodyText"/>
        <w:spacing w:line="480" w:lineRule="auto" w:before="10"/>
        <w:ind w:left="860" w:right="147" w:hanging="708"/>
        <w:jc w:val="both"/>
      </w:pPr>
      <w:r>
        <w:rPr/>
        <w:t>Gravert HO. 1987. Dairy Cattle Production, World Animal Science. Kaufmann H, Hagemeister (Eds.), pp. 107-131. Elsevier Science Publishers.</w:t>
      </w:r>
    </w:p>
    <w:p>
      <w:pPr>
        <w:pStyle w:val="BodyText"/>
        <w:spacing w:line="480" w:lineRule="auto" w:before="10"/>
        <w:ind w:left="860" w:right="147" w:hanging="708"/>
        <w:jc w:val="both"/>
      </w:pPr>
      <w:r>
        <w:rPr/>
        <w:t>Gregorini P, Clark CEF, Jago JG, Glassey CB, McLeod KLM, Romera AJ. 2009. Restricting time at pasture: Effects on dairy cow herbage intake, foraging behavior, hunger-related hormones, and metabolite concentration during the first grazing session. Journal of Dairy Science, 92:4572-4580.</w:t>
      </w:r>
    </w:p>
    <w:p>
      <w:pPr>
        <w:pStyle w:val="BodyText"/>
        <w:spacing w:line="480" w:lineRule="auto" w:before="11"/>
        <w:ind w:left="860" w:right="147" w:hanging="708"/>
        <w:jc w:val="both"/>
      </w:pPr>
      <w:r>
        <w:rPr/>
        <w:t>Griinari JM, Corl BA, Lacy SH, Chouinard PY, Nurmela KVV, Bauman DE. 2000. Conjugated linoleic acid is synthesized endogenously in lactating dairy cows by delta9-desaturase. J. Nutr., 130:2285-2291.</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45" w:hanging="708"/>
        <w:jc w:val="both"/>
      </w:pPr>
      <w:r>
        <w:rPr/>
        <w:t>Griinari JM, Dwyer DA, McGuire MA, Bauman DE, Palmquist DL, Nurmela KVV. 1998. </w:t>
      </w:r>
      <w:r>
        <w:rPr>
          <w:i/>
        </w:rPr>
        <w:t>Trans</w:t>
      </w:r>
      <w:r>
        <w:rPr/>
        <w:t>-octadecenoic acids and milk fat depression in lactatong dairy cows. J. Dairy Sci., 81:1251-1261.</w:t>
      </w:r>
    </w:p>
    <w:p>
      <w:pPr>
        <w:pStyle w:val="BodyText"/>
        <w:spacing w:line="480" w:lineRule="auto" w:before="10"/>
        <w:ind w:left="860" w:right="150" w:hanging="708"/>
        <w:jc w:val="both"/>
      </w:pPr>
      <w:r>
        <w:rPr/>
        <w:t>Griinari JM, Bauman DE. 1999. Biosynthesis of conjugated linoleic acid and its incorporation into meat and milk in ruminants. In: Yurawecz MP, Mossoba MM, Kramer JKG, Pariza MW, Nelson GJ (Eds.), Advances in Conjugated Linoleic Acid Research. pp. 180-200. AOCS Press. USA.</w:t>
      </w:r>
    </w:p>
    <w:p>
      <w:pPr>
        <w:pStyle w:val="BodyText"/>
        <w:spacing w:before="10"/>
        <w:ind w:left="152"/>
      </w:pPr>
      <w:r>
        <w:rPr/>
        <w:t>Grosvenor CE, Picciano MF, Baumrucker CR. 1992. Hormones and growth factors in milk.</w:t>
      </w:r>
    </w:p>
    <w:p>
      <w:pPr>
        <w:pStyle w:val="BodyText"/>
      </w:pPr>
    </w:p>
    <w:p>
      <w:pPr>
        <w:pStyle w:val="BodyText"/>
        <w:ind w:left="860"/>
      </w:pPr>
      <w:r>
        <w:rPr/>
        <w:t>Endocr. Rev., 14:710–728.</w:t>
      </w:r>
    </w:p>
    <w:p>
      <w:pPr>
        <w:pStyle w:val="BodyText"/>
      </w:pPr>
    </w:p>
    <w:p>
      <w:pPr>
        <w:pStyle w:val="BodyText"/>
        <w:spacing w:line="480" w:lineRule="auto"/>
        <w:ind w:left="860" w:right="146" w:hanging="708"/>
        <w:jc w:val="both"/>
      </w:pPr>
      <w:r>
        <w:rPr/>
        <w:t>Guadarrama-Estrada J, Espinoza A, González CE, Arriaga CM. 2007. Inclusion of maize or oats-vetch silage for grazing dairy cows in small-scale campesino systems in the highlands of central Mexico. Journal Applied of Animal Research</w:t>
      </w:r>
      <w:r>
        <w:rPr>
          <w:b/>
        </w:rPr>
        <w:t>, </w:t>
      </w:r>
      <w:r>
        <w:rPr/>
        <w:t>32:19-23.</w:t>
      </w:r>
    </w:p>
    <w:p>
      <w:pPr>
        <w:pStyle w:val="BodyText"/>
        <w:spacing w:line="480" w:lineRule="auto" w:before="10"/>
        <w:ind w:left="860" w:right="152" w:hanging="708"/>
        <w:jc w:val="both"/>
      </w:pPr>
      <w:r>
        <w:rPr/>
        <w:t>Haro AM, Artacho R, Cabrera-Vique C. 2006. Ácido linoleico conjugado: interés actual en nutrición humana. Med Clin (Barc)., 127(13):508-515.</w:t>
      </w:r>
    </w:p>
    <w:p>
      <w:pPr>
        <w:pStyle w:val="BodyText"/>
        <w:spacing w:line="480" w:lineRule="auto" w:before="10"/>
        <w:ind w:left="860" w:right="149" w:hanging="708"/>
        <w:jc w:val="both"/>
      </w:pPr>
      <w:r>
        <w:rPr/>
        <w:t>Hernandez-Mendo O, Leaver JD. 2004. Effect of replacing time available for grazing with time available for eating maize silage and soybean meal on milk yield and feeding behaviour in dairy cows. Grass and Forage Science</w:t>
      </w:r>
      <w:r>
        <w:rPr>
          <w:b/>
        </w:rPr>
        <w:t>, </w:t>
      </w:r>
      <w:r>
        <w:rPr/>
        <w:t>59:318-330.</w:t>
      </w:r>
    </w:p>
    <w:p>
      <w:pPr>
        <w:pStyle w:val="BodyText"/>
        <w:spacing w:line="480" w:lineRule="auto" w:before="11"/>
        <w:ind w:left="860" w:right="146" w:hanging="708"/>
        <w:jc w:val="both"/>
      </w:pPr>
      <w:r>
        <w:rPr/>
        <w:t>Hernández-Ortega M, Heredia-Nava D, Espinoza-Ortega A, Sánchez-Vera E, Arriaga- Jordán CM. 2011. Effect of silage from ryegrass intercropped with winter or common vetch for grazing dairy cows in small-scale dairy systems in Mexico. Tropical Animal Health and Production, 43:947-954.</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48" w:hanging="708"/>
        <w:jc w:val="both"/>
      </w:pPr>
      <w:r>
        <w:rPr/>
        <w:t>Hodgson J, Clark DA, Mitchell RJ. 1994. Foraging behaviour in grazing animals and its impact on plant communities. In: Fahey GC, Collins M, Mertens DR, Moser LE. (Eds.), Forage Quality, Evaluation, and Utilization: Agronomy, Crop Science and Soil Science Societies of America. pp. 796–827.</w:t>
      </w:r>
    </w:p>
    <w:p>
      <w:pPr>
        <w:pStyle w:val="BodyText"/>
        <w:spacing w:line="480" w:lineRule="auto" w:before="10"/>
        <w:ind w:left="860" w:right="147" w:hanging="708"/>
        <w:jc w:val="both"/>
      </w:pPr>
      <w:r>
        <w:rPr/>
        <w:t>Houseknecht KL. Vanden Heuvel JP. Moya-Camarena SY. Portocarrero CP. Peck LW. Nickel KP. Belury MA. 1998. Dietary conjugated linoleic acid normalizes impaired glucose tolerance in the Zucker diabetic fatty fa/fa rat. Biochem. Biophys. Res. Commun., 244:678-682.</w:t>
      </w:r>
    </w:p>
    <w:p>
      <w:pPr>
        <w:pStyle w:val="BodyText"/>
        <w:spacing w:line="480" w:lineRule="auto" w:before="10"/>
        <w:ind w:left="860" w:right="150" w:hanging="708"/>
        <w:jc w:val="both"/>
      </w:pPr>
      <w:r>
        <w:rPr/>
        <w:t>Huang Y, Schoonmaker JP, Bradford BJ, Beitz DC. 2008. Response of milk fatty acid composition to dietary supplementation of soy oil, conjugated linoleic acid, or both. J. Dairy Sci., 91:260-270.</w:t>
      </w:r>
    </w:p>
    <w:p>
      <w:pPr>
        <w:pStyle w:val="BodyText"/>
        <w:spacing w:line="480" w:lineRule="auto" w:before="10"/>
        <w:ind w:left="860" w:right="146" w:hanging="708"/>
        <w:jc w:val="both"/>
      </w:pPr>
      <w:r>
        <w:rPr/>
        <w:t>INEGI. 2005. Territorio nacional. Disponible en [</w:t>
      </w:r>
      <w:hyperlink r:id="rId22">
        <w:r>
          <w:rPr/>
          <w:t>http://www.inegi.org.mx</w:t>
        </w:r>
      </w:hyperlink>
      <w:r>
        <w:rPr/>
        <w:t>]. (Consulta: Enero 2012).</w:t>
      </w:r>
    </w:p>
    <w:p>
      <w:pPr>
        <w:pStyle w:val="BodyText"/>
        <w:spacing w:line="480" w:lineRule="auto" w:before="10"/>
        <w:ind w:left="860" w:right="153" w:hanging="708"/>
        <w:jc w:val="both"/>
      </w:pPr>
      <w:r>
        <w:rPr/>
        <w:t>Ip C, Banni S, Angioni E, Carta G, McGinley J, Thompson HJ, Barbano B, Bauman DE. 1999. Conjugated linoleic acid-enriched butterfat alters mammary gland morphogenesis and reduces cancer risk in rats. J. Nutr., 129:2135-2142.</w:t>
      </w:r>
    </w:p>
    <w:p>
      <w:pPr>
        <w:pStyle w:val="BodyText"/>
        <w:spacing w:line="480" w:lineRule="auto" w:before="10"/>
        <w:ind w:left="860" w:right="152" w:hanging="708"/>
        <w:jc w:val="both"/>
      </w:pPr>
      <w:r>
        <w:rPr/>
        <w:t>Jenkins TC. 2002. The benefits and limitations of fat in dairy rations. Department of  Animal and Veterinary Science, Clemson</w:t>
      </w:r>
      <w:r>
        <w:rPr>
          <w:spacing w:val="-9"/>
        </w:rPr>
        <w:t> </w:t>
      </w:r>
      <w:r>
        <w:rPr/>
        <w:t>University.</w:t>
      </w:r>
    </w:p>
    <w:p>
      <w:pPr>
        <w:pStyle w:val="BodyText"/>
        <w:spacing w:line="480" w:lineRule="auto" w:before="8"/>
        <w:ind w:left="860" w:right="146" w:hanging="708"/>
        <w:jc w:val="both"/>
      </w:pPr>
      <w:r>
        <w:rPr/>
        <w:t>Jenkins TC. 1993. Symposium: advances in ruminant lipid metabolism. Lipid Metabolism in the Rumen. J. Dairy Sci., 76:3851-3863.</w:t>
      </w:r>
    </w:p>
    <w:p>
      <w:pPr>
        <w:pStyle w:val="BodyText"/>
        <w:spacing w:line="480" w:lineRule="auto" w:before="10"/>
        <w:ind w:left="860" w:right="151" w:hanging="708"/>
        <w:jc w:val="both"/>
      </w:pPr>
      <w:r>
        <w:rPr/>
        <w:t>Jenkins TC, Bridges Jr WC. 2007. Protection of fatty acids against ruminal biohydrogenation in cattle. Eur. J. Lipid Sci. Technol., 109:778-789.</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52" w:hanging="708"/>
        <w:jc w:val="both"/>
      </w:pPr>
      <w:r>
        <w:rPr/>
        <w:t>Jenkins TC. 2004. Challenges of meeting cow demands for omega fatty acids. 15th Florida Ruminant Nutrition Symposium. USA.</w:t>
      </w:r>
    </w:p>
    <w:p>
      <w:pPr>
        <w:pStyle w:val="BodyText"/>
        <w:spacing w:line="480" w:lineRule="auto" w:before="10"/>
        <w:ind w:left="860" w:right="146" w:hanging="708"/>
        <w:jc w:val="both"/>
      </w:pPr>
      <w:r>
        <w:rPr/>
        <w:t>Johnson AH. 1978. The composition of milk. In: Fundamentals of Dairy Chemistry. BH Webb BH, Johnson AH, Alford JA (Eds). Avi. Publ. Co., Westport, CT.</w:t>
      </w:r>
    </w:p>
    <w:p>
      <w:pPr>
        <w:pStyle w:val="BodyText"/>
        <w:spacing w:line="480" w:lineRule="auto" w:before="10"/>
        <w:ind w:left="860" w:right="150" w:hanging="708"/>
        <w:jc w:val="both"/>
      </w:pPr>
      <w:r>
        <w:rPr/>
        <w:t>Kairenius P, Arola A, Leskinen H, Toivonen V, Ahvenjarvi S, Vanhatalo A, Huhtanen P, Hurme T, Griinari JM, Shingfield KJ. 2015. Dietary fish oil supplements depress milk fat yield and alter milk fatty acid composition in lactating cows fed grass silage-based diets. Journal of Dairy Science, 98:5653-5671.</w:t>
      </w:r>
    </w:p>
    <w:p>
      <w:pPr>
        <w:pStyle w:val="BodyText"/>
        <w:spacing w:line="480" w:lineRule="auto" w:before="10"/>
        <w:ind w:left="860" w:right="150" w:hanging="708"/>
        <w:jc w:val="both"/>
      </w:pPr>
      <w:r>
        <w:rPr/>
        <w:t>Kalac P, Samkova E. 2010. The effects of feeding various forages on fatty acid  composition of bovine milk fat: A review. Czech J. Anim. Sci.,</w:t>
      </w:r>
      <w:r>
        <w:rPr>
          <w:spacing w:val="-8"/>
        </w:rPr>
        <w:t> </w:t>
      </w:r>
      <w:r>
        <w:rPr/>
        <w:t>55:521-537.</w:t>
      </w:r>
    </w:p>
    <w:p>
      <w:pPr>
        <w:pStyle w:val="BodyText"/>
        <w:spacing w:line="480" w:lineRule="auto" w:before="10"/>
        <w:ind w:left="860" w:right="150" w:hanging="708"/>
        <w:jc w:val="both"/>
      </w:pPr>
      <w:r>
        <w:rPr/>
        <w:t>Kay JK. Roche JR. Kolver ES. Thomson NA. Baumgard LH. 2005. A comparasion between feeding systems (pasture and TMR) and the effect of vitamin E supplementation on plasma and milk fatty acid profiles in dairy cows. J. Dairy Res., 73:322-332.</w:t>
      </w:r>
    </w:p>
    <w:p>
      <w:pPr>
        <w:pStyle w:val="BodyText"/>
        <w:spacing w:line="480" w:lineRule="auto" w:before="10"/>
        <w:ind w:left="860" w:right="149" w:hanging="708"/>
        <w:jc w:val="both"/>
      </w:pPr>
      <w:r>
        <w:rPr/>
        <w:t>Kellaway RC, Porter S. 1993. Feeding concentrates: Supplements for dairy cows. In: Hopkins E. (Ed.), Agmedia, Melbourne, Australia.</w:t>
      </w:r>
    </w:p>
    <w:p>
      <w:pPr>
        <w:pStyle w:val="BodyText"/>
        <w:spacing w:line="480" w:lineRule="auto" w:before="10"/>
        <w:ind w:left="860" w:right="150" w:hanging="708"/>
        <w:jc w:val="both"/>
      </w:pPr>
      <w:r>
        <w:rPr/>
        <w:t>Kelly ML, Kolver ES, Bauman DE, Van Amburgh ME, Muller LD. 1998. Effect of intake of pasture on concentrations of conjugated linoleic acid in milk of lactating cows. Journal of Dairy Science, 81: 1630-1636.</w:t>
      </w:r>
    </w:p>
    <w:p>
      <w:pPr>
        <w:pStyle w:val="BodyText"/>
        <w:spacing w:line="480" w:lineRule="auto" w:before="10"/>
        <w:ind w:left="860" w:right="149" w:hanging="708"/>
        <w:jc w:val="both"/>
      </w:pPr>
      <w:r>
        <w:rPr/>
        <w:t>Kelsey JA. Corl BA, Bauman DE. 2003. The effect of breed, parity, and stage of lactation on conjugated linoleic acid (CLA) in milk fat from dairy cows. J. Dairy Sci., 86:2588-2597.</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54" w:hanging="708"/>
        <w:jc w:val="both"/>
      </w:pPr>
      <w:r>
        <w:rPr/>
        <w:t>Kennedy E, McEvoy M, Murphy JP, O'Donovan M. 2009. Effect of restricted access time to pasture on dairy cow milk production, grazing behavior, and dry matter intake. J Dairy Sci.,</w:t>
      </w:r>
      <w:r>
        <w:rPr>
          <w:spacing w:val="-4"/>
        </w:rPr>
        <w:t> </w:t>
      </w:r>
      <w:r>
        <w:rPr/>
        <w:t>92:168-176.</w:t>
      </w:r>
    </w:p>
    <w:p>
      <w:pPr>
        <w:pStyle w:val="BodyText"/>
        <w:spacing w:line="480" w:lineRule="auto" w:before="10"/>
        <w:ind w:left="860" w:right="150" w:hanging="708"/>
        <w:jc w:val="both"/>
      </w:pPr>
      <w:r>
        <w:rPr/>
        <w:t>Khanal RC, Olson KC. 2004. Factors affecting conjugated linoleic acid (CLA) content in milk, meat, and egg: A review. Pakistan J. Nutr., 3(2):82-98.</w:t>
      </w:r>
    </w:p>
    <w:p>
      <w:pPr>
        <w:pStyle w:val="BodyText"/>
        <w:spacing w:line="480" w:lineRule="auto" w:before="11"/>
        <w:ind w:left="860" w:right="153" w:hanging="708"/>
        <w:jc w:val="both"/>
      </w:pPr>
      <w:r>
        <w:rPr/>
        <w:t>Kolver ES, Muller LD. 1998. Performance and nutrient intake of high producing Holstein cows consuming pasture or a total mixed ration. J. Dairy Sci., 81:1403-1411.</w:t>
      </w:r>
    </w:p>
    <w:p>
      <w:pPr>
        <w:pStyle w:val="BodyText"/>
        <w:spacing w:line="480" w:lineRule="auto" w:before="10"/>
        <w:ind w:left="860" w:right="147" w:hanging="708"/>
        <w:jc w:val="both"/>
      </w:pPr>
      <w:r>
        <w:rPr/>
        <w:t>Kuhn NJ. Carrick DT, Wilde CJ. 1980. Lactose synthesis: the possibilities of regulation. J. Dairy Sci., 63:328-336.</w:t>
      </w:r>
    </w:p>
    <w:p>
      <w:pPr>
        <w:pStyle w:val="BodyText"/>
        <w:spacing w:line="480" w:lineRule="auto" w:before="10"/>
        <w:ind w:left="860" w:right="144" w:hanging="708"/>
        <w:jc w:val="both"/>
      </w:pPr>
      <w:r>
        <w:rPr/>
        <w:t>Lee KW, Lee HJ, Cho HY, Kim YJ. 2005. Role of the conjugated linoleic acid in the prevention of cancer. Crit Rev Food Sci Nutr., 45:135-144.</w:t>
      </w:r>
    </w:p>
    <w:p>
      <w:pPr>
        <w:pStyle w:val="BodyText"/>
        <w:spacing w:line="480" w:lineRule="auto" w:before="10"/>
        <w:ind w:left="860" w:right="151" w:hanging="708"/>
        <w:jc w:val="both"/>
      </w:pPr>
      <w:r>
        <w:rPr/>
        <w:t>Lima LS, Santos GT, Schogor AB, Damasceno JC, Marchi FE, Santos NW, Santos FS,  Petit HV. 2014. Effect of abomasal or ruminal supplementation of citrus pulp and soybean oil on nutrient digestibility and ruminal fermentation of dairy cows. Animal Feed Science and Technology,</w:t>
      </w:r>
      <w:r>
        <w:rPr>
          <w:spacing w:val="-5"/>
        </w:rPr>
        <w:t> </w:t>
      </w:r>
      <w:r>
        <w:rPr/>
        <w:t>189:123–129.</w:t>
      </w:r>
    </w:p>
    <w:p>
      <w:pPr>
        <w:pStyle w:val="BodyText"/>
        <w:spacing w:line="480" w:lineRule="auto" w:before="10"/>
        <w:ind w:left="860" w:right="151" w:hanging="708"/>
        <w:jc w:val="both"/>
      </w:pPr>
      <w:r>
        <w:rPr/>
        <w:t>Lin Y, Kreeft A, Schuurbiers JA, Draijer R. 2001. Different effects of conjugated linoleic acid Isomers on lipoprotein lipase activity in 3T3-L1 adipocyte. Nutr Biochem, 12:183-189.</w:t>
      </w:r>
    </w:p>
    <w:p>
      <w:pPr>
        <w:pStyle w:val="BodyText"/>
        <w:spacing w:line="480" w:lineRule="auto" w:before="8"/>
        <w:ind w:left="860" w:right="146" w:hanging="708"/>
        <w:jc w:val="both"/>
      </w:pPr>
      <w:r>
        <w:rPr/>
        <w:t>Lock AL, Shingfield KJ. 2004. Optimising milk composition. In: Kebreab E. Mills J. Beever DE (Eds.), Dairying—Using Science to Meet Consumers’ Needs. Brit. Soc. Anim. Sci. Nottingham University Press, Loughborough, UK.</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49" w:hanging="708"/>
        <w:jc w:val="both"/>
      </w:pPr>
      <w:r>
        <w:rPr/>
        <w:t>Lock AL. Bauman DE. Gransworthy PC. 2005. Effect of production variables on cis-9, trans-11 conjugated linoleic acid content of cows' milk. J. Dairy Sci., 88:2714-2717.</w:t>
      </w:r>
    </w:p>
    <w:p>
      <w:pPr>
        <w:pStyle w:val="BodyText"/>
        <w:spacing w:line="480" w:lineRule="auto" w:before="10"/>
        <w:ind w:left="860" w:right="153" w:hanging="708"/>
        <w:jc w:val="both"/>
      </w:pPr>
      <w:r>
        <w:rPr/>
        <w:t>Loor JJ, Herbein JH. 2003. Dietary canola or soybean oil with two levels of conjugated linoleic acids (CLA) alter proﬁles of 18:1 and 18:2 isomers in blood plasma and milk fat from dairy cows. Anim. Feed Sci. Technol.,</w:t>
      </w:r>
      <w:r>
        <w:rPr>
          <w:spacing w:val="-7"/>
        </w:rPr>
        <w:t> </w:t>
      </w:r>
      <w:r>
        <w:rPr/>
        <w:t>103:63-83.</w:t>
      </w:r>
    </w:p>
    <w:p>
      <w:pPr>
        <w:pStyle w:val="BodyText"/>
        <w:spacing w:line="480" w:lineRule="auto" w:before="11"/>
        <w:ind w:left="860" w:right="149" w:hanging="708"/>
        <w:jc w:val="both"/>
      </w:pPr>
      <w:r>
        <w:rPr/>
        <w:t>Loor JJ, Herbein JH, Polan CE. 2002. Trans 18:1 and 18:2 isomers in blood plasma and milk fat of grazing cows fed a grain supplement containing solvent-extracted or mechanically extracted soybean meal. J. Dairy Sci., 85:1197-1207.</w:t>
      </w:r>
    </w:p>
    <w:p>
      <w:pPr>
        <w:pStyle w:val="BodyText"/>
        <w:spacing w:line="480" w:lineRule="auto" w:before="10"/>
        <w:ind w:left="860" w:right="148" w:hanging="708"/>
        <w:jc w:val="both"/>
      </w:pPr>
      <w:r>
        <w:rPr/>
        <w:t>Loor JJ. Soriano FD. Herbein JH. Polan CE. 2003. Grazing allowance after the morning or afternoon milking for lactating cows fed a total mixed ration (TMR) enhances trans11-18:1 and cis9,trans11-18:2 (rumenic acid) in milk fat to different extents. Anim. Feed Sci. Technol., 109:105-119.</w:t>
      </w:r>
    </w:p>
    <w:p>
      <w:pPr>
        <w:pStyle w:val="BodyText"/>
        <w:spacing w:line="480" w:lineRule="auto" w:before="10"/>
        <w:ind w:left="860" w:right="145" w:hanging="708"/>
        <w:jc w:val="both"/>
      </w:pPr>
      <w:r>
        <w:rPr/>
        <w:t>Macoon B, Sollenberger E, Moore E, Staples R, Fike H, Portier M. 2003. Comparison of three techniques for estimating the forage intake of lactating dairy cows on pasture. Journal Animal Science, 81:2357-2366.</w:t>
      </w:r>
    </w:p>
    <w:p>
      <w:pPr>
        <w:pStyle w:val="BodyText"/>
        <w:spacing w:line="480" w:lineRule="auto" w:before="10"/>
        <w:ind w:left="860" w:right="145" w:hanging="708"/>
        <w:jc w:val="both"/>
      </w:pPr>
      <w:r>
        <w:rPr/>
        <w:t>Macoon B, Sollenberger E, Moore E, Staples R, Fike H, Portier M. 2003. Comparison of three techniques for estimating the forage intake of lactating dairy cows on pasture. J. Anim. Sci., 81:2357-2366.</w:t>
      </w:r>
    </w:p>
    <w:p>
      <w:pPr>
        <w:pStyle w:val="BodyText"/>
        <w:spacing w:line="480" w:lineRule="auto" w:before="8"/>
        <w:ind w:left="860" w:right="146" w:hanging="708"/>
        <w:jc w:val="both"/>
      </w:pPr>
      <w:r>
        <w:rPr/>
        <w:t>Martínez Marín AL, Pérez Hernández M, Pérez Alba LM, Carrión Pardo D, Gómez Castro G, Garzón Sígler AI. 2013. Efecto de los aceites y semillas en dietas para rumiantes sobre el perfil de ácidos grasos de la leche. Revisión. Rev. Mex. Cienc. Pecu. 4(3): 319-338.</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49" w:hanging="708"/>
        <w:jc w:val="both"/>
      </w:pPr>
      <w:r>
        <w:rPr/>
        <w:t>Mattiauda DA, Tamminga S, Gibb MJ, Soca P, Bentancur O, Chilibroste P. 2013. Restricting access time at pasture and time of grazing allocation for Holstein dairy cows: ingestive behaviour, dry matter intake and milk production. Livestock Science, 152:53-62.</w:t>
      </w:r>
    </w:p>
    <w:p>
      <w:pPr>
        <w:pStyle w:val="BodyText"/>
        <w:spacing w:line="480" w:lineRule="auto" w:before="10"/>
        <w:ind w:left="860" w:right="151" w:hanging="708"/>
        <w:jc w:val="both"/>
      </w:pPr>
      <w:r>
        <w:rPr/>
        <w:t>Menke H, Steingass H. 1988. Estimation of energetic feed value obtained from chemical analysis and </w:t>
      </w:r>
      <w:r>
        <w:rPr>
          <w:i/>
        </w:rPr>
        <w:t>in vitro </w:t>
      </w:r>
      <w:r>
        <w:rPr/>
        <w:t>gas production using rumen fluid. Anim. Res. Dev., 28: 7-55.</w:t>
      </w:r>
    </w:p>
    <w:p>
      <w:pPr>
        <w:pStyle w:val="BodyText"/>
        <w:spacing w:line="480" w:lineRule="auto" w:before="10"/>
        <w:ind w:left="860" w:right="151" w:hanging="708"/>
        <w:jc w:val="both"/>
      </w:pPr>
      <w:r>
        <w:rPr/>
        <w:t>Morales-Almaráz E, Soldado A, González A, Martínez A, Domínguez I, De la Roza B, Vicente F. 2010. Improving the fatty acid profile of dairy cow milk by combining grazing with feeding on total mixed ration. Journal Dairy Research</w:t>
      </w:r>
      <w:r>
        <w:rPr>
          <w:b/>
        </w:rPr>
        <w:t>, </w:t>
      </w:r>
      <w:r>
        <w:rPr/>
        <w:t>77:225-230.</w:t>
      </w:r>
    </w:p>
    <w:p>
      <w:pPr>
        <w:pStyle w:val="BodyText"/>
        <w:spacing w:line="480" w:lineRule="auto" w:before="10"/>
        <w:ind w:left="860" w:right="154" w:hanging="708"/>
        <w:jc w:val="both"/>
      </w:pPr>
      <w:r>
        <w:rPr/>
        <w:t>Mosley EE, Powell GL, Riley MB, Jenkins TC. 2002. Microbial biohydrogenation of oleic acid to trans isomers </w:t>
      </w:r>
      <w:r>
        <w:rPr>
          <w:i/>
        </w:rPr>
        <w:t>in vitro</w:t>
      </w:r>
      <w:r>
        <w:rPr/>
        <w:t>. Journal of Lipid Research, 43:290-296.</w:t>
      </w:r>
    </w:p>
    <w:p>
      <w:pPr>
        <w:pStyle w:val="BodyText"/>
        <w:spacing w:line="480" w:lineRule="auto" w:before="10"/>
        <w:ind w:left="860" w:right="154" w:hanging="708"/>
        <w:jc w:val="both"/>
      </w:pPr>
      <w:r>
        <w:rPr/>
        <w:t>Noble RC, More JH, Harfoot CG. 1974. Observations of the pattern of biohydrogenation of esterifield and unesterified linoleic acid in the rumen. Br. J. Nutr., 31:99-108.</w:t>
      </w:r>
    </w:p>
    <w:p>
      <w:pPr>
        <w:pStyle w:val="BodyText"/>
        <w:spacing w:line="480" w:lineRule="auto" w:before="10"/>
        <w:ind w:left="860" w:right="150" w:hanging="708"/>
        <w:jc w:val="both"/>
      </w:pPr>
      <w:r>
        <w:rPr/>
        <w:t>NRC. 2001. Nutrient Requirements of Dairy Cattle. 7th Edn. National Academic Press, USA.</w:t>
      </w:r>
    </w:p>
    <w:p>
      <w:pPr>
        <w:pStyle w:val="BodyText"/>
        <w:spacing w:line="480" w:lineRule="auto" w:before="10"/>
        <w:ind w:left="860" w:right="150" w:hanging="708"/>
        <w:jc w:val="both"/>
      </w:pPr>
      <w:r>
        <w:rPr/>
        <w:t>Palladino RA, O’Donovan M, Kenny DA. 2014. Fatty acid intake and rumen fatty acid composition is affected by pre-grazing herbage mass and daily herbage allowance in Holstein dairy cows. Spanish J. Agric. Res., 12:708-716.</w:t>
      </w:r>
    </w:p>
    <w:p>
      <w:pPr>
        <w:pStyle w:val="BodyText"/>
        <w:spacing w:before="8"/>
        <w:ind w:left="152"/>
      </w:pPr>
      <w:r>
        <w:rPr/>
        <w:t>Palmquist DL. Jenkins TC. 2003. Challenges with fast and fatty acid methods. J. Anim.</w:t>
      </w:r>
    </w:p>
    <w:p>
      <w:pPr>
        <w:pStyle w:val="BodyText"/>
      </w:pPr>
    </w:p>
    <w:p>
      <w:pPr>
        <w:pStyle w:val="BodyText"/>
        <w:ind w:left="860"/>
      </w:pPr>
      <w:r>
        <w:rPr/>
        <w:t>Sci., 81:3250-3254.</w:t>
      </w:r>
    </w:p>
    <w:p>
      <w:pPr>
        <w:pStyle w:val="BodyText"/>
      </w:pPr>
    </w:p>
    <w:p>
      <w:pPr>
        <w:pStyle w:val="BodyText"/>
        <w:spacing w:line="480" w:lineRule="auto"/>
        <w:ind w:left="860" w:right="146" w:hanging="708"/>
        <w:jc w:val="both"/>
      </w:pPr>
      <w:r>
        <w:rPr/>
        <w:t>Palmquist DL. 1988. The feeding value of fats. In: Ørskov ER. (Ed), World Animal Science. pp. 293-311. Elsevier. Amsterdam.</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46" w:hanging="708"/>
        <w:jc w:val="both"/>
      </w:pPr>
      <w:r>
        <w:rPr/>
        <w:t>Palmquist DL, Jenkins TC. 2003. Challenges with fast and fatty acid methods. Journal of Animal Science, 81:3250-3254.</w:t>
      </w:r>
    </w:p>
    <w:p>
      <w:pPr>
        <w:pStyle w:val="BodyText"/>
        <w:spacing w:line="480" w:lineRule="auto" w:before="10"/>
        <w:ind w:left="860" w:right="146" w:hanging="708"/>
        <w:jc w:val="both"/>
      </w:pPr>
      <w:r>
        <w:rPr/>
        <w:t>Palmquist DL. Beaulieu AD, Barbano DM. 1993. Feed and animal factors influencing milk fat composition. J. Dairy Sci., 76:1753-1771.</w:t>
      </w:r>
    </w:p>
    <w:p>
      <w:pPr>
        <w:pStyle w:val="BodyText"/>
        <w:spacing w:line="480" w:lineRule="auto" w:before="10"/>
        <w:ind w:left="860" w:right="149" w:hanging="708"/>
        <w:jc w:val="both"/>
      </w:pPr>
      <w:r>
        <w:rPr/>
        <w:t>Palmquist DL. 1984. Use of fats in diets for lactating dairy cow. Fat in Animal Nutrition. pp. 357–381. Editions Bultersworkts. England.</w:t>
      </w:r>
    </w:p>
    <w:p>
      <w:pPr>
        <w:pStyle w:val="BodyText"/>
        <w:spacing w:line="480" w:lineRule="auto" w:before="10"/>
        <w:ind w:left="860" w:right="146" w:hanging="708"/>
        <w:jc w:val="both"/>
      </w:pPr>
      <w:r>
        <w:rPr/>
        <w:t>Pariza MW, Park Y, Cook ME. 2001. The biologically active isomers of  conjugated linoleic acid. Progress in Lipid Research, 40:269-281.</w:t>
      </w:r>
    </w:p>
    <w:p>
      <w:pPr>
        <w:pStyle w:val="BodyText"/>
        <w:spacing w:line="480" w:lineRule="auto" w:before="10"/>
        <w:ind w:left="860" w:right="155" w:hanging="708"/>
        <w:jc w:val="both"/>
      </w:pPr>
      <w:r>
        <w:rPr/>
        <w:t>Parodi PW. 1999. Conjugated linoleic acid and other anticarcinogenic agents of bovine milk fat. J. Dairy Sci.,</w:t>
      </w:r>
      <w:r>
        <w:rPr>
          <w:spacing w:val="-9"/>
        </w:rPr>
        <w:t> </w:t>
      </w:r>
      <w:r>
        <w:rPr/>
        <w:t>82:1339-1349.</w:t>
      </w:r>
    </w:p>
    <w:p>
      <w:pPr>
        <w:pStyle w:val="BodyText"/>
        <w:spacing w:line="480" w:lineRule="auto" w:before="10"/>
        <w:ind w:left="860" w:right="147" w:hanging="708"/>
        <w:jc w:val="both"/>
      </w:pPr>
      <w:r>
        <w:rPr/>
        <w:t>Parodi PW. 1997. Cows’ milk fat components as potential anticarcinogenic agents. J. Nutr., 127:1055-1060.</w:t>
      </w:r>
    </w:p>
    <w:p>
      <w:pPr>
        <w:pStyle w:val="BodyText"/>
        <w:spacing w:line="480" w:lineRule="auto" w:before="10"/>
        <w:ind w:left="860" w:right="145" w:hanging="708"/>
        <w:jc w:val="both"/>
      </w:pPr>
      <w:r>
        <w:rPr/>
        <w:t>Peaker M, Neville MC. 1991. Hormones in milk: chemical signals to the offspring. J. Endocrinol., 131:1-3.</w:t>
      </w:r>
    </w:p>
    <w:p>
      <w:pPr>
        <w:pStyle w:val="BodyText"/>
        <w:spacing w:before="10"/>
        <w:ind w:left="152"/>
      </w:pPr>
      <w:r>
        <w:rPr/>
        <w:t>Pereira</w:t>
      </w:r>
      <w:r>
        <w:rPr>
          <w:spacing w:val="50"/>
        </w:rPr>
        <w:t> </w:t>
      </w:r>
      <w:r>
        <w:rPr/>
        <w:t>PC. 2014. Milk nutritional composition and its role</w:t>
      </w:r>
      <w:r>
        <w:rPr>
          <w:spacing w:val="50"/>
        </w:rPr>
        <w:t> </w:t>
      </w:r>
      <w:r>
        <w:rPr/>
        <w:t>in human</w:t>
      </w:r>
      <w:r>
        <w:rPr>
          <w:spacing w:val="51"/>
        </w:rPr>
        <w:t> </w:t>
      </w:r>
      <w:r>
        <w:rPr/>
        <w:t>health</w:t>
      </w:r>
      <w:r>
        <w:rPr>
          <w:spacing w:val="56"/>
        </w:rPr>
        <w:t> </w:t>
      </w:r>
      <w:r>
        <w:rPr/>
        <w:t>-</w:t>
      </w:r>
      <w:r>
        <w:rPr>
          <w:spacing w:val="51"/>
        </w:rPr>
        <w:t> </w:t>
      </w:r>
      <w:r>
        <w:rPr/>
        <w:t>review.</w:t>
      </w:r>
    </w:p>
    <w:p>
      <w:pPr>
        <w:pStyle w:val="BodyText"/>
      </w:pPr>
    </w:p>
    <w:p>
      <w:pPr>
        <w:pStyle w:val="BodyText"/>
        <w:ind w:left="860"/>
      </w:pPr>
      <w:r>
        <w:rPr/>
        <w:t>Nutrition., 30:619-627.</w:t>
      </w:r>
    </w:p>
    <w:p>
      <w:pPr>
        <w:pStyle w:val="BodyText"/>
      </w:pPr>
    </w:p>
    <w:p>
      <w:pPr>
        <w:pStyle w:val="BodyText"/>
        <w:spacing w:line="480" w:lineRule="auto"/>
        <w:ind w:left="860" w:right="144" w:hanging="708"/>
        <w:jc w:val="both"/>
      </w:pPr>
      <w:r>
        <w:rPr/>
        <w:t>Pérez-Prieto LA, Delagarde R. 2013. Meta-analysis of the effect of pasture allowance on pasture intake, milk production, and grazing behavior of dairy cows grazing temperate grasslands. J Dairy Sci., 96:6671–6689.</w:t>
      </w:r>
    </w:p>
    <w:p>
      <w:pPr>
        <w:pStyle w:val="BodyText"/>
        <w:spacing w:line="480" w:lineRule="auto" w:before="10"/>
        <w:ind w:left="860" w:right="150" w:hanging="708"/>
        <w:jc w:val="both"/>
      </w:pPr>
      <w:r>
        <w:rPr/>
        <w:t>Pérez-Prieto LA, Peyraud JL, Delagarde R. 2011. Substitution rate and milk yield response to corn silage supplementation of late-lactation dairy cows grazing low mass pastures at 2 daily allowances in autumn. J Dairy Sci., 94:3592–3604.</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49" w:hanging="708"/>
        <w:jc w:val="both"/>
      </w:pPr>
      <w:r>
        <w:rPr/>
        <w:t>Pérez-Ramírez E, Delagarde R, Delaby L. 2008. Herbage intake and behavioural adaptation of grazing dairy cows by restricting time at pasture under two feeding regimes. Animal, 2:1384-1392.</w:t>
      </w:r>
    </w:p>
    <w:p>
      <w:pPr>
        <w:pStyle w:val="BodyText"/>
        <w:spacing w:line="480" w:lineRule="auto" w:before="10"/>
        <w:ind w:left="860" w:right="144" w:hanging="708"/>
        <w:jc w:val="both"/>
      </w:pPr>
      <w:r>
        <w:rPr/>
        <w:t>Pérez-Ramírez E, Peyraud JL, Delagarde R. 2009. Restricting daily time at pasture at low and high pasture allowance: effects on pasture intake and behavioral adaptation of lactating dairy cows. J Dairy Sci., 92:3331–3340.</w:t>
      </w:r>
    </w:p>
    <w:p>
      <w:pPr>
        <w:pStyle w:val="BodyText"/>
        <w:spacing w:line="480" w:lineRule="auto" w:before="10"/>
        <w:ind w:left="860" w:right="146" w:hanging="708"/>
        <w:jc w:val="both"/>
      </w:pPr>
      <w:r>
        <w:rPr/>
        <w:t>Peterson DG, Kelsey JA, Bauman DE. 2002. Analysis of variation in cis9, trans11 conjugated linoleic acid (CLA) in milk fat of dairy cows. J. Dairy Sci., 85:2164- 2172.</w:t>
      </w:r>
    </w:p>
    <w:p>
      <w:pPr>
        <w:pStyle w:val="BodyText"/>
        <w:spacing w:line="480" w:lineRule="auto" w:before="10"/>
        <w:ind w:left="860" w:right="145" w:hanging="708"/>
        <w:jc w:val="both"/>
      </w:pPr>
      <w:r>
        <w:rPr/>
        <w:t>Pirondini M, Colombini S, Mele M, Malagutti L, Rapetti L, Galassi G, Crovetto GM. 2015. Effect of dietary starch concentration and fish oil supplementation on milk yield and composition, diet digestibility, and methane emissions in lactating dairy cows. J. Dairy Sci., 98:357–372.</w:t>
      </w:r>
    </w:p>
    <w:p>
      <w:pPr>
        <w:pStyle w:val="BodyText"/>
        <w:spacing w:line="480" w:lineRule="auto" w:before="10"/>
        <w:ind w:left="860" w:right="152" w:hanging="708"/>
        <w:jc w:val="both"/>
      </w:pPr>
      <w:r>
        <w:rPr/>
        <w:t>Rearte DH, Pieroni GA. 2001. Supplementation of temperate pasture. Proceedings of the XIX International Grassland Congress 2001. pp. 679–689.</w:t>
      </w:r>
    </w:p>
    <w:p>
      <w:pPr>
        <w:pStyle w:val="BodyText"/>
        <w:spacing w:line="480" w:lineRule="auto" w:before="10"/>
        <w:ind w:left="860" w:right="156" w:hanging="708"/>
        <w:jc w:val="both"/>
      </w:pPr>
      <w:r>
        <w:rPr/>
        <w:t>Rego OA, Rosa HJD, Portugal PV, Franco T, Vouzela CM, Borba AES, Bessa RJB. 2005. The effects of supplementation with sunflower and soybean oils on the fatty acids profile of milk fat from grazing dairy cows. Anim. Res., 54:17-24.</w:t>
      </w:r>
    </w:p>
    <w:p>
      <w:pPr>
        <w:pStyle w:val="BodyText"/>
        <w:spacing w:line="480" w:lineRule="auto" w:before="8"/>
        <w:ind w:left="860" w:right="151" w:hanging="708"/>
        <w:jc w:val="both"/>
      </w:pPr>
      <w:r>
        <w:rPr/>
        <w:t>Relling AE, Mattioli GA. 2007. Fisiologia Digestiva y Metabolica de los Rumiantes. Cátedra de Fisiología, Facultad de Ciencias Veterinarias. Universidad Nacional de  la Plata.</w:t>
      </w:r>
      <w:r>
        <w:rPr>
          <w:spacing w:val="-8"/>
        </w:rPr>
        <w:t> </w:t>
      </w:r>
      <w:r>
        <w:rPr/>
        <w:t>Argentina.</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51" w:hanging="708"/>
        <w:jc w:val="both"/>
      </w:pPr>
      <w:r>
        <w:rPr/>
        <w:t>Renner E. 1982. Milch und Milchprudukte in der Esnährung des Menschen, Gelsenkirchen/Volkswirtschaftl. Verlag, München. 4. Aufl.</w:t>
      </w:r>
    </w:p>
    <w:p>
      <w:pPr>
        <w:pStyle w:val="BodyText"/>
        <w:spacing w:line="480" w:lineRule="auto" w:before="10"/>
        <w:ind w:left="860" w:right="144" w:hanging="708"/>
        <w:jc w:val="both"/>
      </w:pPr>
      <w:r>
        <w:rPr/>
        <w:t>Roca-Fernandez AI, Gonzalez-Rodriguez A, Vazquez-Yanez OP, Fernandez-Casado JA. 2012. Effect of forage source (grazing </w:t>
      </w:r>
      <w:r>
        <w:rPr>
          <w:i/>
        </w:rPr>
        <w:t>vs</w:t>
      </w:r>
      <w:r>
        <w:rPr/>
        <w:t>. silage) on conjugated linoleic acid content in milk fat of Holstein-Friesian dairy cows from Galicia (NW Spain). Spanish J. Agric. Res., 10:116-122.</w:t>
      </w:r>
    </w:p>
    <w:p>
      <w:pPr>
        <w:pStyle w:val="BodyText"/>
        <w:spacing w:line="480" w:lineRule="auto" w:before="10"/>
        <w:ind w:left="860" w:right="150" w:hanging="708"/>
        <w:jc w:val="both"/>
      </w:pPr>
      <w:r>
        <w:rPr/>
        <w:t>Román HP. 1981. Potencial de producción de los bovinos en el trópico de México. Instituto Nacional de Investigaciones Pecuarias. SARH. Centro experimental pecuario. Paso de Toro, Veracruz, México.</w:t>
      </w:r>
    </w:p>
    <w:p>
      <w:pPr>
        <w:pStyle w:val="BodyText"/>
        <w:spacing w:line="480" w:lineRule="auto" w:before="10"/>
        <w:ind w:left="860" w:right="150" w:hanging="708"/>
        <w:jc w:val="both"/>
      </w:pPr>
      <w:r>
        <w:rPr/>
        <w:t>Salminen MM, Mutaten M, Jauhiainen M, Aro A. 1998. Dietary </w:t>
      </w:r>
      <w:r>
        <w:rPr>
          <w:i/>
        </w:rPr>
        <w:t>trans </w:t>
      </w:r>
      <w:r>
        <w:rPr/>
        <w:t>Fatty Acids Increase Conjugated Linoleic Acid Levels in Human Serum. Nutr. Biochem., 9:93-98.</w:t>
      </w:r>
    </w:p>
    <w:p>
      <w:pPr>
        <w:pStyle w:val="BodyText"/>
        <w:spacing w:line="480" w:lineRule="auto" w:before="10"/>
        <w:ind w:left="860" w:right="154" w:hanging="708"/>
        <w:jc w:val="both"/>
      </w:pPr>
      <w:r>
        <w:rPr/>
        <w:t>SAS. 2006. ‘SAS/STATTM User's Guide. Statistical Analysis System Institute Inc. Cary, North Caroline, USA.</w:t>
      </w:r>
    </w:p>
    <w:p>
      <w:pPr>
        <w:pStyle w:val="BodyText"/>
        <w:spacing w:line="480" w:lineRule="auto" w:before="10"/>
        <w:ind w:left="860" w:right="144" w:hanging="708"/>
        <w:jc w:val="both"/>
      </w:pPr>
      <w:r>
        <w:rPr/>
        <w:t>Sauvant D, Bas P. 2001. La digestion des lipides chez le ruminant. INRA Prod. Anim., 14:303-310.</w:t>
      </w:r>
    </w:p>
    <w:p>
      <w:pPr>
        <w:pStyle w:val="BodyText"/>
        <w:spacing w:line="480" w:lineRule="auto" w:before="10"/>
        <w:ind w:left="860" w:right="147" w:hanging="708"/>
        <w:jc w:val="both"/>
      </w:pPr>
      <w:r>
        <w:rPr/>
        <w:t>Schmid A, Collomb M, Sieber R, Bee G. 2006. Conjugated linoleic acid in meat and meat products: A review. Meat Science, 73:29–41.</w:t>
      </w:r>
    </w:p>
    <w:p>
      <w:pPr>
        <w:pStyle w:val="BodyText"/>
        <w:spacing w:line="480" w:lineRule="auto" w:before="11"/>
        <w:ind w:left="860" w:right="151" w:hanging="708"/>
        <w:jc w:val="both"/>
      </w:pPr>
      <w:r>
        <w:rPr/>
        <w:t>Schroeder GF, Gagliostro GA, Bargo F, Delahoy JE, Muller LD. 2004. Effects of fat supplementation on milk production and composition by dairy cows on pasture: a review. Livest. Prod. Sci., 86:1-18.</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49" w:hanging="708"/>
        <w:jc w:val="both"/>
      </w:pPr>
      <w:r>
        <w:rPr/>
        <w:t>Schroeder GF, Delahoy JE, Vidaurret I, Bargo F, Gagliostro GA, Muller LD. 2003. Milk fatty acid composition of cows fed a total mixed ration or pasture plus concentrates replacing corn whit fat. J. Dairy Sci., 86:3237-3248.</w:t>
      </w:r>
    </w:p>
    <w:p>
      <w:pPr>
        <w:pStyle w:val="BodyText"/>
        <w:spacing w:line="480" w:lineRule="auto" w:before="10"/>
        <w:ind w:left="860" w:right="148" w:hanging="708"/>
        <w:jc w:val="both"/>
      </w:pPr>
      <w:r>
        <w:rPr/>
        <w:t>Schroeder GF, Gagliostro GA, Becu-Villalobos D, Lacau-Mengido I. 2002. Supplementation with partially hydrogenated oil in grazing dairy cows in early lactation. J. Dairy Sci., 85:580–594.</w:t>
      </w:r>
    </w:p>
    <w:p>
      <w:pPr>
        <w:pStyle w:val="BodyText"/>
        <w:spacing w:line="480" w:lineRule="auto" w:before="10"/>
        <w:ind w:left="860" w:right="150" w:hanging="708"/>
        <w:jc w:val="both"/>
      </w:pPr>
      <w:r>
        <w:rPr/>
        <w:t>Shi-jun L, Jia-qi W, Deng-pan B, Hong-yang W, Ling-yun Z, Qiu-jiang L. 2007. The effect of dietary vegetable oilseeds supplement on fatty acid profiles in milk fat from lactating dairy cows. Agric. Sci. in China, 6:1002-1008.</w:t>
      </w:r>
    </w:p>
    <w:p>
      <w:pPr>
        <w:pStyle w:val="BodyText"/>
        <w:spacing w:line="480" w:lineRule="auto" w:before="10"/>
        <w:ind w:left="860" w:right="147" w:hanging="708"/>
        <w:jc w:val="both"/>
      </w:pPr>
      <w:r>
        <w:rPr/>
        <w:t>Siebert BD, Deland MP, Pitchford WS. 1996. Breed differences in the fatty acid composition of subcutaneous and intramuscular lipid of early and late maturing grain-finished cattle. Aus. J. Agr. Res., 47:943-952.</w:t>
      </w:r>
    </w:p>
    <w:p>
      <w:pPr>
        <w:pStyle w:val="BodyText"/>
        <w:spacing w:line="480" w:lineRule="auto" w:before="10"/>
        <w:ind w:left="860" w:right="147" w:hanging="708"/>
        <w:jc w:val="both"/>
      </w:pPr>
      <w:r>
        <w:rPr/>
        <w:t>Silva MC, Rodrigues MT, Branco RH, Rodrigues AF, Sarmento LR, Queiroz AC, Silva SP. 2007. Suplementação de lipídios em dietas para cabras em lactação: consumo e eficiência de  utilização de nutrientes. R. Bras. Zootec., 36:257-264.</w:t>
      </w:r>
    </w:p>
    <w:p>
      <w:pPr>
        <w:pStyle w:val="BodyText"/>
        <w:spacing w:line="480" w:lineRule="auto" w:before="10"/>
        <w:ind w:left="860" w:right="145" w:hanging="708"/>
        <w:jc w:val="both"/>
      </w:pPr>
      <w:r>
        <w:rPr/>
        <w:t>SIAP. 2013. Dirección de ganadería. Disponible en [</w:t>
      </w:r>
      <w:hyperlink r:id="rId28">
        <w:r>
          <w:rPr/>
          <w:t>www.siap.gob.mx</w:t>
        </w:r>
      </w:hyperlink>
      <w:r>
        <w:rPr/>
        <w:t>]. (Consulta: diciembre de 2013).</w:t>
      </w:r>
    </w:p>
    <w:p>
      <w:pPr>
        <w:pStyle w:val="BodyText"/>
        <w:spacing w:line="477" w:lineRule="auto" w:before="11"/>
        <w:ind w:left="860" w:right="146" w:hanging="708"/>
        <w:jc w:val="both"/>
      </w:pPr>
      <w:r>
        <w:rPr/>
        <w:t>SMN. 2014. Temperatura y precipitación. Disponible en [</w:t>
      </w:r>
      <w:hyperlink r:id="rId23">
        <w:r>
          <w:rPr/>
          <w:t>www.smn.conagua.gob.mx</w:t>
        </w:r>
      </w:hyperlink>
      <w:r>
        <w:rPr/>
        <w:t>] (Consulta: noviembre 2014).</w:t>
      </w:r>
    </w:p>
    <w:p>
      <w:pPr>
        <w:pStyle w:val="BodyText"/>
        <w:spacing w:line="480" w:lineRule="auto"/>
        <w:ind w:left="860" w:right="146" w:hanging="708"/>
        <w:jc w:val="both"/>
      </w:pPr>
      <w:r>
        <w:rPr/>
        <w:t>Soyeurt H, Dehareng F, Mayeres P, Bertozzi C, Gengler N. 2008. Variation of Δ</w:t>
      </w:r>
      <w:r>
        <w:rPr>
          <w:position w:val="9"/>
          <w:sz w:val="16"/>
        </w:rPr>
        <w:t>9</w:t>
      </w:r>
      <w:r>
        <w:rPr/>
        <w:t>- desaturase activity in dairy cattle. J. Dairy Sci., 91:3211-3224.</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46" w:hanging="708"/>
        <w:jc w:val="both"/>
      </w:pPr>
      <w:r>
        <w:rPr/>
        <w:t>Stanton C, Lawless F, Kjellmer G, Harrington D, Devery R, Connolly JF, Murphy J. 1997. Dietary influences on bovine milk cis-9, trans-11-conjugated linoleic acid content. J. Food Sci., 62:1083-1086.</w:t>
      </w:r>
    </w:p>
    <w:p>
      <w:pPr>
        <w:pStyle w:val="BodyText"/>
        <w:spacing w:line="480" w:lineRule="auto" w:before="10"/>
        <w:ind w:left="860" w:right="148" w:hanging="708"/>
        <w:jc w:val="both"/>
      </w:pPr>
      <w:r>
        <w:rPr/>
        <w:t>Steel RGD, Torrie JH, Dickey DA. 1997. Principles and procedures of statistics: A biometrical approach. 3 ed. McGraw-Hill Series in Probability and Statistics. USA</w:t>
      </w:r>
    </w:p>
    <w:p>
      <w:pPr>
        <w:pStyle w:val="BodyText"/>
        <w:spacing w:line="480" w:lineRule="auto" w:before="11"/>
        <w:ind w:left="860" w:right="152" w:hanging="708"/>
        <w:jc w:val="both"/>
      </w:pPr>
      <w:r>
        <w:rPr/>
        <w:t>Sukhija PS, Palmquist DL. 1988. Rapid method for determination of total fatty acid content and composition of feedstuffs and feces. J. Agr. Food Chem., 36:1202-1206.</w:t>
      </w:r>
    </w:p>
    <w:p>
      <w:pPr>
        <w:pStyle w:val="BodyText"/>
        <w:spacing w:line="480" w:lineRule="auto" w:before="10"/>
        <w:ind w:left="860" w:right="148" w:hanging="708"/>
        <w:jc w:val="both"/>
      </w:pPr>
      <w:r>
        <w:rPr/>
        <w:t>Suksombat W, Thanh LP, Meeprom C, Mirattanaphrai R. 2014. Effects of linseed oil or whole linseed supplementation on performance and milk fatty acid composition of lactating dairy cows. Asian Australas. J. Anim. Sci., 27(7):951-959.</w:t>
      </w:r>
    </w:p>
    <w:p>
      <w:pPr>
        <w:pStyle w:val="BodyText"/>
        <w:spacing w:line="480" w:lineRule="auto" w:before="10"/>
        <w:ind w:left="860" w:right="149" w:hanging="708"/>
        <w:jc w:val="both"/>
      </w:pPr>
      <w:r>
        <w:rPr/>
        <w:t>Sun XQ, Gibbs SJ. 2012. Diurnal variation in fatty acid profiles in rumen digesta from  dairy cows grazing high-quality pasture. Animal Feed Science and Technology</w:t>
      </w:r>
      <w:r>
        <w:rPr>
          <w:b/>
        </w:rPr>
        <w:t>, </w:t>
      </w:r>
      <w:r>
        <w:rPr/>
        <w:t>177:152-160.</w:t>
      </w:r>
    </w:p>
    <w:p>
      <w:pPr>
        <w:pStyle w:val="BodyText"/>
        <w:spacing w:line="480" w:lineRule="auto" w:before="10"/>
        <w:ind w:left="152" w:right="144"/>
      </w:pPr>
      <w:r>
        <w:rPr/>
        <w:t>Sutton JD. 1989. Altering milk composition by feeding. J. Dairy Sci., 72:2801-2814. Teuber KN, Balocchi LO, Parga MJ. 2007. Manejo del Pastoreo. Imprenta America. Chile. Turpeinen AM, Mutanen M, Aro A, Salminen I, Basu S, Palmquist DL, Griinari JM. </w:t>
      </w:r>
      <w:r>
        <w:rPr>
          <w:spacing w:val="26"/>
        </w:rPr>
        <w:t> </w:t>
      </w:r>
      <w:r>
        <w:rPr/>
        <w:t>2002.</w:t>
      </w:r>
    </w:p>
    <w:p>
      <w:pPr>
        <w:pStyle w:val="BodyText"/>
        <w:spacing w:line="480" w:lineRule="auto" w:before="10"/>
        <w:ind w:left="860"/>
      </w:pPr>
      <w:r>
        <w:rPr/>
        <w:t>Bioconversion of vaccenic acid to conjugated linoleic acid in humans. Am. J. Clin. Nutr., 76:504-10.</w:t>
      </w:r>
    </w:p>
    <w:p>
      <w:pPr>
        <w:pStyle w:val="BodyText"/>
        <w:spacing w:line="480" w:lineRule="auto" w:before="8"/>
        <w:ind w:left="860" w:right="151" w:hanging="708"/>
        <w:jc w:val="both"/>
      </w:pPr>
      <w:r>
        <w:rPr/>
        <w:t>Ulbricht TLV, Southgate DAT. 1991. Coronary heart disease: seven dietary factors. The Lancet, 338:985-992.</w:t>
      </w:r>
    </w:p>
    <w:p>
      <w:pPr>
        <w:pStyle w:val="BodyText"/>
        <w:spacing w:line="480" w:lineRule="auto" w:before="10"/>
        <w:ind w:left="860" w:right="144" w:hanging="708"/>
        <w:jc w:val="both"/>
      </w:pPr>
      <w:r>
        <w:rPr/>
        <w:t>Valsta LM. Tapanainen H. Männistö S. 2005. Meat fats in nutrition: a review. Meat Sci., 70:525–530.</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47" w:hanging="708"/>
        <w:jc w:val="both"/>
      </w:pPr>
      <w:r>
        <w:rPr/>
        <w:t>Van Soest PJ, Roberson JB, Lewis BA. 1991. Methods for dietary fiber, neutral detergent and non-starch polysaccharides in relation to animal nutrition. J. Dairy Sci., 74:3583-3897.</w:t>
      </w:r>
    </w:p>
    <w:p>
      <w:pPr>
        <w:pStyle w:val="BodyText"/>
        <w:spacing w:line="480" w:lineRule="auto" w:before="10"/>
        <w:ind w:left="860" w:right="148" w:hanging="708"/>
        <w:jc w:val="both"/>
      </w:pPr>
      <w:r>
        <w:rPr/>
        <w:t>Veira DM, Charmley LL, Charmley E, Lee AJ. 2001. The effect of feeding soybean oil to mid lactation dairy cows on milk production and composition and on diet digestion. Can. J. Anim. Sci., 81:425-428.</w:t>
      </w:r>
    </w:p>
    <w:p>
      <w:pPr>
        <w:pStyle w:val="BodyText"/>
        <w:spacing w:line="480" w:lineRule="auto" w:before="10"/>
        <w:ind w:left="860" w:right="146" w:hanging="708"/>
        <w:jc w:val="both"/>
      </w:pPr>
      <w:r>
        <w:rPr/>
        <w:t>Vibart RE, Fellner V, Burns JC, Huntington GB, Green Jr JT. 2008. Performance of lactating dairy cows fed varying levels of total mixed ration and pasture. Journal of Dairy Research</w:t>
      </w:r>
      <w:r>
        <w:rPr>
          <w:b/>
        </w:rPr>
        <w:t>, </w:t>
      </w:r>
      <w:r>
        <w:rPr/>
        <w:t>75:471-480.</w:t>
      </w:r>
    </w:p>
    <w:p>
      <w:pPr>
        <w:pStyle w:val="BodyText"/>
        <w:spacing w:line="480" w:lineRule="auto" w:before="10"/>
        <w:ind w:left="860" w:right="150" w:hanging="708"/>
        <w:jc w:val="both"/>
      </w:pPr>
      <w:r>
        <w:rPr/>
        <w:t>Walker GP, Dunshea FR, Doyle PT. 2004. Effects of nutrition and management on the production and composition of milk fat and protein: a review. Aust. J. Agric. Res. 55:1009-1028.</w:t>
      </w:r>
    </w:p>
    <w:p>
      <w:pPr>
        <w:pStyle w:val="BodyText"/>
        <w:spacing w:line="480" w:lineRule="auto" w:before="10"/>
        <w:ind w:left="860" w:right="146" w:hanging="708"/>
        <w:jc w:val="both"/>
      </w:pPr>
      <w:r>
        <w:rPr/>
        <w:t>Wang Y, Jacome-Sosa MM, Proctor SD. 2012. The role of ruminant trans fat as a potential nutraceutical in the prevention of cardiovascular disease. Food Res. Int., 46:460- 468.</w:t>
      </w:r>
    </w:p>
    <w:p>
      <w:pPr>
        <w:pStyle w:val="BodyText"/>
        <w:spacing w:line="480" w:lineRule="auto" w:before="10"/>
        <w:ind w:left="860" w:right="147" w:hanging="708"/>
        <w:jc w:val="both"/>
      </w:pPr>
      <w:r>
        <w:rPr/>
        <w:t>Wattiaux M. 2005. Guía Técnica Lechera. Instituto Babcock para la investigación y desarrollo internacional de la industria lechera.</w:t>
      </w:r>
    </w:p>
    <w:p>
      <w:pPr>
        <w:pStyle w:val="BodyText"/>
        <w:spacing w:line="480" w:lineRule="auto" w:before="11"/>
        <w:ind w:left="860" w:right="145" w:hanging="708"/>
        <w:jc w:val="both"/>
      </w:pPr>
      <w:r>
        <w:rPr/>
        <w:t>Wayne CC. 1964. Symposium on nutrition of forages and pastures: Collecting samples representative of ingested material of grazing animals for nutritional studies. Journal Animal Science, 23:265-270.</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860" w:right="148" w:hanging="708"/>
        <w:jc w:val="both"/>
      </w:pPr>
      <w:r>
        <w:rPr/>
        <w:t>White SL, Bertrand JA, Wade MR, Washburn SP, Green JT, Jenkins TC. 2001. Comparison of fatty acid content of milk from Jersey and Holstein cows consuming pasture or a total mixed ration. Journal of Dairy Science</w:t>
      </w:r>
      <w:r>
        <w:rPr>
          <w:b/>
        </w:rPr>
        <w:t>,</w:t>
      </w:r>
      <w:r>
        <w:rPr>
          <w:b/>
          <w:spacing w:val="-11"/>
        </w:rPr>
        <w:t> </w:t>
      </w:r>
      <w:r>
        <w:rPr/>
        <w:t>84:2295-2301.</w:t>
      </w:r>
    </w:p>
    <w:p>
      <w:pPr>
        <w:pStyle w:val="BodyText"/>
        <w:spacing w:line="480" w:lineRule="auto" w:before="10"/>
        <w:ind w:left="860" w:right="152" w:hanging="708"/>
        <w:jc w:val="both"/>
      </w:pPr>
      <w:r>
        <w:rPr/>
        <w:t>Wijesundera C. Shen Z. Wales WJ. Dalley DE. 2003. Effect of cereal grain and fibres supplements on the fatty acid composition of milk fat of grazing dairy cows in early lactation. J. Dairy Res., 70:257-265.</w:t>
      </w:r>
    </w:p>
    <w:p>
      <w:pPr>
        <w:pStyle w:val="BodyText"/>
        <w:spacing w:line="480" w:lineRule="auto" w:before="10"/>
        <w:ind w:left="860" w:right="150" w:hanging="708"/>
        <w:jc w:val="both"/>
      </w:pPr>
      <w:r>
        <w:rPr/>
        <w:t>Wu Z, Huber JT. 1994. Relationship between dietary fat supplementation and milk protein concentration in lactating cows: A review. Livest. Prod. Sci., 39:141–155.</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9"/>
        <w:rPr>
          <w:sz w:val="19"/>
        </w:rPr>
      </w:pPr>
    </w:p>
    <w:p>
      <w:pPr>
        <w:pStyle w:val="Heading1"/>
        <w:numPr>
          <w:ilvl w:val="0"/>
          <w:numId w:val="11"/>
        </w:numPr>
        <w:tabs>
          <w:tab w:pos="4217" w:val="left" w:leader="none"/>
        </w:tabs>
        <w:spacing w:line="240" w:lineRule="auto" w:before="0" w:after="0"/>
        <w:ind w:left="4216" w:right="0" w:hanging="293"/>
        <w:jc w:val="left"/>
      </w:pPr>
      <w:bookmarkStart w:name="_bookmark30" w:id="52"/>
      <w:bookmarkEnd w:id="52"/>
      <w:r>
        <w:rPr>
          <w:b w:val="0"/>
        </w:rPr>
      </w:r>
      <w:bookmarkStart w:name="_bookmark30" w:id="53"/>
      <w:bookmarkEnd w:id="53"/>
      <w:r>
        <w:rPr/>
        <w:t>A</w:t>
      </w:r>
      <w:r>
        <w:rPr/>
        <w:t>NEXOS</w:t>
      </w:r>
    </w:p>
    <w:p>
      <w:pPr>
        <w:pStyle w:val="BodyText"/>
        <w:rPr>
          <w:b/>
        </w:rPr>
      </w:pPr>
    </w:p>
    <w:p>
      <w:pPr>
        <w:pStyle w:val="Heading1"/>
        <w:numPr>
          <w:ilvl w:val="1"/>
          <w:numId w:val="12"/>
        </w:numPr>
        <w:tabs>
          <w:tab w:pos="693" w:val="left" w:leader="none"/>
        </w:tabs>
        <w:spacing w:line="240" w:lineRule="auto" w:before="0" w:after="0"/>
        <w:ind w:left="692" w:right="0" w:hanging="540"/>
        <w:jc w:val="left"/>
      </w:pPr>
      <w:bookmarkStart w:name="_bookmark31" w:id="54"/>
      <w:bookmarkEnd w:id="54"/>
      <w:r>
        <w:rPr>
          <w:b w:val="0"/>
        </w:rPr>
      </w:r>
      <w:bookmarkStart w:name="_bookmark31" w:id="55"/>
      <w:bookmarkEnd w:id="55"/>
      <w:r>
        <w:rPr/>
        <w:t>L</w:t>
      </w:r>
      <w:r>
        <w:rPr/>
        <w:t>ista de resúmenes publicados en</w:t>
      </w:r>
      <w:r>
        <w:rPr>
          <w:spacing w:val="-12"/>
        </w:rPr>
        <w:t> </w:t>
      </w:r>
      <w:r>
        <w:rPr/>
        <w:t>congresos</w:t>
      </w:r>
    </w:p>
    <w:p>
      <w:pPr>
        <w:pStyle w:val="BodyText"/>
        <w:spacing w:before="6"/>
        <w:rPr>
          <w:b/>
          <w:sz w:val="23"/>
        </w:rPr>
      </w:pPr>
    </w:p>
    <w:p>
      <w:pPr>
        <w:pStyle w:val="BodyText"/>
        <w:spacing w:line="480" w:lineRule="auto"/>
        <w:ind w:left="435" w:right="150" w:hanging="284"/>
        <w:jc w:val="both"/>
      </w:pPr>
      <w:r>
        <w:rPr/>
        <w:t>Vieyra-Alberto R., Limón HD., Castro HH., Domínguez VIA., Lugo FJA., Morales AE. 2015. Concentración mineral y parámetros productivos de bovinos lecheros con distinto tiempo de pastoreo (ISSN: 24485284). En: Reuniones Nacionales de Investigación e Innovación Pecuaria, Agrícola, Forestal y Acuícola-Pesquera. Toluca, México.</w:t>
      </w:r>
    </w:p>
    <w:p>
      <w:pPr>
        <w:pStyle w:val="BodyText"/>
        <w:spacing w:line="480" w:lineRule="auto" w:before="10"/>
        <w:ind w:left="435" w:right="149" w:hanging="284"/>
        <w:jc w:val="both"/>
      </w:pPr>
      <w:r>
        <w:rPr/>
        <w:t>Vieyra-Alberto R., Robles JG., Domínguez VIA., Arriaga JCM., Morales AE. 2015. Influencia de la adición de aceite vegetal en la dieta de vacas en pastoreo: perfil de  ácidos grasos de la leche (ISSN: 24485284). En: Reuniones Nacionales de Investigación e Innovación Pecuaria, Agrícola, Forestal y Acuícola-Pesquera. Toluca,</w:t>
      </w:r>
      <w:r>
        <w:rPr>
          <w:spacing w:val="-11"/>
        </w:rPr>
        <w:t> </w:t>
      </w:r>
      <w:r>
        <w:rPr/>
        <w:t>México.</w:t>
      </w:r>
    </w:p>
    <w:p>
      <w:pPr>
        <w:pStyle w:val="BodyText"/>
        <w:spacing w:line="480" w:lineRule="auto" w:before="10"/>
        <w:ind w:left="435" w:right="148" w:hanging="284"/>
        <w:jc w:val="both"/>
      </w:pPr>
      <w:r>
        <w:rPr/>
        <w:t>Vieyra-Alberto R., Robles-José G., Domínguez-Vara I. A., Arriaga Jordán C. M., Grigioni G., Morales-Almaráz E. 2015. Influencia de la adición de aceite vegetal en la dieta de vacas en pastoreo: rendimiento productivo (ISSN: 0326-0550). En: 38 Congreso Argentino de Producción Animal. Santa Rosa, La Pampa, Argentina.</w:t>
      </w:r>
    </w:p>
    <w:p>
      <w:pPr>
        <w:pStyle w:val="BodyText"/>
        <w:spacing w:line="480" w:lineRule="auto" w:before="10"/>
        <w:ind w:left="435" w:right="146" w:hanging="284"/>
        <w:jc w:val="both"/>
      </w:pPr>
      <w:r>
        <w:rPr/>
        <w:t>Rodolfo Vieyra-Alberto, Horacio Castro Hernández, Ignacio Domínguez Vara, Ernesto Morales Almaráz. 2014. Efecto de la permanencia de vacas lecheras en la pradera sobre el perfil de ácidos grasos de la leche (ISBN: 978-607-9405-09-0). En: XLI Reunión de la Asociación Mexicana para la Producción Animal y Seguridad Alimentaria, A.C. y VII Reunión Nacional de Sistemas Agro y Silvopastoriles. Yucatán, México.</w:t>
      </w:r>
    </w:p>
    <w:p>
      <w:pPr>
        <w:pStyle w:val="BodyText"/>
        <w:spacing w:line="480" w:lineRule="auto" w:before="10"/>
        <w:ind w:left="435" w:right="147" w:hanging="284"/>
        <w:jc w:val="both"/>
      </w:pPr>
      <w:r>
        <w:rPr/>
        <w:t>Rodolfo Vieyra Alberto, Horacio Castro Hernández, Celia Bernal Trujillo, Ignacio Arturo Domínguez Vara, Ernesto Morales Almaráz. 2013. Perfil de ácidos grasos en leche de vacas   Holstein  con  diferente  tiempo  de  pastoreo  (ISBN:  978-607-37-0062).       En:</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4"/>
        <w:rPr>
          <w:sz w:val="19"/>
        </w:rPr>
      </w:pPr>
    </w:p>
    <w:p>
      <w:pPr>
        <w:pStyle w:val="BodyText"/>
        <w:spacing w:line="480" w:lineRule="auto"/>
        <w:ind w:left="435" w:right="152"/>
      </w:pPr>
      <w:r>
        <w:rPr/>
        <w:t>Reuniones Nacionales de Investigación e Innovación Pecuaria, Agrícola, Forestal y Acuícola-Pesquera (ISBN de la colección: 978-607-37-0060-3). Veracruz, México.</w:t>
      </w:r>
    </w:p>
    <w:p>
      <w:pPr>
        <w:pStyle w:val="BodyText"/>
        <w:spacing w:line="480" w:lineRule="auto" w:before="10"/>
        <w:ind w:left="435" w:right="146" w:hanging="284"/>
        <w:jc w:val="both"/>
      </w:pPr>
      <w:r>
        <w:rPr/>
        <w:t>Rodolfo Vieyra-Alberto, Ignacio Arturo Domínguez Vara, Ernesto Morales Almaráz, Horacio Castro Hernández. 2013. Rendimiento productivo de vacas Holstein y Pardo Suizo con diferentes tiempos de pastoreo en el Valle de Toluca, México (ISBN: 978- 607-606-120). En: XL Reunión de la Asociación Mexicana para la Producción Animal y Seguridad Alimentaria, A.C. y IX Seminario Internacional de Producción de Ovinos en el Trópico. Tabasco,</w:t>
      </w:r>
      <w:r>
        <w:rPr>
          <w:spacing w:val="-2"/>
        </w:rPr>
        <w:t> </w:t>
      </w:r>
      <w:r>
        <w:rPr/>
        <w:t>México.</w:t>
      </w:r>
    </w:p>
    <w:p>
      <w:pPr>
        <w:pStyle w:val="BodyText"/>
        <w:spacing w:line="480" w:lineRule="auto" w:before="10"/>
        <w:ind w:left="435" w:right="148" w:hanging="284"/>
        <w:jc w:val="both"/>
      </w:pPr>
      <w:r>
        <w:rPr/>
        <w:t>Rodolfo Vieyra-Alberto, Horacio Castro Hernández, Ignacio Arturo Domínguez Vara, José Luis Bórquez Gastélum, Ernesto Morales Almaráz, Celia Bernal Trujillo. 2012. Efecto del tiempo y momento de pastoreo sobre la composición y rendimiento de leche de  vacas Holstein en el Valle de Toluca, México. En: Reuniones Nacionales de Investigación e Innovación Pecuaria, Agricola, Forestal y Acuicola-Pesquera. Querétaro, México.</w:t>
      </w:r>
    </w:p>
    <w:p>
      <w:pPr>
        <w:spacing w:after="0" w:line="480" w:lineRule="auto"/>
        <w:jc w:val="both"/>
        <w:sectPr>
          <w:pgSz w:w="12240" w:h="15840"/>
          <w:pgMar w:header="1150" w:footer="1336" w:top="1340" w:bottom="1520" w:left="1720" w:right="1380"/>
        </w:sectPr>
      </w:pPr>
    </w:p>
    <w:p>
      <w:pPr>
        <w:pStyle w:val="BodyText"/>
        <w:rPr>
          <w:sz w:val="20"/>
        </w:rPr>
      </w:pPr>
    </w:p>
    <w:p>
      <w:pPr>
        <w:pStyle w:val="BodyText"/>
        <w:spacing w:before="9"/>
        <w:rPr>
          <w:sz w:val="19"/>
        </w:rPr>
      </w:pPr>
    </w:p>
    <w:p>
      <w:pPr>
        <w:pStyle w:val="Heading1"/>
        <w:numPr>
          <w:ilvl w:val="1"/>
          <w:numId w:val="12"/>
        </w:numPr>
        <w:tabs>
          <w:tab w:pos="693" w:val="left" w:leader="none"/>
        </w:tabs>
        <w:spacing w:line="240" w:lineRule="auto" w:before="0" w:after="0"/>
        <w:ind w:left="692" w:right="0" w:hanging="540"/>
        <w:jc w:val="left"/>
      </w:pPr>
      <w:bookmarkStart w:name="_bookmark32" w:id="56"/>
      <w:bookmarkEnd w:id="56"/>
      <w:r>
        <w:rPr>
          <w:b w:val="0"/>
        </w:rPr>
      </w:r>
      <w:bookmarkStart w:name="_bookmark32" w:id="57"/>
      <w:bookmarkEnd w:id="57"/>
      <w:r>
        <w:rPr/>
        <w:t>Cons</w:t>
      </w:r>
      <w:r>
        <w:rPr/>
        <w:t>tancia de estancia doctoral en el CIA-INTA en</w:t>
      </w:r>
      <w:r>
        <w:rPr>
          <w:spacing w:val="-6"/>
        </w:rPr>
        <w:t> </w:t>
      </w:r>
      <w:r>
        <w:rPr/>
        <w:t>Argenina</w:t>
      </w:r>
    </w:p>
    <w:p>
      <w:pPr>
        <w:pStyle w:val="BodyText"/>
        <w:spacing w:before="9"/>
        <w:rPr>
          <w:b/>
          <w:sz w:val="20"/>
        </w:rPr>
      </w:pPr>
      <w:r>
        <w:rPr/>
        <w:drawing>
          <wp:anchor distT="0" distB="0" distL="0" distR="0" allowOverlap="1" layoutInCell="1" locked="0" behindDoc="0" simplePos="0" relativeHeight="1912">
            <wp:simplePos x="0" y="0"/>
            <wp:positionH relativeFrom="page">
              <wp:posOffset>1188719</wp:posOffset>
            </wp:positionH>
            <wp:positionV relativeFrom="paragraph">
              <wp:posOffset>177092</wp:posOffset>
            </wp:positionV>
            <wp:extent cx="4787770" cy="6581870"/>
            <wp:effectExtent l="0" t="0" r="0" b="0"/>
            <wp:wrapTopAndBottom/>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29" cstate="print"/>
                    <a:stretch>
                      <a:fillRect/>
                    </a:stretch>
                  </pic:blipFill>
                  <pic:spPr>
                    <a:xfrm>
                      <a:off x="0" y="0"/>
                      <a:ext cx="4787770" cy="6581870"/>
                    </a:xfrm>
                    <a:prstGeom prst="rect">
                      <a:avLst/>
                    </a:prstGeom>
                  </pic:spPr>
                </pic:pic>
              </a:graphicData>
            </a:graphic>
          </wp:anchor>
        </w:drawing>
      </w:r>
    </w:p>
    <w:sectPr>
      <w:pgSz w:w="12240" w:h="15840"/>
      <w:pgMar w:header="1150" w:footer="1336" w:top="1340" w:bottom="1520" w:left="1720" w:right="13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8344" from="92.183998pt,712.416016pt" to="527.493998pt,712.416016pt" stroked="true" strokeweight=".47998pt" strokecolor="#000000">
          <w10:wrap type="none"/>
        </v:line>
      </w:pict>
    </w:r>
    <w:r>
      <w:rPr/>
      <w:pict>
        <v:shape style="position:absolute;margin-left:92.624001pt;margin-top:713.557922pt;width:86.8pt;height:11pt;mso-position-horizontal-relative:page;mso-position-vertical-relative:page;z-index:-128320" type="#_x0000_t202" filled="false" stroked="false">
          <v:textbox inset="0,0,0,0">
            <w:txbxContent>
              <w:p>
                <w:pPr>
                  <w:spacing w:line="204" w:lineRule="exact" w:before="0"/>
                  <w:ind w:left="20" w:right="0" w:firstLine="0"/>
                  <w:jc w:val="left"/>
                  <w:rPr>
                    <w:i/>
                    <w:sz w:val="18"/>
                  </w:rPr>
                </w:pPr>
                <w:r>
                  <w:rPr>
                    <w:i/>
                    <w:sz w:val="18"/>
                  </w:rPr>
                  <w:t>Rodolfo Vieyra-Alberto</w:t>
                </w:r>
              </w:p>
            </w:txbxContent>
          </v:textbox>
          <w10:wrap type="none"/>
        </v:shape>
      </w:pict>
    </w:r>
    <w:r>
      <w:rPr/>
      <w:pict>
        <v:shape style="position:absolute;margin-left:512.059998pt;margin-top:713.557922pt;width:16.1pt;height:11pt;mso-position-horizontal-relative:page;mso-position-vertical-relative:page;z-index:-128296" type="#_x0000_t202" filled="false" stroked="false">
          <v:textbox inset="0,0,0,0">
            <w:txbxContent>
              <w:p>
                <w:pPr>
                  <w:spacing w:line="204" w:lineRule="exact" w:before="0"/>
                  <w:ind w:left="40" w:right="0" w:firstLine="0"/>
                  <w:jc w:val="left"/>
                  <w:rPr>
                    <w:sz w:val="18"/>
                  </w:rPr>
                </w:pPr>
                <w:r>
                  <w:rPr/>
                  <w:fldChar w:fldCharType="begin"/>
                </w:r>
                <w:r>
                  <w:rPr>
                    <w:sz w:val="18"/>
                  </w:rPr>
                  <w:instrText> PAGE  \* roman </w:instrText>
                </w:r>
                <w:r>
                  <w:rPr/>
                  <w:fldChar w:fldCharType="separate"/>
                </w:r>
                <w:r>
                  <w:rPr/>
                  <w:t>viii</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8272" from="92.183998pt,712.416016pt" to="527.493998pt,712.416016pt" stroked="true" strokeweight=".47998pt" strokecolor="#000000">
          <w10:wrap type="none"/>
        </v:line>
      </w:pict>
    </w:r>
    <w:r>
      <w:rPr/>
      <w:pict>
        <v:shape style="position:absolute;margin-left:92.624001pt;margin-top:713.557922pt;width:86.8pt;height:11pt;mso-position-horizontal-relative:page;mso-position-vertical-relative:page;z-index:-128248" type="#_x0000_t202" filled="false" stroked="false">
          <v:textbox inset="0,0,0,0">
            <w:txbxContent>
              <w:p>
                <w:pPr>
                  <w:spacing w:line="204" w:lineRule="exact" w:before="0"/>
                  <w:ind w:left="20" w:right="0" w:firstLine="0"/>
                  <w:jc w:val="left"/>
                  <w:rPr>
                    <w:i/>
                    <w:sz w:val="18"/>
                  </w:rPr>
                </w:pPr>
                <w:r>
                  <w:rPr>
                    <w:i/>
                    <w:sz w:val="18"/>
                  </w:rPr>
                  <w:t>Rodolfo Vieyra-Alberto</w:t>
                </w:r>
              </w:p>
            </w:txbxContent>
          </v:textbox>
          <w10:wrap type="none"/>
        </v:shape>
      </w:pict>
    </w:r>
    <w:r>
      <w:rPr/>
      <w:pict>
        <v:shape style="position:absolute;margin-left:517.099976pt;margin-top:713.557922pt;width:11.05pt;height:11pt;mso-position-horizontal-relative:page;mso-position-vertical-relative:page;z-index:-128224" type="#_x0000_t202" filled="false" stroked="false">
          <v:textbox inset="0,0,0,0">
            <w:txbxContent>
              <w:p>
                <w:pPr>
                  <w:spacing w:line="204" w:lineRule="exact" w:before="0"/>
                  <w:ind w:left="40" w:right="0" w:firstLine="0"/>
                  <w:jc w:val="left"/>
                  <w:rPr>
                    <w:sz w:val="18"/>
                  </w:rPr>
                </w:pPr>
                <w:r>
                  <w:rPr/>
                  <w:fldChar w:fldCharType="begin"/>
                </w:r>
                <w:r>
                  <w:rPr>
                    <w:sz w:val="18"/>
                  </w:rPr>
                  <w:instrText> PAGE  \* roman </w:instrText>
                </w:r>
                <w:r>
                  <w:rPr/>
                  <w:fldChar w:fldCharType="separate"/>
                </w:r>
                <w:r>
                  <w:rPr/>
                  <w:t>ix</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8200" from="92.183998pt,712.416016pt" to="527.493998pt,712.416016pt" stroked="true" strokeweight=".47998pt" strokecolor="#000000">
          <w10:wrap type="none"/>
        </v:line>
      </w:pict>
    </w:r>
    <w:r>
      <w:rPr/>
      <w:pict>
        <v:shape style="position:absolute;margin-left:92.624001pt;margin-top:713.557922pt;width:86.8pt;height:11pt;mso-position-horizontal-relative:page;mso-position-vertical-relative:page;z-index:-128176" type="#_x0000_t202" filled="false" stroked="false">
          <v:textbox inset="0,0,0,0">
            <w:txbxContent>
              <w:p>
                <w:pPr>
                  <w:spacing w:line="204" w:lineRule="exact" w:before="0"/>
                  <w:ind w:left="20" w:right="0" w:firstLine="0"/>
                  <w:jc w:val="left"/>
                  <w:rPr>
                    <w:i/>
                    <w:sz w:val="18"/>
                  </w:rPr>
                </w:pPr>
                <w:r>
                  <w:rPr>
                    <w:i/>
                    <w:sz w:val="18"/>
                  </w:rPr>
                  <w:t>Rodolfo Vieyra-Alberto</w:t>
                </w:r>
              </w:p>
            </w:txbxContent>
          </v:textbox>
          <w10:wrap type="none"/>
        </v:shape>
      </w:pict>
    </w:r>
    <w:r>
      <w:rPr/>
      <w:pict>
        <v:shape style="position:absolute;margin-left:515.059998pt;margin-top:713.557922pt;width:13.15pt;height:11pt;mso-position-horizontal-relative:page;mso-position-vertical-relative:page;z-index:-128152"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8128" from="92.183998pt,712.416016pt" to="527.493998pt,712.416016pt" stroked="true" strokeweight=".47998pt" strokecolor="#000000">
          <w10:wrap type="none"/>
        </v:line>
      </w:pict>
    </w:r>
    <w:r>
      <w:rPr/>
      <w:pict>
        <v:shape style="position:absolute;margin-left:92.624001pt;margin-top:713.557922pt;width:86.8pt;height:11pt;mso-position-horizontal-relative:page;mso-position-vertical-relative:page;z-index:-128104" type="#_x0000_t202" filled="false" stroked="false">
          <v:textbox inset="0,0,0,0">
            <w:txbxContent>
              <w:p>
                <w:pPr>
                  <w:spacing w:line="204" w:lineRule="exact" w:before="0"/>
                  <w:ind w:left="20" w:right="0" w:firstLine="0"/>
                  <w:jc w:val="left"/>
                  <w:rPr>
                    <w:i/>
                    <w:sz w:val="18"/>
                  </w:rPr>
                </w:pPr>
                <w:r>
                  <w:rPr>
                    <w:i/>
                    <w:sz w:val="18"/>
                  </w:rPr>
                  <w:t>Rodolfo Vieyra-Alberto</w:t>
                </w:r>
              </w:p>
            </w:txbxContent>
          </v:textbox>
          <w10:wrap type="none"/>
        </v:shape>
      </w:pict>
    </w:r>
    <w:r>
      <w:rPr/>
      <w:pict>
        <v:shape style="position:absolute;margin-left:511.5pt;margin-top:713.557922pt;width:15.7pt;height:11pt;mso-position-horizontal-relative:page;mso-position-vertical-relative:page;z-index:-128080" type="#_x0000_t202" filled="false" stroked="false">
          <v:textbox inset="0,0,0,0">
            <w:txbxContent>
              <w:p>
                <w:pPr>
                  <w:spacing w:line="204" w:lineRule="exact" w:before="0"/>
                  <w:ind w:left="20" w:right="0" w:firstLine="0"/>
                  <w:jc w:val="left"/>
                  <w:rPr>
                    <w:sz w:val="18"/>
                  </w:rPr>
                </w:pPr>
                <w:r>
                  <w:rPr>
                    <w:sz w:val="18"/>
                  </w:rPr>
                  <w:t>100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8056" from="92.183998pt,712.416016pt" to="527.493998pt,712.416016pt" stroked="true" strokeweight=".47998pt" strokecolor="#000000">
          <w10:wrap type="none"/>
        </v:line>
      </w:pict>
    </w:r>
    <w:r>
      <w:rPr/>
      <w:pict>
        <v:shape style="position:absolute;margin-left:92.624001pt;margin-top:713.557922pt;width:86.8pt;height:11pt;mso-position-horizontal-relative:page;mso-position-vertical-relative:page;z-index:-128032" type="#_x0000_t202" filled="false" stroked="false">
          <v:textbox inset="0,0,0,0">
            <w:txbxContent>
              <w:p>
                <w:pPr>
                  <w:spacing w:line="204" w:lineRule="exact" w:before="0"/>
                  <w:ind w:left="20" w:right="0" w:firstLine="0"/>
                  <w:jc w:val="left"/>
                  <w:rPr>
                    <w:i/>
                    <w:sz w:val="18"/>
                  </w:rPr>
                </w:pPr>
                <w:r>
                  <w:rPr>
                    <w:i/>
                    <w:sz w:val="18"/>
                  </w:rPr>
                  <w:t>Rodolfo Vieyra-Alberto</w:t>
                </w:r>
              </w:p>
            </w:txbxContent>
          </v:textbox>
          <w10:wrap type="none"/>
        </v:shape>
      </w:pict>
    </w:r>
    <w:r>
      <w:rPr/>
      <w:pict>
        <v:shape style="position:absolute;margin-left:510.5pt;margin-top:713.557922pt;width:17.7pt;height:11pt;mso-position-horizontal-relative:page;mso-position-vertical-relative:page;z-index:-128008"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101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6991">
          <wp:simplePos x="0" y="0"/>
          <wp:positionH relativeFrom="page">
            <wp:posOffset>675131</wp:posOffset>
          </wp:positionH>
          <wp:positionV relativeFrom="page">
            <wp:posOffset>1161288</wp:posOffset>
          </wp:positionV>
          <wp:extent cx="1225295" cy="1045463"/>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1" cstate="print"/>
                  <a:stretch>
                    <a:fillRect/>
                  </a:stretch>
                </pic:blipFill>
                <pic:spPr>
                  <a:xfrm>
                    <a:off x="0" y="0"/>
                    <a:ext cx="1225295" cy="1045463"/>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185.860001pt;margin-top:104.871429pt;width:327.85pt;height:15pt;mso-position-horizontal-relative:page;mso-position-vertical-relative:page;z-index:-128440" type="#_x0000_t202" filled="false" stroked="false">
          <v:textbox inset="0,0,0,0">
            <w:txbxContent>
              <w:p>
                <w:pPr>
                  <w:spacing w:line="285" w:lineRule="exact" w:before="0"/>
                  <w:ind w:left="20" w:right="-5" w:firstLine="0"/>
                  <w:jc w:val="left"/>
                  <w:rPr>
                    <w:sz w:val="26"/>
                  </w:rPr>
                </w:pPr>
                <w:r>
                  <w:rPr>
                    <w:sz w:val="26"/>
                  </w:rPr>
                  <w:t>UNIVERSIDAD AUTÓNOMA DEL ESTADO DE MÉXICO</w:t>
                </w:r>
              </w:p>
            </w:txbxContent>
          </v:textbox>
          <w10:wrap type="none"/>
        </v:shape>
      </w:pict>
    </w:r>
    <w:r>
      <w:rPr/>
      <w:pict>
        <v:shape style="position:absolute;margin-left:168.940002pt;margin-top:134.751434pt;width:361.8pt;height:30pt;mso-position-horizontal-relative:page;mso-position-vertical-relative:page;z-index:-128416" type="#_x0000_t202" filled="false" stroked="false">
          <v:textbox inset="0,0,0,0">
            <w:txbxContent>
              <w:p>
                <w:pPr>
                  <w:spacing w:line="240" w:lineRule="auto" w:before="0"/>
                  <w:ind w:left="2017" w:right="-4" w:hanging="1998"/>
                  <w:jc w:val="left"/>
                  <w:rPr>
                    <w:sz w:val="26"/>
                  </w:rPr>
                </w:pPr>
                <w:r>
                  <w:rPr>
                    <w:sz w:val="26"/>
                  </w:rPr>
                  <w:t>MAESTRÍA Y DOCTORADO EN CIENCIAS AGROPECUARIAS Y RECURSOS NATURALES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8392" from="92.183998pt,67.320pt" to="536.973998pt,67.320pt" stroked="true" strokeweight=".72pt" strokecolor="#000000">
          <w10:wrap type="none"/>
        </v:line>
      </w:pict>
    </w:r>
    <w:r>
      <w:rPr/>
      <w:pict>
        <v:shape style="position:absolute;margin-left:356.309998pt;margin-top:56.490425pt;width:180.15pt;height:10.050pt;mso-position-horizontal-relative:page;mso-position-vertical-relative:page;z-index:-128368" type="#_x0000_t202" filled="false" stroked="false">
          <v:textbox inset="0,0,0,0">
            <w:txbxContent>
              <w:p>
                <w:pPr>
                  <w:spacing w:before="0"/>
                  <w:ind w:left="20" w:right="-1" w:firstLine="0"/>
                  <w:jc w:val="left"/>
                  <w:rPr>
                    <w:i/>
                    <w:sz w:val="16"/>
                  </w:rPr>
                </w:pPr>
                <w:r>
                  <w:rPr>
                    <w:i/>
                    <w:sz w:val="16"/>
                  </w:rPr>
                  <w:t>Estrategias de alimentación y ácidos grasos en la leche</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0"/>
      <w:numFmt w:val="decimal"/>
      <w:lvlText w:val="%1"/>
      <w:lvlJc w:val="left"/>
      <w:pPr>
        <w:ind w:left="692" w:hanging="540"/>
        <w:jc w:val="left"/>
      </w:pPr>
      <w:rPr>
        <w:rFonts w:hint="default"/>
      </w:rPr>
    </w:lvl>
    <w:lvl w:ilvl="1">
      <w:start w:val="1"/>
      <w:numFmt w:val="decimal"/>
      <w:lvlText w:val="%1.%2."/>
      <w:lvlJc w:val="left"/>
      <w:pPr>
        <w:ind w:left="692" w:hanging="540"/>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2388" w:hanging="540"/>
      </w:pPr>
      <w:rPr>
        <w:rFonts w:hint="default"/>
      </w:rPr>
    </w:lvl>
    <w:lvl w:ilvl="3">
      <w:start w:val="1"/>
      <w:numFmt w:val="bullet"/>
      <w:lvlText w:val="•"/>
      <w:lvlJc w:val="left"/>
      <w:pPr>
        <w:ind w:left="3232" w:hanging="540"/>
      </w:pPr>
      <w:rPr>
        <w:rFonts w:hint="default"/>
      </w:rPr>
    </w:lvl>
    <w:lvl w:ilvl="4">
      <w:start w:val="1"/>
      <w:numFmt w:val="bullet"/>
      <w:lvlText w:val="•"/>
      <w:lvlJc w:val="left"/>
      <w:pPr>
        <w:ind w:left="4076" w:hanging="540"/>
      </w:pPr>
      <w:rPr>
        <w:rFonts w:hint="default"/>
      </w:rPr>
    </w:lvl>
    <w:lvl w:ilvl="5">
      <w:start w:val="1"/>
      <w:numFmt w:val="bullet"/>
      <w:lvlText w:val="•"/>
      <w:lvlJc w:val="left"/>
      <w:pPr>
        <w:ind w:left="4920" w:hanging="540"/>
      </w:pPr>
      <w:rPr>
        <w:rFonts w:hint="default"/>
      </w:rPr>
    </w:lvl>
    <w:lvl w:ilvl="6">
      <w:start w:val="1"/>
      <w:numFmt w:val="bullet"/>
      <w:lvlText w:val="•"/>
      <w:lvlJc w:val="left"/>
      <w:pPr>
        <w:ind w:left="5764" w:hanging="540"/>
      </w:pPr>
      <w:rPr>
        <w:rFonts w:hint="default"/>
      </w:rPr>
    </w:lvl>
    <w:lvl w:ilvl="7">
      <w:start w:val="1"/>
      <w:numFmt w:val="bullet"/>
      <w:lvlText w:val="•"/>
      <w:lvlJc w:val="left"/>
      <w:pPr>
        <w:ind w:left="6608" w:hanging="540"/>
      </w:pPr>
      <w:rPr>
        <w:rFonts w:hint="default"/>
      </w:rPr>
    </w:lvl>
    <w:lvl w:ilvl="8">
      <w:start w:val="1"/>
      <w:numFmt w:val="bullet"/>
      <w:lvlText w:val="•"/>
      <w:lvlJc w:val="left"/>
      <w:pPr>
        <w:ind w:left="7452" w:hanging="540"/>
      </w:pPr>
      <w:rPr>
        <w:rFonts w:hint="default"/>
      </w:rPr>
    </w:lvl>
  </w:abstractNum>
  <w:abstractNum w:abstractNumId="10">
    <w:multiLevelType w:val="hybridMultilevel"/>
    <w:lvl w:ilvl="0">
      <w:start w:val="8"/>
      <w:numFmt w:val="upperRoman"/>
      <w:lvlText w:val="%1."/>
      <w:lvlJc w:val="left"/>
      <w:pPr>
        <w:ind w:left="3897" w:hanging="574"/>
        <w:jc w:val="right"/>
      </w:pPr>
      <w:rPr>
        <w:rFonts w:hint="default" w:ascii="Times New Roman" w:hAnsi="Times New Roman" w:eastAsia="Times New Roman" w:cs="Times New Roman"/>
        <w:b/>
        <w:bCs/>
        <w:w w:val="99"/>
        <w:sz w:val="24"/>
        <w:szCs w:val="24"/>
      </w:rPr>
    </w:lvl>
    <w:lvl w:ilvl="1">
      <w:start w:val="1"/>
      <w:numFmt w:val="bullet"/>
      <w:lvlText w:val="•"/>
      <w:lvlJc w:val="left"/>
      <w:pPr>
        <w:ind w:left="4424" w:hanging="574"/>
      </w:pPr>
      <w:rPr>
        <w:rFonts w:hint="default"/>
      </w:rPr>
    </w:lvl>
    <w:lvl w:ilvl="2">
      <w:start w:val="1"/>
      <w:numFmt w:val="bullet"/>
      <w:lvlText w:val="•"/>
      <w:lvlJc w:val="left"/>
      <w:pPr>
        <w:ind w:left="4948" w:hanging="574"/>
      </w:pPr>
      <w:rPr>
        <w:rFonts w:hint="default"/>
      </w:rPr>
    </w:lvl>
    <w:lvl w:ilvl="3">
      <w:start w:val="1"/>
      <w:numFmt w:val="bullet"/>
      <w:lvlText w:val="•"/>
      <w:lvlJc w:val="left"/>
      <w:pPr>
        <w:ind w:left="5472" w:hanging="574"/>
      </w:pPr>
      <w:rPr>
        <w:rFonts w:hint="default"/>
      </w:rPr>
    </w:lvl>
    <w:lvl w:ilvl="4">
      <w:start w:val="1"/>
      <w:numFmt w:val="bullet"/>
      <w:lvlText w:val="•"/>
      <w:lvlJc w:val="left"/>
      <w:pPr>
        <w:ind w:left="5996" w:hanging="574"/>
      </w:pPr>
      <w:rPr>
        <w:rFonts w:hint="default"/>
      </w:rPr>
    </w:lvl>
    <w:lvl w:ilvl="5">
      <w:start w:val="1"/>
      <w:numFmt w:val="bullet"/>
      <w:lvlText w:val="•"/>
      <w:lvlJc w:val="left"/>
      <w:pPr>
        <w:ind w:left="6520" w:hanging="574"/>
      </w:pPr>
      <w:rPr>
        <w:rFonts w:hint="default"/>
      </w:rPr>
    </w:lvl>
    <w:lvl w:ilvl="6">
      <w:start w:val="1"/>
      <w:numFmt w:val="bullet"/>
      <w:lvlText w:val="•"/>
      <w:lvlJc w:val="left"/>
      <w:pPr>
        <w:ind w:left="7044" w:hanging="574"/>
      </w:pPr>
      <w:rPr>
        <w:rFonts w:hint="default"/>
      </w:rPr>
    </w:lvl>
    <w:lvl w:ilvl="7">
      <w:start w:val="1"/>
      <w:numFmt w:val="bullet"/>
      <w:lvlText w:val="•"/>
      <w:lvlJc w:val="left"/>
      <w:pPr>
        <w:ind w:left="7568" w:hanging="574"/>
      </w:pPr>
      <w:rPr>
        <w:rFonts w:hint="default"/>
      </w:rPr>
    </w:lvl>
    <w:lvl w:ilvl="8">
      <w:start w:val="1"/>
      <w:numFmt w:val="bullet"/>
      <w:lvlText w:val="•"/>
      <w:lvlJc w:val="left"/>
      <w:pPr>
        <w:ind w:left="8092" w:hanging="574"/>
      </w:pPr>
      <w:rPr>
        <w:rFonts w:hint="default"/>
      </w:rPr>
    </w:lvl>
  </w:abstractNum>
  <w:abstractNum w:abstractNumId="9">
    <w:multiLevelType w:val="hybridMultilevel"/>
    <w:lvl w:ilvl="0">
      <w:start w:val="1"/>
      <w:numFmt w:val="decimal"/>
      <w:lvlText w:val="%1."/>
      <w:lvlJc w:val="left"/>
      <w:pPr>
        <w:ind w:left="394" w:hanging="243"/>
        <w:jc w:val="left"/>
      </w:pPr>
      <w:rPr>
        <w:rFonts w:hint="default"/>
        <w:w w:val="100"/>
      </w:rPr>
    </w:lvl>
    <w:lvl w:ilvl="1">
      <w:start w:val="1"/>
      <w:numFmt w:val="decimal"/>
      <w:lvlText w:val="%1.%2."/>
      <w:lvlJc w:val="left"/>
      <w:pPr>
        <w:ind w:left="572" w:hanging="420"/>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1531" w:hanging="420"/>
      </w:pPr>
      <w:rPr>
        <w:rFonts w:hint="default"/>
      </w:rPr>
    </w:lvl>
    <w:lvl w:ilvl="3">
      <w:start w:val="1"/>
      <w:numFmt w:val="bullet"/>
      <w:lvlText w:val="•"/>
      <w:lvlJc w:val="left"/>
      <w:pPr>
        <w:ind w:left="2482" w:hanging="420"/>
      </w:pPr>
      <w:rPr>
        <w:rFonts w:hint="default"/>
      </w:rPr>
    </w:lvl>
    <w:lvl w:ilvl="4">
      <w:start w:val="1"/>
      <w:numFmt w:val="bullet"/>
      <w:lvlText w:val="•"/>
      <w:lvlJc w:val="left"/>
      <w:pPr>
        <w:ind w:left="3433" w:hanging="420"/>
      </w:pPr>
      <w:rPr>
        <w:rFonts w:hint="default"/>
      </w:rPr>
    </w:lvl>
    <w:lvl w:ilvl="5">
      <w:start w:val="1"/>
      <w:numFmt w:val="bullet"/>
      <w:lvlText w:val="•"/>
      <w:lvlJc w:val="left"/>
      <w:pPr>
        <w:ind w:left="4384" w:hanging="420"/>
      </w:pPr>
      <w:rPr>
        <w:rFonts w:hint="default"/>
      </w:rPr>
    </w:lvl>
    <w:lvl w:ilvl="6">
      <w:start w:val="1"/>
      <w:numFmt w:val="bullet"/>
      <w:lvlText w:val="•"/>
      <w:lvlJc w:val="left"/>
      <w:pPr>
        <w:ind w:left="5335" w:hanging="420"/>
      </w:pPr>
      <w:rPr>
        <w:rFonts w:hint="default"/>
      </w:rPr>
    </w:lvl>
    <w:lvl w:ilvl="7">
      <w:start w:val="1"/>
      <w:numFmt w:val="bullet"/>
      <w:lvlText w:val="•"/>
      <w:lvlJc w:val="left"/>
      <w:pPr>
        <w:ind w:left="6286" w:hanging="420"/>
      </w:pPr>
      <w:rPr>
        <w:rFonts w:hint="default"/>
      </w:rPr>
    </w:lvl>
    <w:lvl w:ilvl="8">
      <w:start w:val="1"/>
      <w:numFmt w:val="bullet"/>
      <w:lvlText w:val="•"/>
      <w:lvlJc w:val="left"/>
      <w:pPr>
        <w:ind w:left="7237" w:hanging="420"/>
      </w:pPr>
      <w:rPr>
        <w:rFonts w:hint="default"/>
      </w:rPr>
    </w:lvl>
  </w:abstractNum>
  <w:abstractNum w:abstractNumId="8">
    <w:multiLevelType w:val="hybridMultilevel"/>
    <w:lvl w:ilvl="0">
      <w:start w:val="1"/>
      <w:numFmt w:val="decimal"/>
      <w:lvlText w:val="%1)"/>
      <w:lvlJc w:val="left"/>
      <w:pPr>
        <w:ind w:left="152" w:hanging="348"/>
        <w:jc w:val="left"/>
      </w:pPr>
      <w:rPr>
        <w:rFonts w:hint="default" w:ascii="Times New Roman" w:hAnsi="Times New Roman" w:eastAsia="Times New Roman" w:cs="Times New Roman"/>
        <w:spacing w:val="-30"/>
        <w:w w:val="99"/>
        <w:position w:val="2"/>
        <w:sz w:val="24"/>
        <w:szCs w:val="24"/>
      </w:rPr>
    </w:lvl>
    <w:lvl w:ilvl="1">
      <w:start w:val="1"/>
      <w:numFmt w:val="lowerLetter"/>
      <w:lvlText w:val="%2)"/>
      <w:lvlJc w:val="left"/>
      <w:pPr>
        <w:ind w:left="1105" w:hanging="246"/>
        <w:jc w:val="left"/>
      </w:pPr>
      <w:rPr>
        <w:rFonts w:hint="default" w:ascii="Times New Roman" w:hAnsi="Times New Roman" w:eastAsia="Times New Roman" w:cs="Times New Roman"/>
        <w:spacing w:val="-17"/>
        <w:w w:val="99"/>
        <w:position w:val="2"/>
        <w:sz w:val="24"/>
        <w:szCs w:val="24"/>
      </w:rPr>
    </w:lvl>
    <w:lvl w:ilvl="2">
      <w:start w:val="1"/>
      <w:numFmt w:val="bullet"/>
      <w:lvlText w:val="•"/>
      <w:lvlJc w:val="left"/>
      <w:pPr>
        <w:ind w:left="1993" w:hanging="246"/>
      </w:pPr>
      <w:rPr>
        <w:rFonts w:hint="default"/>
      </w:rPr>
    </w:lvl>
    <w:lvl w:ilvl="3">
      <w:start w:val="1"/>
      <w:numFmt w:val="bullet"/>
      <w:lvlText w:val="•"/>
      <w:lvlJc w:val="left"/>
      <w:pPr>
        <w:ind w:left="2886" w:hanging="246"/>
      </w:pPr>
      <w:rPr>
        <w:rFonts w:hint="default"/>
      </w:rPr>
    </w:lvl>
    <w:lvl w:ilvl="4">
      <w:start w:val="1"/>
      <w:numFmt w:val="bullet"/>
      <w:lvlText w:val="•"/>
      <w:lvlJc w:val="left"/>
      <w:pPr>
        <w:ind w:left="3780" w:hanging="246"/>
      </w:pPr>
      <w:rPr>
        <w:rFonts w:hint="default"/>
      </w:rPr>
    </w:lvl>
    <w:lvl w:ilvl="5">
      <w:start w:val="1"/>
      <w:numFmt w:val="bullet"/>
      <w:lvlText w:val="•"/>
      <w:lvlJc w:val="left"/>
      <w:pPr>
        <w:ind w:left="4673" w:hanging="246"/>
      </w:pPr>
      <w:rPr>
        <w:rFonts w:hint="default"/>
      </w:rPr>
    </w:lvl>
    <w:lvl w:ilvl="6">
      <w:start w:val="1"/>
      <w:numFmt w:val="bullet"/>
      <w:lvlText w:val="•"/>
      <w:lvlJc w:val="left"/>
      <w:pPr>
        <w:ind w:left="5566" w:hanging="246"/>
      </w:pPr>
      <w:rPr>
        <w:rFonts w:hint="default"/>
      </w:rPr>
    </w:lvl>
    <w:lvl w:ilvl="7">
      <w:start w:val="1"/>
      <w:numFmt w:val="bullet"/>
      <w:lvlText w:val="•"/>
      <w:lvlJc w:val="left"/>
      <w:pPr>
        <w:ind w:left="6460" w:hanging="246"/>
      </w:pPr>
      <w:rPr>
        <w:rFonts w:hint="default"/>
      </w:rPr>
    </w:lvl>
    <w:lvl w:ilvl="8">
      <w:start w:val="1"/>
      <w:numFmt w:val="bullet"/>
      <w:lvlText w:val="•"/>
      <w:lvlJc w:val="left"/>
      <w:pPr>
        <w:ind w:left="7353" w:hanging="246"/>
      </w:pPr>
      <w:rPr>
        <w:rFonts w:hint="default"/>
      </w:rPr>
    </w:lvl>
  </w:abstractNum>
  <w:abstractNum w:abstractNumId="7">
    <w:multiLevelType w:val="hybridMultilevel"/>
    <w:lvl w:ilvl="0">
      <w:start w:val="6"/>
      <w:numFmt w:val="decimal"/>
      <w:lvlText w:val="%1"/>
      <w:lvlJc w:val="left"/>
      <w:pPr>
        <w:ind w:left="572" w:hanging="420"/>
        <w:jc w:val="left"/>
      </w:pPr>
      <w:rPr>
        <w:rFonts w:hint="default"/>
      </w:rPr>
    </w:lvl>
    <w:lvl w:ilvl="1">
      <w:start w:val="1"/>
      <w:numFmt w:val="decimal"/>
      <w:lvlText w:val="%1.%2."/>
      <w:lvlJc w:val="left"/>
      <w:pPr>
        <w:ind w:left="572" w:hanging="420"/>
        <w:jc w:val="left"/>
      </w:pPr>
      <w:rPr>
        <w:rFonts w:hint="default" w:ascii="Times New Roman" w:hAnsi="Times New Roman" w:eastAsia="Times New Roman" w:cs="Times New Roman"/>
        <w:b/>
        <w:bCs/>
        <w:w w:val="100"/>
        <w:sz w:val="24"/>
        <w:szCs w:val="24"/>
      </w:rPr>
    </w:lvl>
    <w:lvl w:ilvl="2">
      <w:start w:val="1"/>
      <w:numFmt w:val="bullet"/>
      <w:lvlText w:val="•"/>
      <w:lvlJc w:val="left"/>
      <w:pPr>
        <w:ind w:left="2292" w:hanging="420"/>
      </w:pPr>
      <w:rPr>
        <w:rFonts w:hint="default"/>
      </w:rPr>
    </w:lvl>
    <w:lvl w:ilvl="3">
      <w:start w:val="1"/>
      <w:numFmt w:val="bullet"/>
      <w:lvlText w:val="•"/>
      <w:lvlJc w:val="left"/>
      <w:pPr>
        <w:ind w:left="3148" w:hanging="420"/>
      </w:pPr>
      <w:rPr>
        <w:rFonts w:hint="default"/>
      </w:rPr>
    </w:lvl>
    <w:lvl w:ilvl="4">
      <w:start w:val="1"/>
      <w:numFmt w:val="bullet"/>
      <w:lvlText w:val="•"/>
      <w:lvlJc w:val="left"/>
      <w:pPr>
        <w:ind w:left="4004" w:hanging="420"/>
      </w:pPr>
      <w:rPr>
        <w:rFonts w:hint="default"/>
      </w:rPr>
    </w:lvl>
    <w:lvl w:ilvl="5">
      <w:start w:val="1"/>
      <w:numFmt w:val="bullet"/>
      <w:lvlText w:val="•"/>
      <w:lvlJc w:val="left"/>
      <w:pPr>
        <w:ind w:left="4860" w:hanging="420"/>
      </w:pPr>
      <w:rPr>
        <w:rFonts w:hint="default"/>
      </w:rPr>
    </w:lvl>
    <w:lvl w:ilvl="6">
      <w:start w:val="1"/>
      <w:numFmt w:val="bullet"/>
      <w:lvlText w:val="•"/>
      <w:lvlJc w:val="left"/>
      <w:pPr>
        <w:ind w:left="5716" w:hanging="420"/>
      </w:pPr>
      <w:rPr>
        <w:rFonts w:hint="default"/>
      </w:rPr>
    </w:lvl>
    <w:lvl w:ilvl="7">
      <w:start w:val="1"/>
      <w:numFmt w:val="bullet"/>
      <w:lvlText w:val="•"/>
      <w:lvlJc w:val="left"/>
      <w:pPr>
        <w:ind w:left="6572" w:hanging="420"/>
      </w:pPr>
      <w:rPr>
        <w:rFonts w:hint="default"/>
      </w:rPr>
    </w:lvl>
    <w:lvl w:ilvl="8">
      <w:start w:val="1"/>
      <w:numFmt w:val="bullet"/>
      <w:lvlText w:val="•"/>
      <w:lvlJc w:val="left"/>
      <w:pPr>
        <w:ind w:left="7428" w:hanging="420"/>
      </w:pPr>
      <w:rPr>
        <w:rFonts w:hint="default"/>
      </w:rPr>
    </w:lvl>
  </w:abstractNum>
  <w:abstractNum w:abstractNumId="6">
    <w:multiLevelType w:val="hybridMultilevel"/>
    <w:lvl w:ilvl="0">
      <w:start w:val="1"/>
      <w:numFmt w:val="bullet"/>
      <w:lvlText w:val=""/>
      <w:lvlJc w:val="left"/>
      <w:pPr>
        <w:ind w:left="512" w:hanging="360"/>
      </w:pPr>
      <w:rPr>
        <w:rFonts w:hint="default" w:ascii="Symbol" w:hAnsi="Symbol" w:eastAsia="Symbol" w:cs="Symbol"/>
        <w:w w:val="100"/>
        <w:sz w:val="24"/>
        <w:szCs w:val="24"/>
      </w:rPr>
    </w:lvl>
    <w:lvl w:ilvl="1">
      <w:start w:val="1"/>
      <w:numFmt w:val="bullet"/>
      <w:lvlText w:val="•"/>
      <w:lvlJc w:val="left"/>
      <w:pPr>
        <w:ind w:left="1382" w:hanging="360"/>
      </w:pPr>
      <w:rPr>
        <w:rFonts w:hint="default"/>
      </w:rPr>
    </w:lvl>
    <w:lvl w:ilvl="2">
      <w:start w:val="1"/>
      <w:numFmt w:val="bullet"/>
      <w:lvlText w:val="•"/>
      <w:lvlJc w:val="left"/>
      <w:pPr>
        <w:ind w:left="2244" w:hanging="360"/>
      </w:pPr>
      <w:rPr>
        <w:rFonts w:hint="default"/>
      </w:rPr>
    </w:lvl>
    <w:lvl w:ilvl="3">
      <w:start w:val="1"/>
      <w:numFmt w:val="bullet"/>
      <w:lvlText w:val="•"/>
      <w:lvlJc w:val="left"/>
      <w:pPr>
        <w:ind w:left="3106" w:hanging="360"/>
      </w:pPr>
      <w:rPr>
        <w:rFonts w:hint="default"/>
      </w:rPr>
    </w:lvl>
    <w:lvl w:ilvl="4">
      <w:start w:val="1"/>
      <w:numFmt w:val="bullet"/>
      <w:lvlText w:val="•"/>
      <w:lvlJc w:val="left"/>
      <w:pPr>
        <w:ind w:left="3968" w:hanging="360"/>
      </w:pPr>
      <w:rPr>
        <w:rFonts w:hint="default"/>
      </w:rPr>
    </w:lvl>
    <w:lvl w:ilvl="5">
      <w:start w:val="1"/>
      <w:numFmt w:val="bullet"/>
      <w:lvlText w:val="•"/>
      <w:lvlJc w:val="left"/>
      <w:pPr>
        <w:ind w:left="4830" w:hanging="360"/>
      </w:pPr>
      <w:rPr>
        <w:rFonts w:hint="default"/>
      </w:rPr>
    </w:lvl>
    <w:lvl w:ilvl="6">
      <w:start w:val="1"/>
      <w:numFmt w:val="bullet"/>
      <w:lvlText w:val="•"/>
      <w:lvlJc w:val="left"/>
      <w:pPr>
        <w:ind w:left="5692" w:hanging="360"/>
      </w:pPr>
      <w:rPr>
        <w:rFonts w:hint="default"/>
      </w:rPr>
    </w:lvl>
    <w:lvl w:ilvl="7">
      <w:start w:val="1"/>
      <w:numFmt w:val="bullet"/>
      <w:lvlText w:val="•"/>
      <w:lvlJc w:val="left"/>
      <w:pPr>
        <w:ind w:left="6554" w:hanging="360"/>
      </w:pPr>
      <w:rPr>
        <w:rFonts w:hint="default"/>
      </w:rPr>
    </w:lvl>
    <w:lvl w:ilvl="8">
      <w:start w:val="1"/>
      <w:numFmt w:val="bullet"/>
      <w:lvlText w:val="•"/>
      <w:lvlJc w:val="left"/>
      <w:pPr>
        <w:ind w:left="7416" w:hanging="360"/>
      </w:pPr>
      <w:rPr>
        <w:rFonts w:hint="default"/>
      </w:rPr>
    </w:lvl>
  </w:abstractNum>
  <w:abstractNum w:abstractNumId="5">
    <w:multiLevelType w:val="hybridMultilevel"/>
    <w:lvl w:ilvl="0">
      <w:start w:val="2"/>
      <w:numFmt w:val="decimal"/>
      <w:lvlText w:val="%1"/>
      <w:lvlJc w:val="left"/>
      <w:pPr>
        <w:ind w:left="572" w:hanging="420"/>
        <w:jc w:val="left"/>
      </w:pPr>
      <w:rPr>
        <w:rFonts w:hint="default"/>
      </w:rPr>
    </w:lvl>
    <w:lvl w:ilvl="1">
      <w:start w:val="1"/>
      <w:numFmt w:val="decimal"/>
      <w:lvlText w:val="%1.%2."/>
      <w:lvlJc w:val="left"/>
      <w:pPr>
        <w:ind w:left="572" w:hanging="42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752" w:hanging="600"/>
        <w:jc w:val="left"/>
      </w:pPr>
      <w:rPr>
        <w:rFonts w:hint="default"/>
        <w:b/>
        <w:bCs/>
        <w:w w:val="100"/>
      </w:rPr>
    </w:lvl>
    <w:lvl w:ilvl="3">
      <w:start w:val="1"/>
      <w:numFmt w:val="bullet"/>
      <w:lvlText w:val="•"/>
      <w:lvlJc w:val="left"/>
      <w:pPr>
        <w:ind w:left="2622" w:hanging="600"/>
      </w:pPr>
      <w:rPr>
        <w:rFonts w:hint="default"/>
      </w:rPr>
    </w:lvl>
    <w:lvl w:ilvl="4">
      <w:start w:val="1"/>
      <w:numFmt w:val="bullet"/>
      <w:lvlText w:val="•"/>
      <w:lvlJc w:val="left"/>
      <w:pPr>
        <w:ind w:left="3553" w:hanging="600"/>
      </w:pPr>
      <w:rPr>
        <w:rFonts w:hint="default"/>
      </w:rPr>
    </w:lvl>
    <w:lvl w:ilvl="5">
      <w:start w:val="1"/>
      <w:numFmt w:val="bullet"/>
      <w:lvlText w:val="•"/>
      <w:lvlJc w:val="left"/>
      <w:pPr>
        <w:ind w:left="4484" w:hanging="600"/>
      </w:pPr>
      <w:rPr>
        <w:rFonts w:hint="default"/>
      </w:rPr>
    </w:lvl>
    <w:lvl w:ilvl="6">
      <w:start w:val="1"/>
      <w:numFmt w:val="bullet"/>
      <w:lvlText w:val="•"/>
      <w:lvlJc w:val="left"/>
      <w:pPr>
        <w:ind w:left="5415" w:hanging="600"/>
      </w:pPr>
      <w:rPr>
        <w:rFonts w:hint="default"/>
      </w:rPr>
    </w:lvl>
    <w:lvl w:ilvl="7">
      <w:start w:val="1"/>
      <w:numFmt w:val="bullet"/>
      <w:lvlText w:val="•"/>
      <w:lvlJc w:val="left"/>
      <w:pPr>
        <w:ind w:left="6346" w:hanging="600"/>
      </w:pPr>
      <w:rPr>
        <w:rFonts w:hint="default"/>
      </w:rPr>
    </w:lvl>
    <w:lvl w:ilvl="8">
      <w:start w:val="1"/>
      <w:numFmt w:val="bullet"/>
      <w:lvlText w:val="•"/>
      <w:lvlJc w:val="left"/>
      <w:pPr>
        <w:ind w:left="7277" w:hanging="600"/>
      </w:pPr>
      <w:rPr>
        <w:rFonts w:hint="default"/>
      </w:rPr>
    </w:lvl>
  </w:abstractNum>
  <w:abstractNum w:abstractNumId="4">
    <w:multiLevelType w:val="hybridMultilevel"/>
    <w:lvl w:ilvl="0">
      <w:start w:val="50"/>
      <w:numFmt w:val="decimal"/>
      <w:lvlText w:val="%1"/>
      <w:lvlJc w:val="left"/>
      <w:pPr>
        <w:ind w:left="152" w:hanging="526"/>
        <w:jc w:val="left"/>
      </w:pPr>
      <w:rPr>
        <w:rFonts w:hint="default"/>
      </w:rPr>
    </w:lvl>
    <w:lvl w:ilvl="1">
      <w:start w:val="7"/>
      <w:numFmt w:val="decimal"/>
      <w:lvlText w:val="%1.%2"/>
      <w:lvlJc w:val="left"/>
      <w:pPr>
        <w:ind w:left="152" w:hanging="526"/>
        <w:jc w:val="left"/>
      </w:pPr>
      <w:rPr>
        <w:rFonts w:hint="default" w:ascii="Times New Roman" w:hAnsi="Times New Roman" w:eastAsia="Times New Roman" w:cs="Times New Roman"/>
        <w:spacing w:val="-30"/>
        <w:w w:val="99"/>
        <w:sz w:val="24"/>
        <w:szCs w:val="24"/>
      </w:rPr>
    </w:lvl>
    <w:lvl w:ilvl="2">
      <w:start w:val="1"/>
      <w:numFmt w:val="upperRoman"/>
      <w:lvlText w:val="%3."/>
      <w:lvlJc w:val="left"/>
      <w:pPr>
        <w:ind w:left="3712" w:hanging="214"/>
        <w:jc w:val="right"/>
      </w:pPr>
      <w:rPr>
        <w:rFonts w:hint="default" w:ascii="Times New Roman" w:hAnsi="Times New Roman" w:eastAsia="Times New Roman" w:cs="Times New Roman"/>
        <w:b/>
        <w:bCs/>
        <w:w w:val="99"/>
        <w:sz w:val="24"/>
        <w:szCs w:val="24"/>
      </w:rPr>
    </w:lvl>
    <w:lvl w:ilvl="3">
      <w:start w:val="1"/>
      <w:numFmt w:val="bullet"/>
      <w:lvlText w:val="•"/>
      <w:lvlJc w:val="left"/>
      <w:pPr>
        <w:ind w:left="4924" w:hanging="214"/>
      </w:pPr>
      <w:rPr>
        <w:rFonts w:hint="default"/>
      </w:rPr>
    </w:lvl>
    <w:lvl w:ilvl="4">
      <w:start w:val="1"/>
      <w:numFmt w:val="bullet"/>
      <w:lvlText w:val="•"/>
      <w:lvlJc w:val="left"/>
      <w:pPr>
        <w:ind w:left="5526" w:hanging="214"/>
      </w:pPr>
      <w:rPr>
        <w:rFonts w:hint="default"/>
      </w:rPr>
    </w:lvl>
    <w:lvl w:ilvl="5">
      <w:start w:val="1"/>
      <w:numFmt w:val="bullet"/>
      <w:lvlText w:val="•"/>
      <w:lvlJc w:val="left"/>
      <w:pPr>
        <w:ind w:left="6128" w:hanging="214"/>
      </w:pPr>
      <w:rPr>
        <w:rFonts w:hint="default"/>
      </w:rPr>
    </w:lvl>
    <w:lvl w:ilvl="6">
      <w:start w:val="1"/>
      <w:numFmt w:val="bullet"/>
      <w:lvlText w:val="•"/>
      <w:lvlJc w:val="left"/>
      <w:pPr>
        <w:ind w:left="6731" w:hanging="214"/>
      </w:pPr>
      <w:rPr>
        <w:rFonts w:hint="default"/>
      </w:rPr>
    </w:lvl>
    <w:lvl w:ilvl="7">
      <w:start w:val="1"/>
      <w:numFmt w:val="bullet"/>
      <w:lvlText w:val="•"/>
      <w:lvlJc w:val="left"/>
      <w:pPr>
        <w:ind w:left="7333" w:hanging="214"/>
      </w:pPr>
      <w:rPr>
        <w:rFonts w:hint="default"/>
      </w:rPr>
    </w:lvl>
    <w:lvl w:ilvl="8">
      <w:start w:val="1"/>
      <w:numFmt w:val="bullet"/>
      <w:lvlText w:val="•"/>
      <w:lvlJc w:val="left"/>
      <w:pPr>
        <w:ind w:left="7935" w:hanging="214"/>
      </w:pPr>
      <w:rPr>
        <w:rFonts w:hint="default"/>
      </w:rPr>
    </w:lvl>
  </w:abstractNum>
  <w:abstractNum w:abstractNumId="3">
    <w:multiLevelType w:val="hybridMultilevel"/>
    <w:lvl w:ilvl="0">
      <w:start w:val="10"/>
      <w:numFmt w:val="decimal"/>
      <w:lvlText w:val="%1"/>
      <w:lvlJc w:val="left"/>
      <w:pPr>
        <w:ind w:left="870" w:hanging="497"/>
        <w:jc w:val="left"/>
      </w:pPr>
      <w:rPr>
        <w:rFonts w:hint="default"/>
      </w:rPr>
    </w:lvl>
    <w:lvl w:ilvl="1">
      <w:start w:val="1"/>
      <w:numFmt w:val="decimal"/>
      <w:lvlText w:val="%1.%2."/>
      <w:lvlJc w:val="left"/>
      <w:pPr>
        <w:ind w:left="870" w:hanging="497"/>
        <w:jc w:val="left"/>
      </w:pPr>
      <w:rPr>
        <w:rFonts w:hint="default" w:ascii="Times New Roman" w:hAnsi="Times New Roman" w:eastAsia="Times New Roman" w:cs="Times New Roman"/>
        <w:b/>
        <w:bCs/>
        <w:w w:val="100"/>
        <w:sz w:val="22"/>
        <w:szCs w:val="22"/>
      </w:rPr>
    </w:lvl>
    <w:lvl w:ilvl="2">
      <w:start w:val="1"/>
      <w:numFmt w:val="bullet"/>
      <w:lvlText w:val="•"/>
      <w:lvlJc w:val="left"/>
      <w:pPr>
        <w:ind w:left="2532" w:hanging="497"/>
      </w:pPr>
      <w:rPr>
        <w:rFonts w:hint="default"/>
      </w:rPr>
    </w:lvl>
    <w:lvl w:ilvl="3">
      <w:start w:val="1"/>
      <w:numFmt w:val="bullet"/>
      <w:lvlText w:val="•"/>
      <w:lvlJc w:val="left"/>
      <w:pPr>
        <w:ind w:left="3358" w:hanging="497"/>
      </w:pPr>
      <w:rPr>
        <w:rFonts w:hint="default"/>
      </w:rPr>
    </w:lvl>
    <w:lvl w:ilvl="4">
      <w:start w:val="1"/>
      <w:numFmt w:val="bullet"/>
      <w:lvlText w:val="•"/>
      <w:lvlJc w:val="left"/>
      <w:pPr>
        <w:ind w:left="4184" w:hanging="497"/>
      </w:pPr>
      <w:rPr>
        <w:rFonts w:hint="default"/>
      </w:rPr>
    </w:lvl>
    <w:lvl w:ilvl="5">
      <w:start w:val="1"/>
      <w:numFmt w:val="bullet"/>
      <w:lvlText w:val="•"/>
      <w:lvlJc w:val="left"/>
      <w:pPr>
        <w:ind w:left="5010" w:hanging="497"/>
      </w:pPr>
      <w:rPr>
        <w:rFonts w:hint="default"/>
      </w:rPr>
    </w:lvl>
    <w:lvl w:ilvl="6">
      <w:start w:val="1"/>
      <w:numFmt w:val="bullet"/>
      <w:lvlText w:val="•"/>
      <w:lvlJc w:val="left"/>
      <w:pPr>
        <w:ind w:left="5836" w:hanging="497"/>
      </w:pPr>
      <w:rPr>
        <w:rFonts w:hint="default"/>
      </w:rPr>
    </w:lvl>
    <w:lvl w:ilvl="7">
      <w:start w:val="1"/>
      <w:numFmt w:val="bullet"/>
      <w:lvlText w:val="•"/>
      <w:lvlJc w:val="left"/>
      <w:pPr>
        <w:ind w:left="6662" w:hanging="497"/>
      </w:pPr>
      <w:rPr>
        <w:rFonts w:hint="default"/>
      </w:rPr>
    </w:lvl>
    <w:lvl w:ilvl="8">
      <w:start w:val="1"/>
      <w:numFmt w:val="bullet"/>
      <w:lvlText w:val="•"/>
      <w:lvlJc w:val="left"/>
      <w:pPr>
        <w:ind w:left="7488" w:hanging="497"/>
      </w:pPr>
      <w:rPr>
        <w:rFonts w:hint="default"/>
      </w:rPr>
    </w:lvl>
  </w:abstractNum>
  <w:abstractNum w:abstractNumId="2">
    <w:multiLevelType w:val="hybridMultilevel"/>
    <w:lvl w:ilvl="0">
      <w:start w:val="6"/>
      <w:numFmt w:val="decimal"/>
      <w:lvlText w:val="%1"/>
      <w:lvlJc w:val="left"/>
      <w:pPr>
        <w:ind w:left="759" w:hanging="387"/>
        <w:jc w:val="left"/>
      </w:pPr>
      <w:rPr>
        <w:rFonts w:hint="default"/>
      </w:rPr>
    </w:lvl>
    <w:lvl w:ilvl="1">
      <w:start w:val="1"/>
      <w:numFmt w:val="decimal"/>
      <w:lvlText w:val="%1.%2."/>
      <w:lvlJc w:val="left"/>
      <w:pPr>
        <w:ind w:left="759" w:hanging="387"/>
        <w:jc w:val="left"/>
      </w:pPr>
      <w:rPr>
        <w:rFonts w:hint="default" w:ascii="Times New Roman" w:hAnsi="Times New Roman" w:eastAsia="Times New Roman" w:cs="Times New Roman"/>
        <w:b/>
        <w:bCs/>
        <w:w w:val="100"/>
        <w:sz w:val="22"/>
        <w:szCs w:val="22"/>
      </w:rPr>
    </w:lvl>
    <w:lvl w:ilvl="2">
      <w:start w:val="1"/>
      <w:numFmt w:val="bullet"/>
      <w:lvlText w:val="•"/>
      <w:lvlJc w:val="left"/>
      <w:pPr>
        <w:ind w:left="2436" w:hanging="387"/>
      </w:pPr>
      <w:rPr>
        <w:rFonts w:hint="default"/>
      </w:rPr>
    </w:lvl>
    <w:lvl w:ilvl="3">
      <w:start w:val="1"/>
      <w:numFmt w:val="bullet"/>
      <w:lvlText w:val="•"/>
      <w:lvlJc w:val="left"/>
      <w:pPr>
        <w:ind w:left="3274" w:hanging="387"/>
      </w:pPr>
      <w:rPr>
        <w:rFonts w:hint="default"/>
      </w:rPr>
    </w:lvl>
    <w:lvl w:ilvl="4">
      <w:start w:val="1"/>
      <w:numFmt w:val="bullet"/>
      <w:lvlText w:val="•"/>
      <w:lvlJc w:val="left"/>
      <w:pPr>
        <w:ind w:left="4112" w:hanging="387"/>
      </w:pPr>
      <w:rPr>
        <w:rFonts w:hint="default"/>
      </w:rPr>
    </w:lvl>
    <w:lvl w:ilvl="5">
      <w:start w:val="1"/>
      <w:numFmt w:val="bullet"/>
      <w:lvlText w:val="•"/>
      <w:lvlJc w:val="left"/>
      <w:pPr>
        <w:ind w:left="4950" w:hanging="387"/>
      </w:pPr>
      <w:rPr>
        <w:rFonts w:hint="default"/>
      </w:rPr>
    </w:lvl>
    <w:lvl w:ilvl="6">
      <w:start w:val="1"/>
      <w:numFmt w:val="bullet"/>
      <w:lvlText w:val="•"/>
      <w:lvlJc w:val="left"/>
      <w:pPr>
        <w:ind w:left="5788" w:hanging="387"/>
      </w:pPr>
      <w:rPr>
        <w:rFonts w:hint="default"/>
      </w:rPr>
    </w:lvl>
    <w:lvl w:ilvl="7">
      <w:start w:val="1"/>
      <w:numFmt w:val="bullet"/>
      <w:lvlText w:val="•"/>
      <w:lvlJc w:val="left"/>
      <w:pPr>
        <w:ind w:left="6626" w:hanging="387"/>
      </w:pPr>
      <w:rPr>
        <w:rFonts w:hint="default"/>
      </w:rPr>
    </w:lvl>
    <w:lvl w:ilvl="8">
      <w:start w:val="1"/>
      <w:numFmt w:val="bullet"/>
      <w:lvlText w:val="•"/>
      <w:lvlJc w:val="left"/>
      <w:pPr>
        <w:ind w:left="7464" w:hanging="387"/>
      </w:pPr>
      <w:rPr>
        <w:rFonts w:hint="default"/>
      </w:rPr>
    </w:lvl>
  </w:abstractNum>
  <w:abstractNum w:abstractNumId="1">
    <w:multiLevelType w:val="hybridMultilevel"/>
    <w:lvl w:ilvl="0">
      <w:start w:val="2"/>
      <w:numFmt w:val="decimal"/>
      <w:lvlText w:val="%1"/>
      <w:lvlJc w:val="left"/>
      <w:pPr>
        <w:ind w:left="759" w:hanging="387"/>
        <w:jc w:val="left"/>
      </w:pPr>
      <w:rPr>
        <w:rFonts w:hint="default"/>
      </w:rPr>
    </w:lvl>
    <w:lvl w:ilvl="1">
      <w:start w:val="1"/>
      <w:numFmt w:val="decimal"/>
      <w:lvlText w:val="%1.%2."/>
      <w:lvlJc w:val="left"/>
      <w:pPr>
        <w:ind w:left="759" w:hanging="387"/>
        <w:jc w:val="left"/>
      </w:pPr>
      <w:rPr>
        <w:rFonts w:hint="default" w:ascii="Times New Roman" w:hAnsi="Times New Roman" w:eastAsia="Times New Roman" w:cs="Times New Roman"/>
        <w:b/>
        <w:bCs/>
        <w:w w:val="100"/>
        <w:sz w:val="22"/>
        <w:szCs w:val="22"/>
      </w:rPr>
    </w:lvl>
    <w:lvl w:ilvl="2">
      <w:start w:val="1"/>
      <w:numFmt w:val="decimal"/>
      <w:lvlText w:val="%1.%2.%3."/>
      <w:lvlJc w:val="left"/>
      <w:pPr>
        <w:ind w:left="1143" w:hanging="552"/>
        <w:jc w:val="left"/>
      </w:pPr>
      <w:rPr>
        <w:rFonts w:hint="default" w:ascii="Times New Roman" w:hAnsi="Times New Roman" w:eastAsia="Times New Roman" w:cs="Times New Roman"/>
        <w:b/>
        <w:bCs/>
        <w:w w:val="100"/>
        <w:sz w:val="22"/>
        <w:szCs w:val="22"/>
      </w:rPr>
    </w:lvl>
    <w:lvl w:ilvl="3">
      <w:start w:val="1"/>
      <w:numFmt w:val="bullet"/>
      <w:lvlText w:val="•"/>
      <w:lvlJc w:val="left"/>
      <w:pPr>
        <w:ind w:left="2917" w:hanging="552"/>
      </w:pPr>
      <w:rPr>
        <w:rFonts w:hint="default"/>
      </w:rPr>
    </w:lvl>
    <w:lvl w:ilvl="4">
      <w:start w:val="1"/>
      <w:numFmt w:val="bullet"/>
      <w:lvlText w:val="•"/>
      <w:lvlJc w:val="left"/>
      <w:pPr>
        <w:ind w:left="3806" w:hanging="552"/>
      </w:pPr>
      <w:rPr>
        <w:rFonts w:hint="default"/>
      </w:rPr>
    </w:lvl>
    <w:lvl w:ilvl="5">
      <w:start w:val="1"/>
      <w:numFmt w:val="bullet"/>
      <w:lvlText w:val="•"/>
      <w:lvlJc w:val="left"/>
      <w:pPr>
        <w:ind w:left="4695" w:hanging="552"/>
      </w:pPr>
      <w:rPr>
        <w:rFonts w:hint="default"/>
      </w:rPr>
    </w:lvl>
    <w:lvl w:ilvl="6">
      <w:start w:val="1"/>
      <w:numFmt w:val="bullet"/>
      <w:lvlText w:val="•"/>
      <w:lvlJc w:val="left"/>
      <w:pPr>
        <w:ind w:left="5584" w:hanging="552"/>
      </w:pPr>
      <w:rPr>
        <w:rFonts w:hint="default"/>
      </w:rPr>
    </w:lvl>
    <w:lvl w:ilvl="7">
      <w:start w:val="1"/>
      <w:numFmt w:val="bullet"/>
      <w:lvlText w:val="•"/>
      <w:lvlJc w:val="left"/>
      <w:pPr>
        <w:ind w:left="6473" w:hanging="552"/>
      </w:pPr>
      <w:rPr>
        <w:rFonts w:hint="default"/>
      </w:rPr>
    </w:lvl>
    <w:lvl w:ilvl="8">
      <w:start w:val="1"/>
      <w:numFmt w:val="bullet"/>
      <w:lvlText w:val="•"/>
      <w:lvlJc w:val="left"/>
      <w:pPr>
        <w:ind w:left="7362" w:hanging="552"/>
      </w:pPr>
      <w:rPr>
        <w:rFonts w:hint="default"/>
      </w:rPr>
    </w:lvl>
  </w:abstractNum>
  <w:abstractNum w:abstractNumId="0">
    <w:multiLevelType w:val="hybridMultilevel"/>
    <w:lvl w:ilvl="0">
      <w:start w:val="1"/>
      <w:numFmt w:val="upperRoman"/>
      <w:lvlText w:val="%1."/>
      <w:lvlJc w:val="left"/>
      <w:pPr>
        <w:ind w:left="334" w:hanging="183"/>
        <w:jc w:val="left"/>
      </w:pPr>
      <w:rPr>
        <w:rFonts w:hint="default" w:ascii="Times New Roman" w:hAnsi="Times New Roman" w:eastAsia="Times New Roman" w:cs="Times New Roman"/>
        <w:spacing w:val="-4"/>
        <w:w w:val="100"/>
        <w:sz w:val="22"/>
        <w:szCs w:val="22"/>
      </w:rPr>
    </w:lvl>
    <w:lvl w:ilvl="1">
      <w:start w:val="1"/>
      <w:numFmt w:val="bullet"/>
      <w:lvlText w:val="•"/>
      <w:lvlJc w:val="left"/>
      <w:pPr>
        <w:ind w:left="1220" w:hanging="183"/>
      </w:pPr>
      <w:rPr>
        <w:rFonts w:hint="default"/>
      </w:rPr>
    </w:lvl>
    <w:lvl w:ilvl="2">
      <w:start w:val="1"/>
      <w:numFmt w:val="bullet"/>
      <w:lvlText w:val="•"/>
      <w:lvlJc w:val="left"/>
      <w:pPr>
        <w:ind w:left="2100" w:hanging="183"/>
      </w:pPr>
      <w:rPr>
        <w:rFonts w:hint="default"/>
      </w:rPr>
    </w:lvl>
    <w:lvl w:ilvl="3">
      <w:start w:val="1"/>
      <w:numFmt w:val="bullet"/>
      <w:lvlText w:val="•"/>
      <w:lvlJc w:val="left"/>
      <w:pPr>
        <w:ind w:left="2980" w:hanging="183"/>
      </w:pPr>
      <w:rPr>
        <w:rFonts w:hint="default"/>
      </w:rPr>
    </w:lvl>
    <w:lvl w:ilvl="4">
      <w:start w:val="1"/>
      <w:numFmt w:val="bullet"/>
      <w:lvlText w:val="•"/>
      <w:lvlJc w:val="left"/>
      <w:pPr>
        <w:ind w:left="3860" w:hanging="183"/>
      </w:pPr>
      <w:rPr>
        <w:rFonts w:hint="default"/>
      </w:rPr>
    </w:lvl>
    <w:lvl w:ilvl="5">
      <w:start w:val="1"/>
      <w:numFmt w:val="bullet"/>
      <w:lvlText w:val="•"/>
      <w:lvlJc w:val="left"/>
      <w:pPr>
        <w:ind w:left="4740" w:hanging="183"/>
      </w:pPr>
      <w:rPr>
        <w:rFonts w:hint="default"/>
      </w:rPr>
    </w:lvl>
    <w:lvl w:ilvl="6">
      <w:start w:val="1"/>
      <w:numFmt w:val="bullet"/>
      <w:lvlText w:val="•"/>
      <w:lvlJc w:val="left"/>
      <w:pPr>
        <w:ind w:left="5620" w:hanging="183"/>
      </w:pPr>
      <w:rPr>
        <w:rFonts w:hint="default"/>
      </w:rPr>
    </w:lvl>
    <w:lvl w:ilvl="7">
      <w:start w:val="1"/>
      <w:numFmt w:val="bullet"/>
      <w:lvlText w:val="•"/>
      <w:lvlJc w:val="left"/>
      <w:pPr>
        <w:ind w:left="6500" w:hanging="183"/>
      </w:pPr>
      <w:rPr>
        <w:rFonts w:hint="default"/>
      </w:rPr>
    </w:lvl>
    <w:lvl w:ilvl="8">
      <w:start w:val="1"/>
      <w:numFmt w:val="bullet"/>
      <w:lvlText w:val="•"/>
      <w:lvlJc w:val="left"/>
      <w:pPr>
        <w:ind w:left="7380" w:hanging="183"/>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9"/>
      <w:ind w:left="152"/>
    </w:pPr>
    <w:rPr>
      <w:rFonts w:ascii="Times New Roman" w:hAnsi="Times New Roman" w:eastAsia="Times New Roman" w:cs="Times New Roman"/>
      <w:sz w:val="22"/>
      <w:szCs w:val="22"/>
    </w:rPr>
  </w:style>
  <w:style w:styleId="TOC2" w:type="paragraph">
    <w:name w:val="TOC 2"/>
    <w:basedOn w:val="Normal"/>
    <w:uiPriority w:val="1"/>
    <w:qFormat/>
    <w:pPr>
      <w:spacing w:before="139"/>
      <w:ind w:left="759" w:hanging="386"/>
    </w:pPr>
    <w:rPr>
      <w:rFonts w:ascii="Times New Roman" w:hAnsi="Times New Roman" w:eastAsia="Times New Roman" w:cs="Times New Roman"/>
      <w:b/>
      <w:bCs/>
      <w:sz w:val="22"/>
      <w:szCs w:val="22"/>
    </w:rPr>
  </w:style>
  <w:style w:styleId="TOC3" w:type="paragraph">
    <w:name w:val="TOC 3"/>
    <w:basedOn w:val="Normal"/>
    <w:uiPriority w:val="1"/>
    <w:qFormat/>
    <w:pPr>
      <w:spacing w:before="139"/>
      <w:ind w:left="1143" w:hanging="552"/>
    </w:pPr>
    <w:rPr>
      <w:rFonts w:ascii="Times New Roman" w:hAnsi="Times New Roman" w:eastAsia="Times New Roman" w:cs="Times New Roman"/>
      <w:b/>
      <w:bCs/>
      <w:sz w:val="22"/>
      <w:szCs w:val="22"/>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572"/>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572" w:hanging="42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jpe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20" Type="http://schemas.openxmlformats.org/officeDocument/2006/relationships/image" Target="media/image12.jpeg"/><Relationship Id="rId21" Type="http://schemas.openxmlformats.org/officeDocument/2006/relationships/hyperlink" Target="mailto:emoralesa@uaemex.mx" TargetMode="External"/><Relationship Id="rId22" Type="http://schemas.openxmlformats.org/officeDocument/2006/relationships/hyperlink" Target="http://www.inegi.org.mx/" TargetMode="External"/><Relationship Id="rId23" Type="http://schemas.openxmlformats.org/officeDocument/2006/relationships/hyperlink" Target="http://www.smn.conagua.gob.mx/" TargetMode="External"/><Relationship Id="rId24" Type="http://schemas.openxmlformats.org/officeDocument/2006/relationships/image" Target="media/image13.jpeg"/><Relationship Id="rId25" Type="http://schemas.openxmlformats.org/officeDocument/2006/relationships/hyperlink" Target="http://www.fao.org/" TargetMode="External"/><Relationship Id="rId26" Type="http://schemas.openxmlformats.org/officeDocument/2006/relationships/footer" Target="footer4.xml"/><Relationship Id="rId27" Type="http://schemas.openxmlformats.org/officeDocument/2006/relationships/footer" Target="footer5.xml"/><Relationship Id="rId28" Type="http://schemas.openxmlformats.org/officeDocument/2006/relationships/hyperlink" Target="http://www.siap.gob.mx/" TargetMode="External"/><Relationship Id="rId29" Type="http://schemas.openxmlformats.org/officeDocument/2006/relationships/image" Target="media/image14.jpeg"/><Relationship Id="rId30"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2017-05-23T02:42:22Z</dcterms:created>
  <dcterms:modified xsi:type="dcterms:W3CDTF">2017-05-23T02:42:22Z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