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Default Extension="jpeg" ContentType="image/jpeg"/>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14.xml" ContentType="application/vnd.openxmlformats-officedocument.wordprocessingml.footer+xml"/>
  <Override PartName="/word/header22.xml" ContentType="application/vnd.openxmlformats-officedocument.wordprocessingml.header+xml"/>
  <Override PartName="/word/footer15.xml" ContentType="application/vnd.openxmlformats-officedocument.wordprocessingml.footer+xml"/>
  <Override PartName="/word/header2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4.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25.xml" ContentType="application/vnd.openxmlformats-officedocument.wordprocessingml.header+xml"/>
  <Override PartName="/word/footer20.xml" ContentType="application/vnd.openxmlformats-officedocument.wordprocessingml.footer+xml"/>
  <Override PartName="/word/header26.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3"/>
        <w:rPr>
          <w:sz w:val="21"/>
        </w:rPr>
      </w:pPr>
    </w:p>
    <w:p>
      <w:pPr>
        <w:spacing w:before="61"/>
        <w:ind w:left="3045" w:right="0" w:firstLine="0"/>
        <w:jc w:val="left"/>
        <w:rPr>
          <w:sz w:val="30"/>
        </w:rPr>
      </w:pPr>
      <w:r>
        <w:rPr/>
        <w:pict>
          <v:group style="position:absolute;margin-left:46.299999pt;margin-top:-10.696081pt;width:113.8pt;height:617.4pt;mso-position-horizontal-relative:page;mso-position-vertical-relative:paragraph;z-index:-204832" coordorigin="926,-214" coordsize="2276,12348">
            <v:shape style="position:absolute;left:926;top:-214;width:2276;height:2017" type="#_x0000_t75" stroked="false">
              <v:imagedata r:id="rId5" o:title=""/>
            </v:shape>
            <v:shape style="position:absolute;left:1690;top:1741;width:181;height:10388" coordorigin="1690,1741" coordsize="181,10388" path="m1690,1741l1690,12129m1871,2281l1871,11539e" filled="false" stroked="true" strokeweight=".5pt" strokecolor="#000000">
              <v:path arrowok="t"/>
            </v:shape>
            <w10:wrap type="none"/>
          </v:group>
        </w:pict>
      </w:r>
      <w:r>
        <w:rPr>
          <w:sz w:val="30"/>
        </w:rPr>
        <w:t>UNIVERSIDAD AUTÓNOMA DEL ESTADO DE</w:t>
      </w:r>
    </w:p>
    <w:p>
      <w:pPr>
        <w:spacing w:before="0"/>
        <w:ind w:left="1868" w:right="138" w:firstLine="0"/>
        <w:jc w:val="center"/>
        <w:rPr>
          <w:sz w:val="30"/>
        </w:rPr>
      </w:pPr>
      <w:r>
        <w:rPr/>
        <w:pict>
          <v:line style="position:absolute;mso-position-horizontal-relative:page;mso-position-vertical-relative:paragraph;z-index:0;mso-wrap-distance-left:0;mso-wrap-distance-right:0" from="176.449997pt,22.723888pt" to="530.849997pt,22.723888pt" stroked="true" strokeweight=".5pt" strokecolor="#000000">
            <w10:wrap type="topAndBottom"/>
          </v:line>
        </w:pict>
      </w:r>
      <w:r>
        <w:rPr/>
        <w:pict>
          <v:line style="position:absolute;mso-position-horizontal-relative:page;mso-position-vertical-relative:paragraph;z-index:1048;mso-wrap-distance-left:0;mso-wrap-distance-right:0" from="176.449997pt,34.773888pt" to="530.849997pt,34.823888pt" stroked="true" strokeweight=".5pt" strokecolor="#000000">
            <w10:wrap type="topAndBottom"/>
          </v:line>
        </w:pict>
      </w:r>
      <w:r>
        <w:rPr>
          <w:sz w:val="30"/>
        </w:rPr>
        <w:t>MÉXICO</w:t>
      </w:r>
    </w:p>
    <w:p>
      <w:pPr>
        <w:pStyle w:val="BodyText"/>
        <w:spacing w:before="2"/>
        <w:rPr>
          <w:sz w:val="14"/>
        </w:rPr>
      </w:pPr>
    </w:p>
    <w:p>
      <w:pPr>
        <w:spacing w:before="166"/>
        <w:ind w:left="2231" w:right="138" w:firstLine="0"/>
        <w:jc w:val="center"/>
        <w:rPr>
          <w:sz w:val="28"/>
        </w:rPr>
      </w:pPr>
      <w:r>
        <w:rPr>
          <w:sz w:val="28"/>
        </w:rPr>
        <w:t>PROGRAMA DE MAESTRIA Y DOCTORADO EN CIENCIAS AGROPECUARIAS Y RECURSOS NATURALES</w:t>
      </w:r>
    </w:p>
    <w:p>
      <w:pPr>
        <w:pStyle w:val="BodyText"/>
        <w:rPr>
          <w:sz w:val="28"/>
        </w:rPr>
      </w:pPr>
    </w:p>
    <w:p>
      <w:pPr>
        <w:pStyle w:val="BodyText"/>
        <w:spacing w:before="11"/>
        <w:rPr>
          <w:sz w:val="35"/>
        </w:rPr>
      </w:pPr>
    </w:p>
    <w:p>
      <w:pPr>
        <w:spacing w:line="360" w:lineRule="auto" w:before="0"/>
        <w:ind w:left="1864" w:right="138" w:firstLine="0"/>
        <w:jc w:val="center"/>
        <w:rPr>
          <w:sz w:val="26"/>
        </w:rPr>
      </w:pPr>
      <w:r>
        <w:rPr>
          <w:sz w:val="26"/>
        </w:rPr>
        <w:t>EVALUACIÓN DE LA RESPUESTA PRODUCTIVA, METABÓLICA Y DE LA CALIDAD DE LA CANAL Y DE LA CARNE DE OVINOS SUPLEMENTADOS CON  CROMO ORGÁNICO</w:t>
      </w:r>
    </w:p>
    <w:p>
      <w:pPr>
        <w:pStyle w:val="BodyText"/>
        <w:rPr>
          <w:sz w:val="26"/>
        </w:rPr>
      </w:pPr>
    </w:p>
    <w:p>
      <w:pPr>
        <w:pStyle w:val="BodyText"/>
        <w:spacing w:before="10"/>
        <w:rPr>
          <w:sz w:val="38"/>
        </w:rPr>
      </w:pPr>
    </w:p>
    <w:p>
      <w:pPr>
        <w:spacing w:before="0"/>
        <w:ind w:left="2227" w:right="138" w:firstLine="0"/>
        <w:jc w:val="center"/>
        <w:rPr>
          <w:b/>
          <w:sz w:val="50"/>
        </w:rPr>
      </w:pPr>
      <w:r>
        <w:rPr>
          <w:b/>
          <w:sz w:val="50"/>
        </w:rPr>
        <w:t>T E S I S</w:t>
      </w:r>
    </w:p>
    <w:p>
      <w:pPr>
        <w:spacing w:before="362"/>
        <w:ind w:left="2386" w:right="296" w:firstLine="4"/>
        <w:jc w:val="center"/>
        <w:rPr>
          <w:sz w:val="28"/>
        </w:rPr>
      </w:pPr>
      <w:r>
        <w:rPr>
          <w:sz w:val="28"/>
        </w:rPr>
        <w:t>QUE PARA OBTENER EL GRADO DE DOCTORA EN CIENCIAS AGROPECUARIAS Y RECURSOS NATURALES</w:t>
      </w:r>
    </w:p>
    <w:p>
      <w:pPr>
        <w:pStyle w:val="BodyText"/>
        <w:rPr>
          <w:sz w:val="28"/>
        </w:rPr>
      </w:pPr>
    </w:p>
    <w:p>
      <w:pPr>
        <w:pStyle w:val="BodyText"/>
        <w:spacing w:before="1"/>
        <w:rPr>
          <w:sz w:val="32"/>
        </w:rPr>
      </w:pPr>
    </w:p>
    <w:p>
      <w:pPr>
        <w:spacing w:before="0"/>
        <w:ind w:left="2225" w:right="138" w:firstLine="0"/>
        <w:jc w:val="center"/>
        <w:rPr>
          <w:sz w:val="28"/>
        </w:rPr>
      </w:pPr>
      <w:r>
        <w:rPr>
          <w:sz w:val="28"/>
        </w:rPr>
        <w:t>PRESENTA:</w:t>
      </w:r>
    </w:p>
    <w:p>
      <w:pPr>
        <w:pStyle w:val="BodyText"/>
        <w:rPr>
          <w:sz w:val="28"/>
        </w:rPr>
      </w:pPr>
    </w:p>
    <w:p>
      <w:pPr>
        <w:pStyle w:val="BodyText"/>
        <w:spacing w:before="6"/>
        <w:rPr>
          <w:sz w:val="28"/>
        </w:rPr>
      </w:pPr>
    </w:p>
    <w:p>
      <w:pPr>
        <w:spacing w:before="0"/>
        <w:ind w:left="2227" w:right="138" w:firstLine="0"/>
        <w:jc w:val="center"/>
        <w:rPr>
          <w:b/>
          <w:sz w:val="28"/>
        </w:rPr>
      </w:pPr>
      <w:r>
        <w:rPr>
          <w:b/>
          <w:sz w:val="28"/>
        </w:rPr>
        <w:t>LAURA MORENO CAMARENA</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5"/>
        <w:rPr>
          <w:b/>
          <w:sz w:val="27"/>
        </w:rPr>
      </w:pPr>
    </w:p>
    <w:p>
      <w:pPr>
        <w:pStyle w:val="BodyText"/>
        <w:spacing w:before="1"/>
        <w:ind w:left="2229" w:right="138"/>
        <w:jc w:val="center"/>
      </w:pPr>
      <w:r>
        <w:rPr/>
        <w:t>El Cerrillo Piedras Blancas, Toluca, Estado de México; julio de 2015</w:t>
      </w:r>
    </w:p>
    <w:p>
      <w:pPr>
        <w:spacing w:after="0"/>
        <w:jc w:val="center"/>
        <w:sectPr>
          <w:type w:val="continuous"/>
          <w:pgSz w:w="12240" w:h="15840"/>
          <w:pgMar w:top="1500" w:bottom="280" w:left="820" w:right="1500"/>
        </w:sectPr>
      </w:pPr>
    </w:p>
    <w:p>
      <w:pPr>
        <w:pStyle w:val="BodyText"/>
        <w:rPr>
          <w:sz w:val="20"/>
        </w:rPr>
      </w:pPr>
    </w:p>
    <w:p>
      <w:pPr>
        <w:pStyle w:val="BodyText"/>
        <w:spacing w:before="3"/>
        <w:rPr>
          <w:sz w:val="25"/>
        </w:rPr>
      </w:pPr>
    </w:p>
    <w:p>
      <w:pPr>
        <w:spacing w:before="61"/>
        <w:ind w:left="2064" w:right="87" w:firstLine="0"/>
        <w:jc w:val="center"/>
        <w:rPr>
          <w:sz w:val="30"/>
        </w:rPr>
      </w:pPr>
      <w:r>
        <w:rPr/>
        <w:pict>
          <v:line style="position:absolute;mso-position-horizontal-relative:page;mso-position-vertical-relative:paragraph;z-index:1096;mso-wrap-distance-left:0;mso-wrap-distance-right:0" from="183.050003pt,27.30393pt" to="509.400003pt,27.30393pt" stroked="true" strokeweight=".5pt" strokecolor="#000000">
            <w10:wrap type="topAndBottom"/>
          </v:line>
        </w:pict>
      </w:r>
      <w:r>
        <w:rPr/>
        <w:pict>
          <v:line style="position:absolute;mso-position-horizontal-relative:page;mso-position-vertical-relative:paragraph;z-index:1120;mso-wrap-distance-left:0;mso-wrap-distance-right:0" from="183.050003pt,36.353931pt" to="509.400003pt,36.403931pt" stroked="true" strokeweight=".5pt" strokecolor="#000000">
            <w10:wrap type="topAndBottom"/>
          </v:line>
        </w:pict>
      </w:r>
      <w:r>
        <w:rPr/>
        <w:drawing>
          <wp:anchor distT="0" distB="0" distL="0" distR="0" allowOverlap="1" layoutInCell="1" locked="0" behindDoc="1" simplePos="0" relativeHeight="268230695">
            <wp:simplePos x="0" y="0"/>
            <wp:positionH relativeFrom="page">
              <wp:posOffset>652144</wp:posOffset>
            </wp:positionH>
            <wp:positionV relativeFrom="paragraph">
              <wp:posOffset>-144730</wp:posOffset>
            </wp:positionV>
            <wp:extent cx="1366520" cy="121094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66520" cy="1210945"/>
                    </a:xfrm>
                    <a:prstGeom prst="rect">
                      <a:avLst/>
                    </a:prstGeom>
                  </pic:spPr>
                </pic:pic>
              </a:graphicData>
            </a:graphic>
          </wp:anchor>
        </w:drawing>
      </w:r>
      <w:r>
        <w:rPr>
          <w:sz w:val="30"/>
        </w:rPr>
        <w:t>UNIVERSIDAD AUTÓNOMA DEL ESTADO DE MÉXICO</w:t>
      </w:r>
    </w:p>
    <w:p>
      <w:pPr>
        <w:pStyle w:val="BodyText"/>
        <w:spacing w:before="11"/>
        <w:rPr>
          <w:sz w:val="8"/>
        </w:rPr>
      </w:pPr>
    </w:p>
    <w:p>
      <w:pPr>
        <w:spacing w:line="278" w:lineRule="auto" w:before="119"/>
        <w:ind w:left="2085" w:right="110" w:firstLine="3"/>
        <w:jc w:val="center"/>
        <w:rPr>
          <w:sz w:val="28"/>
        </w:rPr>
      </w:pPr>
      <w:r>
        <w:rPr>
          <w:sz w:val="28"/>
        </w:rPr>
        <w:t>PROGRAMA DE MAESTRIA Y DOCTORADO EN CIENCIAS AGROPECUARIAS Y RECURSOS NATURALES</w:t>
      </w:r>
    </w:p>
    <w:p>
      <w:pPr>
        <w:pStyle w:val="BodyText"/>
        <w:rPr>
          <w:sz w:val="28"/>
        </w:rPr>
      </w:pPr>
    </w:p>
    <w:p>
      <w:pPr>
        <w:pStyle w:val="BodyText"/>
        <w:spacing w:before="9"/>
        <w:rPr>
          <w:sz w:val="35"/>
        </w:rPr>
      </w:pPr>
    </w:p>
    <w:p>
      <w:pPr>
        <w:spacing w:before="1"/>
        <w:ind w:left="2064" w:right="89" w:firstLine="0"/>
        <w:jc w:val="center"/>
        <w:rPr>
          <w:sz w:val="26"/>
        </w:rPr>
      </w:pPr>
      <w:r>
        <w:rPr/>
        <w:pict>
          <v:line style="position:absolute;mso-position-horizontal-relative:page;mso-position-vertical-relative:paragraph;z-index:1168" from="84.5pt,-26.503296pt" to="84.5pt,489.996704pt" stroked="true" strokeweight=".5pt" strokecolor="#000000">
            <w10:wrap type="none"/>
          </v:line>
        </w:pict>
      </w:r>
      <w:r>
        <w:rPr/>
        <w:pict>
          <v:line style="position:absolute;mso-position-horizontal-relative:page;mso-position-vertical-relative:paragraph;z-index:1192" from="93.550003pt,2.846704pt" to="93.550003pt,465.596704pt" stroked="true" strokeweight=".5pt" strokecolor="#000000">
            <w10:wrap type="none"/>
          </v:line>
        </w:pict>
      </w:r>
      <w:r>
        <w:rPr>
          <w:sz w:val="26"/>
        </w:rPr>
        <w:t>EVALUACIÓN DE LA RESPUESTA PRODUCTIVA, METABÓLICA Y DE LA CALIDAD DE LA CANAL Y DE LA CARNE DE OVINOS SUPLEMENTADOS CON  CROMO ORGÁNICO</w:t>
      </w:r>
    </w:p>
    <w:p>
      <w:pPr>
        <w:pStyle w:val="BodyText"/>
        <w:spacing w:before="6"/>
        <w:rPr>
          <w:sz w:val="32"/>
        </w:rPr>
      </w:pPr>
    </w:p>
    <w:p>
      <w:pPr>
        <w:spacing w:before="0"/>
        <w:ind w:left="2424" w:right="89" w:firstLine="0"/>
        <w:jc w:val="center"/>
        <w:rPr>
          <w:b/>
          <w:sz w:val="50"/>
        </w:rPr>
      </w:pPr>
      <w:r>
        <w:rPr>
          <w:b/>
          <w:sz w:val="50"/>
        </w:rPr>
        <w:t>T E S I S</w:t>
      </w:r>
    </w:p>
    <w:p>
      <w:pPr>
        <w:pStyle w:val="BodyText"/>
        <w:spacing w:before="5"/>
        <w:rPr>
          <w:b/>
          <w:sz w:val="63"/>
        </w:rPr>
      </w:pPr>
    </w:p>
    <w:p>
      <w:pPr>
        <w:spacing w:before="0"/>
        <w:ind w:left="2459" w:right="123" w:firstLine="4"/>
        <w:jc w:val="center"/>
        <w:rPr>
          <w:sz w:val="28"/>
        </w:rPr>
      </w:pPr>
      <w:r>
        <w:rPr>
          <w:sz w:val="28"/>
        </w:rPr>
        <w:t>QUE PARA OBTENER EL GRADO DE DOCTORA EN CIENCIAS AGROPECUARIAS Y RECURSOS NATURALES</w:t>
      </w:r>
    </w:p>
    <w:p>
      <w:pPr>
        <w:pStyle w:val="BodyText"/>
        <w:spacing w:before="1"/>
        <w:rPr>
          <w:sz w:val="32"/>
        </w:rPr>
      </w:pPr>
    </w:p>
    <w:p>
      <w:pPr>
        <w:spacing w:before="0"/>
        <w:ind w:left="2427" w:right="89" w:firstLine="0"/>
        <w:jc w:val="center"/>
        <w:rPr>
          <w:sz w:val="28"/>
        </w:rPr>
      </w:pPr>
      <w:r>
        <w:rPr>
          <w:sz w:val="28"/>
        </w:rPr>
        <w:t>PRESENTA:</w:t>
      </w:r>
    </w:p>
    <w:p>
      <w:pPr>
        <w:pStyle w:val="BodyText"/>
        <w:spacing w:before="4"/>
        <w:rPr>
          <w:sz w:val="28"/>
        </w:rPr>
      </w:pPr>
    </w:p>
    <w:p>
      <w:pPr>
        <w:spacing w:before="0"/>
        <w:ind w:left="2423" w:right="89" w:firstLine="0"/>
        <w:jc w:val="center"/>
        <w:rPr>
          <w:b/>
          <w:sz w:val="28"/>
        </w:rPr>
      </w:pPr>
      <w:r>
        <w:rPr>
          <w:b/>
          <w:sz w:val="28"/>
        </w:rPr>
        <w:t>LAURA MORENO CAMARENA</w:t>
      </w:r>
    </w:p>
    <w:p>
      <w:pPr>
        <w:pStyle w:val="BodyText"/>
        <w:spacing w:before="5"/>
        <w:rPr>
          <w:b/>
          <w:sz w:val="27"/>
        </w:rPr>
      </w:pPr>
    </w:p>
    <w:p>
      <w:pPr>
        <w:spacing w:before="1"/>
        <w:ind w:left="2423" w:right="89" w:firstLine="0"/>
        <w:jc w:val="center"/>
        <w:rPr>
          <w:sz w:val="28"/>
        </w:rPr>
      </w:pPr>
      <w:r>
        <w:rPr>
          <w:sz w:val="28"/>
        </w:rPr>
        <w:t>COMITÉ DE TUTORES</w:t>
      </w:r>
    </w:p>
    <w:p>
      <w:pPr>
        <w:pStyle w:val="BodyText"/>
        <w:spacing w:before="10"/>
        <w:rPr>
          <w:sz w:val="27"/>
        </w:rPr>
      </w:pPr>
    </w:p>
    <w:p>
      <w:pPr>
        <w:spacing w:line="242" w:lineRule="auto" w:before="0"/>
        <w:ind w:left="4011" w:right="1672" w:firstLine="0"/>
        <w:jc w:val="center"/>
        <w:rPr>
          <w:sz w:val="28"/>
        </w:rPr>
      </w:pPr>
      <w:r>
        <w:rPr>
          <w:sz w:val="28"/>
        </w:rPr>
        <w:t>Dr. Ignacio A. Domínguez Vara Tutor Académico</w:t>
      </w:r>
    </w:p>
    <w:p>
      <w:pPr>
        <w:pStyle w:val="BodyText"/>
        <w:spacing w:before="7"/>
        <w:rPr>
          <w:sz w:val="27"/>
        </w:rPr>
      </w:pPr>
    </w:p>
    <w:p>
      <w:pPr>
        <w:spacing w:before="0"/>
        <w:ind w:left="4118" w:right="1783" w:firstLine="2"/>
        <w:jc w:val="center"/>
        <w:rPr>
          <w:sz w:val="28"/>
        </w:rPr>
      </w:pPr>
      <w:r>
        <w:rPr>
          <w:sz w:val="28"/>
        </w:rPr>
        <w:t>Dr. José Luis Bórquez Gastelum Dr. Víctor M. Fajardo Guadarrama Tutores Adjuntos</w:t>
      </w:r>
    </w:p>
    <w:p>
      <w:pPr>
        <w:pStyle w:val="BodyText"/>
        <w:rPr>
          <w:sz w:val="28"/>
        </w:rPr>
      </w:pPr>
    </w:p>
    <w:p>
      <w:pPr>
        <w:pStyle w:val="BodyText"/>
        <w:spacing w:before="162"/>
        <w:ind w:left="2064" w:right="85"/>
        <w:jc w:val="center"/>
      </w:pPr>
      <w:r>
        <w:rPr/>
        <w:t>El Cerrillo Piedras Blancas, Toluca, Estado de México; julio de 2015.</w:t>
      </w:r>
    </w:p>
    <w:p>
      <w:pPr>
        <w:spacing w:after="0"/>
        <w:jc w:val="center"/>
        <w:sectPr>
          <w:pgSz w:w="12240" w:h="15840"/>
          <w:pgMar w:top="1500" w:bottom="280" w:left="920" w:right="1500"/>
        </w:sectPr>
      </w:pPr>
    </w:p>
    <w:p>
      <w:pPr>
        <w:pStyle w:val="BodyText"/>
        <w:spacing w:before="1"/>
        <w:rPr>
          <w:sz w:val="28"/>
        </w:rPr>
      </w:pPr>
    </w:p>
    <w:p>
      <w:pPr>
        <w:spacing w:before="72"/>
        <w:ind w:left="312" w:right="214" w:firstLine="0"/>
        <w:jc w:val="center"/>
        <w:rPr>
          <w:b/>
          <w:sz w:val="22"/>
        </w:rPr>
      </w:pPr>
      <w:bookmarkStart w:name="_bookmark0" w:id="1"/>
      <w:bookmarkEnd w:id="1"/>
      <w:r>
        <w:rPr/>
      </w:r>
      <w:r>
        <w:rPr>
          <w:b/>
          <w:sz w:val="22"/>
        </w:rPr>
        <w:t>Laura Moreno Camarena. Doctorado en Ciencias Agropecuarias y Recursos Naturales</w:t>
      </w:r>
    </w:p>
    <w:p>
      <w:pPr>
        <w:pStyle w:val="BodyText"/>
        <w:spacing w:before="6"/>
        <w:rPr>
          <w:b/>
          <w:sz w:val="23"/>
        </w:rPr>
      </w:pPr>
    </w:p>
    <w:p>
      <w:pPr>
        <w:pStyle w:val="BodyText"/>
        <w:spacing w:line="357" w:lineRule="auto"/>
        <w:ind w:left="212" w:right="104"/>
        <w:jc w:val="both"/>
      </w:pPr>
      <w:r>
        <w:rPr/>
        <w:t>El objetivo fue evaluar dosis crecientes de levadura de cromo (LevCr) (T1=0 mg, T2=0.2 mg, T3=0.4 mg y T4=0.6 mg de Cr kg</w:t>
      </w:r>
      <w:r>
        <w:rPr>
          <w:position w:val="9"/>
          <w:sz w:val="16"/>
        </w:rPr>
        <w:t>-1 </w:t>
      </w:r>
      <w:r>
        <w:rPr/>
        <w:t>MS) durante 50 días en la dieta de 24 ovinos machos enteros, de la raza Rambouillet (29.2±0.17 kg de PV) con 3.5 meses de edad. El diseño experimental fue completamente al azar con cuatro tratamientos (T) y 6 repeticiones por tratamiento. Se evaluó el crecimiento, concentración de triglicéridos, glucosa en  plasma, contendido de Fe, Cu, Cr y Zn en hígado y hueso, contenido de ácidos grasos  (AG), características de la canal y calidad de la carne</w:t>
      </w:r>
      <w:r>
        <w:rPr>
          <w:i/>
        </w:rPr>
        <w:t>. </w:t>
      </w:r>
      <w:r>
        <w:rPr/>
        <w:t>El crecimiento y las características  de la canal no fueron afectados (P&gt;0.05) por el Cr; en las semanas 7 y 11 hubo efecto cuadrático (P&lt;0.01) en la concentración de triglicéridos y glucosa por efecto del Cr, en la semana 11 hubo efecto cuadrático (P&lt;0.01) en la concentración de urea por efecto del Cr. El contenido de Fe disminuyó (P&lt;0.05) en hígado con 0.4 mg Cr y en hueso con 0.6 mg Cr kg</w:t>
      </w:r>
      <w:r>
        <w:rPr>
          <w:position w:val="9"/>
          <w:sz w:val="16"/>
        </w:rPr>
        <w:t>-1 </w:t>
      </w:r>
      <w:r>
        <w:rPr/>
        <w:t>MS; el Cu disminuyó (P&lt;0.05) en hígado con 0.2 mg Cr kg</w:t>
      </w:r>
      <w:r>
        <w:rPr>
          <w:position w:val="9"/>
          <w:sz w:val="16"/>
        </w:rPr>
        <w:t>-1 </w:t>
      </w:r>
      <w:r>
        <w:rPr/>
        <w:t>MS. El Cr no modificó (P&gt;0.05) el contenido de Ca, P, Mg y Na en hígado o hueso, se observó una respuesta cuadrática (P&lt;0.05) tanto en hígado como en hueso en el contendido de K, el contenido de Ca en hueso fue afectado (P&lt;0.05) por el nivel de Cr en la dieta. El Cr redujo linealmente (P&lt;0.01) los AG palmítico (C16:0) y esteárico (C18:0), y aumentó linealmente (P&lt;0.01) linoleico (C18:2) y araquidónico (C20:4). Hubo efecto cuadrático (P&lt;0.05) en la grasa intramuscular (GIM) y lineal (P&lt;0.05) en el colágeno por efecto del Cr. Se concluye que el Cr no afectó el crecimiento ni las características de la canal, redujo el contenido de Fe en hígado y hueso, y de Cu en hígado; el Cr afectó el perfil de AG, redujo la GIM y aumentó  el colágeno, pero no afectó la terneza de la carne de los</w:t>
      </w:r>
      <w:r>
        <w:rPr>
          <w:spacing w:val="-10"/>
        </w:rPr>
        <w:t> </w:t>
      </w:r>
      <w:r>
        <w:rPr/>
        <w:t>ovinos.</w:t>
      </w:r>
    </w:p>
    <w:p>
      <w:pPr>
        <w:pStyle w:val="BodyText"/>
      </w:pPr>
    </w:p>
    <w:p>
      <w:pPr>
        <w:pStyle w:val="BodyText"/>
        <w:spacing w:before="7"/>
      </w:pPr>
    </w:p>
    <w:p>
      <w:pPr>
        <w:pStyle w:val="BodyText"/>
        <w:ind w:left="314" w:right="214"/>
        <w:jc w:val="center"/>
      </w:pPr>
      <w:r>
        <w:rPr>
          <w:b/>
        </w:rPr>
        <w:t>Palabras clave</w:t>
      </w:r>
      <w:r>
        <w:rPr/>
        <w:t>: ovinos, cromo levadura, carne, crecimiento, ácidos grasos, metabolismo.</w:t>
      </w:r>
    </w:p>
    <w:p>
      <w:pPr>
        <w:spacing w:after="0"/>
        <w:jc w:val="center"/>
        <w:sectPr>
          <w:headerReference w:type="default" r:id="rId6"/>
          <w:footerReference w:type="default" r:id="rId7"/>
          <w:pgSz w:w="12240" w:h="15840"/>
          <w:pgMar w:header="1845" w:footer="625" w:top="2080" w:bottom="820" w:left="1660" w:right="1420"/>
          <w:pgNumType w:start="6"/>
        </w:sectPr>
      </w:pPr>
    </w:p>
    <w:p>
      <w:pPr>
        <w:pStyle w:val="BodyText"/>
        <w:rPr>
          <w:sz w:val="20"/>
        </w:rPr>
      </w:pPr>
    </w:p>
    <w:p>
      <w:pPr>
        <w:pStyle w:val="BodyText"/>
        <w:spacing w:before="1"/>
        <w:rPr>
          <w:sz w:val="22"/>
        </w:rPr>
      </w:pPr>
    </w:p>
    <w:p>
      <w:pPr>
        <w:spacing w:before="72"/>
        <w:ind w:left="560" w:right="0" w:firstLine="0"/>
        <w:jc w:val="left"/>
        <w:rPr>
          <w:b/>
          <w:sz w:val="22"/>
        </w:rPr>
      </w:pPr>
      <w:bookmarkStart w:name="_bookmark1" w:id="2"/>
      <w:bookmarkEnd w:id="2"/>
      <w:r>
        <w:rPr/>
      </w:r>
      <w:r>
        <w:rPr>
          <w:b/>
          <w:sz w:val="22"/>
        </w:rPr>
        <w:t>Laura Moreno Camarena. Doctorado en Ciencias Agropecuarias y Recursos Naturales</w:t>
      </w:r>
    </w:p>
    <w:p>
      <w:pPr>
        <w:pStyle w:val="BodyText"/>
        <w:rPr>
          <w:b/>
          <w:sz w:val="22"/>
        </w:rPr>
      </w:pPr>
    </w:p>
    <w:p>
      <w:pPr>
        <w:pStyle w:val="BodyText"/>
        <w:spacing w:before="5"/>
        <w:rPr>
          <w:b/>
        </w:rPr>
      </w:pPr>
    </w:p>
    <w:p>
      <w:pPr>
        <w:pStyle w:val="BodyText"/>
        <w:spacing w:line="360" w:lineRule="auto"/>
        <w:ind w:left="212" w:right="106"/>
        <w:jc w:val="both"/>
      </w:pPr>
      <w:r>
        <w:rPr/>
        <w:t>The aim was to assess increasing doses of chromium yeast (LevCr) (T1 = 0 mg, 0.2 mg = T2, T3 = T4 = 0.4 mg and 0.6 mg Cr kg-1 DM) for 50 days in the diet of 24 male sheep whole of the Rambouillet breed (29.2 ± 0.17 kg BW) with 3.5 months. The experimental design was completely randomized with four treatments (T) and 6 replicates per treatment. Growth, triglycerides, plasma glucose, contended Fe, Cu, Cr and Zn in liver and bone content of fatty acid (FA), carcass characteristics and meat quality was evaluated. Growth and carcass traits were not affected (P&gt; 0.05) by Cr; in weeks 7 and 11 there was quadratic effect (P &lt;0.01) in the concentration of triglycerides and glucose effect of Cr in week 11 there was quadratic effect (P &lt;0.01) in the concentration of urea by the effect of Cr. The content Fe decreased (P &lt;0.05) in liver with 0.4 mg Cr and Cr bone with 0.6 mg kg-1 DM; Cu decreased (P &lt;0.05) in liver with 0.2 mg Cr kg-1 MS. The Cr did not change (P&gt; 0.05) the contents of Ca, P, Mg and Na in liver or bone, a quadratic response (P &lt;0.05) in liver and bone in the contents for K, Ca content was observed bone was affected (P &lt;0.05) by the level of Cr in the diet. Cr decreased linearly (P &lt;0.01) AG palmitic (C16: 0) and stearic (C18: 0), and increased linearly (P &lt;0.01), linoleic (C18: 2) and arachidonic acid (C20: 4). There was quadratic effect (P &lt;0.05) in the intramuscular fat (GIM) and linear (P &lt;0.05) in collagen effect of Cr. It is concluded that Cr did not affect growth or the characteristics of the channel, reduced content Fe in liver and blood, and Cu in liver; Cr affected the FA profile, reduced the GIM and increased collagen, but did not affect the tenderness of the meat of sheep.</w:t>
      </w:r>
    </w:p>
    <w:p>
      <w:pPr>
        <w:pStyle w:val="BodyText"/>
      </w:pPr>
    </w:p>
    <w:p>
      <w:pPr>
        <w:pStyle w:val="BodyText"/>
      </w:pPr>
    </w:p>
    <w:p>
      <w:pPr>
        <w:pStyle w:val="BodyText"/>
        <w:spacing w:before="4"/>
      </w:pPr>
    </w:p>
    <w:p>
      <w:pPr>
        <w:pStyle w:val="BodyText"/>
        <w:ind w:left="1083"/>
      </w:pPr>
      <w:r>
        <w:rPr>
          <w:b/>
        </w:rPr>
        <w:t>Keywords: </w:t>
      </w:r>
      <w:r>
        <w:rPr/>
        <w:t>sheep, chromium yeast, meat, growth, fatty acid, metabolism.</w:t>
      </w:r>
    </w:p>
    <w:p>
      <w:pPr>
        <w:spacing w:after="0"/>
        <w:sectPr>
          <w:headerReference w:type="default" r:id="rId8"/>
          <w:pgSz w:w="12240" w:h="15840"/>
          <w:pgMar w:header="1845" w:footer="625" w:top="2080" w:bottom="820" w:left="1660" w:right="1420"/>
        </w:sectPr>
      </w:pPr>
    </w:p>
    <w:sdt>
      <w:sdtPr>
        <w:docPartObj>
          <w:docPartGallery w:val="Table of Contents"/>
          <w:docPartUnique/>
        </w:docPartObj>
      </w:sdtPr>
      <w:sdtEndPr/>
      <w:sdtContent>
        <w:p>
          <w:pPr>
            <w:pStyle w:val="TOC2"/>
            <w:tabs>
              <w:tab w:pos="9042" w:val="right" w:leader="dot"/>
            </w:tabs>
            <w:spacing w:before="137"/>
          </w:pPr>
          <w:r>
            <w:rPr/>
            <w:t>AGRADECIMIENTOS</w:t>
            <w:tab/>
            <w:t>iv</w:t>
          </w:r>
        </w:p>
        <w:p>
          <w:pPr>
            <w:pStyle w:val="TOC2"/>
            <w:tabs>
              <w:tab w:pos="9040" w:val="right" w:leader="dot"/>
            </w:tabs>
            <w:spacing w:before="43"/>
          </w:pPr>
          <w:hyperlink w:history="true" w:anchor="_bookmark0">
            <w:r>
              <w:rPr/>
              <w:t>RESUMEN</w:t>
              <w:tab/>
              <w:t>vi</w:t>
            </w:r>
          </w:hyperlink>
        </w:p>
        <w:p>
          <w:pPr>
            <w:pStyle w:val="TOC2"/>
            <w:tabs>
              <w:tab w:pos="9040" w:val="right" w:leader="dot"/>
            </w:tabs>
          </w:pPr>
          <w:hyperlink w:history="true" w:anchor="_bookmark1">
            <w:r>
              <w:rPr/>
              <w:t>ABSTRACT</w:t>
              <w:tab/>
              <w:t>vii</w:t>
            </w:r>
          </w:hyperlink>
        </w:p>
        <w:p>
          <w:pPr>
            <w:pStyle w:val="TOC2"/>
            <w:tabs>
              <w:tab w:pos="9045" w:val="right" w:leader="dot"/>
            </w:tabs>
          </w:pPr>
          <w:hyperlink w:history="true" w:anchor="_bookmark2">
            <w:r>
              <w:rPr/>
              <w:t>ÍNDICE</w:t>
            </w:r>
            <w:r>
              <w:rPr>
                <w:spacing w:val="-1"/>
              </w:rPr>
              <w:t> </w:t>
            </w:r>
            <w:r>
              <w:rPr/>
              <w:t>DE</w:t>
            </w:r>
            <w:r>
              <w:rPr>
                <w:spacing w:val="-1"/>
              </w:rPr>
              <w:t> </w:t>
            </w:r>
            <w:r>
              <w:rPr/>
              <w:t>CUADROS</w:t>
              <w:tab/>
              <w:t>xi</w:t>
            </w:r>
          </w:hyperlink>
        </w:p>
        <w:p>
          <w:pPr>
            <w:pStyle w:val="TOC2"/>
            <w:tabs>
              <w:tab w:pos="9043" w:val="right" w:leader="dot"/>
            </w:tabs>
          </w:pPr>
          <w:hyperlink w:history="true" w:anchor="_bookmark3">
            <w:r>
              <w:rPr/>
              <w:t>ÍNDICE</w:t>
            </w:r>
            <w:r>
              <w:rPr>
                <w:spacing w:val="-1"/>
              </w:rPr>
              <w:t> </w:t>
            </w:r>
            <w:r>
              <w:rPr/>
              <w:t>DE FIGURAS</w:t>
              <w:tab/>
              <w:t>xiii</w:t>
            </w:r>
          </w:hyperlink>
        </w:p>
        <w:p>
          <w:pPr>
            <w:pStyle w:val="TOC1"/>
            <w:numPr>
              <w:ilvl w:val="0"/>
              <w:numId w:val="1"/>
            </w:numPr>
            <w:tabs>
              <w:tab w:pos="453" w:val="left" w:leader="none"/>
              <w:tab w:pos="9041" w:val="right" w:leader="dot"/>
            </w:tabs>
            <w:spacing w:line="240" w:lineRule="auto" w:before="43" w:after="0"/>
            <w:ind w:left="452" w:right="0" w:hanging="240"/>
            <w:jc w:val="left"/>
            <w:rPr>
              <w:b w:val="0"/>
            </w:rPr>
          </w:pPr>
          <w:hyperlink w:history="true" w:anchor="_bookmark4">
            <w:r>
              <w:rPr/>
              <w:t>INTRODUCCIÓN</w:t>
            </w:r>
            <w:r>
              <w:rPr>
                <w:spacing w:val="-1"/>
              </w:rPr>
              <w:t> </w:t>
            </w:r>
            <w:r>
              <w:rPr/>
              <w:t>GENERAL</w:t>
            </w:r>
            <w:r>
              <w:rPr>
                <w:b w:val="0"/>
              </w:rPr>
              <w:tab/>
              <w:t>14</w:t>
            </w:r>
          </w:hyperlink>
        </w:p>
        <w:p>
          <w:pPr>
            <w:pStyle w:val="TOC1"/>
            <w:numPr>
              <w:ilvl w:val="0"/>
              <w:numId w:val="1"/>
            </w:numPr>
            <w:tabs>
              <w:tab w:pos="453" w:val="left" w:leader="none"/>
              <w:tab w:pos="9041" w:val="right" w:leader="dot"/>
            </w:tabs>
            <w:spacing w:line="240" w:lineRule="auto" w:before="41" w:after="0"/>
            <w:ind w:left="452" w:right="0" w:hanging="240"/>
            <w:jc w:val="left"/>
            <w:rPr>
              <w:b w:val="0"/>
            </w:rPr>
          </w:pPr>
          <w:hyperlink w:history="true" w:anchor="_bookmark5">
            <w:r>
              <w:rPr/>
              <w:t>REVISION</w:t>
            </w:r>
            <w:r>
              <w:rPr>
                <w:spacing w:val="-1"/>
              </w:rPr>
              <w:t> </w:t>
            </w:r>
            <w:r>
              <w:rPr/>
              <w:t>DE</w:t>
            </w:r>
            <w:r>
              <w:rPr>
                <w:spacing w:val="-1"/>
              </w:rPr>
              <w:t> </w:t>
            </w:r>
            <w:r>
              <w:rPr/>
              <w:t>LITERATURA</w:t>
            </w:r>
            <w:r>
              <w:rPr>
                <w:b w:val="0"/>
              </w:rPr>
              <w:tab/>
              <w:t>16</w:t>
            </w:r>
          </w:hyperlink>
        </w:p>
        <w:p>
          <w:pPr>
            <w:pStyle w:val="TOC3"/>
            <w:numPr>
              <w:ilvl w:val="1"/>
              <w:numId w:val="1"/>
            </w:numPr>
            <w:tabs>
              <w:tab w:pos="818" w:val="left" w:leader="none"/>
              <w:tab w:pos="9046" w:val="right" w:leader="dot"/>
            </w:tabs>
            <w:spacing w:line="240" w:lineRule="auto" w:before="41" w:after="0"/>
            <w:ind w:left="817" w:right="0" w:hanging="360"/>
            <w:jc w:val="left"/>
            <w:rPr>
              <w:b w:val="0"/>
            </w:rPr>
          </w:pPr>
          <w:hyperlink w:history="true" w:anchor="_bookmark6">
            <w:r>
              <w:rPr/>
              <w:t>Generalidades</w:t>
            </w:r>
            <w:r>
              <w:rPr>
                <w:b w:val="0"/>
              </w:rPr>
              <w:tab/>
              <w:t>16</w:t>
            </w:r>
          </w:hyperlink>
        </w:p>
        <w:p>
          <w:pPr>
            <w:pStyle w:val="TOC3"/>
            <w:numPr>
              <w:ilvl w:val="1"/>
              <w:numId w:val="1"/>
            </w:numPr>
            <w:tabs>
              <w:tab w:pos="818" w:val="left" w:leader="none"/>
              <w:tab w:pos="9046" w:val="right" w:leader="dot"/>
            </w:tabs>
            <w:spacing w:line="240" w:lineRule="auto" w:before="41" w:after="0"/>
            <w:ind w:left="817" w:right="0" w:hanging="360"/>
            <w:jc w:val="left"/>
            <w:rPr>
              <w:b w:val="0"/>
            </w:rPr>
          </w:pPr>
          <w:hyperlink w:history="true" w:anchor="_bookmark7">
            <w:r>
              <w:rPr/>
              <w:t>Metabolismo</w:t>
            </w:r>
            <w:r>
              <w:rPr>
                <w:spacing w:val="-1"/>
              </w:rPr>
              <w:t> </w:t>
            </w:r>
            <w:r>
              <w:rPr/>
              <w:t>del</w:t>
            </w:r>
            <w:r>
              <w:rPr>
                <w:spacing w:val="-1"/>
              </w:rPr>
              <w:t> </w:t>
            </w:r>
            <w:r>
              <w:rPr/>
              <w:t>Cromo</w:t>
            </w:r>
            <w:r>
              <w:rPr>
                <w:b w:val="0"/>
              </w:rPr>
              <w:tab/>
              <w:t>17</w:t>
            </w:r>
          </w:hyperlink>
        </w:p>
        <w:p>
          <w:pPr>
            <w:pStyle w:val="TOC4"/>
            <w:numPr>
              <w:ilvl w:val="2"/>
              <w:numId w:val="1"/>
            </w:numPr>
            <w:tabs>
              <w:tab w:pos="1233" w:val="left" w:leader="none"/>
              <w:tab w:pos="9041" w:val="right" w:leader="dot"/>
            </w:tabs>
            <w:spacing w:line="240" w:lineRule="auto" w:before="41" w:after="0"/>
            <w:ind w:left="1232" w:right="0" w:hanging="540"/>
            <w:jc w:val="left"/>
            <w:rPr>
              <w:i w:val="0"/>
            </w:rPr>
          </w:pPr>
          <w:hyperlink w:history="true" w:anchor="_bookmark8">
            <w:r>
              <w:rPr>
                <w:i/>
              </w:rPr>
              <w:t>Absorción</w:t>
            </w:r>
            <w:r>
              <w:rPr>
                <w:i/>
                <w:spacing w:val="-1"/>
              </w:rPr>
              <w:t> </w:t>
            </w:r>
            <w:r>
              <w:rPr>
                <w:i/>
              </w:rPr>
              <w:t>y transporte</w:t>
            </w:r>
            <w:r>
              <w:rPr>
                <w:i w:val="0"/>
              </w:rPr>
              <w:tab/>
              <w:t>17</w:t>
            </w:r>
          </w:hyperlink>
        </w:p>
        <w:p>
          <w:pPr>
            <w:pStyle w:val="TOC5"/>
            <w:numPr>
              <w:ilvl w:val="2"/>
              <w:numId w:val="1"/>
            </w:numPr>
            <w:tabs>
              <w:tab w:pos="1233" w:val="left" w:leader="none"/>
              <w:tab w:pos="9041" w:val="right" w:leader="dot"/>
            </w:tabs>
            <w:spacing w:line="240" w:lineRule="auto" w:before="43" w:after="0"/>
            <w:ind w:left="1232" w:right="0" w:hanging="540"/>
            <w:jc w:val="left"/>
            <w:rPr>
              <w:b w:val="0"/>
              <w:i w:val="0"/>
              <w:sz w:val="24"/>
            </w:rPr>
          </w:pPr>
          <w:hyperlink w:history="true" w:anchor="_bookmark9">
            <w:r>
              <w:rPr>
                <w:b w:val="0"/>
                <w:i/>
                <w:sz w:val="24"/>
              </w:rPr>
              <w:t>Excreción</w:t>
            </w:r>
            <w:r>
              <w:rPr>
                <w:b w:val="0"/>
                <w:i w:val="0"/>
                <w:sz w:val="24"/>
              </w:rPr>
              <w:tab/>
              <w:t>18</w:t>
            </w:r>
          </w:hyperlink>
        </w:p>
        <w:p>
          <w:pPr>
            <w:pStyle w:val="TOC4"/>
            <w:numPr>
              <w:ilvl w:val="2"/>
              <w:numId w:val="1"/>
            </w:numPr>
            <w:tabs>
              <w:tab w:pos="1233" w:val="left" w:leader="none"/>
              <w:tab w:pos="9041" w:val="right" w:leader="dot"/>
            </w:tabs>
            <w:spacing w:line="240" w:lineRule="auto" w:before="41" w:after="0"/>
            <w:ind w:left="1232" w:right="0" w:hanging="540"/>
            <w:jc w:val="left"/>
            <w:rPr>
              <w:i w:val="0"/>
            </w:rPr>
          </w:pPr>
          <w:hyperlink w:history="true" w:anchor="_bookmark10">
            <w:r>
              <w:rPr>
                <w:i/>
              </w:rPr>
              <w:t>Esencialidad</w:t>
            </w:r>
            <w:r>
              <w:rPr>
                <w:i/>
                <w:spacing w:val="-1"/>
              </w:rPr>
              <w:t> </w:t>
            </w:r>
            <w:r>
              <w:rPr>
                <w:i/>
              </w:rPr>
              <w:t>del cromo</w:t>
            </w:r>
            <w:r>
              <w:rPr>
                <w:i w:val="0"/>
              </w:rPr>
              <w:tab/>
              <w:t>18</w:t>
            </w:r>
          </w:hyperlink>
        </w:p>
        <w:p>
          <w:pPr>
            <w:pStyle w:val="TOC3"/>
            <w:numPr>
              <w:ilvl w:val="1"/>
              <w:numId w:val="1"/>
            </w:numPr>
            <w:tabs>
              <w:tab w:pos="818" w:val="left" w:leader="none"/>
              <w:tab w:pos="9046" w:val="right" w:leader="dot"/>
            </w:tabs>
            <w:spacing w:line="240" w:lineRule="auto" w:before="41" w:after="0"/>
            <w:ind w:left="817" w:right="0" w:hanging="360"/>
            <w:jc w:val="left"/>
            <w:rPr>
              <w:b w:val="0"/>
            </w:rPr>
          </w:pPr>
          <w:hyperlink w:history="true" w:anchor="_bookmark11">
            <w:r>
              <w:rPr/>
              <w:t>Función biológica del</w:t>
            </w:r>
            <w:r>
              <w:rPr>
                <w:spacing w:val="-1"/>
              </w:rPr>
              <w:t> </w:t>
            </w:r>
            <w:r>
              <w:rPr/>
              <w:t>Cr3+</w:t>
            </w:r>
            <w:r>
              <w:rPr>
                <w:b w:val="0"/>
              </w:rPr>
              <w:tab/>
              <w:t>19</w:t>
            </w:r>
          </w:hyperlink>
        </w:p>
        <w:p>
          <w:pPr>
            <w:pStyle w:val="TOC3"/>
            <w:numPr>
              <w:ilvl w:val="1"/>
              <w:numId w:val="1"/>
            </w:numPr>
            <w:tabs>
              <w:tab w:pos="818" w:val="left" w:leader="none"/>
              <w:tab w:pos="9046" w:val="right" w:leader="dot"/>
            </w:tabs>
            <w:spacing w:line="240" w:lineRule="auto" w:before="41" w:after="0"/>
            <w:ind w:left="817" w:right="0" w:hanging="360"/>
            <w:jc w:val="left"/>
            <w:rPr>
              <w:b w:val="0"/>
            </w:rPr>
          </w:pPr>
          <w:hyperlink w:history="true" w:anchor="_bookmark12">
            <w:r>
              <w:rPr/>
              <w:t>Fuentes</w:t>
            </w:r>
            <w:r>
              <w:rPr>
                <w:spacing w:val="-1"/>
              </w:rPr>
              <w:t> </w:t>
            </w:r>
            <w:r>
              <w:rPr/>
              <w:t>de cromo</w:t>
            </w:r>
            <w:r>
              <w:rPr>
                <w:b w:val="0"/>
              </w:rPr>
              <w:tab/>
              <w:t>23</w:t>
            </w:r>
          </w:hyperlink>
        </w:p>
        <w:p>
          <w:pPr>
            <w:pStyle w:val="TOC4"/>
            <w:numPr>
              <w:ilvl w:val="2"/>
              <w:numId w:val="1"/>
            </w:numPr>
            <w:tabs>
              <w:tab w:pos="1233" w:val="left" w:leader="none"/>
              <w:tab w:pos="9041" w:val="right" w:leader="dot"/>
            </w:tabs>
            <w:spacing w:line="240" w:lineRule="auto" w:before="43" w:after="0"/>
            <w:ind w:left="1232" w:right="0" w:hanging="540"/>
            <w:jc w:val="left"/>
            <w:rPr>
              <w:i w:val="0"/>
            </w:rPr>
          </w:pPr>
          <w:hyperlink w:history="true" w:anchor="_bookmark13">
            <w:r>
              <w:rPr>
                <w:i/>
              </w:rPr>
              <w:t>Beneficios del</w:t>
            </w:r>
            <w:r>
              <w:rPr>
                <w:i/>
                <w:spacing w:val="-2"/>
              </w:rPr>
              <w:t> </w:t>
            </w:r>
            <w:r>
              <w:rPr>
                <w:i/>
              </w:rPr>
              <w:t>cromo</w:t>
            </w:r>
            <w:r>
              <w:rPr>
                <w:i/>
                <w:spacing w:val="-1"/>
              </w:rPr>
              <w:t> </w:t>
            </w:r>
            <w:r>
              <w:rPr>
                <w:i/>
              </w:rPr>
              <w:t>orgánico</w:t>
            </w:r>
            <w:r>
              <w:rPr>
                <w:i w:val="0"/>
              </w:rPr>
              <w:tab/>
              <w:t>26</w:t>
            </w:r>
          </w:hyperlink>
        </w:p>
        <w:p>
          <w:pPr>
            <w:pStyle w:val="TOC3"/>
            <w:numPr>
              <w:ilvl w:val="1"/>
              <w:numId w:val="1"/>
            </w:numPr>
            <w:tabs>
              <w:tab w:pos="818" w:val="left" w:leader="none"/>
              <w:tab w:pos="9046" w:val="right" w:leader="dot"/>
            </w:tabs>
            <w:spacing w:line="240" w:lineRule="auto" w:before="41" w:after="0"/>
            <w:ind w:left="817" w:right="0" w:hanging="360"/>
            <w:jc w:val="left"/>
            <w:rPr>
              <w:b w:val="0"/>
            </w:rPr>
          </w:pPr>
          <w:hyperlink w:history="true" w:anchor="_bookmark14">
            <w:r>
              <w:rPr/>
              <w:t>Uso del cromo en la producción</w:t>
            </w:r>
            <w:r>
              <w:rPr>
                <w:spacing w:val="1"/>
              </w:rPr>
              <w:t> </w:t>
            </w:r>
            <w:r>
              <w:rPr/>
              <w:t>(nutrición)</w:t>
            </w:r>
            <w:r>
              <w:rPr>
                <w:spacing w:val="-1"/>
              </w:rPr>
              <w:t> </w:t>
            </w:r>
            <w:r>
              <w:rPr/>
              <w:t>anima</w:t>
            </w:r>
            <w:r>
              <w:rPr>
                <w:b w:val="0"/>
              </w:rPr>
              <w:t>l</w:t>
              <w:tab/>
              <w:t>26</w:t>
            </w:r>
          </w:hyperlink>
        </w:p>
        <w:p>
          <w:pPr>
            <w:pStyle w:val="TOC4"/>
            <w:numPr>
              <w:ilvl w:val="2"/>
              <w:numId w:val="1"/>
            </w:numPr>
            <w:tabs>
              <w:tab w:pos="1233" w:val="left" w:leader="none"/>
              <w:tab w:pos="9041" w:val="right" w:leader="dot"/>
            </w:tabs>
            <w:spacing w:line="240" w:lineRule="auto" w:before="41" w:after="0"/>
            <w:ind w:left="692" w:right="0" w:firstLine="0"/>
            <w:jc w:val="left"/>
            <w:rPr>
              <w:i w:val="0"/>
            </w:rPr>
          </w:pPr>
          <w:hyperlink w:history="true" w:anchor="_bookmark15">
            <w:r>
              <w:rPr>
                <w:i/>
              </w:rPr>
              <w:t>Efecto del cromo orgánico en la respuesta productiva</w:t>
            </w:r>
            <w:r>
              <w:rPr>
                <w:i/>
                <w:spacing w:val="-2"/>
              </w:rPr>
              <w:t> </w:t>
            </w:r>
            <w:r>
              <w:rPr>
                <w:i/>
              </w:rPr>
              <w:t>de</w:t>
            </w:r>
            <w:r>
              <w:rPr>
                <w:i/>
                <w:spacing w:val="-2"/>
              </w:rPr>
              <w:t> </w:t>
            </w:r>
            <w:r>
              <w:rPr>
                <w:i/>
              </w:rPr>
              <w:t>rumiantes</w:t>
            </w:r>
            <w:r>
              <w:rPr>
                <w:i w:val="0"/>
              </w:rPr>
              <w:tab/>
              <w:t>27</w:t>
            </w:r>
          </w:hyperlink>
        </w:p>
        <w:p>
          <w:pPr>
            <w:pStyle w:val="TOC4"/>
            <w:numPr>
              <w:ilvl w:val="2"/>
              <w:numId w:val="1"/>
            </w:numPr>
            <w:tabs>
              <w:tab w:pos="1249" w:val="left" w:leader="none"/>
              <w:tab w:pos="9041" w:val="right" w:leader="dot"/>
            </w:tabs>
            <w:spacing w:line="278" w:lineRule="auto" w:before="41" w:after="0"/>
            <w:ind w:left="692" w:right="112" w:firstLine="0"/>
            <w:jc w:val="left"/>
            <w:rPr>
              <w:i w:val="0"/>
            </w:rPr>
          </w:pPr>
          <w:hyperlink w:history="true" w:anchor="_bookmark16">
            <w:r>
              <w:rPr>
                <w:i/>
              </w:rPr>
              <w:t>Efecto de la suplementación de cromo en la respuesta inmune y metabolitos en</w:t>
            </w:r>
          </w:hyperlink>
          <w:r>
            <w:rPr>
              <w:i/>
            </w:rPr>
            <w:t> </w:t>
          </w:r>
          <w:hyperlink w:history="true" w:anchor="_bookmark16">
            <w:r>
              <w:rPr/>
              <w:t>sangre</w:t>
            </w:r>
            <w:r>
              <w:rPr>
                <w:i w:val="0"/>
              </w:rPr>
              <w:tab/>
              <w:t>28</w:t>
            </w:r>
          </w:hyperlink>
        </w:p>
        <w:p>
          <w:pPr>
            <w:pStyle w:val="TOC4"/>
            <w:numPr>
              <w:ilvl w:val="2"/>
              <w:numId w:val="1"/>
            </w:numPr>
            <w:tabs>
              <w:tab w:pos="1233" w:val="left" w:leader="none"/>
              <w:tab w:pos="9041" w:val="right" w:leader="dot"/>
            </w:tabs>
            <w:spacing w:line="274" w:lineRule="exact" w:before="0" w:after="0"/>
            <w:ind w:left="1232" w:right="0" w:hanging="540"/>
            <w:jc w:val="left"/>
            <w:rPr>
              <w:i w:val="0"/>
            </w:rPr>
          </w:pPr>
          <w:hyperlink w:history="true" w:anchor="_bookmark17">
            <w:r>
              <w:rPr>
                <w:i/>
              </w:rPr>
              <w:t>Efecto del cromo en el metabolismo</w:t>
            </w:r>
            <w:r>
              <w:rPr>
                <w:i/>
                <w:spacing w:val="-1"/>
              </w:rPr>
              <w:t> </w:t>
            </w:r>
            <w:r>
              <w:rPr>
                <w:i/>
              </w:rPr>
              <w:t>de</w:t>
            </w:r>
            <w:r>
              <w:rPr>
                <w:i/>
                <w:spacing w:val="-2"/>
              </w:rPr>
              <w:t> </w:t>
            </w:r>
            <w:r>
              <w:rPr>
                <w:i/>
              </w:rPr>
              <w:t>minerales</w:t>
            </w:r>
            <w:r>
              <w:rPr>
                <w:i w:val="0"/>
              </w:rPr>
              <w:tab/>
              <w:t>29</w:t>
            </w:r>
          </w:hyperlink>
        </w:p>
        <w:p>
          <w:pPr>
            <w:pStyle w:val="TOC4"/>
            <w:numPr>
              <w:ilvl w:val="2"/>
              <w:numId w:val="1"/>
            </w:numPr>
            <w:tabs>
              <w:tab w:pos="1233" w:val="left" w:leader="none"/>
              <w:tab w:pos="9041" w:val="right" w:leader="dot"/>
            </w:tabs>
            <w:spacing w:line="240" w:lineRule="auto" w:before="41" w:after="0"/>
            <w:ind w:left="1232" w:right="0" w:hanging="540"/>
            <w:jc w:val="left"/>
            <w:rPr>
              <w:i w:val="0"/>
            </w:rPr>
          </w:pPr>
          <w:hyperlink w:history="true" w:anchor="_bookmark18">
            <w:r>
              <w:rPr>
                <w:i/>
              </w:rPr>
              <w:t>Efecto del cromo en las características y calidad de la canal</w:t>
            </w:r>
            <w:r>
              <w:rPr>
                <w:i/>
                <w:spacing w:val="-7"/>
              </w:rPr>
              <w:t> </w:t>
            </w:r>
            <w:r>
              <w:rPr>
                <w:i/>
              </w:rPr>
              <w:t>en</w:t>
            </w:r>
            <w:r>
              <w:rPr>
                <w:i/>
                <w:spacing w:val="-1"/>
              </w:rPr>
              <w:t> </w:t>
            </w:r>
            <w:r>
              <w:rPr>
                <w:i/>
              </w:rPr>
              <w:t>rumiantes</w:t>
            </w:r>
            <w:r>
              <w:rPr>
                <w:i w:val="0"/>
              </w:rPr>
              <w:tab/>
              <w:t>30</w:t>
            </w:r>
          </w:hyperlink>
        </w:p>
        <w:p>
          <w:pPr>
            <w:pStyle w:val="TOC4"/>
            <w:numPr>
              <w:ilvl w:val="2"/>
              <w:numId w:val="1"/>
            </w:numPr>
            <w:tabs>
              <w:tab w:pos="1233" w:val="left" w:leader="none"/>
              <w:tab w:pos="9041" w:val="right" w:leader="dot"/>
            </w:tabs>
            <w:spacing w:line="240" w:lineRule="auto" w:before="41" w:after="0"/>
            <w:ind w:left="1232" w:right="0" w:hanging="540"/>
            <w:jc w:val="left"/>
            <w:rPr>
              <w:i w:val="0"/>
            </w:rPr>
          </w:pPr>
          <w:hyperlink w:history="true" w:anchor="_bookmark19">
            <w:r>
              <w:rPr>
                <w:i/>
              </w:rPr>
              <w:t>Efecto del cromo en la calidad de</w:t>
            </w:r>
            <w:r>
              <w:rPr>
                <w:i/>
                <w:spacing w:val="-1"/>
              </w:rPr>
              <w:t> </w:t>
            </w:r>
            <w:r>
              <w:rPr>
                <w:i/>
              </w:rPr>
              <w:t>la</w:t>
            </w:r>
            <w:r>
              <w:rPr>
                <w:i/>
                <w:spacing w:val="-1"/>
              </w:rPr>
              <w:t> </w:t>
            </w:r>
            <w:r>
              <w:rPr>
                <w:i/>
              </w:rPr>
              <w:t>carne</w:t>
            </w:r>
            <w:r>
              <w:rPr>
                <w:i w:val="0"/>
              </w:rPr>
              <w:tab/>
              <w:t>31</w:t>
            </w:r>
          </w:hyperlink>
        </w:p>
        <w:p>
          <w:pPr>
            <w:pStyle w:val="TOC3"/>
            <w:numPr>
              <w:ilvl w:val="1"/>
              <w:numId w:val="1"/>
            </w:numPr>
            <w:tabs>
              <w:tab w:pos="818" w:val="left" w:leader="none"/>
              <w:tab w:pos="9046" w:val="right" w:leader="dot"/>
            </w:tabs>
            <w:spacing w:line="240" w:lineRule="auto" w:before="43" w:after="0"/>
            <w:ind w:left="817" w:right="0" w:hanging="360"/>
            <w:jc w:val="left"/>
            <w:rPr>
              <w:b w:val="0"/>
            </w:rPr>
          </w:pPr>
          <w:hyperlink w:history="true" w:anchor="_bookmark20">
            <w:r>
              <w:rPr/>
              <w:t>Composición química de la</w:t>
            </w:r>
            <w:r>
              <w:rPr>
                <w:spacing w:val="-1"/>
              </w:rPr>
              <w:t> </w:t>
            </w:r>
            <w:r>
              <w:rPr/>
              <w:t>carne</w:t>
            </w:r>
            <w:r>
              <w:rPr>
                <w:b w:val="0"/>
              </w:rPr>
              <w:tab/>
              <w:t>33</w:t>
            </w:r>
          </w:hyperlink>
        </w:p>
        <w:p>
          <w:pPr>
            <w:pStyle w:val="TOC3"/>
            <w:numPr>
              <w:ilvl w:val="1"/>
              <w:numId w:val="1"/>
            </w:numPr>
            <w:tabs>
              <w:tab w:pos="818" w:val="left" w:leader="none"/>
              <w:tab w:pos="9046" w:val="right" w:leader="dot"/>
            </w:tabs>
            <w:spacing w:line="240" w:lineRule="auto" w:before="41" w:after="0"/>
            <w:ind w:left="817" w:right="0" w:hanging="360"/>
            <w:jc w:val="left"/>
            <w:rPr>
              <w:b w:val="0"/>
            </w:rPr>
          </w:pPr>
          <w:hyperlink w:history="true" w:anchor="_bookmark21">
            <w:r>
              <w:rPr/>
              <w:t>Calidad de</w:t>
            </w:r>
            <w:r>
              <w:rPr>
                <w:spacing w:val="-1"/>
              </w:rPr>
              <w:t> </w:t>
            </w:r>
            <w:r>
              <w:rPr/>
              <w:t>la carne</w:t>
            </w:r>
            <w:r>
              <w:rPr>
                <w:b w:val="0"/>
              </w:rPr>
              <w:tab/>
              <w:t>33</w:t>
            </w:r>
          </w:hyperlink>
        </w:p>
        <w:p>
          <w:pPr>
            <w:pStyle w:val="TOC4"/>
            <w:numPr>
              <w:ilvl w:val="2"/>
              <w:numId w:val="1"/>
            </w:numPr>
            <w:tabs>
              <w:tab w:pos="1233" w:val="left" w:leader="none"/>
              <w:tab w:pos="9041" w:val="right" w:leader="dot"/>
            </w:tabs>
            <w:spacing w:line="240" w:lineRule="auto" w:before="41" w:after="0"/>
            <w:ind w:left="1232" w:right="0" w:hanging="540"/>
            <w:jc w:val="left"/>
            <w:rPr>
              <w:i w:val="0"/>
            </w:rPr>
          </w:pPr>
          <w:hyperlink w:history="true" w:anchor="_bookmark22">
            <w:r>
              <w:rPr>
                <w:i/>
              </w:rPr>
              <w:t>Parámetros fisicoquímicos que determinan la calidad de</w:t>
            </w:r>
            <w:r>
              <w:rPr>
                <w:i/>
                <w:spacing w:val="-6"/>
              </w:rPr>
              <w:t> </w:t>
            </w:r>
            <w:r>
              <w:rPr>
                <w:i/>
              </w:rPr>
              <w:t>la</w:t>
            </w:r>
            <w:r>
              <w:rPr>
                <w:i/>
                <w:spacing w:val="-1"/>
              </w:rPr>
              <w:t> </w:t>
            </w:r>
            <w:r>
              <w:rPr>
                <w:i/>
              </w:rPr>
              <w:t>carne</w:t>
            </w:r>
            <w:r>
              <w:rPr>
                <w:i w:val="0"/>
              </w:rPr>
              <w:tab/>
              <w:t>34</w:t>
            </w:r>
          </w:hyperlink>
        </w:p>
        <w:p>
          <w:pPr>
            <w:pStyle w:val="TOC5"/>
            <w:numPr>
              <w:ilvl w:val="2"/>
              <w:numId w:val="1"/>
            </w:numPr>
            <w:tabs>
              <w:tab w:pos="1233" w:val="left" w:leader="none"/>
              <w:tab w:pos="9041" w:val="right" w:leader="dot"/>
            </w:tabs>
            <w:spacing w:line="240" w:lineRule="auto" w:before="41" w:after="0"/>
            <w:ind w:left="1232" w:right="0" w:hanging="540"/>
            <w:jc w:val="left"/>
            <w:rPr>
              <w:b w:val="0"/>
              <w:i w:val="0"/>
              <w:sz w:val="24"/>
            </w:rPr>
          </w:pPr>
          <w:hyperlink w:history="true" w:anchor="_bookmark23">
            <w:r>
              <w:rPr>
                <w:b w:val="0"/>
                <w:i/>
                <w:sz w:val="24"/>
              </w:rPr>
              <w:t>pH</w:t>
            </w:r>
            <w:r>
              <w:rPr>
                <w:b w:val="0"/>
                <w:i/>
                <w:spacing w:val="-1"/>
                <w:sz w:val="24"/>
              </w:rPr>
              <w:t> </w:t>
            </w:r>
            <w:r>
              <w:rPr>
                <w:b w:val="0"/>
                <w:i/>
                <w:sz w:val="24"/>
              </w:rPr>
              <w:t>muscular</w:t>
            </w:r>
            <w:r>
              <w:rPr>
                <w:b w:val="0"/>
                <w:i w:val="0"/>
                <w:sz w:val="24"/>
              </w:rPr>
              <w:tab/>
              <w:t>34</w:t>
            </w:r>
          </w:hyperlink>
        </w:p>
        <w:p>
          <w:pPr>
            <w:pStyle w:val="TOC4"/>
            <w:numPr>
              <w:ilvl w:val="2"/>
              <w:numId w:val="1"/>
            </w:numPr>
            <w:tabs>
              <w:tab w:pos="1233" w:val="left" w:leader="none"/>
              <w:tab w:pos="9041" w:val="right" w:leader="dot"/>
            </w:tabs>
            <w:spacing w:line="240" w:lineRule="auto" w:before="43" w:after="0"/>
            <w:ind w:left="1232" w:right="0" w:hanging="540"/>
            <w:jc w:val="left"/>
            <w:rPr>
              <w:i w:val="0"/>
            </w:rPr>
          </w:pPr>
          <w:hyperlink w:history="true" w:anchor="_bookmark24">
            <w:r>
              <w:rPr>
                <w:i/>
              </w:rPr>
              <w:t>Capacidad de retención</w:t>
            </w:r>
            <w:r>
              <w:rPr>
                <w:i/>
                <w:spacing w:val="-3"/>
              </w:rPr>
              <w:t> </w:t>
            </w:r>
            <w:r>
              <w:rPr>
                <w:i/>
              </w:rPr>
              <w:t>de</w:t>
            </w:r>
            <w:r>
              <w:rPr>
                <w:i/>
                <w:spacing w:val="-1"/>
              </w:rPr>
              <w:t> </w:t>
            </w:r>
            <w:r>
              <w:rPr>
                <w:i/>
              </w:rPr>
              <w:t>agua</w:t>
            </w:r>
            <w:r>
              <w:rPr>
                <w:i w:val="0"/>
              </w:rPr>
              <w:tab/>
              <w:t>36</w:t>
            </w:r>
          </w:hyperlink>
        </w:p>
        <w:p>
          <w:pPr>
            <w:pStyle w:val="TOC5"/>
            <w:numPr>
              <w:ilvl w:val="2"/>
              <w:numId w:val="1"/>
            </w:numPr>
            <w:tabs>
              <w:tab w:pos="1233" w:val="left" w:leader="none"/>
              <w:tab w:pos="9041" w:val="right" w:leader="dot"/>
            </w:tabs>
            <w:spacing w:line="240" w:lineRule="auto" w:before="41" w:after="0"/>
            <w:ind w:left="1232" w:right="0" w:hanging="540"/>
            <w:jc w:val="left"/>
            <w:rPr>
              <w:b w:val="0"/>
              <w:i w:val="0"/>
              <w:sz w:val="24"/>
            </w:rPr>
          </w:pPr>
          <w:hyperlink w:history="true" w:anchor="_bookmark25">
            <w:r>
              <w:rPr>
                <w:b w:val="0"/>
                <w:i/>
                <w:sz w:val="24"/>
              </w:rPr>
              <w:t>Color</w:t>
            </w:r>
            <w:r>
              <w:rPr>
                <w:b w:val="0"/>
                <w:i w:val="0"/>
                <w:sz w:val="24"/>
              </w:rPr>
              <w:tab/>
              <w:t>38</w:t>
            </w:r>
          </w:hyperlink>
        </w:p>
        <w:p>
          <w:pPr>
            <w:pStyle w:val="TOC5"/>
            <w:numPr>
              <w:ilvl w:val="2"/>
              <w:numId w:val="1"/>
            </w:numPr>
            <w:tabs>
              <w:tab w:pos="1233" w:val="left" w:leader="none"/>
              <w:tab w:pos="9041" w:val="right" w:leader="dot"/>
            </w:tabs>
            <w:spacing w:line="240" w:lineRule="auto" w:before="41" w:after="0"/>
            <w:ind w:left="1232" w:right="0" w:hanging="540"/>
            <w:jc w:val="left"/>
            <w:rPr>
              <w:b w:val="0"/>
              <w:i w:val="0"/>
              <w:sz w:val="24"/>
            </w:rPr>
          </w:pPr>
          <w:hyperlink w:history="true" w:anchor="_bookmark26">
            <w:r>
              <w:rPr>
                <w:b w:val="0"/>
                <w:i/>
                <w:sz w:val="24"/>
              </w:rPr>
              <w:t>Textura</w:t>
            </w:r>
            <w:r>
              <w:rPr>
                <w:b w:val="0"/>
                <w:i w:val="0"/>
                <w:sz w:val="24"/>
              </w:rPr>
              <w:tab/>
              <w:t>40</w:t>
            </w:r>
          </w:hyperlink>
        </w:p>
        <w:p>
          <w:pPr>
            <w:pStyle w:val="TOC5"/>
            <w:numPr>
              <w:ilvl w:val="2"/>
              <w:numId w:val="1"/>
            </w:numPr>
            <w:tabs>
              <w:tab w:pos="1233" w:val="left" w:leader="none"/>
              <w:tab w:pos="9041" w:val="right" w:leader="dot"/>
            </w:tabs>
            <w:spacing w:line="240" w:lineRule="auto" w:before="41" w:after="0"/>
            <w:ind w:left="1232" w:right="0" w:hanging="540"/>
            <w:jc w:val="left"/>
            <w:rPr>
              <w:b w:val="0"/>
              <w:i w:val="0"/>
              <w:sz w:val="24"/>
            </w:rPr>
          </w:pPr>
          <w:hyperlink w:history="true" w:anchor="_bookmark27">
            <w:r>
              <w:rPr>
                <w:b w:val="0"/>
                <w:i/>
                <w:sz w:val="24"/>
              </w:rPr>
              <w:t>Colágeno</w:t>
            </w:r>
            <w:r>
              <w:rPr>
                <w:b w:val="0"/>
                <w:i w:val="0"/>
                <w:sz w:val="24"/>
              </w:rPr>
              <w:tab/>
              <w:t>44</w:t>
            </w:r>
          </w:hyperlink>
        </w:p>
        <w:p>
          <w:pPr>
            <w:pStyle w:val="TOC4"/>
            <w:numPr>
              <w:ilvl w:val="2"/>
              <w:numId w:val="1"/>
            </w:numPr>
            <w:tabs>
              <w:tab w:pos="1233" w:val="left" w:leader="none"/>
              <w:tab w:pos="9041" w:val="right" w:leader="dot"/>
            </w:tabs>
            <w:spacing w:line="240" w:lineRule="auto" w:before="41" w:after="0"/>
            <w:ind w:left="1232" w:right="0" w:hanging="540"/>
            <w:jc w:val="left"/>
            <w:rPr>
              <w:i w:val="0"/>
            </w:rPr>
          </w:pPr>
          <w:hyperlink w:history="true" w:anchor="_bookmark28">
            <w:r>
              <w:rPr>
                <w:i/>
              </w:rPr>
              <w:t>Lípidos de la carne</w:t>
            </w:r>
            <w:r>
              <w:rPr>
                <w:i/>
                <w:spacing w:val="-3"/>
              </w:rPr>
              <w:t> </w:t>
            </w:r>
            <w:r>
              <w:rPr>
                <w:i/>
              </w:rPr>
              <w:t>y</w:t>
            </w:r>
            <w:r>
              <w:rPr>
                <w:i/>
                <w:spacing w:val="-1"/>
              </w:rPr>
              <w:t> </w:t>
            </w:r>
            <w:r>
              <w:rPr>
                <w:i/>
              </w:rPr>
              <w:t>grasa</w:t>
            </w:r>
            <w:r>
              <w:rPr>
                <w:i w:val="0"/>
              </w:rPr>
              <w:tab/>
              <w:t>47</w:t>
            </w:r>
          </w:hyperlink>
        </w:p>
        <w:p>
          <w:pPr>
            <w:pStyle w:val="TOC4"/>
            <w:numPr>
              <w:ilvl w:val="2"/>
              <w:numId w:val="1"/>
            </w:numPr>
            <w:tabs>
              <w:tab w:pos="1233" w:val="left" w:leader="none"/>
              <w:tab w:pos="9041" w:val="right" w:leader="dot"/>
            </w:tabs>
            <w:spacing w:line="240" w:lineRule="auto" w:before="44" w:after="0"/>
            <w:ind w:left="1232" w:right="0" w:hanging="540"/>
            <w:jc w:val="left"/>
            <w:rPr>
              <w:i w:val="0"/>
            </w:rPr>
          </w:pPr>
          <w:hyperlink w:history="true" w:anchor="_bookmark29">
            <w:r>
              <w:rPr>
                <w:i/>
              </w:rPr>
              <w:t>Ácidos</w:t>
            </w:r>
            <w:r>
              <w:rPr>
                <w:i/>
                <w:spacing w:val="-1"/>
              </w:rPr>
              <w:t> </w:t>
            </w:r>
            <w:r>
              <w:rPr>
                <w:i/>
              </w:rPr>
              <w:t>grasos</w:t>
            </w:r>
            <w:r>
              <w:rPr>
                <w:i w:val="0"/>
              </w:rPr>
              <w:tab/>
              <w:t>48</w:t>
            </w:r>
          </w:hyperlink>
        </w:p>
        <w:p>
          <w:pPr>
            <w:pStyle w:val="TOC3"/>
            <w:numPr>
              <w:ilvl w:val="1"/>
              <w:numId w:val="1"/>
            </w:numPr>
            <w:tabs>
              <w:tab w:pos="818" w:val="left" w:leader="none"/>
              <w:tab w:pos="9046" w:val="right" w:leader="dot"/>
            </w:tabs>
            <w:spacing w:line="240" w:lineRule="auto" w:before="41" w:after="0"/>
            <w:ind w:left="817" w:right="0" w:hanging="360"/>
            <w:jc w:val="left"/>
            <w:rPr>
              <w:b w:val="0"/>
            </w:rPr>
          </w:pPr>
          <w:hyperlink w:history="true" w:anchor="_bookmark30">
            <w:r>
              <w:rPr/>
              <w:t>Fibras musculares y su relación con la calidad de la</w:t>
            </w:r>
            <w:r>
              <w:rPr>
                <w:spacing w:val="-1"/>
              </w:rPr>
              <w:t> </w:t>
            </w:r>
            <w:r>
              <w:rPr/>
              <w:t>carne</w:t>
            </w:r>
            <w:r>
              <w:rPr>
                <w:b w:val="0"/>
              </w:rPr>
              <w:tab/>
              <w:t>50</w:t>
            </w:r>
          </w:hyperlink>
        </w:p>
        <w:p>
          <w:pPr>
            <w:pStyle w:val="TOC4"/>
            <w:numPr>
              <w:ilvl w:val="2"/>
              <w:numId w:val="1"/>
            </w:numPr>
            <w:tabs>
              <w:tab w:pos="1233" w:val="left" w:leader="none"/>
              <w:tab w:pos="9041" w:val="right" w:leader="dot"/>
            </w:tabs>
            <w:spacing w:line="240" w:lineRule="auto" w:before="41" w:after="0"/>
            <w:ind w:left="1232" w:right="0" w:hanging="540"/>
            <w:jc w:val="left"/>
            <w:rPr>
              <w:i w:val="0"/>
            </w:rPr>
          </w:pPr>
          <w:hyperlink w:history="true" w:anchor="_bookmark31">
            <w:r>
              <w:rPr>
                <w:i/>
              </w:rPr>
              <w:t>Morfología de la</w:t>
            </w:r>
            <w:r>
              <w:rPr>
                <w:i/>
                <w:spacing w:val="-1"/>
              </w:rPr>
              <w:t> </w:t>
            </w:r>
            <w:r>
              <w:rPr>
                <w:i/>
              </w:rPr>
              <w:t>fibra</w:t>
            </w:r>
            <w:r>
              <w:rPr>
                <w:i/>
                <w:spacing w:val="-1"/>
              </w:rPr>
              <w:t> </w:t>
            </w:r>
            <w:r>
              <w:rPr>
                <w:i/>
              </w:rPr>
              <w:t>muscular</w:t>
            </w:r>
            <w:r>
              <w:rPr>
                <w:i w:val="0"/>
              </w:rPr>
              <w:tab/>
              <w:t>51</w:t>
            </w:r>
          </w:hyperlink>
        </w:p>
        <w:p>
          <w:pPr>
            <w:pStyle w:val="TOC4"/>
            <w:numPr>
              <w:ilvl w:val="2"/>
              <w:numId w:val="1"/>
            </w:numPr>
            <w:tabs>
              <w:tab w:pos="1233" w:val="left" w:leader="none"/>
              <w:tab w:pos="9041" w:val="right" w:leader="dot"/>
            </w:tabs>
            <w:spacing w:line="240" w:lineRule="auto" w:before="41" w:after="0"/>
            <w:ind w:left="1232" w:right="0" w:hanging="540"/>
            <w:jc w:val="left"/>
            <w:rPr>
              <w:i w:val="0"/>
            </w:rPr>
          </w:pPr>
          <w:hyperlink w:history="true" w:anchor="_bookmark32">
            <w:r>
              <w:rPr>
                <w:i/>
              </w:rPr>
              <w:t>pH y las</w:t>
            </w:r>
            <w:r>
              <w:rPr>
                <w:i/>
                <w:spacing w:val="-4"/>
              </w:rPr>
              <w:t> </w:t>
            </w:r>
            <w:r>
              <w:rPr>
                <w:i/>
              </w:rPr>
              <w:t>fibras musculares</w:t>
            </w:r>
            <w:r>
              <w:rPr>
                <w:i w:val="0"/>
              </w:rPr>
              <w:tab/>
              <w:t>52</w:t>
            </w:r>
          </w:hyperlink>
        </w:p>
        <w:p>
          <w:pPr>
            <w:pStyle w:val="TOC4"/>
            <w:numPr>
              <w:ilvl w:val="2"/>
              <w:numId w:val="1"/>
            </w:numPr>
            <w:tabs>
              <w:tab w:pos="1233" w:val="left" w:leader="none"/>
              <w:tab w:pos="9041" w:val="right" w:leader="dot"/>
            </w:tabs>
            <w:spacing w:line="240" w:lineRule="auto" w:before="43" w:after="0"/>
            <w:ind w:left="1232" w:right="0" w:hanging="540"/>
            <w:jc w:val="left"/>
            <w:rPr>
              <w:i w:val="0"/>
            </w:rPr>
          </w:pPr>
          <w:hyperlink w:history="true" w:anchor="_bookmark33">
            <w:r>
              <w:rPr>
                <w:i/>
              </w:rPr>
              <w:t>Grasa intramuscular y las</w:t>
            </w:r>
            <w:r>
              <w:rPr>
                <w:i/>
                <w:spacing w:val="-2"/>
              </w:rPr>
              <w:t> </w:t>
            </w:r>
            <w:r>
              <w:rPr>
                <w:i/>
              </w:rPr>
              <w:t>fibras</w:t>
            </w:r>
            <w:r>
              <w:rPr>
                <w:i/>
                <w:spacing w:val="-1"/>
              </w:rPr>
              <w:t> </w:t>
            </w:r>
            <w:r>
              <w:rPr>
                <w:i/>
              </w:rPr>
              <w:t>musculares</w:t>
            </w:r>
            <w:r>
              <w:rPr>
                <w:i w:val="0"/>
              </w:rPr>
              <w:tab/>
              <w:t>52</w:t>
            </w:r>
          </w:hyperlink>
        </w:p>
        <w:p>
          <w:pPr>
            <w:pStyle w:val="TOC4"/>
            <w:numPr>
              <w:ilvl w:val="2"/>
              <w:numId w:val="1"/>
            </w:numPr>
            <w:tabs>
              <w:tab w:pos="1293" w:val="left" w:leader="none"/>
              <w:tab w:pos="9041" w:val="right" w:leader="dot"/>
            </w:tabs>
            <w:spacing w:line="240" w:lineRule="auto" w:before="40" w:after="0"/>
            <w:ind w:left="1292" w:right="0" w:hanging="600"/>
            <w:jc w:val="left"/>
            <w:rPr>
              <w:i w:val="0"/>
            </w:rPr>
          </w:pPr>
          <w:hyperlink w:history="true" w:anchor="_bookmark34">
            <w:r>
              <w:rPr>
                <w:i/>
              </w:rPr>
              <w:t>Color y las</w:t>
            </w:r>
            <w:r>
              <w:rPr>
                <w:i/>
                <w:spacing w:val="-2"/>
              </w:rPr>
              <w:t> </w:t>
            </w:r>
            <w:r>
              <w:rPr>
                <w:i/>
              </w:rPr>
              <w:t>fibras</w:t>
            </w:r>
            <w:r>
              <w:rPr>
                <w:i/>
                <w:spacing w:val="-2"/>
              </w:rPr>
              <w:t> </w:t>
            </w:r>
            <w:r>
              <w:rPr>
                <w:i/>
              </w:rPr>
              <w:t>musculares</w:t>
            </w:r>
            <w:r>
              <w:rPr>
                <w:i w:val="0"/>
              </w:rPr>
              <w:tab/>
              <w:t>53</w:t>
            </w:r>
          </w:hyperlink>
        </w:p>
      </w:sdtContent>
    </w:sdt>
    <w:p>
      <w:pPr>
        <w:spacing w:after="0" w:line="240" w:lineRule="auto"/>
        <w:jc w:val="left"/>
        <w:sectPr>
          <w:headerReference w:type="default" r:id="rId9"/>
          <w:footerReference w:type="default" r:id="rId10"/>
          <w:pgSz w:w="12240" w:h="15840"/>
          <w:pgMar w:header="1845" w:footer="625" w:top="2080" w:bottom="820" w:left="1660" w:right="1420"/>
          <w:pgNumType w:start="8"/>
        </w:sectPr>
      </w:pPr>
    </w:p>
    <w:p>
      <w:pPr>
        <w:pStyle w:val="ListParagraph"/>
        <w:numPr>
          <w:ilvl w:val="2"/>
          <w:numId w:val="1"/>
        </w:numPr>
        <w:tabs>
          <w:tab w:pos="1173" w:val="left" w:leader="none"/>
          <w:tab w:pos="8981" w:val="right" w:leader="dot"/>
        </w:tabs>
        <w:spacing w:line="240" w:lineRule="auto" w:before="309" w:after="0"/>
        <w:ind w:left="1172" w:right="0" w:hanging="540"/>
        <w:jc w:val="left"/>
        <w:rPr>
          <w:sz w:val="24"/>
        </w:rPr>
      </w:pPr>
      <w:hyperlink w:history="true" w:anchor="_bookmark35">
        <w:r>
          <w:rPr>
            <w:i/>
            <w:sz w:val="24"/>
          </w:rPr>
          <w:t>Calidad sensorial de la carne y las</w:t>
        </w:r>
        <w:r>
          <w:rPr>
            <w:i/>
            <w:spacing w:val="-6"/>
            <w:sz w:val="24"/>
          </w:rPr>
          <w:t> </w:t>
        </w:r>
        <w:r>
          <w:rPr>
            <w:i/>
            <w:sz w:val="24"/>
          </w:rPr>
          <w:t>fibras</w:t>
        </w:r>
        <w:r>
          <w:rPr>
            <w:i/>
            <w:spacing w:val="-1"/>
            <w:sz w:val="24"/>
          </w:rPr>
          <w:t> </w:t>
        </w:r>
        <w:r>
          <w:rPr>
            <w:i/>
            <w:sz w:val="24"/>
          </w:rPr>
          <w:t>musculares</w:t>
        </w:r>
        <w:r>
          <w:rPr>
            <w:sz w:val="24"/>
          </w:rPr>
          <w:tab/>
          <w:t>54</w:t>
        </w:r>
      </w:hyperlink>
    </w:p>
    <w:p>
      <w:pPr>
        <w:pStyle w:val="Heading1"/>
        <w:numPr>
          <w:ilvl w:val="0"/>
          <w:numId w:val="1"/>
        </w:numPr>
        <w:tabs>
          <w:tab w:pos="393" w:val="left" w:leader="none"/>
          <w:tab w:pos="8981" w:val="right" w:leader="dot"/>
        </w:tabs>
        <w:spacing w:line="240" w:lineRule="auto" w:before="41" w:after="0"/>
        <w:ind w:left="392" w:right="0" w:hanging="240"/>
        <w:jc w:val="left"/>
        <w:rPr>
          <w:b w:val="0"/>
        </w:rPr>
      </w:pPr>
      <w:hyperlink w:history="true" w:anchor="_bookmark36">
        <w:r>
          <w:rPr/>
          <w:t>JUSTIFICACIÓN</w:t>
        </w:r>
        <w:r>
          <w:rPr>
            <w:b w:val="0"/>
          </w:rPr>
          <w:tab/>
          <w:t>55</w:t>
        </w:r>
      </w:hyperlink>
    </w:p>
    <w:p>
      <w:pPr>
        <w:pStyle w:val="ListParagraph"/>
        <w:numPr>
          <w:ilvl w:val="0"/>
          <w:numId w:val="1"/>
        </w:numPr>
        <w:tabs>
          <w:tab w:pos="393" w:val="left" w:leader="none"/>
          <w:tab w:pos="8981" w:val="right" w:leader="dot"/>
        </w:tabs>
        <w:spacing w:line="240" w:lineRule="auto" w:before="41" w:after="0"/>
        <w:ind w:left="392" w:right="0" w:hanging="240"/>
        <w:jc w:val="left"/>
        <w:rPr>
          <w:sz w:val="24"/>
        </w:rPr>
      </w:pPr>
      <w:hyperlink w:history="true" w:anchor="_bookmark37">
        <w:r>
          <w:rPr>
            <w:b/>
            <w:sz w:val="24"/>
          </w:rPr>
          <w:t>HIPÓTESIS</w:t>
        </w:r>
        <w:r>
          <w:rPr>
            <w:sz w:val="24"/>
          </w:rPr>
          <w:tab/>
          <w:t>57</w:t>
        </w:r>
      </w:hyperlink>
    </w:p>
    <w:p>
      <w:pPr>
        <w:pStyle w:val="ListParagraph"/>
        <w:numPr>
          <w:ilvl w:val="0"/>
          <w:numId w:val="1"/>
        </w:numPr>
        <w:tabs>
          <w:tab w:pos="393" w:val="left" w:leader="none"/>
          <w:tab w:pos="8981" w:val="right" w:leader="dot"/>
        </w:tabs>
        <w:spacing w:line="240" w:lineRule="auto" w:before="43" w:after="0"/>
        <w:ind w:left="392" w:right="0" w:hanging="240"/>
        <w:jc w:val="left"/>
        <w:rPr>
          <w:sz w:val="24"/>
        </w:rPr>
      </w:pPr>
      <w:hyperlink w:history="true" w:anchor="_bookmark38">
        <w:r>
          <w:rPr>
            <w:b/>
            <w:sz w:val="24"/>
          </w:rPr>
          <w:t>OBJETIVOS</w:t>
        </w:r>
        <w:r>
          <w:rPr>
            <w:sz w:val="24"/>
          </w:rPr>
          <w:tab/>
          <w:t>58</w:t>
        </w:r>
      </w:hyperlink>
    </w:p>
    <w:p>
      <w:pPr>
        <w:pStyle w:val="ListParagraph"/>
        <w:numPr>
          <w:ilvl w:val="1"/>
          <w:numId w:val="1"/>
        </w:numPr>
        <w:tabs>
          <w:tab w:pos="758" w:val="left" w:leader="none"/>
          <w:tab w:pos="8986" w:val="right" w:leader="dot"/>
        </w:tabs>
        <w:spacing w:line="240" w:lineRule="auto" w:before="41" w:after="0"/>
        <w:ind w:left="757" w:right="0" w:hanging="360"/>
        <w:jc w:val="left"/>
        <w:rPr>
          <w:sz w:val="24"/>
        </w:rPr>
      </w:pPr>
      <w:hyperlink w:history="true" w:anchor="_bookmark39">
        <w:r>
          <w:rPr>
            <w:sz w:val="24"/>
          </w:rPr>
          <w:t>OBJETIVO</w:t>
        </w:r>
        <w:r>
          <w:rPr>
            <w:spacing w:val="-2"/>
            <w:sz w:val="24"/>
          </w:rPr>
          <w:t> </w:t>
        </w:r>
        <w:r>
          <w:rPr>
            <w:sz w:val="24"/>
          </w:rPr>
          <w:t>GENERAL</w:t>
          <w:tab/>
          <w:t>58</w:t>
        </w:r>
      </w:hyperlink>
    </w:p>
    <w:p>
      <w:pPr>
        <w:pStyle w:val="ListParagraph"/>
        <w:numPr>
          <w:ilvl w:val="1"/>
          <w:numId w:val="1"/>
        </w:numPr>
        <w:tabs>
          <w:tab w:pos="818" w:val="left" w:leader="none"/>
          <w:tab w:pos="8986" w:val="right" w:leader="dot"/>
        </w:tabs>
        <w:spacing w:line="240" w:lineRule="auto" w:before="41" w:after="0"/>
        <w:ind w:left="817" w:right="0" w:hanging="420"/>
        <w:jc w:val="left"/>
        <w:rPr>
          <w:sz w:val="24"/>
        </w:rPr>
      </w:pPr>
      <w:hyperlink w:history="true" w:anchor="_bookmark40">
        <w:r>
          <w:rPr>
            <w:sz w:val="24"/>
          </w:rPr>
          <w:t>OBJETIVOS</w:t>
        </w:r>
        <w:r>
          <w:rPr>
            <w:spacing w:val="-1"/>
            <w:sz w:val="24"/>
          </w:rPr>
          <w:t> </w:t>
        </w:r>
        <w:r>
          <w:rPr>
            <w:sz w:val="24"/>
          </w:rPr>
          <w:t>ESPECÍFICOS</w:t>
          <w:tab/>
          <w:t>58</w:t>
        </w:r>
      </w:hyperlink>
    </w:p>
    <w:p>
      <w:pPr>
        <w:pStyle w:val="Heading1"/>
        <w:numPr>
          <w:ilvl w:val="0"/>
          <w:numId w:val="1"/>
        </w:numPr>
        <w:tabs>
          <w:tab w:pos="393" w:val="left" w:leader="none"/>
          <w:tab w:pos="8981" w:val="right" w:leader="dot"/>
        </w:tabs>
        <w:spacing w:line="240" w:lineRule="auto" w:before="41" w:after="0"/>
        <w:ind w:left="392" w:right="0" w:hanging="240"/>
        <w:jc w:val="left"/>
        <w:rPr>
          <w:b w:val="0"/>
        </w:rPr>
      </w:pPr>
      <w:hyperlink w:history="true" w:anchor="_bookmark41">
        <w:r>
          <w:rPr/>
          <w:t>MATERIAL</w:t>
        </w:r>
        <w:r>
          <w:rPr>
            <w:spacing w:val="-1"/>
          </w:rPr>
          <w:t> </w:t>
        </w:r>
        <w:r>
          <w:rPr/>
          <w:t>Y</w:t>
        </w:r>
        <w:r>
          <w:rPr>
            <w:spacing w:val="-1"/>
          </w:rPr>
          <w:t> </w:t>
        </w:r>
        <w:r>
          <w:rPr/>
          <w:t>MÉTODOS</w:t>
        </w:r>
        <w:r>
          <w:rPr>
            <w:b w:val="0"/>
          </w:rPr>
          <w:tab/>
          <w:t>59</w:t>
        </w:r>
      </w:hyperlink>
    </w:p>
    <w:p>
      <w:pPr>
        <w:pStyle w:val="Heading1"/>
        <w:numPr>
          <w:ilvl w:val="1"/>
          <w:numId w:val="1"/>
        </w:numPr>
        <w:tabs>
          <w:tab w:pos="758" w:val="left" w:leader="none"/>
          <w:tab w:pos="8986" w:val="right" w:leader="dot"/>
        </w:tabs>
        <w:spacing w:line="240" w:lineRule="auto" w:before="43" w:after="0"/>
        <w:ind w:left="757" w:right="0" w:hanging="360"/>
        <w:jc w:val="left"/>
        <w:rPr>
          <w:b w:val="0"/>
        </w:rPr>
      </w:pPr>
      <w:hyperlink w:history="true" w:anchor="_bookmark42">
        <w:r>
          <w:rPr/>
          <w:t>Ensayo</w:t>
        </w:r>
        <w:r>
          <w:rPr>
            <w:spacing w:val="-1"/>
          </w:rPr>
          <w:t> </w:t>
        </w:r>
        <w:r>
          <w:rPr/>
          <w:t>de</w:t>
        </w:r>
        <w:r>
          <w:rPr>
            <w:spacing w:val="-2"/>
          </w:rPr>
          <w:t> </w:t>
        </w:r>
        <w:r>
          <w:rPr/>
          <w:t>crecimiento</w:t>
        </w:r>
        <w:r>
          <w:rPr>
            <w:b w:val="0"/>
          </w:rPr>
          <w:tab/>
          <w:t>59</w:t>
        </w:r>
      </w:hyperlink>
    </w:p>
    <w:p>
      <w:pPr>
        <w:pStyle w:val="Heading1"/>
        <w:numPr>
          <w:ilvl w:val="1"/>
          <w:numId w:val="1"/>
        </w:numPr>
        <w:tabs>
          <w:tab w:pos="758" w:val="left" w:leader="none"/>
          <w:tab w:pos="8986" w:val="right" w:leader="dot"/>
        </w:tabs>
        <w:spacing w:line="240" w:lineRule="auto" w:before="41" w:after="0"/>
        <w:ind w:left="757" w:right="0" w:hanging="360"/>
        <w:jc w:val="left"/>
        <w:rPr>
          <w:b w:val="0"/>
        </w:rPr>
      </w:pPr>
      <w:hyperlink w:history="true" w:anchor="_bookmark43">
        <w:r>
          <w:rPr/>
          <w:t>Ensayo</w:t>
        </w:r>
        <w:r>
          <w:rPr>
            <w:spacing w:val="-1"/>
          </w:rPr>
          <w:t> </w:t>
        </w:r>
        <w:r>
          <w:rPr/>
          <w:t>metabólico</w:t>
        </w:r>
        <w:r>
          <w:rPr>
            <w:b w:val="0"/>
          </w:rPr>
          <w:tab/>
          <w:t>60</w:t>
        </w:r>
      </w:hyperlink>
    </w:p>
    <w:p>
      <w:pPr>
        <w:pStyle w:val="ListParagraph"/>
        <w:numPr>
          <w:ilvl w:val="2"/>
          <w:numId w:val="1"/>
        </w:numPr>
        <w:tabs>
          <w:tab w:pos="1173" w:val="left" w:leader="none"/>
          <w:tab w:pos="8981" w:val="right" w:leader="dot"/>
        </w:tabs>
        <w:spacing w:line="240" w:lineRule="auto" w:before="41" w:after="0"/>
        <w:ind w:left="1172" w:right="0" w:hanging="540"/>
        <w:jc w:val="left"/>
        <w:rPr>
          <w:sz w:val="24"/>
        </w:rPr>
      </w:pPr>
      <w:hyperlink w:history="true" w:anchor="_bookmark44">
        <w:r>
          <w:rPr>
            <w:i/>
            <w:sz w:val="24"/>
          </w:rPr>
          <w:t>Muestreo de tejidos para determinación</w:t>
        </w:r>
        <w:r>
          <w:rPr>
            <w:i/>
            <w:spacing w:val="-1"/>
            <w:sz w:val="24"/>
          </w:rPr>
          <w:t> </w:t>
        </w:r>
        <w:r>
          <w:rPr>
            <w:i/>
            <w:sz w:val="24"/>
          </w:rPr>
          <w:t>de minerales</w:t>
        </w:r>
        <w:r>
          <w:rPr>
            <w:sz w:val="24"/>
          </w:rPr>
          <w:tab/>
          <w:t>61</w:t>
        </w:r>
      </w:hyperlink>
    </w:p>
    <w:p>
      <w:pPr>
        <w:pStyle w:val="ListParagraph"/>
        <w:numPr>
          <w:ilvl w:val="2"/>
          <w:numId w:val="1"/>
        </w:numPr>
        <w:tabs>
          <w:tab w:pos="1173" w:val="left" w:leader="none"/>
          <w:tab w:pos="8981" w:val="right" w:leader="dot"/>
        </w:tabs>
        <w:spacing w:line="240" w:lineRule="auto" w:before="41" w:after="0"/>
        <w:ind w:left="1172" w:right="0" w:hanging="540"/>
        <w:jc w:val="left"/>
        <w:rPr>
          <w:sz w:val="24"/>
        </w:rPr>
      </w:pPr>
      <w:hyperlink w:history="true" w:anchor="_bookmark45">
        <w:r>
          <w:rPr>
            <w:i/>
            <w:sz w:val="24"/>
          </w:rPr>
          <w:t>Determinación de ácidos grasos en</w:t>
        </w:r>
        <w:r>
          <w:rPr>
            <w:i/>
            <w:spacing w:val="-4"/>
            <w:sz w:val="24"/>
          </w:rPr>
          <w:t> </w:t>
        </w:r>
        <w:r>
          <w:rPr>
            <w:i/>
            <w:sz w:val="24"/>
          </w:rPr>
          <w:t>grasa</w:t>
        </w:r>
        <w:r>
          <w:rPr>
            <w:i/>
            <w:spacing w:val="-1"/>
            <w:sz w:val="24"/>
          </w:rPr>
          <w:t> </w:t>
        </w:r>
        <w:r>
          <w:rPr>
            <w:i/>
            <w:sz w:val="24"/>
          </w:rPr>
          <w:t>intramuscular</w:t>
        </w:r>
        <w:r>
          <w:rPr>
            <w:sz w:val="24"/>
          </w:rPr>
          <w:tab/>
          <w:t>61</w:t>
        </w:r>
      </w:hyperlink>
    </w:p>
    <w:p>
      <w:pPr>
        <w:pStyle w:val="Heading1"/>
        <w:numPr>
          <w:ilvl w:val="1"/>
          <w:numId w:val="1"/>
        </w:numPr>
        <w:tabs>
          <w:tab w:pos="758" w:val="left" w:leader="none"/>
          <w:tab w:pos="8986" w:val="right" w:leader="dot"/>
        </w:tabs>
        <w:spacing w:line="240" w:lineRule="auto" w:before="41" w:after="0"/>
        <w:ind w:left="757" w:right="0" w:hanging="360"/>
        <w:jc w:val="left"/>
        <w:rPr>
          <w:b w:val="0"/>
        </w:rPr>
      </w:pPr>
      <w:hyperlink w:history="true" w:anchor="_bookmark46">
        <w:r>
          <w:rPr/>
          <w:t>Características de</w:t>
        </w:r>
        <w:r>
          <w:rPr>
            <w:spacing w:val="-2"/>
          </w:rPr>
          <w:t> </w:t>
        </w:r>
        <w:r>
          <w:rPr/>
          <w:t>la</w:t>
        </w:r>
        <w:r>
          <w:rPr>
            <w:spacing w:val="1"/>
          </w:rPr>
          <w:t> </w:t>
        </w:r>
        <w:r>
          <w:rPr/>
          <w:t>canal</w:t>
        </w:r>
        <w:r>
          <w:rPr>
            <w:b w:val="0"/>
          </w:rPr>
          <w:tab/>
          <w:t>62</w:t>
        </w:r>
      </w:hyperlink>
    </w:p>
    <w:p>
      <w:pPr>
        <w:pStyle w:val="ListParagraph"/>
        <w:numPr>
          <w:ilvl w:val="2"/>
          <w:numId w:val="1"/>
        </w:numPr>
        <w:tabs>
          <w:tab w:pos="1173" w:val="left" w:leader="none"/>
          <w:tab w:pos="8981" w:val="right" w:leader="dot"/>
        </w:tabs>
        <w:spacing w:line="240" w:lineRule="auto" w:before="43" w:after="0"/>
        <w:ind w:left="1172" w:right="0" w:hanging="540"/>
        <w:jc w:val="left"/>
        <w:rPr>
          <w:sz w:val="24"/>
        </w:rPr>
      </w:pPr>
      <w:hyperlink w:history="true" w:anchor="_bookmark47">
        <w:r>
          <w:rPr>
            <w:i/>
            <w:sz w:val="24"/>
          </w:rPr>
          <w:t>Sacrificio de</w:t>
        </w:r>
        <w:r>
          <w:rPr>
            <w:i/>
            <w:spacing w:val="-1"/>
            <w:sz w:val="24"/>
          </w:rPr>
          <w:t> </w:t>
        </w:r>
        <w:r>
          <w:rPr>
            <w:i/>
            <w:sz w:val="24"/>
          </w:rPr>
          <w:t>los</w:t>
        </w:r>
        <w:r>
          <w:rPr>
            <w:i/>
            <w:spacing w:val="-1"/>
            <w:sz w:val="24"/>
          </w:rPr>
          <w:t> </w:t>
        </w:r>
        <w:r>
          <w:rPr>
            <w:i/>
            <w:sz w:val="24"/>
          </w:rPr>
          <w:t>animales</w:t>
        </w:r>
        <w:r>
          <w:rPr>
            <w:sz w:val="24"/>
          </w:rPr>
          <w:tab/>
          <w:t>62</w:t>
        </w:r>
      </w:hyperlink>
    </w:p>
    <w:p>
      <w:pPr>
        <w:pStyle w:val="ListParagraph"/>
        <w:numPr>
          <w:ilvl w:val="2"/>
          <w:numId w:val="1"/>
        </w:numPr>
        <w:tabs>
          <w:tab w:pos="1173" w:val="left" w:leader="none"/>
          <w:tab w:pos="8981" w:val="right" w:leader="dot"/>
        </w:tabs>
        <w:spacing w:line="240" w:lineRule="auto" w:before="41" w:after="0"/>
        <w:ind w:left="1172" w:right="0" w:hanging="540"/>
        <w:jc w:val="left"/>
        <w:rPr>
          <w:sz w:val="24"/>
        </w:rPr>
      </w:pPr>
      <w:hyperlink w:history="true" w:anchor="_bookmark48">
        <w:r>
          <w:rPr>
            <w:i/>
            <w:sz w:val="24"/>
          </w:rPr>
          <w:t>Análisis morfométrico de</w:t>
        </w:r>
        <w:r>
          <w:rPr>
            <w:i/>
            <w:spacing w:val="-2"/>
            <w:sz w:val="24"/>
          </w:rPr>
          <w:t> </w:t>
        </w:r>
        <w:r>
          <w:rPr>
            <w:i/>
            <w:sz w:val="24"/>
          </w:rPr>
          <w:t>las</w:t>
        </w:r>
        <w:r>
          <w:rPr>
            <w:i/>
            <w:spacing w:val="-2"/>
            <w:sz w:val="24"/>
          </w:rPr>
          <w:t> </w:t>
        </w:r>
        <w:r>
          <w:rPr>
            <w:i/>
            <w:sz w:val="24"/>
          </w:rPr>
          <w:t>canales.</w:t>
        </w:r>
        <w:r>
          <w:rPr>
            <w:sz w:val="24"/>
          </w:rPr>
          <w:tab/>
          <w:t>64</w:t>
        </w:r>
      </w:hyperlink>
    </w:p>
    <w:p>
      <w:pPr>
        <w:pStyle w:val="ListParagraph"/>
        <w:numPr>
          <w:ilvl w:val="2"/>
          <w:numId w:val="1"/>
        </w:numPr>
        <w:tabs>
          <w:tab w:pos="1173" w:val="left" w:leader="none"/>
          <w:tab w:pos="8981" w:val="right" w:leader="dot"/>
        </w:tabs>
        <w:spacing w:line="240" w:lineRule="auto" w:before="41" w:after="0"/>
        <w:ind w:left="1172" w:right="0" w:hanging="540"/>
        <w:jc w:val="left"/>
        <w:rPr>
          <w:sz w:val="24"/>
        </w:rPr>
      </w:pPr>
      <w:hyperlink w:history="true" w:anchor="_bookmark49">
        <w:r>
          <w:rPr>
            <w:i/>
            <w:sz w:val="24"/>
          </w:rPr>
          <w:t>Valoración subjetiva de</w:t>
        </w:r>
        <w:r>
          <w:rPr>
            <w:i/>
            <w:spacing w:val="-3"/>
            <w:sz w:val="24"/>
          </w:rPr>
          <w:t> </w:t>
        </w:r>
        <w:r>
          <w:rPr>
            <w:i/>
            <w:sz w:val="24"/>
          </w:rPr>
          <w:t>la</w:t>
        </w:r>
        <w:r>
          <w:rPr>
            <w:i/>
            <w:spacing w:val="-1"/>
            <w:sz w:val="24"/>
          </w:rPr>
          <w:t> </w:t>
        </w:r>
        <w:r>
          <w:rPr>
            <w:i/>
            <w:sz w:val="24"/>
          </w:rPr>
          <w:t>conformación.</w:t>
        </w:r>
        <w:r>
          <w:rPr>
            <w:sz w:val="24"/>
          </w:rPr>
          <w:tab/>
          <w:t>65</w:t>
        </w:r>
      </w:hyperlink>
    </w:p>
    <w:p>
      <w:pPr>
        <w:pStyle w:val="Heading1"/>
        <w:numPr>
          <w:ilvl w:val="1"/>
          <w:numId w:val="1"/>
        </w:numPr>
        <w:tabs>
          <w:tab w:pos="818" w:val="left" w:leader="none"/>
          <w:tab w:pos="8986" w:val="right" w:leader="dot"/>
        </w:tabs>
        <w:spacing w:line="240" w:lineRule="auto" w:before="41" w:after="0"/>
        <w:ind w:left="817" w:right="0" w:hanging="420"/>
        <w:jc w:val="left"/>
        <w:rPr>
          <w:b w:val="0"/>
        </w:rPr>
      </w:pPr>
      <w:hyperlink w:history="true" w:anchor="_bookmark50">
        <w:r>
          <w:rPr/>
          <w:t>Calidad de</w:t>
        </w:r>
        <w:r>
          <w:rPr>
            <w:spacing w:val="-1"/>
          </w:rPr>
          <w:t> </w:t>
        </w:r>
        <w:r>
          <w:rPr/>
          <w:t>la carne</w:t>
        </w:r>
        <w:r>
          <w:rPr>
            <w:b w:val="0"/>
          </w:rPr>
          <w:tab/>
          <w:t>67</w:t>
        </w:r>
      </w:hyperlink>
    </w:p>
    <w:p>
      <w:pPr>
        <w:pStyle w:val="Heading1"/>
        <w:numPr>
          <w:ilvl w:val="1"/>
          <w:numId w:val="1"/>
        </w:numPr>
        <w:tabs>
          <w:tab w:pos="758" w:val="left" w:leader="none"/>
          <w:tab w:pos="8986" w:val="right" w:leader="dot"/>
        </w:tabs>
        <w:spacing w:line="240" w:lineRule="auto" w:before="43" w:after="0"/>
        <w:ind w:left="757" w:right="0" w:hanging="360"/>
        <w:jc w:val="left"/>
        <w:rPr>
          <w:b w:val="0"/>
        </w:rPr>
      </w:pPr>
      <w:hyperlink w:history="true" w:anchor="_bookmark51">
        <w:r>
          <w:rPr/>
          <w:t>Análisis de</w:t>
        </w:r>
        <w:r>
          <w:rPr>
            <w:spacing w:val="-5"/>
          </w:rPr>
          <w:t> </w:t>
        </w:r>
        <w:r>
          <w:rPr/>
          <w:t>fibras</w:t>
        </w:r>
        <w:r>
          <w:rPr>
            <w:spacing w:val="-1"/>
          </w:rPr>
          <w:t> </w:t>
        </w:r>
        <w:r>
          <w:rPr/>
          <w:t>musculares</w:t>
        </w:r>
        <w:r>
          <w:rPr>
            <w:b w:val="0"/>
          </w:rPr>
          <w:tab/>
          <w:t>69</w:t>
        </w:r>
      </w:hyperlink>
    </w:p>
    <w:p>
      <w:pPr>
        <w:pStyle w:val="ListParagraph"/>
        <w:numPr>
          <w:ilvl w:val="2"/>
          <w:numId w:val="2"/>
        </w:numPr>
        <w:tabs>
          <w:tab w:pos="938" w:val="left" w:leader="none"/>
          <w:tab w:pos="8986" w:val="right" w:leader="dot"/>
        </w:tabs>
        <w:spacing w:line="240" w:lineRule="auto" w:before="41" w:after="0"/>
        <w:ind w:left="937" w:right="0" w:hanging="540"/>
        <w:jc w:val="left"/>
        <w:rPr>
          <w:sz w:val="24"/>
        </w:rPr>
      </w:pPr>
      <w:hyperlink w:history="true" w:anchor="_bookmark52">
        <w:r>
          <w:rPr>
            <w:sz w:val="24"/>
          </w:rPr>
          <w:t>Técnicas histológicas</w:t>
        </w:r>
        <w:r>
          <w:rPr>
            <w:spacing w:val="-1"/>
            <w:sz w:val="24"/>
          </w:rPr>
          <w:t> </w:t>
        </w:r>
        <w:r>
          <w:rPr>
            <w:sz w:val="24"/>
          </w:rPr>
          <w:t>(no</w:t>
        </w:r>
        <w:r>
          <w:rPr>
            <w:spacing w:val="-1"/>
            <w:sz w:val="24"/>
          </w:rPr>
          <w:t> </w:t>
        </w:r>
        <w:r>
          <w:rPr>
            <w:sz w:val="24"/>
          </w:rPr>
          <w:t>enzimáticas)</w:t>
          <w:tab/>
          <w:t>70</w:t>
        </w:r>
      </w:hyperlink>
    </w:p>
    <w:p>
      <w:pPr>
        <w:pStyle w:val="ListParagraph"/>
        <w:numPr>
          <w:ilvl w:val="3"/>
          <w:numId w:val="2"/>
        </w:numPr>
        <w:tabs>
          <w:tab w:pos="1353" w:val="left" w:leader="none"/>
          <w:tab w:pos="8981" w:val="right" w:leader="dot"/>
        </w:tabs>
        <w:spacing w:line="240" w:lineRule="auto" w:before="41" w:after="0"/>
        <w:ind w:left="1352" w:right="0" w:hanging="720"/>
        <w:jc w:val="left"/>
        <w:rPr>
          <w:sz w:val="24"/>
        </w:rPr>
      </w:pPr>
      <w:hyperlink w:history="true" w:anchor="_bookmark53">
        <w:r>
          <w:rPr>
            <w:i/>
            <w:sz w:val="24"/>
          </w:rPr>
          <w:t>Hematoxilina-Eosina (Dubowitz y</w:t>
        </w:r>
        <w:r>
          <w:rPr>
            <w:i/>
            <w:spacing w:val="-2"/>
            <w:sz w:val="24"/>
          </w:rPr>
          <w:t> </w:t>
        </w:r>
        <w:r>
          <w:rPr>
            <w:i/>
            <w:sz w:val="24"/>
          </w:rPr>
          <w:t>Brooke,</w:t>
        </w:r>
        <w:r>
          <w:rPr>
            <w:i/>
            <w:spacing w:val="1"/>
            <w:sz w:val="24"/>
          </w:rPr>
          <w:t> </w:t>
        </w:r>
        <w:r>
          <w:rPr>
            <w:i/>
            <w:sz w:val="24"/>
          </w:rPr>
          <w:t>1973)</w:t>
        </w:r>
        <w:r>
          <w:rPr>
            <w:sz w:val="24"/>
          </w:rPr>
          <w:tab/>
          <w:t>70</w:t>
        </w:r>
      </w:hyperlink>
    </w:p>
    <w:p>
      <w:pPr>
        <w:pStyle w:val="ListParagraph"/>
        <w:numPr>
          <w:ilvl w:val="2"/>
          <w:numId w:val="2"/>
        </w:numPr>
        <w:tabs>
          <w:tab w:pos="938" w:val="left" w:leader="none"/>
          <w:tab w:pos="8986" w:val="right" w:leader="dot"/>
        </w:tabs>
        <w:spacing w:line="240" w:lineRule="auto" w:before="41" w:after="0"/>
        <w:ind w:left="937" w:right="0" w:hanging="540"/>
        <w:jc w:val="left"/>
        <w:rPr>
          <w:sz w:val="24"/>
        </w:rPr>
      </w:pPr>
      <w:hyperlink w:history="true" w:anchor="_bookmark54">
        <w:r>
          <w:rPr>
            <w:sz w:val="24"/>
          </w:rPr>
          <w:t>Técnicas</w:t>
        </w:r>
        <w:r>
          <w:rPr>
            <w:spacing w:val="-1"/>
            <w:sz w:val="24"/>
          </w:rPr>
          <w:t> </w:t>
        </w:r>
        <w:r>
          <w:rPr>
            <w:sz w:val="24"/>
          </w:rPr>
          <w:t>histoquímicas</w:t>
          <w:tab/>
          <w:t>70</w:t>
        </w:r>
      </w:hyperlink>
    </w:p>
    <w:p>
      <w:pPr>
        <w:pStyle w:val="ListParagraph"/>
        <w:numPr>
          <w:ilvl w:val="3"/>
          <w:numId w:val="2"/>
        </w:numPr>
        <w:tabs>
          <w:tab w:pos="1353" w:val="left" w:leader="none"/>
          <w:tab w:pos="8981" w:val="right" w:leader="dot"/>
        </w:tabs>
        <w:spacing w:line="240" w:lineRule="auto" w:before="43" w:after="0"/>
        <w:ind w:left="1352" w:right="0" w:hanging="720"/>
        <w:jc w:val="left"/>
        <w:rPr>
          <w:sz w:val="24"/>
        </w:rPr>
      </w:pPr>
      <w:hyperlink w:history="true" w:anchor="_bookmark55">
        <w:r>
          <w:rPr>
            <w:i/>
            <w:sz w:val="24"/>
          </w:rPr>
          <w:t>Técnicas de</w:t>
        </w:r>
        <w:r>
          <w:rPr>
            <w:i/>
            <w:spacing w:val="-2"/>
            <w:sz w:val="24"/>
          </w:rPr>
          <w:t> </w:t>
        </w:r>
        <w:r>
          <w:rPr>
            <w:i/>
            <w:sz w:val="24"/>
          </w:rPr>
          <w:t>ATPasa miosínicas.</w:t>
        </w:r>
        <w:r>
          <w:rPr>
            <w:sz w:val="24"/>
          </w:rPr>
          <w:tab/>
          <w:t>70</w:t>
        </w:r>
      </w:hyperlink>
    </w:p>
    <w:p>
      <w:pPr>
        <w:pStyle w:val="ListParagraph"/>
        <w:numPr>
          <w:ilvl w:val="3"/>
          <w:numId w:val="2"/>
        </w:numPr>
        <w:tabs>
          <w:tab w:pos="1593" w:val="left" w:leader="none"/>
          <w:tab w:pos="8981" w:val="right" w:leader="dot"/>
        </w:tabs>
        <w:spacing w:line="240" w:lineRule="auto" w:before="41" w:after="0"/>
        <w:ind w:left="1592" w:right="0" w:hanging="720"/>
        <w:jc w:val="left"/>
        <w:rPr>
          <w:sz w:val="24"/>
        </w:rPr>
      </w:pPr>
      <w:hyperlink w:history="true" w:anchor="_bookmark56">
        <w:r>
          <w:rPr>
            <w:i/>
            <w:sz w:val="24"/>
          </w:rPr>
          <w:t>Técnica de ATPasa miosínica con</w:t>
        </w:r>
        <w:r>
          <w:rPr>
            <w:i/>
            <w:spacing w:val="-3"/>
            <w:sz w:val="24"/>
          </w:rPr>
          <w:t> </w:t>
        </w:r>
        <w:r>
          <w:rPr>
            <w:i/>
            <w:sz w:val="24"/>
          </w:rPr>
          <w:t>preincubación</w:t>
        </w:r>
        <w:r>
          <w:rPr>
            <w:i/>
            <w:spacing w:val="-2"/>
            <w:sz w:val="24"/>
          </w:rPr>
          <w:t> </w:t>
        </w:r>
        <w:r>
          <w:rPr>
            <w:i/>
            <w:sz w:val="24"/>
          </w:rPr>
          <w:t>alcalina</w:t>
        </w:r>
        <w:r>
          <w:rPr>
            <w:sz w:val="24"/>
          </w:rPr>
          <w:tab/>
          <w:t>71</w:t>
        </w:r>
      </w:hyperlink>
    </w:p>
    <w:p>
      <w:pPr>
        <w:pStyle w:val="ListParagraph"/>
        <w:numPr>
          <w:ilvl w:val="2"/>
          <w:numId w:val="2"/>
        </w:numPr>
        <w:tabs>
          <w:tab w:pos="1173" w:val="left" w:leader="none"/>
          <w:tab w:pos="8981" w:val="right" w:leader="dot"/>
        </w:tabs>
        <w:spacing w:line="240" w:lineRule="auto" w:before="41" w:after="0"/>
        <w:ind w:left="1172" w:right="0" w:hanging="540"/>
        <w:jc w:val="left"/>
        <w:rPr>
          <w:sz w:val="24"/>
        </w:rPr>
      </w:pPr>
      <w:hyperlink w:history="true" w:anchor="_bookmark57">
        <w:r>
          <w:rPr>
            <w:i/>
            <w:sz w:val="24"/>
          </w:rPr>
          <w:t>Técnicas histoquímicas para la determinación del</w:t>
        </w:r>
        <w:r>
          <w:rPr>
            <w:i/>
            <w:spacing w:val="-3"/>
            <w:sz w:val="24"/>
          </w:rPr>
          <w:t> </w:t>
        </w:r>
        <w:r>
          <w:rPr>
            <w:i/>
            <w:sz w:val="24"/>
          </w:rPr>
          <w:t>metabolismo</w:t>
        </w:r>
        <w:r>
          <w:rPr>
            <w:i/>
            <w:spacing w:val="-2"/>
            <w:sz w:val="24"/>
          </w:rPr>
          <w:t> </w:t>
        </w:r>
        <w:r>
          <w:rPr>
            <w:i/>
            <w:sz w:val="24"/>
          </w:rPr>
          <w:t>fibrilar.</w:t>
        </w:r>
        <w:r>
          <w:rPr>
            <w:sz w:val="24"/>
          </w:rPr>
          <w:tab/>
          <w:t>72</w:t>
        </w:r>
      </w:hyperlink>
    </w:p>
    <w:p>
      <w:pPr>
        <w:pStyle w:val="ListParagraph"/>
        <w:numPr>
          <w:ilvl w:val="3"/>
          <w:numId w:val="2"/>
        </w:numPr>
        <w:tabs>
          <w:tab w:pos="1657" w:val="left" w:leader="none"/>
          <w:tab w:pos="8981" w:val="right" w:leader="dot"/>
        </w:tabs>
        <w:spacing w:line="278" w:lineRule="auto" w:before="41" w:after="0"/>
        <w:ind w:left="872" w:right="112" w:firstLine="0"/>
        <w:jc w:val="left"/>
        <w:rPr>
          <w:sz w:val="24"/>
        </w:rPr>
      </w:pPr>
      <w:hyperlink w:history="true" w:anchor="_bookmark58">
        <w:r>
          <w:rPr>
            <w:i/>
            <w:sz w:val="24"/>
          </w:rPr>
          <w:t>Técnica de la nicotinamida adenina dinucleótido tetrazolium reductasa</w:t>
        </w:r>
      </w:hyperlink>
      <w:r>
        <w:rPr>
          <w:i/>
          <w:sz w:val="24"/>
        </w:rPr>
        <w:t> </w:t>
      </w:r>
      <w:hyperlink w:history="true" w:anchor="_bookmark58">
        <w:r>
          <w:rPr>
            <w:i/>
            <w:sz w:val="24"/>
          </w:rPr>
          <w:t>(NADH-TR)</w:t>
        </w:r>
        <w:r>
          <w:rPr>
            <w:sz w:val="24"/>
          </w:rPr>
          <w:tab/>
          <w:t>73</w:t>
        </w:r>
      </w:hyperlink>
    </w:p>
    <w:p>
      <w:pPr>
        <w:pStyle w:val="BodyText"/>
        <w:tabs>
          <w:tab w:pos="8986" w:val="right" w:leader="dot"/>
        </w:tabs>
        <w:spacing w:line="274" w:lineRule="exact"/>
        <w:ind w:left="397"/>
      </w:pPr>
      <w:hyperlink w:history="true" w:anchor="_bookmark59">
        <w:r>
          <w:rPr/>
          <w:t>6.8 Diseño experimental, modelo y</w:t>
        </w:r>
        <w:r>
          <w:rPr>
            <w:spacing w:val="-4"/>
          </w:rPr>
          <w:t> </w:t>
        </w:r>
        <w:r>
          <w:rPr/>
          <w:t>análisis</w:t>
        </w:r>
        <w:r>
          <w:rPr>
            <w:spacing w:val="-1"/>
          </w:rPr>
          <w:t> </w:t>
        </w:r>
        <w:r>
          <w:rPr/>
          <w:t>estadístico</w:t>
          <w:tab/>
          <w:t>74</w:t>
        </w:r>
      </w:hyperlink>
    </w:p>
    <w:p>
      <w:pPr>
        <w:pStyle w:val="ListParagraph"/>
        <w:numPr>
          <w:ilvl w:val="0"/>
          <w:numId w:val="1"/>
        </w:numPr>
        <w:tabs>
          <w:tab w:pos="393" w:val="left" w:leader="none"/>
          <w:tab w:pos="8981" w:val="right" w:leader="dot"/>
        </w:tabs>
        <w:spacing w:line="240" w:lineRule="auto" w:before="41" w:after="0"/>
        <w:ind w:left="392" w:right="0" w:hanging="240"/>
        <w:jc w:val="left"/>
        <w:rPr>
          <w:sz w:val="24"/>
        </w:rPr>
      </w:pPr>
      <w:hyperlink w:history="true" w:anchor="_bookmark60">
        <w:r>
          <w:rPr>
            <w:b/>
            <w:sz w:val="24"/>
          </w:rPr>
          <w:t>RESULTADOS</w:t>
        </w:r>
        <w:r>
          <w:rPr>
            <w:sz w:val="24"/>
          </w:rPr>
          <w:tab/>
          <w:t>75</w:t>
        </w:r>
      </w:hyperlink>
    </w:p>
    <w:p>
      <w:pPr>
        <w:pStyle w:val="ListParagraph"/>
        <w:numPr>
          <w:ilvl w:val="1"/>
          <w:numId w:val="3"/>
        </w:numPr>
        <w:tabs>
          <w:tab w:pos="858" w:val="left" w:leader="none"/>
          <w:tab w:pos="8981" w:val="right" w:leader="dot"/>
        </w:tabs>
        <w:spacing w:line="276" w:lineRule="auto" w:before="41" w:after="0"/>
        <w:ind w:left="392" w:right="109" w:firstLine="0"/>
        <w:jc w:val="both"/>
        <w:rPr>
          <w:sz w:val="24"/>
        </w:rPr>
      </w:pPr>
      <w:hyperlink w:history="true" w:anchor="_bookmark61">
        <w:r>
          <w:rPr>
            <w:sz w:val="24"/>
          </w:rPr>
          <w:t>Artículo enviado. Effects of chromium-yeast on growth performance, blood</w:t>
        </w:r>
      </w:hyperlink>
      <w:r>
        <w:rPr>
          <w:sz w:val="24"/>
        </w:rPr>
        <w:t> </w:t>
      </w:r>
      <w:hyperlink w:history="true" w:anchor="_bookmark61">
        <w:r>
          <w:rPr>
            <w:sz w:val="24"/>
          </w:rPr>
          <w:t>metabolites, fatty acids profile, meat traits and microminerals concentrations in liver and</w:t>
        </w:r>
      </w:hyperlink>
      <w:r>
        <w:rPr>
          <w:sz w:val="24"/>
        </w:rPr>
        <w:t> </w:t>
      </w:r>
      <w:hyperlink w:history="true" w:anchor="_bookmark61">
        <w:r>
          <w:rPr>
            <w:sz w:val="24"/>
          </w:rPr>
          <w:t>bone of</w:t>
        </w:r>
        <w:r>
          <w:rPr>
            <w:spacing w:val="-2"/>
            <w:sz w:val="24"/>
          </w:rPr>
          <w:t> </w:t>
        </w:r>
        <w:r>
          <w:rPr>
            <w:sz w:val="24"/>
          </w:rPr>
          <w:t>fattening</w:t>
        </w:r>
        <w:r>
          <w:rPr>
            <w:spacing w:val="-3"/>
            <w:sz w:val="24"/>
          </w:rPr>
          <w:t> </w:t>
        </w:r>
        <w:r>
          <w:rPr>
            <w:sz w:val="24"/>
          </w:rPr>
          <w:t>lambs.</w:t>
          <w:tab/>
          <w:t>84</w:t>
        </w:r>
      </w:hyperlink>
    </w:p>
    <w:p>
      <w:pPr>
        <w:pStyle w:val="ListParagraph"/>
        <w:numPr>
          <w:ilvl w:val="1"/>
          <w:numId w:val="3"/>
        </w:numPr>
        <w:tabs>
          <w:tab w:pos="758" w:val="left" w:leader="none"/>
          <w:tab w:pos="8985" w:val="right" w:leader="dot"/>
        </w:tabs>
        <w:spacing w:line="240" w:lineRule="auto" w:before="1" w:after="0"/>
        <w:ind w:left="757" w:right="0" w:hanging="360"/>
        <w:jc w:val="left"/>
        <w:rPr>
          <w:sz w:val="24"/>
        </w:rPr>
      </w:pPr>
      <w:hyperlink w:history="true" w:anchor="_bookmark62">
        <w:r>
          <w:rPr>
            <w:sz w:val="24"/>
          </w:rPr>
          <w:t>Otras</w:t>
        </w:r>
        <w:r>
          <w:rPr>
            <w:spacing w:val="-1"/>
            <w:sz w:val="24"/>
          </w:rPr>
          <w:t> </w:t>
        </w:r>
        <w:r>
          <w:rPr>
            <w:sz w:val="24"/>
          </w:rPr>
          <w:t>publicaciones</w:t>
          <w:tab/>
          <w:t>102</w:t>
        </w:r>
      </w:hyperlink>
    </w:p>
    <w:p>
      <w:pPr>
        <w:pStyle w:val="ListParagraph"/>
        <w:numPr>
          <w:ilvl w:val="1"/>
          <w:numId w:val="3"/>
        </w:numPr>
        <w:tabs>
          <w:tab w:pos="760" w:val="left" w:leader="none"/>
          <w:tab w:pos="8985" w:val="right" w:leader="dot"/>
        </w:tabs>
        <w:spacing w:line="240" w:lineRule="auto" w:before="41" w:after="0"/>
        <w:ind w:left="759" w:right="0" w:hanging="362"/>
        <w:jc w:val="left"/>
        <w:rPr>
          <w:sz w:val="24"/>
        </w:rPr>
      </w:pPr>
      <w:hyperlink w:history="true" w:anchor="_bookmark63">
        <w:r>
          <w:rPr>
            <w:sz w:val="24"/>
          </w:rPr>
          <w:t>Información</w:t>
        </w:r>
        <w:r>
          <w:rPr>
            <w:spacing w:val="-2"/>
            <w:sz w:val="24"/>
          </w:rPr>
          <w:t> </w:t>
        </w:r>
        <w:r>
          <w:rPr>
            <w:sz w:val="24"/>
          </w:rPr>
          <w:t>publicada</w:t>
          <w:tab/>
          <w:t>103</w:t>
        </w:r>
      </w:hyperlink>
    </w:p>
    <w:p>
      <w:pPr>
        <w:pStyle w:val="ListParagraph"/>
        <w:numPr>
          <w:ilvl w:val="2"/>
          <w:numId w:val="3"/>
        </w:numPr>
        <w:tabs>
          <w:tab w:pos="1173" w:val="left" w:leader="none"/>
          <w:tab w:pos="8981" w:val="right" w:leader="dot"/>
        </w:tabs>
        <w:spacing w:line="240" w:lineRule="auto" w:before="41" w:after="0"/>
        <w:ind w:left="1172" w:right="0" w:hanging="540"/>
        <w:jc w:val="left"/>
        <w:rPr>
          <w:sz w:val="24"/>
        </w:rPr>
      </w:pPr>
      <w:hyperlink w:history="true" w:anchor="_bookmark64">
        <w:r>
          <w:rPr>
            <w:i/>
            <w:sz w:val="24"/>
          </w:rPr>
          <w:t>Respuesta</w:t>
        </w:r>
        <w:r>
          <w:rPr>
            <w:i/>
            <w:spacing w:val="-1"/>
            <w:sz w:val="24"/>
          </w:rPr>
          <w:t> </w:t>
        </w:r>
        <w:r>
          <w:rPr>
            <w:i/>
            <w:sz w:val="24"/>
          </w:rPr>
          <w:t>productiva</w:t>
        </w:r>
        <w:r>
          <w:rPr>
            <w:sz w:val="24"/>
          </w:rPr>
          <w:tab/>
          <w:t>103</w:t>
        </w:r>
      </w:hyperlink>
    </w:p>
    <w:p>
      <w:pPr>
        <w:pStyle w:val="ListParagraph"/>
        <w:numPr>
          <w:ilvl w:val="2"/>
          <w:numId w:val="3"/>
        </w:numPr>
        <w:tabs>
          <w:tab w:pos="1173" w:val="left" w:leader="none"/>
          <w:tab w:pos="8981" w:val="right" w:leader="dot"/>
        </w:tabs>
        <w:spacing w:line="240" w:lineRule="auto" w:before="43" w:after="0"/>
        <w:ind w:left="1172" w:right="0" w:hanging="540"/>
        <w:jc w:val="left"/>
        <w:rPr>
          <w:sz w:val="24"/>
        </w:rPr>
      </w:pPr>
      <w:hyperlink w:history="true" w:anchor="_bookmark65">
        <w:r>
          <w:rPr>
            <w:i/>
            <w:sz w:val="24"/>
          </w:rPr>
          <w:t>Características de</w:t>
        </w:r>
        <w:r>
          <w:rPr>
            <w:i/>
            <w:spacing w:val="-2"/>
            <w:sz w:val="24"/>
          </w:rPr>
          <w:t> </w:t>
        </w:r>
        <w:r>
          <w:rPr>
            <w:i/>
            <w:sz w:val="24"/>
          </w:rPr>
          <w:t>la canal.</w:t>
        </w:r>
        <w:r>
          <w:rPr>
            <w:sz w:val="24"/>
          </w:rPr>
          <w:tab/>
          <w:t>103</w:t>
        </w:r>
      </w:hyperlink>
    </w:p>
    <w:p>
      <w:pPr>
        <w:pStyle w:val="ListParagraph"/>
        <w:numPr>
          <w:ilvl w:val="2"/>
          <w:numId w:val="3"/>
        </w:numPr>
        <w:tabs>
          <w:tab w:pos="1173" w:val="left" w:leader="none"/>
          <w:tab w:pos="8981" w:val="right" w:leader="dot"/>
        </w:tabs>
        <w:spacing w:line="240" w:lineRule="auto" w:before="41" w:after="0"/>
        <w:ind w:left="1172" w:right="0" w:hanging="540"/>
        <w:jc w:val="left"/>
        <w:rPr>
          <w:sz w:val="24"/>
        </w:rPr>
      </w:pPr>
      <w:hyperlink w:history="true" w:anchor="_bookmark66">
        <w:r>
          <w:rPr>
            <w:i/>
            <w:sz w:val="24"/>
          </w:rPr>
          <w:t>Calidad de</w:t>
        </w:r>
        <w:r>
          <w:rPr>
            <w:i/>
            <w:spacing w:val="-1"/>
            <w:sz w:val="24"/>
          </w:rPr>
          <w:t> </w:t>
        </w:r>
        <w:r>
          <w:rPr>
            <w:i/>
            <w:sz w:val="24"/>
          </w:rPr>
          <w:t>la carne</w:t>
        </w:r>
        <w:r>
          <w:rPr>
            <w:sz w:val="24"/>
          </w:rPr>
          <w:tab/>
          <w:t>105</w:t>
        </w:r>
      </w:hyperlink>
    </w:p>
    <w:p>
      <w:pPr>
        <w:pStyle w:val="ListParagraph"/>
        <w:numPr>
          <w:ilvl w:val="1"/>
          <w:numId w:val="3"/>
        </w:numPr>
        <w:tabs>
          <w:tab w:pos="789" w:val="left" w:leader="none"/>
          <w:tab w:pos="8981" w:val="right" w:leader="dot"/>
        </w:tabs>
        <w:spacing w:line="276" w:lineRule="auto" w:before="41" w:after="0"/>
        <w:ind w:left="392" w:right="107" w:firstLine="0"/>
        <w:jc w:val="left"/>
        <w:rPr>
          <w:sz w:val="24"/>
        </w:rPr>
      </w:pPr>
      <w:hyperlink w:history="true" w:anchor="_bookmark67">
        <w:r>
          <w:rPr>
            <w:sz w:val="24"/>
          </w:rPr>
          <w:t>Información no contemplada en las publicaciones derivadas de las investigaciones</w:t>
        </w:r>
      </w:hyperlink>
      <w:r>
        <w:rPr>
          <w:sz w:val="24"/>
        </w:rPr>
        <w:t> </w:t>
      </w:r>
      <w:hyperlink w:history="true" w:anchor="_bookmark67">
        <w:r>
          <w:rPr>
            <w:sz w:val="24"/>
          </w:rPr>
          <w:t>realizadas</w:t>
          <w:tab/>
          <w:t>106</w:t>
        </w:r>
      </w:hyperlink>
    </w:p>
    <w:p>
      <w:pPr>
        <w:pStyle w:val="ListParagraph"/>
        <w:numPr>
          <w:ilvl w:val="2"/>
          <w:numId w:val="3"/>
        </w:numPr>
        <w:tabs>
          <w:tab w:pos="1233" w:val="left" w:leader="none"/>
          <w:tab w:pos="8981" w:val="right" w:leader="dot"/>
        </w:tabs>
        <w:spacing w:line="240" w:lineRule="auto" w:before="3" w:after="0"/>
        <w:ind w:left="632" w:right="0" w:firstLine="0"/>
        <w:jc w:val="left"/>
        <w:rPr>
          <w:sz w:val="24"/>
        </w:rPr>
      </w:pPr>
      <w:hyperlink w:history="true" w:anchor="_bookmark68">
        <w:r>
          <w:rPr>
            <w:i/>
            <w:sz w:val="24"/>
          </w:rPr>
          <w:t>Respuesta</w:t>
        </w:r>
        <w:r>
          <w:rPr>
            <w:i/>
            <w:spacing w:val="-1"/>
            <w:sz w:val="24"/>
          </w:rPr>
          <w:t> </w:t>
        </w:r>
        <w:r>
          <w:rPr>
            <w:i/>
            <w:sz w:val="24"/>
          </w:rPr>
          <w:t>productiva</w:t>
        </w:r>
        <w:r>
          <w:rPr>
            <w:sz w:val="24"/>
          </w:rPr>
          <w:tab/>
          <w:t>106</w:t>
        </w:r>
      </w:hyperlink>
    </w:p>
    <w:p>
      <w:pPr>
        <w:spacing w:after="0" w:line="240" w:lineRule="auto"/>
        <w:jc w:val="left"/>
        <w:rPr>
          <w:sz w:val="24"/>
        </w:rPr>
        <w:sectPr>
          <w:headerReference w:type="default" r:id="rId11"/>
          <w:footerReference w:type="default" r:id="rId12"/>
          <w:pgSz w:w="12240" w:h="15840"/>
          <w:pgMar w:header="0" w:footer="0" w:top="1500" w:bottom="280" w:left="1720" w:right="1420"/>
        </w:sectPr>
      </w:pPr>
    </w:p>
    <w:p>
      <w:pPr>
        <w:pStyle w:val="ListParagraph"/>
        <w:numPr>
          <w:ilvl w:val="2"/>
          <w:numId w:val="3"/>
        </w:numPr>
        <w:tabs>
          <w:tab w:pos="1173" w:val="left" w:leader="none"/>
          <w:tab w:pos="8981" w:val="right" w:leader="dot"/>
        </w:tabs>
        <w:spacing w:line="240" w:lineRule="auto" w:before="309" w:after="0"/>
        <w:ind w:left="1172" w:right="0" w:hanging="540"/>
        <w:jc w:val="left"/>
        <w:rPr>
          <w:sz w:val="24"/>
        </w:rPr>
      </w:pPr>
      <w:hyperlink w:history="true" w:anchor="_bookmark69">
        <w:r>
          <w:rPr>
            <w:i/>
            <w:sz w:val="24"/>
          </w:rPr>
          <w:t>Ensayo metabólico (metabolitos en</w:t>
        </w:r>
        <w:r>
          <w:rPr>
            <w:i/>
            <w:spacing w:val="-1"/>
            <w:sz w:val="24"/>
          </w:rPr>
          <w:t> </w:t>
        </w:r>
        <w:r>
          <w:rPr>
            <w:i/>
            <w:sz w:val="24"/>
          </w:rPr>
          <w:t>plasma)</w:t>
        </w:r>
        <w:r>
          <w:rPr>
            <w:sz w:val="24"/>
          </w:rPr>
          <w:tab/>
          <w:t>106</w:t>
        </w:r>
      </w:hyperlink>
    </w:p>
    <w:p>
      <w:pPr>
        <w:pStyle w:val="ListParagraph"/>
        <w:numPr>
          <w:ilvl w:val="2"/>
          <w:numId w:val="3"/>
        </w:numPr>
        <w:tabs>
          <w:tab w:pos="1173" w:val="left" w:leader="none"/>
          <w:tab w:pos="8981" w:val="right" w:leader="dot"/>
        </w:tabs>
        <w:spacing w:line="276" w:lineRule="auto" w:before="41" w:after="0"/>
        <w:ind w:left="632" w:right="116" w:firstLine="0"/>
        <w:jc w:val="left"/>
        <w:rPr>
          <w:sz w:val="24"/>
        </w:rPr>
      </w:pPr>
      <w:hyperlink w:history="true" w:anchor="_bookmark70">
        <w:r>
          <w:rPr>
            <w:i/>
            <w:sz w:val="24"/>
          </w:rPr>
          <w:t>Ensayo metabólico (Concentración de macro y microminerales en órganos y</w:t>
        </w:r>
      </w:hyperlink>
      <w:r>
        <w:rPr>
          <w:i/>
          <w:sz w:val="24"/>
        </w:rPr>
        <w:t> </w:t>
      </w:r>
      <w:hyperlink w:history="true" w:anchor="_bookmark70">
        <w:r>
          <w:rPr>
            <w:i/>
            <w:sz w:val="24"/>
          </w:rPr>
          <w:t>tejidos)</w:t>
        </w:r>
        <w:r>
          <w:rPr>
            <w:sz w:val="24"/>
          </w:rPr>
          <w:tab/>
          <w:t>109</w:t>
        </w:r>
      </w:hyperlink>
    </w:p>
    <w:p>
      <w:pPr>
        <w:pStyle w:val="ListParagraph"/>
        <w:numPr>
          <w:ilvl w:val="2"/>
          <w:numId w:val="4"/>
        </w:numPr>
        <w:tabs>
          <w:tab w:pos="1173" w:val="left" w:leader="none"/>
          <w:tab w:pos="8981" w:val="right" w:leader="dot"/>
        </w:tabs>
        <w:spacing w:line="240" w:lineRule="auto" w:before="3" w:after="0"/>
        <w:ind w:left="1172" w:right="0" w:hanging="540"/>
        <w:jc w:val="left"/>
        <w:rPr>
          <w:sz w:val="24"/>
        </w:rPr>
      </w:pPr>
      <w:hyperlink w:history="true" w:anchor="_bookmark71">
        <w:r>
          <w:rPr>
            <w:i/>
            <w:sz w:val="24"/>
          </w:rPr>
          <w:t>Contenido de ácidos grasos (AG) en la</w:t>
        </w:r>
        <w:r>
          <w:rPr>
            <w:i/>
            <w:spacing w:val="-3"/>
            <w:sz w:val="24"/>
          </w:rPr>
          <w:t> </w:t>
        </w:r>
        <w:r>
          <w:rPr>
            <w:i/>
            <w:sz w:val="24"/>
          </w:rPr>
          <w:t>grasa</w:t>
        </w:r>
        <w:r>
          <w:rPr>
            <w:i/>
            <w:spacing w:val="-1"/>
            <w:sz w:val="24"/>
          </w:rPr>
          <w:t> </w:t>
        </w:r>
        <w:r>
          <w:rPr>
            <w:i/>
            <w:sz w:val="24"/>
          </w:rPr>
          <w:t>intramuscular</w:t>
        </w:r>
        <w:r>
          <w:rPr>
            <w:sz w:val="24"/>
          </w:rPr>
          <w:tab/>
          <w:t>112</w:t>
        </w:r>
      </w:hyperlink>
    </w:p>
    <w:p>
      <w:pPr>
        <w:pStyle w:val="ListParagraph"/>
        <w:numPr>
          <w:ilvl w:val="2"/>
          <w:numId w:val="4"/>
        </w:numPr>
        <w:tabs>
          <w:tab w:pos="1173" w:val="left" w:leader="none"/>
          <w:tab w:pos="8981" w:val="right" w:leader="dot"/>
        </w:tabs>
        <w:spacing w:line="240" w:lineRule="auto" w:before="41" w:after="0"/>
        <w:ind w:left="1172" w:right="0" w:hanging="540"/>
        <w:jc w:val="left"/>
        <w:rPr>
          <w:sz w:val="24"/>
        </w:rPr>
      </w:pPr>
      <w:hyperlink w:history="true" w:anchor="_bookmark72">
        <w:r>
          <w:rPr>
            <w:i/>
            <w:sz w:val="24"/>
          </w:rPr>
          <w:t>Características de</w:t>
        </w:r>
        <w:r>
          <w:rPr>
            <w:i/>
            <w:spacing w:val="-3"/>
            <w:sz w:val="24"/>
          </w:rPr>
          <w:t> </w:t>
        </w:r>
        <w:r>
          <w:rPr>
            <w:i/>
            <w:sz w:val="24"/>
          </w:rPr>
          <w:t>la canal</w:t>
        </w:r>
        <w:r>
          <w:rPr>
            <w:sz w:val="24"/>
          </w:rPr>
          <w:tab/>
          <w:t>113</w:t>
        </w:r>
      </w:hyperlink>
    </w:p>
    <w:p>
      <w:pPr>
        <w:pStyle w:val="ListParagraph"/>
        <w:numPr>
          <w:ilvl w:val="2"/>
          <w:numId w:val="4"/>
        </w:numPr>
        <w:tabs>
          <w:tab w:pos="1173" w:val="left" w:leader="none"/>
          <w:tab w:pos="8981" w:val="right" w:leader="dot"/>
        </w:tabs>
        <w:spacing w:line="240" w:lineRule="auto" w:before="41" w:after="0"/>
        <w:ind w:left="1172" w:right="0" w:hanging="540"/>
        <w:jc w:val="left"/>
        <w:rPr>
          <w:sz w:val="24"/>
        </w:rPr>
      </w:pPr>
      <w:hyperlink w:history="true" w:anchor="_bookmark73">
        <w:r>
          <w:rPr>
            <w:i/>
            <w:sz w:val="24"/>
          </w:rPr>
          <w:t>Calidad de</w:t>
        </w:r>
        <w:r>
          <w:rPr>
            <w:i/>
            <w:spacing w:val="-1"/>
            <w:sz w:val="24"/>
          </w:rPr>
          <w:t> </w:t>
        </w:r>
        <w:r>
          <w:rPr>
            <w:i/>
            <w:sz w:val="24"/>
          </w:rPr>
          <w:t>la carne</w:t>
        </w:r>
        <w:r>
          <w:rPr>
            <w:sz w:val="24"/>
          </w:rPr>
          <w:tab/>
          <w:t>114</w:t>
        </w:r>
      </w:hyperlink>
    </w:p>
    <w:p>
      <w:pPr>
        <w:pStyle w:val="ListParagraph"/>
        <w:numPr>
          <w:ilvl w:val="2"/>
          <w:numId w:val="4"/>
        </w:numPr>
        <w:tabs>
          <w:tab w:pos="1173" w:val="left" w:leader="none"/>
          <w:tab w:pos="8981" w:val="right" w:leader="dot"/>
        </w:tabs>
        <w:spacing w:line="240" w:lineRule="auto" w:before="41" w:after="0"/>
        <w:ind w:left="1172" w:right="0" w:hanging="540"/>
        <w:jc w:val="left"/>
        <w:rPr>
          <w:sz w:val="24"/>
        </w:rPr>
      </w:pPr>
      <w:hyperlink w:history="true" w:anchor="_bookmark74">
        <w:r>
          <w:rPr>
            <w:i/>
            <w:sz w:val="24"/>
          </w:rPr>
          <w:t>Costos</w:t>
        </w:r>
        <w:r>
          <w:rPr>
            <w:i/>
            <w:spacing w:val="-1"/>
            <w:sz w:val="24"/>
          </w:rPr>
          <w:t> </w:t>
        </w:r>
        <w:r>
          <w:rPr>
            <w:i/>
            <w:sz w:val="24"/>
          </w:rPr>
          <w:t>de</w:t>
        </w:r>
        <w:r>
          <w:rPr>
            <w:i/>
            <w:spacing w:val="-1"/>
            <w:sz w:val="24"/>
          </w:rPr>
          <w:t> </w:t>
        </w:r>
        <w:r>
          <w:rPr>
            <w:i/>
            <w:sz w:val="24"/>
          </w:rPr>
          <w:t>producción</w:t>
        </w:r>
        <w:r>
          <w:rPr>
            <w:sz w:val="24"/>
          </w:rPr>
          <w:tab/>
          <w:t>116</w:t>
        </w:r>
      </w:hyperlink>
    </w:p>
    <w:p>
      <w:pPr>
        <w:pStyle w:val="ListParagraph"/>
        <w:numPr>
          <w:ilvl w:val="2"/>
          <w:numId w:val="4"/>
        </w:numPr>
        <w:tabs>
          <w:tab w:pos="1173" w:val="left" w:leader="none"/>
          <w:tab w:pos="8981" w:val="right" w:leader="dot"/>
        </w:tabs>
        <w:spacing w:line="240" w:lineRule="auto" w:before="43" w:after="0"/>
        <w:ind w:left="1172" w:right="0" w:hanging="540"/>
        <w:jc w:val="left"/>
        <w:rPr>
          <w:sz w:val="24"/>
        </w:rPr>
      </w:pPr>
      <w:hyperlink w:history="true" w:anchor="_bookmark75">
        <w:r>
          <w:rPr>
            <w:i/>
            <w:sz w:val="24"/>
          </w:rPr>
          <w:t>Análisis de fibras musculares (Tinción</w:t>
        </w:r>
        <w:r>
          <w:rPr>
            <w:i/>
            <w:spacing w:val="-2"/>
            <w:sz w:val="24"/>
          </w:rPr>
          <w:t> </w:t>
        </w:r>
        <w:r>
          <w:rPr>
            <w:i/>
            <w:sz w:val="24"/>
          </w:rPr>
          <w:t>NADH-TR)</w:t>
        </w:r>
        <w:r>
          <w:rPr>
            <w:sz w:val="24"/>
          </w:rPr>
          <w:tab/>
          <w:t>117</w:t>
        </w:r>
      </w:hyperlink>
    </w:p>
    <w:p>
      <w:pPr>
        <w:pStyle w:val="ListParagraph"/>
        <w:numPr>
          <w:ilvl w:val="0"/>
          <w:numId w:val="1"/>
        </w:numPr>
        <w:tabs>
          <w:tab w:pos="393" w:val="left" w:leader="none"/>
          <w:tab w:pos="8981" w:val="right" w:leader="dot"/>
        </w:tabs>
        <w:spacing w:line="240" w:lineRule="auto" w:before="41" w:after="0"/>
        <w:ind w:left="392" w:right="0" w:hanging="240"/>
        <w:jc w:val="left"/>
        <w:rPr>
          <w:sz w:val="24"/>
        </w:rPr>
      </w:pPr>
      <w:hyperlink w:history="true" w:anchor="_bookmark76">
        <w:r>
          <w:rPr>
            <w:b/>
            <w:sz w:val="24"/>
          </w:rPr>
          <w:t>DISCUSIÓN</w:t>
        </w:r>
        <w:r>
          <w:rPr>
            <w:sz w:val="24"/>
          </w:rPr>
          <w:tab/>
          <w:t>119</w:t>
        </w:r>
      </w:hyperlink>
    </w:p>
    <w:p>
      <w:pPr>
        <w:pStyle w:val="ListParagraph"/>
        <w:numPr>
          <w:ilvl w:val="1"/>
          <w:numId w:val="1"/>
        </w:numPr>
        <w:tabs>
          <w:tab w:pos="758" w:val="left" w:leader="none"/>
          <w:tab w:pos="8985" w:val="right" w:leader="dot"/>
        </w:tabs>
        <w:spacing w:line="240" w:lineRule="auto" w:before="41" w:after="0"/>
        <w:ind w:left="757" w:right="0" w:hanging="360"/>
        <w:jc w:val="left"/>
        <w:rPr>
          <w:sz w:val="24"/>
        </w:rPr>
      </w:pPr>
      <w:hyperlink w:history="true" w:anchor="_bookmark77">
        <w:r>
          <w:rPr>
            <w:sz w:val="24"/>
          </w:rPr>
          <w:t>Respuesta</w:t>
        </w:r>
        <w:r>
          <w:rPr>
            <w:spacing w:val="-1"/>
            <w:sz w:val="24"/>
          </w:rPr>
          <w:t> </w:t>
        </w:r>
        <w:r>
          <w:rPr>
            <w:sz w:val="24"/>
          </w:rPr>
          <w:t>productiva</w:t>
          <w:tab/>
          <w:t>119</w:t>
        </w:r>
      </w:hyperlink>
    </w:p>
    <w:p>
      <w:pPr>
        <w:pStyle w:val="ListParagraph"/>
        <w:numPr>
          <w:ilvl w:val="1"/>
          <w:numId w:val="1"/>
        </w:numPr>
        <w:tabs>
          <w:tab w:pos="758" w:val="left" w:leader="none"/>
          <w:tab w:pos="8985" w:val="right" w:leader="dot"/>
        </w:tabs>
        <w:spacing w:line="240" w:lineRule="auto" w:before="41" w:after="0"/>
        <w:ind w:left="757" w:right="0" w:hanging="360"/>
        <w:jc w:val="left"/>
        <w:rPr>
          <w:sz w:val="24"/>
        </w:rPr>
      </w:pPr>
      <w:hyperlink w:history="true" w:anchor="_bookmark78">
        <w:r>
          <w:rPr>
            <w:sz w:val="24"/>
          </w:rPr>
          <w:t>Ensayo metabólico (Metabolitos</w:t>
        </w:r>
        <w:r>
          <w:rPr>
            <w:spacing w:val="-2"/>
            <w:sz w:val="24"/>
          </w:rPr>
          <w:t> </w:t>
        </w:r>
        <w:r>
          <w:rPr>
            <w:sz w:val="24"/>
          </w:rPr>
          <w:t>en</w:t>
        </w:r>
        <w:r>
          <w:rPr>
            <w:spacing w:val="-1"/>
            <w:sz w:val="24"/>
          </w:rPr>
          <w:t> </w:t>
        </w:r>
        <w:r>
          <w:rPr>
            <w:sz w:val="24"/>
          </w:rPr>
          <w:t>plasma)</w:t>
          <w:tab/>
          <w:t>121</w:t>
        </w:r>
      </w:hyperlink>
    </w:p>
    <w:p>
      <w:pPr>
        <w:pStyle w:val="ListParagraph"/>
        <w:numPr>
          <w:ilvl w:val="1"/>
          <w:numId w:val="1"/>
        </w:numPr>
        <w:tabs>
          <w:tab w:pos="758" w:val="left" w:leader="none"/>
          <w:tab w:pos="8985" w:val="right" w:leader="dot"/>
        </w:tabs>
        <w:spacing w:line="240" w:lineRule="auto" w:before="41" w:after="0"/>
        <w:ind w:left="757" w:right="0" w:hanging="360"/>
        <w:jc w:val="left"/>
        <w:rPr>
          <w:sz w:val="24"/>
        </w:rPr>
      </w:pPr>
      <w:hyperlink w:history="true" w:anchor="_bookmark79">
        <w:r>
          <w:rPr>
            <w:sz w:val="24"/>
          </w:rPr>
          <w:t>Concentración de macro y micro minerales</w:t>
        </w:r>
        <w:r>
          <w:rPr>
            <w:spacing w:val="-5"/>
            <w:sz w:val="24"/>
          </w:rPr>
          <w:t> </w:t>
        </w:r>
        <w:r>
          <w:rPr>
            <w:sz w:val="24"/>
          </w:rPr>
          <w:t>en</w:t>
        </w:r>
        <w:r>
          <w:rPr>
            <w:spacing w:val="1"/>
            <w:sz w:val="24"/>
          </w:rPr>
          <w:t> </w:t>
        </w:r>
        <w:r>
          <w:rPr>
            <w:sz w:val="24"/>
          </w:rPr>
          <w:t>tejidos</w:t>
          <w:tab/>
          <w:t>124</w:t>
        </w:r>
      </w:hyperlink>
    </w:p>
    <w:p>
      <w:pPr>
        <w:pStyle w:val="ListParagraph"/>
        <w:numPr>
          <w:ilvl w:val="1"/>
          <w:numId w:val="1"/>
        </w:numPr>
        <w:tabs>
          <w:tab w:pos="758" w:val="left" w:leader="none"/>
          <w:tab w:pos="8985" w:val="right" w:leader="dot"/>
        </w:tabs>
        <w:spacing w:line="240" w:lineRule="auto" w:before="43" w:after="0"/>
        <w:ind w:left="757" w:right="0" w:hanging="360"/>
        <w:jc w:val="left"/>
        <w:rPr>
          <w:sz w:val="24"/>
        </w:rPr>
      </w:pPr>
      <w:hyperlink w:history="true" w:anchor="_bookmark80">
        <w:r>
          <w:rPr>
            <w:sz w:val="24"/>
          </w:rPr>
          <w:t>Contenido de ácidos grasos en la grasa</w:t>
        </w:r>
        <w:r>
          <w:rPr>
            <w:spacing w:val="-2"/>
            <w:sz w:val="24"/>
          </w:rPr>
          <w:t> </w:t>
        </w:r>
        <w:r>
          <w:rPr>
            <w:sz w:val="24"/>
          </w:rPr>
          <w:t>intramuscular</w:t>
          <w:tab/>
          <w:t>127</w:t>
        </w:r>
      </w:hyperlink>
    </w:p>
    <w:p>
      <w:pPr>
        <w:pStyle w:val="ListParagraph"/>
        <w:numPr>
          <w:ilvl w:val="1"/>
          <w:numId w:val="1"/>
        </w:numPr>
        <w:tabs>
          <w:tab w:pos="758" w:val="left" w:leader="none"/>
          <w:tab w:pos="8985" w:val="right" w:leader="dot"/>
        </w:tabs>
        <w:spacing w:line="240" w:lineRule="auto" w:before="41" w:after="0"/>
        <w:ind w:left="757" w:right="0" w:hanging="360"/>
        <w:jc w:val="left"/>
        <w:rPr>
          <w:sz w:val="24"/>
        </w:rPr>
      </w:pPr>
      <w:hyperlink w:history="true" w:anchor="_bookmark81">
        <w:r>
          <w:rPr>
            <w:sz w:val="24"/>
          </w:rPr>
          <w:t>Características de</w:t>
        </w:r>
        <w:r>
          <w:rPr>
            <w:spacing w:val="-2"/>
            <w:sz w:val="24"/>
          </w:rPr>
          <w:t> </w:t>
        </w:r>
        <w:r>
          <w:rPr>
            <w:sz w:val="24"/>
          </w:rPr>
          <w:t>la canal</w:t>
          <w:tab/>
          <w:t>128</w:t>
        </w:r>
      </w:hyperlink>
    </w:p>
    <w:p>
      <w:pPr>
        <w:pStyle w:val="ListParagraph"/>
        <w:numPr>
          <w:ilvl w:val="1"/>
          <w:numId w:val="1"/>
        </w:numPr>
        <w:tabs>
          <w:tab w:pos="758" w:val="left" w:leader="none"/>
          <w:tab w:pos="8985" w:val="right" w:leader="dot"/>
        </w:tabs>
        <w:spacing w:line="240" w:lineRule="auto" w:before="41" w:after="0"/>
        <w:ind w:left="757" w:right="0" w:hanging="360"/>
        <w:jc w:val="left"/>
        <w:rPr>
          <w:sz w:val="24"/>
        </w:rPr>
      </w:pPr>
      <w:hyperlink w:history="true" w:anchor="_bookmark82">
        <w:r>
          <w:rPr>
            <w:sz w:val="24"/>
          </w:rPr>
          <w:t>Calidad de</w:t>
        </w:r>
        <w:r>
          <w:rPr>
            <w:spacing w:val="-2"/>
            <w:sz w:val="24"/>
          </w:rPr>
          <w:t> </w:t>
        </w:r>
        <w:r>
          <w:rPr>
            <w:sz w:val="24"/>
          </w:rPr>
          <w:t>la</w:t>
        </w:r>
        <w:r>
          <w:rPr>
            <w:spacing w:val="-1"/>
            <w:sz w:val="24"/>
          </w:rPr>
          <w:t> </w:t>
        </w:r>
        <w:r>
          <w:rPr>
            <w:sz w:val="24"/>
          </w:rPr>
          <w:t>carne</w:t>
          <w:tab/>
          <w:t>129</w:t>
        </w:r>
      </w:hyperlink>
    </w:p>
    <w:p>
      <w:pPr>
        <w:pStyle w:val="ListParagraph"/>
        <w:numPr>
          <w:ilvl w:val="1"/>
          <w:numId w:val="1"/>
        </w:numPr>
        <w:tabs>
          <w:tab w:pos="758" w:val="left" w:leader="none"/>
          <w:tab w:pos="8985" w:val="right" w:leader="dot"/>
        </w:tabs>
        <w:spacing w:line="240" w:lineRule="auto" w:before="41" w:after="0"/>
        <w:ind w:left="757" w:right="0" w:hanging="360"/>
        <w:jc w:val="left"/>
        <w:rPr>
          <w:sz w:val="24"/>
        </w:rPr>
      </w:pPr>
      <w:hyperlink w:history="true" w:anchor="_bookmark83">
        <w:r>
          <w:rPr>
            <w:sz w:val="24"/>
          </w:rPr>
          <w:t>Costos</w:t>
        </w:r>
        <w:r>
          <w:rPr>
            <w:spacing w:val="-1"/>
            <w:sz w:val="24"/>
          </w:rPr>
          <w:t> </w:t>
        </w:r>
        <w:r>
          <w:rPr>
            <w:sz w:val="24"/>
          </w:rPr>
          <w:t>de</w:t>
        </w:r>
        <w:r>
          <w:rPr>
            <w:spacing w:val="-2"/>
            <w:sz w:val="24"/>
          </w:rPr>
          <w:t> </w:t>
        </w:r>
        <w:r>
          <w:rPr>
            <w:sz w:val="24"/>
          </w:rPr>
          <w:t>producción</w:t>
          <w:tab/>
          <w:t>134</w:t>
        </w:r>
      </w:hyperlink>
    </w:p>
    <w:p>
      <w:pPr>
        <w:pStyle w:val="ListParagraph"/>
        <w:numPr>
          <w:ilvl w:val="1"/>
          <w:numId w:val="1"/>
        </w:numPr>
        <w:tabs>
          <w:tab w:pos="758" w:val="left" w:leader="none"/>
          <w:tab w:pos="8985" w:val="right" w:leader="dot"/>
        </w:tabs>
        <w:spacing w:line="240" w:lineRule="auto" w:before="43" w:after="0"/>
        <w:ind w:left="757" w:right="0" w:hanging="360"/>
        <w:jc w:val="left"/>
        <w:rPr>
          <w:sz w:val="24"/>
        </w:rPr>
      </w:pPr>
      <w:hyperlink w:history="true" w:anchor="_bookmark84">
        <w:r>
          <w:rPr>
            <w:sz w:val="24"/>
          </w:rPr>
          <w:t>Análisis de</w:t>
        </w:r>
        <w:r>
          <w:rPr>
            <w:spacing w:val="-2"/>
            <w:sz w:val="24"/>
          </w:rPr>
          <w:t> </w:t>
        </w:r>
        <w:r>
          <w:rPr>
            <w:sz w:val="24"/>
          </w:rPr>
          <w:t>fibras</w:t>
        </w:r>
        <w:r>
          <w:rPr>
            <w:spacing w:val="-1"/>
            <w:sz w:val="24"/>
          </w:rPr>
          <w:t> </w:t>
        </w:r>
        <w:r>
          <w:rPr>
            <w:sz w:val="24"/>
          </w:rPr>
          <w:t>musculares</w:t>
          <w:tab/>
          <w:t>134</w:t>
        </w:r>
      </w:hyperlink>
    </w:p>
    <w:p>
      <w:pPr>
        <w:pStyle w:val="ListParagraph"/>
        <w:numPr>
          <w:ilvl w:val="0"/>
          <w:numId w:val="1"/>
        </w:numPr>
        <w:tabs>
          <w:tab w:pos="393" w:val="left" w:leader="none"/>
          <w:tab w:pos="8981" w:val="right" w:leader="dot"/>
        </w:tabs>
        <w:spacing w:line="240" w:lineRule="auto" w:before="41" w:after="0"/>
        <w:ind w:left="392" w:right="0" w:hanging="240"/>
        <w:jc w:val="left"/>
        <w:rPr>
          <w:sz w:val="24"/>
        </w:rPr>
      </w:pPr>
      <w:hyperlink w:history="true" w:anchor="_bookmark85">
        <w:r>
          <w:rPr>
            <w:b/>
            <w:sz w:val="24"/>
          </w:rPr>
          <w:t>CONCLUSIÓNES</w:t>
        </w:r>
        <w:r>
          <w:rPr>
            <w:sz w:val="24"/>
          </w:rPr>
          <w:tab/>
          <w:t>136</w:t>
        </w:r>
      </w:hyperlink>
    </w:p>
    <w:p>
      <w:pPr>
        <w:pStyle w:val="Heading1"/>
        <w:numPr>
          <w:ilvl w:val="0"/>
          <w:numId w:val="1"/>
        </w:numPr>
        <w:tabs>
          <w:tab w:pos="513" w:val="left" w:leader="none"/>
          <w:tab w:pos="8981" w:val="right" w:leader="dot"/>
        </w:tabs>
        <w:spacing w:line="240" w:lineRule="auto" w:before="41" w:after="0"/>
        <w:ind w:left="512" w:right="0" w:hanging="360"/>
        <w:jc w:val="left"/>
        <w:rPr>
          <w:b w:val="0"/>
        </w:rPr>
      </w:pPr>
      <w:hyperlink w:history="true" w:anchor="_bookmark86">
        <w:r>
          <w:rPr/>
          <w:t>LITERATURA</w:t>
        </w:r>
        <w:r>
          <w:rPr>
            <w:spacing w:val="-1"/>
          </w:rPr>
          <w:t> </w:t>
        </w:r>
        <w:r>
          <w:rPr/>
          <w:t>CITADA</w:t>
        </w:r>
        <w:r>
          <w:rPr>
            <w:b w:val="0"/>
          </w:rPr>
          <w:tab/>
          <w:t>138</w:t>
        </w:r>
      </w:hyperlink>
    </w:p>
    <w:p>
      <w:pPr>
        <w:pStyle w:val="ListParagraph"/>
        <w:numPr>
          <w:ilvl w:val="0"/>
          <w:numId w:val="1"/>
        </w:numPr>
        <w:tabs>
          <w:tab w:pos="513" w:val="left" w:leader="none"/>
          <w:tab w:pos="8981" w:val="right" w:leader="dot"/>
        </w:tabs>
        <w:spacing w:line="240" w:lineRule="auto" w:before="41" w:after="0"/>
        <w:ind w:left="512" w:right="0" w:hanging="360"/>
        <w:jc w:val="left"/>
        <w:rPr>
          <w:sz w:val="24"/>
        </w:rPr>
      </w:pPr>
      <w:hyperlink w:history="true" w:anchor="_bookmark87">
        <w:r>
          <w:rPr>
            <w:b/>
            <w:sz w:val="24"/>
          </w:rPr>
          <w:t>ANEXOS</w:t>
        </w:r>
        <w:r>
          <w:rPr>
            <w:sz w:val="24"/>
          </w:rPr>
          <w:tab/>
          <w:t>155</w:t>
        </w:r>
      </w:hyperlink>
    </w:p>
    <w:p>
      <w:pPr>
        <w:pStyle w:val="BodyText"/>
        <w:tabs>
          <w:tab w:pos="8985" w:val="right" w:leader="dot"/>
        </w:tabs>
        <w:spacing w:before="43"/>
        <w:ind w:left="397"/>
      </w:pPr>
      <w:hyperlink w:history="true" w:anchor="_bookmark88">
        <w:r>
          <w:rPr/>
          <w:t>ANEXO 2</w:t>
          <w:tab/>
          <w:t>168</w:t>
        </w:r>
      </w:hyperlink>
    </w:p>
    <w:p>
      <w:pPr>
        <w:pStyle w:val="BodyText"/>
        <w:tabs>
          <w:tab w:pos="8985" w:val="right" w:leader="dot"/>
        </w:tabs>
        <w:spacing w:before="41"/>
        <w:ind w:left="397"/>
      </w:pPr>
      <w:hyperlink w:history="true" w:anchor="_bookmark89">
        <w:r>
          <w:rPr/>
          <w:t>ANEXO 3</w:t>
          <w:tab/>
          <w:t>183</w:t>
        </w:r>
      </w:hyperlink>
    </w:p>
    <w:p>
      <w:pPr>
        <w:spacing w:after="0"/>
        <w:sectPr>
          <w:headerReference w:type="default" r:id="rId13"/>
          <w:footerReference w:type="default" r:id="rId14"/>
          <w:pgSz w:w="12240" w:h="15840"/>
          <w:pgMar w:header="0" w:footer="0" w:top="1500" w:bottom="280" w:left="1720" w:right="1420"/>
        </w:sectPr>
      </w:pPr>
    </w:p>
    <w:p>
      <w:pPr>
        <w:pStyle w:val="Heading1"/>
        <w:spacing w:before="314"/>
        <w:ind w:left="3456" w:right="3457"/>
        <w:jc w:val="center"/>
      </w:pPr>
      <w:bookmarkStart w:name="_bookmark2" w:id="3"/>
      <w:bookmarkEnd w:id="3"/>
      <w:r>
        <w:rPr>
          <w:b w:val="0"/>
        </w:rPr>
      </w:r>
      <w:r>
        <w:rPr/>
        <w:t>ÍNDICE DE CUADROS</w:t>
      </w:r>
    </w:p>
    <w:p>
      <w:pPr>
        <w:spacing w:before="552"/>
        <w:ind w:left="0" w:right="309" w:firstLine="0"/>
        <w:jc w:val="right"/>
        <w:rPr>
          <w:b/>
          <w:sz w:val="24"/>
        </w:rPr>
      </w:pPr>
      <w:r>
        <w:rPr>
          <w:b/>
          <w:sz w:val="24"/>
        </w:rPr>
        <w:t>Página</w:t>
      </w:r>
    </w:p>
    <w:p>
      <w:pPr>
        <w:pStyle w:val="BodyText"/>
        <w:spacing w:before="1" w:after="1"/>
        <w:rPr>
          <w:b/>
          <w:sz w:val="14"/>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7"/>
        <w:gridCol w:w="7143"/>
        <w:gridCol w:w="649"/>
      </w:tblGrid>
      <w:tr>
        <w:trPr>
          <w:trHeight w:val="330" w:hRule="exact"/>
        </w:trPr>
        <w:tc>
          <w:tcPr>
            <w:tcW w:w="1447" w:type="dxa"/>
          </w:tcPr>
          <w:p>
            <w:pPr>
              <w:pStyle w:val="TableParagraph"/>
              <w:spacing w:line="250" w:lineRule="exact"/>
              <w:ind w:left="200"/>
              <w:jc w:val="left"/>
              <w:rPr>
                <w:b/>
                <w:sz w:val="24"/>
              </w:rPr>
            </w:pPr>
            <w:r>
              <w:rPr>
                <w:b/>
                <w:sz w:val="24"/>
              </w:rPr>
              <w:t>Cuadro 1.</w:t>
            </w:r>
          </w:p>
        </w:tc>
        <w:tc>
          <w:tcPr>
            <w:tcW w:w="7143" w:type="dxa"/>
          </w:tcPr>
          <w:p>
            <w:pPr>
              <w:pStyle w:val="TableParagraph"/>
              <w:spacing w:line="245" w:lineRule="exact"/>
              <w:ind w:left="99"/>
              <w:jc w:val="left"/>
              <w:rPr>
                <w:sz w:val="24"/>
              </w:rPr>
            </w:pPr>
            <w:r>
              <w:rPr>
                <w:sz w:val="24"/>
              </w:rPr>
              <w:t>Principales causas de deficiencia de cromo en el organismo……………</w:t>
            </w:r>
          </w:p>
        </w:tc>
        <w:tc>
          <w:tcPr>
            <w:tcW w:w="649" w:type="dxa"/>
          </w:tcPr>
          <w:p>
            <w:pPr>
              <w:pStyle w:val="TableParagraph"/>
              <w:spacing w:line="245" w:lineRule="exact"/>
              <w:ind w:right="198"/>
              <w:jc w:val="right"/>
              <w:rPr>
                <w:sz w:val="24"/>
              </w:rPr>
            </w:pPr>
            <w:r>
              <w:rPr>
                <w:sz w:val="24"/>
              </w:rPr>
              <w:t>18</w:t>
            </w:r>
          </w:p>
        </w:tc>
      </w:tr>
      <w:tr>
        <w:trPr>
          <w:trHeight w:val="414" w:hRule="exact"/>
        </w:trPr>
        <w:tc>
          <w:tcPr>
            <w:tcW w:w="1447" w:type="dxa"/>
          </w:tcPr>
          <w:p>
            <w:pPr>
              <w:pStyle w:val="TableParagraph"/>
              <w:spacing w:before="59"/>
              <w:ind w:left="200"/>
              <w:jc w:val="left"/>
              <w:rPr>
                <w:b/>
                <w:sz w:val="24"/>
              </w:rPr>
            </w:pPr>
            <w:r>
              <w:rPr>
                <w:b/>
                <w:sz w:val="24"/>
              </w:rPr>
              <w:t>Cuadro 2.</w:t>
            </w:r>
          </w:p>
        </w:tc>
        <w:tc>
          <w:tcPr>
            <w:tcW w:w="7143" w:type="dxa"/>
          </w:tcPr>
          <w:p>
            <w:pPr>
              <w:pStyle w:val="TableParagraph"/>
              <w:spacing w:before="54"/>
              <w:ind w:left="99"/>
              <w:jc w:val="left"/>
              <w:rPr>
                <w:sz w:val="24"/>
              </w:rPr>
            </w:pPr>
            <w:r>
              <w:rPr>
                <w:sz w:val="24"/>
              </w:rPr>
              <w:t>Contenido de cromo en forrajes y subprodutos………………………….</w:t>
            </w:r>
          </w:p>
        </w:tc>
        <w:tc>
          <w:tcPr>
            <w:tcW w:w="649" w:type="dxa"/>
          </w:tcPr>
          <w:p>
            <w:pPr>
              <w:pStyle w:val="TableParagraph"/>
              <w:spacing w:before="54"/>
              <w:ind w:right="198"/>
              <w:jc w:val="right"/>
              <w:rPr>
                <w:sz w:val="24"/>
              </w:rPr>
            </w:pPr>
            <w:r>
              <w:rPr>
                <w:sz w:val="24"/>
              </w:rPr>
              <w:t>25</w:t>
            </w:r>
          </w:p>
        </w:tc>
      </w:tr>
      <w:tr>
        <w:trPr>
          <w:trHeight w:val="414" w:hRule="exact"/>
        </w:trPr>
        <w:tc>
          <w:tcPr>
            <w:tcW w:w="1447" w:type="dxa"/>
          </w:tcPr>
          <w:p>
            <w:pPr>
              <w:pStyle w:val="TableParagraph"/>
              <w:spacing w:before="58"/>
              <w:ind w:left="200"/>
              <w:jc w:val="left"/>
              <w:rPr>
                <w:b/>
                <w:sz w:val="24"/>
              </w:rPr>
            </w:pPr>
            <w:r>
              <w:rPr>
                <w:b/>
                <w:sz w:val="24"/>
              </w:rPr>
              <w:t>Cuadro 3.</w:t>
            </w:r>
          </w:p>
        </w:tc>
        <w:tc>
          <w:tcPr>
            <w:tcW w:w="7143" w:type="dxa"/>
          </w:tcPr>
          <w:p>
            <w:pPr>
              <w:pStyle w:val="TableParagraph"/>
              <w:spacing w:before="53"/>
              <w:ind w:left="99"/>
              <w:jc w:val="left"/>
              <w:rPr>
                <w:sz w:val="24"/>
              </w:rPr>
            </w:pPr>
            <w:r>
              <w:rPr>
                <w:sz w:val="24"/>
              </w:rPr>
              <w:t>Contenido de cromo en los alimentos……………………………………</w:t>
            </w:r>
          </w:p>
        </w:tc>
        <w:tc>
          <w:tcPr>
            <w:tcW w:w="649" w:type="dxa"/>
          </w:tcPr>
          <w:p>
            <w:pPr>
              <w:pStyle w:val="TableParagraph"/>
              <w:spacing w:before="53"/>
              <w:ind w:right="198"/>
              <w:jc w:val="right"/>
              <w:rPr>
                <w:sz w:val="24"/>
              </w:rPr>
            </w:pPr>
            <w:r>
              <w:rPr>
                <w:sz w:val="24"/>
              </w:rPr>
              <w:t>25</w:t>
            </w:r>
          </w:p>
        </w:tc>
      </w:tr>
      <w:tr>
        <w:trPr>
          <w:trHeight w:val="414" w:hRule="exact"/>
        </w:trPr>
        <w:tc>
          <w:tcPr>
            <w:tcW w:w="1447" w:type="dxa"/>
          </w:tcPr>
          <w:p>
            <w:pPr>
              <w:pStyle w:val="TableParagraph"/>
              <w:spacing w:before="59"/>
              <w:ind w:left="200"/>
              <w:jc w:val="left"/>
              <w:rPr>
                <w:b/>
                <w:sz w:val="24"/>
              </w:rPr>
            </w:pPr>
            <w:r>
              <w:rPr>
                <w:b/>
                <w:sz w:val="24"/>
              </w:rPr>
              <w:t>Cuadro 4.</w:t>
            </w:r>
          </w:p>
        </w:tc>
        <w:tc>
          <w:tcPr>
            <w:tcW w:w="7143" w:type="dxa"/>
          </w:tcPr>
          <w:p>
            <w:pPr>
              <w:pStyle w:val="TableParagraph"/>
              <w:spacing w:before="54"/>
              <w:ind w:left="99"/>
              <w:jc w:val="left"/>
              <w:rPr>
                <w:sz w:val="24"/>
              </w:rPr>
            </w:pPr>
            <w:r>
              <w:rPr>
                <w:sz w:val="24"/>
              </w:rPr>
              <w:t>Contenido nutricional en carne de diferentes razas de ovinos…………...</w:t>
            </w:r>
          </w:p>
        </w:tc>
        <w:tc>
          <w:tcPr>
            <w:tcW w:w="649" w:type="dxa"/>
          </w:tcPr>
          <w:p>
            <w:pPr>
              <w:pStyle w:val="TableParagraph"/>
              <w:spacing w:before="54"/>
              <w:ind w:right="198"/>
              <w:jc w:val="right"/>
              <w:rPr>
                <w:sz w:val="24"/>
              </w:rPr>
            </w:pPr>
            <w:r>
              <w:rPr>
                <w:sz w:val="24"/>
              </w:rPr>
              <w:t>33</w:t>
            </w:r>
          </w:p>
        </w:tc>
      </w:tr>
      <w:tr>
        <w:trPr>
          <w:trHeight w:val="414" w:hRule="exact"/>
        </w:trPr>
        <w:tc>
          <w:tcPr>
            <w:tcW w:w="1447" w:type="dxa"/>
          </w:tcPr>
          <w:p>
            <w:pPr>
              <w:pStyle w:val="TableParagraph"/>
              <w:spacing w:before="58"/>
              <w:ind w:left="200"/>
              <w:jc w:val="left"/>
              <w:rPr>
                <w:b/>
                <w:sz w:val="24"/>
              </w:rPr>
            </w:pPr>
            <w:r>
              <w:rPr>
                <w:b/>
                <w:sz w:val="24"/>
              </w:rPr>
              <w:t>Cuadro 5.</w:t>
            </w:r>
          </w:p>
        </w:tc>
        <w:tc>
          <w:tcPr>
            <w:tcW w:w="7143" w:type="dxa"/>
          </w:tcPr>
          <w:p>
            <w:pPr>
              <w:pStyle w:val="TableParagraph"/>
              <w:spacing w:before="53"/>
              <w:ind w:left="99"/>
              <w:jc w:val="left"/>
              <w:rPr>
                <w:sz w:val="24"/>
              </w:rPr>
            </w:pPr>
            <w:r>
              <w:rPr>
                <w:sz w:val="24"/>
              </w:rPr>
              <w:t>Características de las carnes PSE y DFD...............................................</w:t>
            </w:r>
          </w:p>
        </w:tc>
        <w:tc>
          <w:tcPr>
            <w:tcW w:w="649" w:type="dxa"/>
          </w:tcPr>
          <w:p>
            <w:pPr>
              <w:pStyle w:val="TableParagraph"/>
              <w:spacing w:before="53"/>
              <w:ind w:right="198"/>
              <w:jc w:val="right"/>
              <w:rPr>
                <w:sz w:val="24"/>
              </w:rPr>
            </w:pPr>
            <w:r>
              <w:rPr>
                <w:sz w:val="24"/>
              </w:rPr>
              <w:t>35</w:t>
            </w:r>
          </w:p>
        </w:tc>
      </w:tr>
      <w:tr>
        <w:trPr>
          <w:trHeight w:val="826" w:hRule="exact"/>
        </w:trPr>
        <w:tc>
          <w:tcPr>
            <w:tcW w:w="1447" w:type="dxa"/>
          </w:tcPr>
          <w:p>
            <w:pPr>
              <w:pStyle w:val="TableParagraph"/>
              <w:spacing w:before="59"/>
              <w:ind w:left="200"/>
              <w:jc w:val="left"/>
              <w:rPr>
                <w:b/>
                <w:sz w:val="24"/>
              </w:rPr>
            </w:pPr>
            <w:r>
              <w:rPr>
                <w:b/>
                <w:sz w:val="24"/>
              </w:rPr>
              <w:t>Cuadro 6.</w:t>
            </w:r>
          </w:p>
        </w:tc>
        <w:tc>
          <w:tcPr>
            <w:tcW w:w="7143" w:type="dxa"/>
          </w:tcPr>
          <w:p>
            <w:pPr>
              <w:pStyle w:val="TableParagraph"/>
              <w:tabs>
                <w:tab w:pos="1483" w:val="left" w:leader="none"/>
                <w:tab w:pos="2018" w:val="left" w:leader="none"/>
                <w:tab w:pos="2819" w:val="left" w:leader="none"/>
                <w:tab w:pos="3352" w:val="left" w:leader="none"/>
                <w:tab w:pos="4604" w:val="left" w:leader="none"/>
                <w:tab w:pos="5823" w:val="left" w:leader="none"/>
                <w:tab w:pos="6247" w:val="left" w:leader="none"/>
              </w:tabs>
              <w:spacing w:line="360" w:lineRule="auto" w:before="54"/>
              <w:ind w:left="99" w:right="94"/>
              <w:jc w:val="left"/>
              <w:rPr>
                <w:sz w:val="24"/>
              </w:rPr>
            </w:pPr>
            <w:r>
              <w:rPr>
                <w:sz w:val="24"/>
              </w:rPr>
              <w:t>Parámetros</w:t>
              <w:tab/>
              <w:t>de</w:t>
              <w:tab/>
              <w:t>color</w:t>
              <w:tab/>
              <w:t>de</w:t>
              <w:tab/>
              <w:t>diferentes</w:t>
              <w:tab/>
              <w:t>músculos</w:t>
              <w:tab/>
              <w:t>y</w:t>
              <w:tab/>
              <w:t>especies pecuarias…………………………………………………………………</w:t>
            </w:r>
          </w:p>
        </w:tc>
        <w:tc>
          <w:tcPr>
            <w:tcW w:w="649" w:type="dxa"/>
          </w:tcPr>
          <w:p>
            <w:pPr>
              <w:pStyle w:val="TableParagraph"/>
              <w:spacing w:before="6"/>
              <w:jc w:val="left"/>
              <w:rPr>
                <w:b/>
                <w:sz w:val="28"/>
              </w:rPr>
            </w:pPr>
          </w:p>
          <w:p>
            <w:pPr>
              <w:pStyle w:val="TableParagraph"/>
              <w:ind w:right="198"/>
              <w:jc w:val="right"/>
              <w:rPr>
                <w:sz w:val="24"/>
              </w:rPr>
            </w:pPr>
            <w:r>
              <w:rPr>
                <w:sz w:val="24"/>
              </w:rPr>
              <w:t>40</w:t>
            </w:r>
          </w:p>
        </w:tc>
      </w:tr>
      <w:tr>
        <w:trPr>
          <w:trHeight w:val="416" w:hRule="exact"/>
        </w:trPr>
        <w:tc>
          <w:tcPr>
            <w:tcW w:w="1447" w:type="dxa"/>
          </w:tcPr>
          <w:p>
            <w:pPr>
              <w:pStyle w:val="TableParagraph"/>
              <w:spacing w:before="61"/>
              <w:ind w:left="200"/>
              <w:jc w:val="left"/>
              <w:rPr>
                <w:b/>
                <w:sz w:val="24"/>
              </w:rPr>
            </w:pPr>
            <w:r>
              <w:rPr>
                <w:b/>
                <w:sz w:val="24"/>
              </w:rPr>
              <w:t>Cuadro 7.</w:t>
            </w:r>
          </w:p>
        </w:tc>
        <w:tc>
          <w:tcPr>
            <w:tcW w:w="7143" w:type="dxa"/>
          </w:tcPr>
          <w:p>
            <w:pPr>
              <w:pStyle w:val="TableParagraph"/>
              <w:spacing w:before="56"/>
              <w:ind w:left="99"/>
              <w:jc w:val="left"/>
              <w:rPr>
                <w:sz w:val="24"/>
              </w:rPr>
            </w:pPr>
            <w:r>
              <w:rPr>
                <w:sz w:val="24"/>
              </w:rPr>
              <w:t>Parámetros de color en la superficie de la canal de ovinos……………</w:t>
            </w:r>
          </w:p>
        </w:tc>
        <w:tc>
          <w:tcPr>
            <w:tcW w:w="649" w:type="dxa"/>
          </w:tcPr>
          <w:p>
            <w:pPr>
              <w:pStyle w:val="TableParagraph"/>
              <w:spacing w:before="56"/>
              <w:ind w:right="198"/>
              <w:jc w:val="right"/>
              <w:rPr>
                <w:sz w:val="24"/>
              </w:rPr>
            </w:pPr>
            <w:r>
              <w:rPr>
                <w:sz w:val="24"/>
              </w:rPr>
              <w:t>40</w:t>
            </w:r>
          </w:p>
        </w:tc>
      </w:tr>
      <w:tr>
        <w:trPr>
          <w:trHeight w:val="826" w:hRule="exact"/>
        </w:trPr>
        <w:tc>
          <w:tcPr>
            <w:tcW w:w="1447" w:type="dxa"/>
          </w:tcPr>
          <w:p>
            <w:pPr>
              <w:pStyle w:val="TableParagraph"/>
              <w:spacing w:before="58"/>
              <w:ind w:left="200"/>
              <w:jc w:val="left"/>
              <w:rPr>
                <w:b/>
                <w:sz w:val="24"/>
              </w:rPr>
            </w:pPr>
            <w:r>
              <w:rPr>
                <w:b/>
                <w:sz w:val="24"/>
              </w:rPr>
              <w:t>Cuadro 8.</w:t>
            </w:r>
          </w:p>
        </w:tc>
        <w:tc>
          <w:tcPr>
            <w:tcW w:w="7143" w:type="dxa"/>
          </w:tcPr>
          <w:p>
            <w:pPr>
              <w:pStyle w:val="TableParagraph"/>
              <w:tabs>
                <w:tab w:pos="1056" w:val="left" w:leader="none"/>
                <w:tab w:pos="1591" w:val="left" w:leader="none"/>
                <w:tab w:pos="2378" w:val="left" w:leader="none"/>
                <w:tab w:pos="2912" w:val="left" w:leader="none"/>
                <w:tab w:pos="3395" w:val="left" w:leader="none"/>
                <w:tab w:pos="4516" w:val="left" w:leader="none"/>
                <w:tab w:pos="6025" w:val="left" w:leader="none"/>
                <w:tab w:pos="6828" w:val="left" w:leader="none"/>
              </w:tabs>
              <w:spacing w:line="360" w:lineRule="auto" w:before="53"/>
              <w:ind w:left="99" w:right="86"/>
              <w:jc w:val="left"/>
              <w:rPr>
                <w:sz w:val="24"/>
              </w:rPr>
            </w:pPr>
            <w:r>
              <w:rPr>
                <w:sz w:val="24"/>
              </w:rPr>
              <w:t>Fuerza</w:t>
              <w:tab/>
              <w:t>de</w:t>
              <w:tab/>
              <w:t>corte</w:t>
              <w:tab/>
              <w:t>en</w:t>
              <w:tab/>
              <w:t>el</w:t>
              <w:tab/>
              <w:t>músculo</w:t>
              <w:tab/>
            </w:r>
            <w:r>
              <w:rPr>
                <w:i/>
                <w:sz w:val="24"/>
              </w:rPr>
              <w:t>Longissimus</w:t>
              <w:tab/>
              <w:t>dorsi</w:t>
              <w:tab/>
            </w:r>
            <w:r>
              <w:rPr>
                <w:sz w:val="24"/>
              </w:rPr>
              <w:t>de ovinos…………………………………………………………………….</w:t>
            </w:r>
          </w:p>
        </w:tc>
        <w:tc>
          <w:tcPr>
            <w:tcW w:w="649" w:type="dxa"/>
          </w:tcPr>
          <w:p>
            <w:pPr>
              <w:pStyle w:val="TableParagraph"/>
              <w:jc w:val="left"/>
              <w:rPr>
                <w:b/>
                <w:sz w:val="24"/>
              </w:rPr>
            </w:pPr>
          </w:p>
          <w:p>
            <w:pPr>
              <w:pStyle w:val="TableParagraph"/>
              <w:spacing w:before="192"/>
              <w:ind w:right="198"/>
              <w:jc w:val="right"/>
              <w:rPr>
                <w:sz w:val="24"/>
              </w:rPr>
            </w:pPr>
            <w:r>
              <w:rPr>
                <w:sz w:val="24"/>
              </w:rPr>
              <w:t>44</w:t>
            </w:r>
          </w:p>
        </w:tc>
      </w:tr>
      <w:tr>
        <w:trPr>
          <w:trHeight w:val="416" w:hRule="exact"/>
        </w:trPr>
        <w:tc>
          <w:tcPr>
            <w:tcW w:w="1447" w:type="dxa"/>
          </w:tcPr>
          <w:p>
            <w:pPr>
              <w:pStyle w:val="TableParagraph"/>
              <w:spacing w:before="60"/>
              <w:ind w:left="200"/>
              <w:jc w:val="left"/>
              <w:rPr>
                <w:b/>
                <w:sz w:val="24"/>
              </w:rPr>
            </w:pPr>
            <w:r>
              <w:rPr>
                <w:b/>
                <w:sz w:val="24"/>
              </w:rPr>
              <w:t>Cuadro 9.</w:t>
            </w:r>
          </w:p>
        </w:tc>
        <w:tc>
          <w:tcPr>
            <w:tcW w:w="7143" w:type="dxa"/>
          </w:tcPr>
          <w:p>
            <w:pPr>
              <w:pStyle w:val="TableParagraph"/>
              <w:spacing w:before="55"/>
              <w:ind w:left="99"/>
              <w:jc w:val="left"/>
              <w:rPr>
                <w:sz w:val="24"/>
              </w:rPr>
            </w:pPr>
            <w:r>
              <w:rPr>
                <w:sz w:val="24"/>
              </w:rPr>
              <w:t>Contenido de ácidos grasos en el músculo </w:t>
            </w:r>
            <w:r>
              <w:rPr>
                <w:i/>
                <w:sz w:val="24"/>
              </w:rPr>
              <w:t>Longissimus dorsi </w:t>
            </w:r>
            <w:r>
              <w:rPr>
                <w:sz w:val="24"/>
              </w:rPr>
              <w:t>de ovinos.</w:t>
            </w:r>
          </w:p>
        </w:tc>
        <w:tc>
          <w:tcPr>
            <w:tcW w:w="649" w:type="dxa"/>
          </w:tcPr>
          <w:p>
            <w:pPr>
              <w:pStyle w:val="TableParagraph"/>
              <w:spacing w:before="55"/>
              <w:ind w:right="198"/>
              <w:jc w:val="right"/>
              <w:rPr>
                <w:sz w:val="24"/>
              </w:rPr>
            </w:pPr>
            <w:r>
              <w:rPr>
                <w:sz w:val="24"/>
              </w:rPr>
              <w:t>50</w:t>
            </w:r>
          </w:p>
        </w:tc>
      </w:tr>
      <w:tr>
        <w:trPr>
          <w:trHeight w:val="414" w:hRule="exact"/>
        </w:trPr>
        <w:tc>
          <w:tcPr>
            <w:tcW w:w="1447" w:type="dxa"/>
          </w:tcPr>
          <w:p>
            <w:pPr>
              <w:pStyle w:val="TableParagraph"/>
              <w:spacing w:before="59"/>
              <w:ind w:left="200"/>
              <w:jc w:val="left"/>
              <w:rPr>
                <w:b/>
                <w:sz w:val="24"/>
              </w:rPr>
            </w:pPr>
            <w:r>
              <w:rPr>
                <w:b/>
                <w:sz w:val="24"/>
              </w:rPr>
              <w:t>Cuadro 10.</w:t>
            </w:r>
          </w:p>
        </w:tc>
        <w:tc>
          <w:tcPr>
            <w:tcW w:w="7143" w:type="dxa"/>
          </w:tcPr>
          <w:p>
            <w:pPr>
              <w:pStyle w:val="TableParagraph"/>
              <w:spacing w:before="54"/>
              <w:ind w:left="99"/>
              <w:jc w:val="left"/>
              <w:rPr>
                <w:sz w:val="24"/>
              </w:rPr>
            </w:pPr>
            <w:r>
              <w:rPr>
                <w:sz w:val="24"/>
              </w:rPr>
              <w:t>Relación entre el tipo de fibras muscular y la calidad de la carne………</w:t>
            </w:r>
          </w:p>
        </w:tc>
        <w:tc>
          <w:tcPr>
            <w:tcW w:w="649" w:type="dxa"/>
          </w:tcPr>
          <w:p>
            <w:pPr>
              <w:pStyle w:val="TableParagraph"/>
              <w:spacing w:before="54"/>
              <w:ind w:right="198"/>
              <w:jc w:val="right"/>
              <w:rPr>
                <w:sz w:val="24"/>
              </w:rPr>
            </w:pPr>
            <w:r>
              <w:rPr>
                <w:sz w:val="24"/>
              </w:rPr>
              <w:t>54</w:t>
            </w:r>
          </w:p>
        </w:tc>
      </w:tr>
      <w:tr>
        <w:trPr>
          <w:trHeight w:val="414" w:hRule="exact"/>
        </w:trPr>
        <w:tc>
          <w:tcPr>
            <w:tcW w:w="1447" w:type="dxa"/>
          </w:tcPr>
          <w:p>
            <w:pPr>
              <w:pStyle w:val="TableParagraph"/>
              <w:spacing w:before="58"/>
              <w:ind w:left="200"/>
              <w:jc w:val="left"/>
              <w:rPr>
                <w:b/>
                <w:sz w:val="24"/>
              </w:rPr>
            </w:pPr>
            <w:r>
              <w:rPr>
                <w:b/>
                <w:sz w:val="24"/>
              </w:rPr>
              <w:t>Cuadro 11.</w:t>
            </w:r>
          </w:p>
        </w:tc>
        <w:tc>
          <w:tcPr>
            <w:tcW w:w="7143" w:type="dxa"/>
          </w:tcPr>
          <w:p>
            <w:pPr>
              <w:pStyle w:val="TableParagraph"/>
              <w:spacing w:before="53"/>
              <w:ind w:left="99"/>
              <w:jc w:val="left"/>
              <w:rPr>
                <w:sz w:val="24"/>
              </w:rPr>
            </w:pPr>
            <w:r>
              <w:rPr>
                <w:sz w:val="24"/>
              </w:rPr>
              <w:t>Composición y análisis calculado de la dieta basal (DB)……………….</w:t>
            </w:r>
          </w:p>
        </w:tc>
        <w:tc>
          <w:tcPr>
            <w:tcW w:w="649" w:type="dxa"/>
          </w:tcPr>
          <w:p>
            <w:pPr>
              <w:pStyle w:val="TableParagraph"/>
              <w:spacing w:before="53"/>
              <w:ind w:right="198"/>
              <w:jc w:val="right"/>
              <w:rPr>
                <w:sz w:val="24"/>
              </w:rPr>
            </w:pPr>
            <w:r>
              <w:rPr>
                <w:sz w:val="24"/>
              </w:rPr>
              <w:t>60</w:t>
            </w:r>
          </w:p>
        </w:tc>
      </w:tr>
      <w:tr>
        <w:trPr>
          <w:trHeight w:val="826" w:hRule="exact"/>
        </w:trPr>
        <w:tc>
          <w:tcPr>
            <w:tcW w:w="1447" w:type="dxa"/>
          </w:tcPr>
          <w:p>
            <w:pPr>
              <w:pStyle w:val="TableParagraph"/>
              <w:spacing w:before="59"/>
              <w:ind w:left="200"/>
              <w:jc w:val="left"/>
              <w:rPr>
                <w:b/>
                <w:sz w:val="24"/>
              </w:rPr>
            </w:pPr>
            <w:r>
              <w:rPr>
                <w:b/>
                <w:sz w:val="24"/>
              </w:rPr>
              <w:t>Cuadro 12.</w:t>
            </w:r>
          </w:p>
        </w:tc>
        <w:tc>
          <w:tcPr>
            <w:tcW w:w="7143" w:type="dxa"/>
          </w:tcPr>
          <w:p>
            <w:pPr>
              <w:pStyle w:val="TableParagraph"/>
              <w:spacing w:line="360" w:lineRule="auto" w:before="54"/>
              <w:ind w:left="99" w:right="93"/>
              <w:jc w:val="left"/>
              <w:rPr>
                <w:sz w:val="24"/>
              </w:rPr>
            </w:pPr>
            <w:r>
              <w:rPr>
                <w:sz w:val="24"/>
              </w:rPr>
              <w:t>Efectos del Cr Orgánico en la respuesta productiva de ovinos en  engorda</w:t>
            </w:r>
            <w:r>
              <w:rPr>
                <w:spacing w:val="-4"/>
                <w:sz w:val="24"/>
              </w:rPr>
              <w:t> </w:t>
            </w:r>
            <w:r>
              <w:rPr>
                <w:sz w:val="24"/>
              </w:rPr>
              <w:t>intensiva………………………………………………………...</w:t>
            </w:r>
          </w:p>
        </w:tc>
        <w:tc>
          <w:tcPr>
            <w:tcW w:w="649" w:type="dxa"/>
          </w:tcPr>
          <w:p>
            <w:pPr>
              <w:pStyle w:val="TableParagraph"/>
              <w:jc w:val="left"/>
              <w:rPr>
                <w:b/>
                <w:sz w:val="24"/>
              </w:rPr>
            </w:pPr>
          </w:p>
          <w:p>
            <w:pPr>
              <w:pStyle w:val="TableParagraph"/>
              <w:spacing w:before="191"/>
              <w:ind w:right="198"/>
              <w:jc w:val="right"/>
              <w:rPr>
                <w:sz w:val="24"/>
              </w:rPr>
            </w:pPr>
            <w:r>
              <w:rPr>
                <w:sz w:val="24"/>
              </w:rPr>
              <w:t>103</w:t>
            </w:r>
          </w:p>
        </w:tc>
      </w:tr>
      <w:tr>
        <w:trPr>
          <w:trHeight w:val="828" w:hRule="exact"/>
        </w:trPr>
        <w:tc>
          <w:tcPr>
            <w:tcW w:w="1447" w:type="dxa"/>
          </w:tcPr>
          <w:p>
            <w:pPr>
              <w:pStyle w:val="TableParagraph"/>
              <w:spacing w:before="61"/>
              <w:ind w:left="200"/>
              <w:jc w:val="left"/>
              <w:rPr>
                <w:b/>
                <w:sz w:val="24"/>
              </w:rPr>
            </w:pPr>
            <w:r>
              <w:rPr>
                <w:b/>
                <w:sz w:val="24"/>
              </w:rPr>
              <w:t>Cuadro 13.</w:t>
            </w:r>
          </w:p>
        </w:tc>
        <w:tc>
          <w:tcPr>
            <w:tcW w:w="7143" w:type="dxa"/>
          </w:tcPr>
          <w:p>
            <w:pPr>
              <w:pStyle w:val="TableParagraph"/>
              <w:spacing w:line="360" w:lineRule="auto" w:before="56"/>
              <w:ind w:left="99" w:right="101"/>
              <w:jc w:val="left"/>
              <w:rPr>
                <w:sz w:val="24"/>
              </w:rPr>
            </w:pPr>
            <w:r>
              <w:rPr>
                <w:sz w:val="24"/>
              </w:rPr>
              <w:t>Efecto del Cromo orgánico en las características de la canal de ovinos en engorda</w:t>
            </w:r>
            <w:r>
              <w:rPr>
                <w:spacing w:val="-3"/>
                <w:sz w:val="24"/>
              </w:rPr>
              <w:t> </w:t>
            </w:r>
            <w:r>
              <w:rPr>
                <w:sz w:val="24"/>
              </w:rPr>
              <w:t>intensiva……………………………………………………..</w:t>
            </w:r>
          </w:p>
        </w:tc>
        <w:tc>
          <w:tcPr>
            <w:tcW w:w="649" w:type="dxa"/>
          </w:tcPr>
          <w:p>
            <w:pPr>
              <w:pStyle w:val="TableParagraph"/>
              <w:jc w:val="left"/>
              <w:rPr>
                <w:b/>
                <w:sz w:val="24"/>
              </w:rPr>
            </w:pPr>
          </w:p>
          <w:p>
            <w:pPr>
              <w:pStyle w:val="TableParagraph"/>
              <w:spacing w:before="193"/>
              <w:ind w:right="198"/>
              <w:jc w:val="right"/>
              <w:rPr>
                <w:sz w:val="24"/>
              </w:rPr>
            </w:pPr>
            <w:r>
              <w:rPr>
                <w:sz w:val="24"/>
              </w:rPr>
              <w:t>104</w:t>
            </w:r>
          </w:p>
        </w:tc>
      </w:tr>
      <w:tr>
        <w:trPr>
          <w:trHeight w:val="828" w:hRule="exact"/>
        </w:trPr>
        <w:tc>
          <w:tcPr>
            <w:tcW w:w="1447" w:type="dxa"/>
          </w:tcPr>
          <w:p>
            <w:pPr>
              <w:pStyle w:val="TableParagraph"/>
              <w:spacing w:before="61"/>
              <w:ind w:left="200"/>
              <w:jc w:val="left"/>
              <w:rPr>
                <w:b/>
                <w:sz w:val="24"/>
              </w:rPr>
            </w:pPr>
            <w:r>
              <w:rPr>
                <w:b/>
                <w:sz w:val="24"/>
              </w:rPr>
              <w:t>Cuadro 14.</w:t>
            </w:r>
          </w:p>
        </w:tc>
        <w:tc>
          <w:tcPr>
            <w:tcW w:w="7143" w:type="dxa"/>
          </w:tcPr>
          <w:p>
            <w:pPr>
              <w:pStyle w:val="TableParagraph"/>
              <w:spacing w:line="360" w:lineRule="auto" w:before="56"/>
              <w:ind w:left="99" w:right="78"/>
              <w:jc w:val="left"/>
              <w:rPr>
                <w:sz w:val="24"/>
              </w:rPr>
            </w:pPr>
            <w:r>
              <w:rPr>
                <w:sz w:val="24"/>
              </w:rPr>
              <w:t>Efecto del Cr orgánico en la composición química y fuerza de corte de ovinos en engorda intensiva……………………………………………...</w:t>
            </w:r>
          </w:p>
        </w:tc>
        <w:tc>
          <w:tcPr>
            <w:tcW w:w="649" w:type="dxa"/>
          </w:tcPr>
          <w:p>
            <w:pPr>
              <w:pStyle w:val="TableParagraph"/>
              <w:jc w:val="left"/>
              <w:rPr>
                <w:b/>
                <w:sz w:val="24"/>
              </w:rPr>
            </w:pPr>
          </w:p>
          <w:p>
            <w:pPr>
              <w:pStyle w:val="TableParagraph"/>
              <w:spacing w:before="193"/>
              <w:ind w:right="198"/>
              <w:jc w:val="right"/>
              <w:rPr>
                <w:sz w:val="24"/>
              </w:rPr>
            </w:pPr>
            <w:r>
              <w:rPr>
                <w:sz w:val="24"/>
              </w:rPr>
              <w:t>105</w:t>
            </w:r>
          </w:p>
        </w:tc>
      </w:tr>
      <w:tr>
        <w:trPr>
          <w:trHeight w:val="827" w:hRule="exact"/>
        </w:trPr>
        <w:tc>
          <w:tcPr>
            <w:tcW w:w="1447" w:type="dxa"/>
          </w:tcPr>
          <w:p>
            <w:pPr>
              <w:pStyle w:val="TableParagraph"/>
              <w:spacing w:before="61"/>
              <w:ind w:left="200"/>
              <w:jc w:val="left"/>
              <w:rPr>
                <w:b/>
                <w:sz w:val="24"/>
              </w:rPr>
            </w:pPr>
            <w:r>
              <w:rPr>
                <w:b/>
                <w:sz w:val="24"/>
              </w:rPr>
              <w:t>Cuadro 15.</w:t>
            </w:r>
          </w:p>
        </w:tc>
        <w:tc>
          <w:tcPr>
            <w:tcW w:w="7143" w:type="dxa"/>
          </w:tcPr>
          <w:p>
            <w:pPr>
              <w:pStyle w:val="TableParagraph"/>
              <w:spacing w:line="360" w:lineRule="auto" w:before="56"/>
              <w:ind w:left="99" w:right="97"/>
              <w:jc w:val="left"/>
              <w:rPr>
                <w:sz w:val="24"/>
              </w:rPr>
            </w:pPr>
            <w:r>
              <w:rPr>
                <w:sz w:val="24"/>
              </w:rPr>
              <w:t>Efecto de la dosis de Cr orgánico en la respuesta de ovinos en engorda intensiva………………………………………………………………….</w:t>
            </w:r>
          </w:p>
        </w:tc>
        <w:tc>
          <w:tcPr>
            <w:tcW w:w="649" w:type="dxa"/>
          </w:tcPr>
          <w:p>
            <w:pPr>
              <w:pStyle w:val="TableParagraph"/>
              <w:jc w:val="left"/>
              <w:rPr>
                <w:b/>
                <w:sz w:val="24"/>
              </w:rPr>
            </w:pPr>
          </w:p>
          <w:p>
            <w:pPr>
              <w:pStyle w:val="TableParagraph"/>
              <w:spacing w:before="193"/>
              <w:ind w:right="198"/>
              <w:jc w:val="right"/>
              <w:rPr>
                <w:sz w:val="24"/>
              </w:rPr>
            </w:pPr>
            <w:r>
              <w:rPr>
                <w:sz w:val="24"/>
              </w:rPr>
              <w:t>106</w:t>
            </w:r>
          </w:p>
        </w:tc>
      </w:tr>
      <w:tr>
        <w:trPr>
          <w:trHeight w:val="829" w:hRule="exact"/>
        </w:trPr>
        <w:tc>
          <w:tcPr>
            <w:tcW w:w="1447" w:type="dxa"/>
          </w:tcPr>
          <w:p>
            <w:pPr>
              <w:pStyle w:val="TableParagraph"/>
              <w:spacing w:before="60"/>
              <w:ind w:left="200"/>
              <w:jc w:val="left"/>
              <w:rPr>
                <w:b/>
                <w:sz w:val="24"/>
              </w:rPr>
            </w:pPr>
            <w:r>
              <w:rPr>
                <w:b/>
                <w:sz w:val="24"/>
              </w:rPr>
              <w:t>Cuadro 16.</w:t>
            </w:r>
          </w:p>
        </w:tc>
        <w:tc>
          <w:tcPr>
            <w:tcW w:w="7143" w:type="dxa"/>
          </w:tcPr>
          <w:p>
            <w:pPr>
              <w:pStyle w:val="TableParagraph"/>
              <w:spacing w:line="348" w:lineRule="auto" w:before="55"/>
              <w:ind w:left="99" w:right="93"/>
              <w:jc w:val="left"/>
              <w:rPr>
                <w:sz w:val="24"/>
              </w:rPr>
            </w:pPr>
            <w:r>
              <w:rPr>
                <w:sz w:val="24"/>
              </w:rPr>
              <w:t>Efecto de la dosis de cromo orgánico en la concentración de triglicéridos, glucosa y urea  (mg/dL</w:t>
            </w:r>
            <w:r>
              <w:rPr>
                <w:position w:val="9"/>
                <w:sz w:val="16"/>
              </w:rPr>
              <w:t>-1</w:t>
            </w:r>
            <w:r>
              <w:rPr>
                <w:sz w:val="24"/>
              </w:rPr>
              <w:t>) de ovinos en engorda intensiva...</w:t>
            </w:r>
          </w:p>
        </w:tc>
        <w:tc>
          <w:tcPr>
            <w:tcW w:w="649" w:type="dxa"/>
          </w:tcPr>
          <w:p>
            <w:pPr>
              <w:pStyle w:val="TableParagraph"/>
              <w:jc w:val="left"/>
              <w:rPr>
                <w:b/>
                <w:sz w:val="24"/>
              </w:rPr>
            </w:pPr>
          </w:p>
          <w:p>
            <w:pPr>
              <w:pStyle w:val="TableParagraph"/>
              <w:spacing w:before="195"/>
              <w:ind w:right="198"/>
              <w:jc w:val="right"/>
              <w:rPr>
                <w:sz w:val="24"/>
              </w:rPr>
            </w:pPr>
            <w:r>
              <w:rPr>
                <w:sz w:val="24"/>
              </w:rPr>
              <w:t>108</w:t>
            </w:r>
          </w:p>
        </w:tc>
      </w:tr>
      <w:tr>
        <w:trPr>
          <w:trHeight w:val="742" w:hRule="exact"/>
        </w:trPr>
        <w:tc>
          <w:tcPr>
            <w:tcW w:w="1447" w:type="dxa"/>
          </w:tcPr>
          <w:p>
            <w:pPr>
              <w:pStyle w:val="TableParagraph"/>
              <w:spacing w:before="60"/>
              <w:ind w:left="200"/>
              <w:jc w:val="left"/>
              <w:rPr>
                <w:b/>
                <w:sz w:val="24"/>
              </w:rPr>
            </w:pPr>
            <w:r>
              <w:rPr>
                <w:b/>
                <w:sz w:val="24"/>
              </w:rPr>
              <w:t>Cuadro 17.</w:t>
            </w:r>
          </w:p>
        </w:tc>
        <w:tc>
          <w:tcPr>
            <w:tcW w:w="7143" w:type="dxa"/>
          </w:tcPr>
          <w:p>
            <w:pPr>
              <w:pStyle w:val="TableParagraph"/>
              <w:spacing w:before="55"/>
              <w:ind w:left="99"/>
              <w:jc w:val="left"/>
              <w:rPr>
                <w:sz w:val="24"/>
              </w:rPr>
            </w:pPr>
            <w:r>
              <w:rPr>
                <w:sz w:val="24"/>
              </w:rPr>
              <w:t>Efecto del Cr orgánico sobre el contenido de Ca, P, Mg, Na y K en</w:t>
            </w:r>
          </w:p>
          <w:p>
            <w:pPr>
              <w:pStyle w:val="TableParagraph"/>
              <w:spacing w:before="139"/>
              <w:ind w:left="99"/>
              <w:jc w:val="left"/>
              <w:rPr>
                <w:sz w:val="24"/>
              </w:rPr>
            </w:pPr>
            <w:r>
              <w:rPr>
                <w:sz w:val="24"/>
              </w:rPr>
              <w:t>hígado y hueso de ovinos en engorda intensiva.…………………………</w:t>
            </w:r>
          </w:p>
        </w:tc>
        <w:tc>
          <w:tcPr>
            <w:tcW w:w="649" w:type="dxa"/>
          </w:tcPr>
          <w:p>
            <w:pPr>
              <w:pStyle w:val="TableParagraph"/>
              <w:jc w:val="left"/>
              <w:rPr>
                <w:b/>
                <w:sz w:val="24"/>
              </w:rPr>
            </w:pPr>
          </w:p>
          <w:p>
            <w:pPr>
              <w:pStyle w:val="TableParagraph"/>
              <w:spacing w:before="194"/>
              <w:ind w:right="198"/>
              <w:jc w:val="right"/>
              <w:rPr>
                <w:sz w:val="24"/>
              </w:rPr>
            </w:pPr>
            <w:r>
              <w:rPr>
                <w:sz w:val="24"/>
              </w:rPr>
              <w:t>110</w:t>
            </w:r>
          </w:p>
        </w:tc>
      </w:tr>
    </w:tbl>
    <w:p>
      <w:pPr>
        <w:spacing w:after="0"/>
        <w:jc w:val="right"/>
        <w:rPr>
          <w:sz w:val="24"/>
        </w:rPr>
        <w:sectPr>
          <w:headerReference w:type="default" r:id="rId15"/>
          <w:footerReference w:type="default" r:id="rId16"/>
          <w:pgSz w:w="12240" w:h="15840"/>
          <w:pgMar w:header="0" w:footer="0" w:top="1500" w:bottom="280" w:left="1560" w:right="1220"/>
        </w:sectPr>
      </w:pPr>
    </w:p>
    <w:p>
      <w:pPr>
        <w:pStyle w:val="BodyText"/>
        <w:spacing w:before="6"/>
        <w:rPr>
          <w:sz w:val="29"/>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7"/>
        <w:gridCol w:w="7158"/>
        <w:gridCol w:w="634"/>
      </w:tblGrid>
      <w:tr>
        <w:trPr>
          <w:trHeight w:val="1154" w:hRule="exact"/>
        </w:trPr>
        <w:tc>
          <w:tcPr>
            <w:tcW w:w="1447" w:type="dxa"/>
          </w:tcPr>
          <w:p>
            <w:pPr>
              <w:pStyle w:val="TableParagraph"/>
              <w:spacing w:line="250" w:lineRule="exact"/>
              <w:ind w:left="200"/>
              <w:jc w:val="left"/>
              <w:rPr>
                <w:b/>
                <w:sz w:val="24"/>
              </w:rPr>
            </w:pPr>
            <w:r>
              <w:rPr>
                <w:b/>
                <w:sz w:val="24"/>
              </w:rPr>
              <w:t>Cuadro 18.</w:t>
            </w:r>
          </w:p>
        </w:tc>
        <w:tc>
          <w:tcPr>
            <w:tcW w:w="7158" w:type="dxa"/>
          </w:tcPr>
          <w:p>
            <w:pPr>
              <w:pStyle w:val="TableParagraph"/>
              <w:spacing w:line="245" w:lineRule="exact"/>
              <w:ind w:left="99"/>
              <w:jc w:val="left"/>
              <w:rPr>
                <w:sz w:val="24"/>
              </w:rPr>
            </w:pPr>
            <w:r>
              <w:rPr>
                <w:sz w:val="24"/>
              </w:rPr>
              <w:t>Efecto de la concentración dietaría de Cr orgánico sobre  el contenido de</w:t>
            </w:r>
          </w:p>
          <w:p>
            <w:pPr>
              <w:pStyle w:val="TableParagraph"/>
              <w:spacing w:line="360" w:lineRule="auto" w:before="137"/>
              <w:ind w:left="99"/>
              <w:jc w:val="left"/>
              <w:rPr>
                <w:sz w:val="24"/>
              </w:rPr>
            </w:pPr>
            <w:r>
              <w:rPr>
                <w:sz w:val="24"/>
              </w:rPr>
              <w:t>Fe, Cu, Cr y Zn en hígado y hueso de ovinos en engorda intensiva.…………………………………………………………………</w:t>
            </w:r>
          </w:p>
        </w:tc>
        <w:tc>
          <w:tcPr>
            <w:tcW w:w="634" w:type="dxa"/>
          </w:tcPr>
          <w:p>
            <w:pPr>
              <w:pStyle w:val="TableParagraph"/>
              <w:spacing w:before="2"/>
              <w:jc w:val="left"/>
              <w:rPr>
                <w:sz w:val="33"/>
              </w:rPr>
            </w:pPr>
          </w:p>
          <w:p>
            <w:pPr>
              <w:pStyle w:val="TableParagraph"/>
              <w:ind w:left="74"/>
              <w:jc w:val="left"/>
              <w:rPr>
                <w:sz w:val="24"/>
              </w:rPr>
            </w:pPr>
            <w:r>
              <w:rPr>
                <w:sz w:val="24"/>
              </w:rPr>
              <w:t>111</w:t>
            </w:r>
          </w:p>
        </w:tc>
      </w:tr>
      <w:tr>
        <w:trPr>
          <w:trHeight w:val="828" w:hRule="exact"/>
        </w:trPr>
        <w:tc>
          <w:tcPr>
            <w:tcW w:w="1447" w:type="dxa"/>
          </w:tcPr>
          <w:p>
            <w:pPr>
              <w:pStyle w:val="TableParagraph"/>
              <w:spacing w:before="60"/>
              <w:ind w:left="200"/>
              <w:jc w:val="left"/>
              <w:rPr>
                <w:b/>
                <w:sz w:val="24"/>
              </w:rPr>
            </w:pPr>
            <w:r>
              <w:rPr>
                <w:b/>
                <w:sz w:val="24"/>
              </w:rPr>
              <w:t>Cudro 19.</w:t>
            </w:r>
          </w:p>
        </w:tc>
        <w:tc>
          <w:tcPr>
            <w:tcW w:w="7158" w:type="dxa"/>
          </w:tcPr>
          <w:p>
            <w:pPr>
              <w:pStyle w:val="TableParagraph"/>
              <w:spacing w:line="360" w:lineRule="auto" w:before="55"/>
              <w:ind w:left="99"/>
              <w:jc w:val="left"/>
              <w:rPr>
                <w:sz w:val="24"/>
              </w:rPr>
            </w:pPr>
            <w:r>
              <w:rPr>
                <w:sz w:val="24"/>
              </w:rPr>
              <w:t>Efecto de la concentración dietaría de Cr orgánico en el perfil de ácidos grasos de carne húmeda de ovinos en engorda intensiva………………...</w:t>
            </w:r>
          </w:p>
        </w:tc>
        <w:tc>
          <w:tcPr>
            <w:tcW w:w="634" w:type="dxa"/>
          </w:tcPr>
          <w:p>
            <w:pPr>
              <w:pStyle w:val="TableParagraph"/>
              <w:jc w:val="left"/>
              <w:rPr>
                <w:sz w:val="24"/>
              </w:rPr>
            </w:pPr>
          </w:p>
          <w:p>
            <w:pPr>
              <w:pStyle w:val="TableParagraph"/>
              <w:spacing w:before="194"/>
              <w:ind w:left="74"/>
              <w:jc w:val="left"/>
              <w:rPr>
                <w:sz w:val="24"/>
              </w:rPr>
            </w:pPr>
            <w:r>
              <w:rPr>
                <w:sz w:val="24"/>
              </w:rPr>
              <w:t>112</w:t>
            </w:r>
          </w:p>
        </w:tc>
      </w:tr>
      <w:tr>
        <w:trPr>
          <w:trHeight w:val="828" w:hRule="exact"/>
        </w:trPr>
        <w:tc>
          <w:tcPr>
            <w:tcW w:w="1447" w:type="dxa"/>
          </w:tcPr>
          <w:p>
            <w:pPr>
              <w:pStyle w:val="TableParagraph"/>
              <w:spacing w:before="60"/>
              <w:ind w:left="200"/>
              <w:jc w:val="left"/>
              <w:rPr>
                <w:b/>
                <w:sz w:val="24"/>
              </w:rPr>
            </w:pPr>
            <w:r>
              <w:rPr>
                <w:b/>
                <w:sz w:val="24"/>
              </w:rPr>
              <w:t>Cuadro 20.</w:t>
            </w:r>
          </w:p>
        </w:tc>
        <w:tc>
          <w:tcPr>
            <w:tcW w:w="7158" w:type="dxa"/>
          </w:tcPr>
          <w:p>
            <w:pPr>
              <w:pStyle w:val="TableParagraph"/>
              <w:spacing w:line="360" w:lineRule="auto" w:before="55"/>
              <w:ind w:left="99"/>
              <w:jc w:val="left"/>
              <w:rPr>
                <w:sz w:val="24"/>
              </w:rPr>
            </w:pPr>
            <w:r>
              <w:rPr>
                <w:sz w:val="24"/>
              </w:rPr>
              <w:t>Efecto del cromo orgánico en el peso al sacrificio y características de la canal de ovinos en engorda intensiva……………………………………</w:t>
            </w:r>
          </w:p>
        </w:tc>
        <w:tc>
          <w:tcPr>
            <w:tcW w:w="634" w:type="dxa"/>
          </w:tcPr>
          <w:p>
            <w:pPr>
              <w:pStyle w:val="TableParagraph"/>
              <w:jc w:val="left"/>
              <w:rPr>
                <w:sz w:val="24"/>
              </w:rPr>
            </w:pPr>
          </w:p>
          <w:p>
            <w:pPr>
              <w:pStyle w:val="TableParagraph"/>
              <w:spacing w:before="194"/>
              <w:ind w:left="74"/>
              <w:jc w:val="left"/>
              <w:rPr>
                <w:sz w:val="24"/>
              </w:rPr>
            </w:pPr>
            <w:r>
              <w:rPr>
                <w:sz w:val="24"/>
              </w:rPr>
              <w:t>114</w:t>
            </w:r>
          </w:p>
        </w:tc>
      </w:tr>
      <w:tr>
        <w:trPr>
          <w:trHeight w:val="1243" w:hRule="exact"/>
        </w:trPr>
        <w:tc>
          <w:tcPr>
            <w:tcW w:w="1447" w:type="dxa"/>
          </w:tcPr>
          <w:p>
            <w:pPr>
              <w:pStyle w:val="TableParagraph"/>
              <w:spacing w:before="60"/>
              <w:ind w:left="200"/>
              <w:jc w:val="left"/>
              <w:rPr>
                <w:b/>
                <w:sz w:val="24"/>
              </w:rPr>
            </w:pPr>
            <w:r>
              <w:rPr>
                <w:b/>
                <w:sz w:val="24"/>
              </w:rPr>
              <w:t>Cuadro 21.</w:t>
            </w:r>
          </w:p>
        </w:tc>
        <w:tc>
          <w:tcPr>
            <w:tcW w:w="7158" w:type="dxa"/>
          </w:tcPr>
          <w:p>
            <w:pPr>
              <w:pStyle w:val="TableParagraph"/>
              <w:spacing w:line="360" w:lineRule="auto" w:before="55"/>
              <w:ind w:left="99" w:right="103"/>
              <w:jc w:val="both"/>
              <w:rPr>
                <w:sz w:val="24"/>
              </w:rPr>
            </w:pPr>
            <w:r>
              <w:rPr>
                <w:sz w:val="24"/>
              </w:rPr>
              <w:t>Efecto de la dosis de cromo orgánico en la composición química (g/100g) e indicadores de calidad del músculo </w:t>
            </w:r>
            <w:r>
              <w:rPr>
                <w:i/>
                <w:sz w:val="24"/>
              </w:rPr>
              <w:t>Longissimus dorsi </w:t>
            </w:r>
            <w:r>
              <w:rPr>
                <w:sz w:val="24"/>
              </w:rPr>
              <w:t>de ovinos en engorda intensiva……………………………………………...</w:t>
            </w:r>
          </w:p>
        </w:tc>
        <w:tc>
          <w:tcPr>
            <w:tcW w:w="634" w:type="dxa"/>
          </w:tcPr>
          <w:p>
            <w:pPr>
              <w:pStyle w:val="TableParagraph"/>
              <w:jc w:val="left"/>
              <w:rPr>
                <w:sz w:val="24"/>
              </w:rPr>
            </w:pPr>
          </w:p>
          <w:p>
            <w:pPr>
              <w:pStyle w:val="TableParagraph"/>
              <w:jc w:val="left"/>
              <w:rPr>
                <w:sz w:val="24"/>
              </w:rPr>
            </w:pPr>
          </w:p>
          <w:p>
            <w:pPr>
              <w:pStyle w:val="TableParagraph"/>
              <w:spacing w:before="10"/>
              <w:jc w:val="left"/>
              <w:rPr>
                <w:sz w:val="28"/>
              </w:rPr>
            </w:pPr>
          </w:p>
          <w:p>
            <w:pPr>
              <w:pStyle w:val="TableParagraph"/>
              <w:ind w:left="74"/>
              <w:jc w:val="left"/>
              <w:rPr>
                <w:sz w:val="24"/>
              </w:rPr>
            </w:pPr>
            <w:r>
              <w:rPr>
                <w:sz w:val="24"/>
              </w:rPr>
              <w:t>115</w:t>
            </w:r>
          </w:p>
        </w:tc>
      </w:tr>
      <w:tr>
        <w:trPr>
          <w:trHeight w:val="828" w:hRule="exact"/>
        </w:trPr>
        <w:tc>
          <w:tcPr>
            <w:tcW w:w="1447" w:type="dxa"/>
          </w:tcPr>
          <w:p>
            <w:pPr>
              <w:pStyle w:val="TableParagraph"/>
              <w:spacing w:before="61"/>
              <w:ind w:left="200"/>
              <w:jc w:val="left"/>
              <w:rPr>
                <w:b/>
                <w:sz w:val="24"/>
              </w:rPr>
            </w:pPr>
            <w:r>
              <w:rPr>
                <w:b/>
                <w:sz w:val="24"/>
              </w:rPr>
              <w:t>Cuadro 22.</w:t>
            </w:r>
          </w:p>
        </w:tc>
        <w:tc>
          <w:tcPr>
            <w:tcW w:w="7158" w:type="dxa"/>
          </w:tcPr>
          <w:p>
            <w:pPr>
              <w:pStyle w:val="TableParagraph"/>
              <w:spacing w:line="360" w:lineRule="auto" w:before="56"/>
              <w:ind w:left="99" w:right="93"/>
              <w:jc w:val="left"/>
              <w:rPr>
                <w:sz w:val="24"/>
              </w:rPr>
            </w:pPr>
            <w:r>
              <w:rPr>
                <w:sz w:val="24"/>
              </w:rPr>
              <w:t>Efecto de la concentración de Cromo orgánico sobre los costos de producción ovinos en engorda intensiva…………………………………</w:t>
            </w:r>
          </w:p>
        </w:tc>
        <w:tc>
          <w:tcPr>
            <w:tcW w:w="634" w:type="dxa"/>
          </w:tcPr>
          <w:p>
            <w:pPr>
              <w:pStyle w:val="TableParagraph"/>
              <w:jc w:val="left"/>
              <w:rPr>
                <w:sz w:val="24"/>
              </w:rPr>
            </w:pPr>
          </w:p>
          <w:p>
            <w:pPr>
              <w:pStyle w:val="TableParagraph"/>
              <w:spacing w:before="193"/>
              <w:ind w:left="74"/>
              <w:jc w:val="left"/>
              <w:rPr>
                <w:sz w:val="24"/>
              </w:rPr>
            </w:pPr>
            <w:r>
              <w:rPr>
                <w:sz w:val="24"/>
              </w:rPr>
              <w:t>116</w:t>
            </w:r>
          </w:p>
        </w:tc>
      </w:tr>
      <w:tr>
        <w:trPr>
          <w:trHeight w:val="644" w:hRule="exact"/>
        </w:trPr>
        <w:tc>
          <w:tcPr>
            <w:tcW w:w="1447" w:type="dxa"/>
          </w:tcPr>
          <w:p>
            <w:pPr>
              <w:pStyle w:val="TableParagraph"/>
              <w:spacing w:before="61"/>
              <w:ind w:left="200"/>
              <w:jc w:val="left"/>
              <w:rPr>
                <w:b/>
                <w:sz w:val="24"/>
              </w:rPr>
            </w:pPr>
            <w:r>
              <w:rPr>
                <w:b/>
                <w:sz w:val="24"/>
              </w:rPr>
              <w:t>Cuadro 23</w:t>
            </w:r>
          </w:p>
        </w:tc>
        <w:tc>
          <w:tcPr>
            <w:tcW w:w="7158" w:type="dxa"/>
          </w:tcPr>
          <w:p>
            <w:pPr>
              <w:pStyle w:val="TableParagraph"/>
              <w:spacing w:before="56"/>
              <w:ind w:left="99"/>
              <w:jc w:val="left"/>
              <w:rPr>
                <w:sz w:val="24"/>
              </w:rPr>
            </w:pPr>
            <w:r>
              <w:rPr>
                <w:sz w:val="24"/>
              </w:rPr>
              <w:t>Área  y  porcentaje  de  las  células  claras,  intermédias  y  oscuras  </w:t>
            </w:r>
            <w:r>
              <w:rPr>
                <w:spacing w:val="54"/>
                <w:sz w:val="24"/>
              </w:rPr>
              <w:t> </w:t>
            </w:r>
            <w:r>
              <w:rPr>
                <w:sz w:val="24"/>
              </w:rPr>
              <w:t>del</w:t>
            </w:r>
          </w:p>
          <w:p>
            <w:pPr>
              <w:pStyle w:val="TableParagraph"/>
              <w:spacing w:before="41"/>
              <w:ind w:left="99"/>
              <w:jc w:val="left"/>
              <w:rPr>
                <w:sz w:val="24"/>
              </w:rPr>
            </w:pPr>
            <w:r>
              <w:rPr>
                <w:i/>
                <w:sz w:val="24"/>
              </w:rPr>
              <w:t>Longissimus dorsi </w:t>
            </w:r>
            <w:r>
              <w:rPr>
                <w:sz w:val="24"/>
              </w:rPr>
              <w:t>trás aplicar NADH.......................................................</w:t>
            </w:r>
          </w:p>
        </w:tc>
        <w:tc>
          <w:tcPr>
            <w:tcW w:w="634" w:type="dxa"/>
          </w:tcPr>
          <w:p>
            <w:pPr>
              <w:pStyle w:val="TableParagraph"/>
              <w:spacing w:before="1"/>
              <w:jc w:val="left"/>
              <w:rPr>
                <w:sz w:val="24"/>
              </w:rPr>
            </w:pPr>
          </w:p>
          <w:p>
            <w:pPr>
              <w:pStyle w:val="TableParagraph"/>
              <w:ind w:left="74"/>
              <w:jc w:val="left"/>
              <w:rPr>
                <w:sz w:val="24"/>
              </w:rPr>
            </w:pPr>
            <w:r>
              <w:rPr>
                <w:sz w:val="24"/>
              </w:rPr>
              <w:t>118</w:t>
            </w:r>
          </w:p>
        </w:tc>
      </w:tr>
    </w:tbl>
    <w:p>
      <w:pPr>
        <w:spacing w:after="0"/>
        <w:jc w:val="left"/>
        <w:rPr>
          <w:sz w:val="24"/>
        </w:rPr>
        <w:sectPr>
          <w:headerReference w:type="default" r:id="rId17"/>
          <w:footerReference w:type="default" r:id="rId18"/>
          <w:pgSz w:w="12240" w:h="15840"/>
          <w:pgMar w:header="0" w:footer="0" w:top="1500" w:bottom="280" w:left="1560" w:right="1220"/>
        </w:sectPr>
      </w:pPr>
    </w:p>
    <w:p>
      <w:pPr>
        <w:pStyle w:val="BodyText"/>
        <w:spacing w:before="3"/>
        <w:rPr>
          <w:sz w:val="21"/>
        </w:rPr>
      </w:pPr>
    </w:p>
    <w:p>
      <w:pPr>
        <w:pStyle w:val="Heading1"/>
        <w:ind w:left="3456" w:right="3455"/>
        <w:jc w:val="center"/>
      </w:pPr>
      <w:bookmarkStart w:name="_bookmark3" w:id="4"/>
      <w:bookmarkEnd w:id="4"/>
      <w:r>
        <w:rPr>
          <w:b w:val="0"/>
        </w:rPr>
      </w:r>
      <w:r>
        <w:rPr/>
        <w:t>ÍNDICE DE FIGURAS</w:t>
      </w:r>
    </w:p>
    <w:p>
      <w:pPr>
        <w:spacing w:before="137"/>
        <w:ind w:left="0" w:right="309" w:firstLine="0"/>
        <w:jc w:val="right"/>
        <w:rPr>
          <w:b/>
          <w:sz w:val="24"/>
        </w:rPr>
      </w:pPr>
      <w:r>
        <w:rPr>
          <w:b/>
          <w:sz w:val="24"/>
        </w:rPr>
        <w:t>Página</w:t>
      </w:r>
    </w:p>
    <w:p>
      <w:pPr>
        <w:pStyle w:val="BodyText"/>
        <w:spacing w:before="4"/>
        <w:rPr>
          <w:b/>
          <w:sz w:val="14"/>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9"/>
        <w:gridCol w:w="7315"/>
        <w:gridCol w:w="655"/>
      </w:tblGrid>
      <w:tr>
        <w:trPr>
          <w:trHeight w:val="329" w:hRule="exact"/>
        </w:trPr>
        <w:tc>
          <w:tcPr>
            <w:tcW w:w="1269" w:type="dxa"/>
          </w:tcPr>
          <w:p>
            <w:pPr>
              <w:pStyle w:val="TableParagraph"/>
              <w:spacing w:line="250" w:lineRule="exact"/>
              <w:ind w:left="178" w:right="116"/>
              <w:rPr>
                <w:b/>
                <w:sz w:val="24"/>
              </w:rPr>
            </w:pPr>
            <w:r>
              <w:rPr>
                <w:b/>
                <w:sz w:val="24"/>
              </w:rPr>
              <w:t>Figura 1.</w:t>
            </w:r>
          </w:p>
        </w:tc>
        <w:tc>
          <w:tcPr>
            <w:tcW w:w="7315" w:type="dxa"/>
          </w:tcPr>
          <w:p>
            <w:pPr>
              <w:pStyle w:val="TableParagraph"/>
              <w:spacing w:line="245" w:lineRule="exact"/>
              <w:ind w:left="118" w:right="98"/>
              <w:rPr>
                <w:sz w:val="24"/>
              </w:rPr>
            </w:pPr>
            <w:r>
              <w:rPr>
                <w:sz w:val="24"/>
              </w:rPr>
              <w:t>Mecanismo de acción propuesto de la activación del Cr……………….....</w:t>
            </w:r>
          </w:p>
        </w:tc>
        <w:tc>
          <w:tcPr>
            <w:tcW w:w="655" w:type="dxa"/>
          </w:tcPr>
          <w:p>
            <w:pPr>
              <w:pStyle w:val="TableParagraph"/>
              <w:spacing w:line="245" w:lineRule="exact"/>
              <w:ind w:right="198"/>
              <w:jc w:val="right"/>
              <w:rPr>
                <w:sz w:val="24"/>
              </w:rPr>
            </w:pPr>
            <w:r>
              <w:rPr>
                <w:sz w:val="24"/>
              </w:rPr>
              <w:t>23</w:t>
            </w:r>
          </w:p>
        </w:tc>
      </w:tr>
      <w:tr>
        <w:trPr>
          <w:trHeight w:val="414" w:hRule="exact"/>
        </w:trPr>
        <w:tc>
          <w:tcPr>
            <w:tcW w:w="1269" w:type="dxa"/>
          </w:tcPr>
          <w:p>
            <w:pPr>
              <w:pStyle w:val="TableParagraph"/>
              <w:spacing w:before="58"/>
              <w:ind w:left="178" w:right="116"/>
              <w:rPr>
                <w:b/>
                <w:sz w:val="24"/>
              </w:rPr>
            </w:pPr>
            <w:r>
              <w:rPr>
                <w:b/>
                <w:sz w:val="24"/>
              </w:rPr>
              <w:t>Figura 2.</w:t>
            </w:r>
          </w:p>
        </w:tc>
        <w:tc>
          <w:tcPr>
            <w:tcW w:w="7315" w:type="dxa"/>
          </w:tcPr>
          <w:p>
            <w:pPr>
              <w:pStyle w:val="TableParagraph"/>
              <w:spacing w:before="53"/>
              <w:ind w:left="99" w:right="98"/>
              <w:rPr>
                <w:sz w:val="24"/>
              </w:rPr>
            </w:pPr>
            <w:r>
              <w:rPr>
                <w:sz w:val="24"/>
              </w:rPr>
              <w:t>Toma de medidas morfométricas en la canal de ovinos…………………..</w:t>
            </w:r>
          </w:p>
        </w:tc>
        <w:tc>
          <w:tcPr>
            <w:tcW w:w="655" w:type="dxa"/>
          </w:tcPr>
          <w:p>
            <w:pPr>
              <w:pStyle w:val="TableParagraph"/>
              <w:spacing w:before="53"/>
              <w:ind w:right="198"/>
              <w:jc w:val="right"/>
              <w:rPr>
                <w:sz w:val="24"/>
              </w:rPr>
            </w:pPr>
            <w:r>
              <w:rPr>
                <w:sz w:val="24"/>
              </w:rPr>
              <w:t>65</w:t>
            </w:r>
          </w:p>
        </w:tc>
      </w:tr>
      <w:tr>
        <w:trPr>
          <w:trHeight w:val="738" w:hRule="exact"/>
        </w:trPr>
        <w:tc>
          <w:tcPr>
            <w:tcW w:w="1269" w:type="dxa"/>
          </w:tcPr>
          <w:p>
            <w:pPr>
              <w:pStyle w:val="TableParagraph"/>
              <w:spacing w:before="59"/>
              <w:ind w:left="177" w:right="116"/>
              <w:rPr>
                <w:b/>
                <w:sz w:val="24"/>
              </w:rPr>
            </w:pPr>
            <w:r>
              <w:rPr>
                <w:b/>
                <w:sz w:val="24"/>
              </w:rPr>
              <w:t>Figura 3.</w:t>
            </w:r>
          </w:p>
        </w:tc>
        <w:tc>
          <w:tcPr>
            <w:tcW w:w="7315" w:type="dxa"/>
          </w:tcPr>
          <w:p>
            <w:pPr>
              <w:pStyle w:val="TableParagraph"/>
              <w:spacing w:before="54"/>
              <w:ind w:left="137"/>
              <w:jc w:val="left"/>
              <w:rPr>
                <w:sz w:val="24"/>
              </w:rPr>
            </w:pPr>
            <w:r>
              <w:rPr>
                <w:sz w:val="24"/>
              </w:rPr>
              <w:t>Secciones  transversales  de  </w:t>
            </w:r>
            <w:r>
              <w:rPr>
                <w:i/>
                <w:sz w:val="24"/>
              </w:rPr>
              <w:t>L.  dorsi  </w:t>
            </w:r>
            <w:r>
              <w:rPr>
                <w:sz w:val="24"/>
              </w:rPr>
              <w:t>de  ovinos  tras  aplicar  la  técnica</w:t>
            </w:r>
          </w:p>
          <w:p>
            <w:pPr>
              <w:pStyle w:val="TableParagraph"/>
              <w:spacing w:before="137"/>
              <w:ind w:left="137"/>
              <w:jc w:val="left"/>
              <w:rPr>
                <w:sz w:val="24"/>
              </w:rPr>
            </w:pPr>
            <w:r>
              <w:rPr>
                <w:sz w:val="24"/>
              </w:rPr>
              <w:t>NADH-TR…………………………………………………………………</w:t>
            </w:r>
          </w:p>
        </w:tc>
        <w:tc>
          <w:tcPr>
            <w:tcW w:w="655" w:type="dxa"/>
          </w:tcPr>
          <w:p>
            <w:pPr>
              <w:pStyle w:val="TableParagraph"/>
              <w:jc w:val="left"/>
              <w:rPr>
                <w:b/>
                <w:sz w:val="24"/>
              </w:rPr>
            </w:pPr>
          </w:p>
          <w:p>
            <w:pPr>
              <w:pStyle w:val="TableParagraph"/>
              <w:spacing w:before="191"/>
              <w:ind w:right="198"/>
              <w:jc w:val="right"/>
              <w:rPr>
                <w:sz w:val="24"/>
              </w:rPr>
            </w:pPr>
            <w:r>
              <w:rPr>
                <w:sz w:val="24"/>
              </w:rPr>
              <w:t>117</w:t>
            </w:r>
          </w:p>
        </w:tc>
      </w:tr>
    </w:tbl>
    <w:p>
      <w:pPr>
        <w:spacing w:after="0"/>
        <w:jc w:val="right"/>
        <w:rPr>
          <w:sz w:val="24"/>
        </w:rPr>
        <w:sectPr>
          <w:headerReference w:type="default" r:id="rId19"/>
          <w:footerReference w:type="default" r:id="rId20"/>
          <w:pgSz w:w="12240" w:h="15840"/>
          <w:pgMar w:header="0" w:footer="0" w:top="1500" w:bottom="280" w:left="1560" w:right="1220"/>
        </w:sectPr>
      </w:pPr>
    </w:p>
    <w:p>
      <w:pPr>
        <w:pStyle w:val="BodyText"/>
        <w:spacing w:before="7"/>
        <w:rPr>
          <w:b/>
          <w:sz w:val="9"/>
        </w:rPr>
      </w:pPr>
    </w:p>
    <w:p>
      <w:pPr>
        <w:pStyle w:val="Heading1"/>
        <w:numPr>
          <w:ilvl w:val="0"/>
          <w:numId w:val="5"/>
        </w:numPr>
        <w:tabs>
          <w:tab w:pos="3101" w:val="left" w:leader="none"/>
        </w:tabs>
        <w:spacing w:line="240" w:lineRule="auto" w:before="69" w:after="0"/>
        <w:ind w:left="3100" w:right="0" w:hanging="240"/>
        <w:jc w:val="left"/>
      </w:pPr>
      <w:bookmarkStart w:name="_bookmark4" w:id="5"/>
      <w:bookmarkEnd w:id="5"/>
      <w:r>
        <w:rPr>
          <w:b w:val="0"/>
        </w:rPr>
      </w:r>
      <w:bookmarkStart w:name="_bookmark4" w:id="6"/>
      <w:bookmarkEnd w:id="6"/>
      <w:r>
        <w:rPr/>
        <w:t>INTRODU</w:t>
      </w:r>
      <w:r>
        <w:rPr/>
        <w:t>CCIÓN</w:t>
      </w:r>
      <w:r>
        <w:rPr>
          <w:spacing w:val="-5"/>
        </w:rPr>
        <w:t> </w:t>
      </w:r>
      <w:r>
        <w:rPr/>
        <w:t>GENERAL</w:t>
      </w:r>
    </w:p>
    <w:p>
      <w:pPr>
        <w:pStyle w:val="BodyText"/>
        <w:rPr>
          <w:b/>
        </w:rPr>
      </w:pPr>
    </w:p>
    <w:p>
      <w:pPr>
        <w:pStyle w:val="BodyText"/>
        <w:spacing w:before="6"/>
        <w:rPr>
          <w:b/>
          <w:sz w:val="23"/>
        </w:rPr>
      </w:pPr>
    </w:p>
    <w:p>
      <w:pPr>
        <w:pStyle w:val="BodyText"/>
        <w:spacing w:line="360" w:lineRule="auto"/>
        <w:ind w:left="152" w:right="100" w:firstLine="707"/>
        <w:jc w:val="both"/>
      </w:pPr>
      <w:r>
        <w:rPr/>
        <w:t>El Cr es un micronutriente esencial (Vincent, 2000), es necesario para el metabolismo de carbohidratos, lípidos y proteínas (Mertz, 1993); su función más  importante es aumentar la adhesión de la insulina a la superficie de la membrana celular y  la introducción de glucosa, ácidos grasos y aminoácidos a la célula (Mertz, 1969;  Anderson, 1998; Vincent, 2000). No obstante, la magnitud de la respuesta metabólica del Cr, depende de la forma química de este, observándose mayor efectividad de las formas orgánicas </w:t>
      </w:r>
      <w:r>
        <w:rPr>
          <w:i/>
        </w:rPr>
        <w:t>vs </w:t>
      </w:r>
      <w:r>
        <w:rPr/>
        <w:t>las inorgánicas, </w:t>
      </w:r>
      <w:r>
        <w:rPr>
          <w:spacing w:val="-3"/>
        </w:rPr>
        <w:t>ya </w:t>
      </w:r>
      <w:r>
        <w:rPr/>
        <w:t>que las formas inorgánicas de Cr se absorben en niveles bajos (0.4 a 3%) (Anderson, 1987). La suplementación del Cr, en sus diferentes formas orgánicas, en la dieta de rumiantes ha promovido mejoras en el crecimiento en bovinos (Soltan </w:t>
      </w:r>
      <w:r>
        <w:rPr>
          <w:i/>
        </w:rPr>
        <w:t>et al., </w:t>
      </w:r>
      <w:r>
        <w:rPr/>
        <w:t>2012; Pechova </w:t>
      </w:r>
      <w:r>
        <w:rPr>
          <w:i/>
        </w:rPr>
        <w:t>et al., </w:t>
      </w:r>
      <w:r>
        <w:rPr/>
        <w:t>2002) y ovinos (Domínguez </w:t>
      </w:r>
      <w:r>
        <w:rPr>
          <w:i/>
        </w:rPr>
        <w:t>et al., </w:t>
      </w:r>
      <w:r>
        <w:rPr/>
        <w:t>2009; Kraides </w:t>
      </w:r>
      <w:r>
        <w:rPr>
          <w:i/>
        </w:rPr>
        <w:t>et al., </w:t>
      </w:r>
      <w:r>
        <w:rPr/>
        <w:t>2009), además de disminuir la grasa dorsal en ovinos (Uyanik, 2001; Arvizu </w:t>
      </w:r>
      <w:r>
        <w:rPr>
          <w:i/>
        </w:rPr>
        <w:t>et al., </w:t>
      </w:r>
      <w:r>
        <w:rPr/>
        <w:t>2011) y bovinos (Pollard </w:t>
      </w:r>
      <w:r>
        <w:rPr>
          <w:i/>
        </w:rPr>
        <w:t>et al., </w:t>
      </w:r>
      <w:r>
        <w:rPr/>
        <w:t>2002); también se han observado incrementos en el área del ojo de chuleta (Domínguez </w:t>
      </w:r>
      <w:r>
        <w:rPr>
          <w:i/>
        </w:rPr>
        <w:t>et al., </w:t>
      </w:r>
      <w:r>
        <w:rPr/>
        <w:t>2009; Kraides </w:t>
      </w:r>
      <w:r>
        <w:rPr>
          <w:i/>
        </w:rPr>
        <w:t>et al., </w:t>
      </w:r>
      <w:r>
        <w:rPr/>
        <w:t>2009, Pollard </w:t>
      </w:r>
      <w:r>
        <w:rPr>
          <w:i/>
        </w:rPr>
        <w:t>et al. </w:t>
      </w:r>
      <w:r>
        <w:rPr/>
        <w:t>2002); no obstante, hay resultados del uso de formas orgánicas de Cr en la nutrición en rumiantes que indican que  el Cr no modifica el crecimiento o características de la canal (Swanson </w:t>
      </w:r>
      <w:r>
        <w:rPr>
          <w:i/>
        </w:rPr>
        <w:t>et al., </w:t>
      </w:r>
      <w:r>
        <w:rPr/>
        <w:t>2000; Olsen  </w:t>
      </w:r>
      <w:r>
        <w:rPr>
          <w:i/>
        </w:rPr>
        <w:t>et al., </w:t>
      </w:r>
      <w:r>
        <w:rPr/>
        <w:t>1996). Por otra parte, aunque se acepta que el rol del Cr en el organismo es esencial, actualmente no existe una recomendación del NRC sobre su concentración en dietas de especies pecuarias, pues se desconoce su requerimiento para las diferentes etapas productivas y nivel de producción (NRC, 2007). En ovinos y bovinos en engorda se han evaluado niveles dietarios de 0.2 a 1.2 mg de Cr kg</w:t>
      </w:r>
      <w:r>
        <w:rPr>
          <w:position w:val="9"/>
          <w:sz w:val="16"/>
        </w:rPr>
        <w:t>-1 </w:t>
      </w:r>
      <w:r>
        <w:rPr/>
        <w:t>MS; al respecto, la dosis igual o  mayor a 0.35 mg kg</w:t>
      </w:r>
      <w:r>
        <w:rPr>
          <w:position w:val="9"/>
          <w:sz w:val="16"/>
        </w:rPr>
        <w:t>-1 </w:t>
      </w:r>
      <w:r>
        <w:rPr/>
        <w:t>ha mostrado mayor efecto biológico (Yan </w:t>
      </w:r>
      <w:r>
        <w:rPr>
          <w:i/>
        </w:rPr>
        <w:t>et al., </w:t>
      </w:r>
      <w:r>
        <w:rPr/>
        <w:t>2008; Domínuez </w:t>
      </w:r>
      <w:r>
        <w:rPr>
          <w:i/>
        </w:rPr>
        <w:t>et </w:t>
      </w:r>
      <w:r>
        <w:rPr>
          <w:i/>
        </w:rPr>
        <w:t>al., </w:t>
      </w:r>
      <w:r>
        <w:rPr/>
        <w:t>2009; Uyanik, 2001; Pollard </w:t>
      </w:r>
      <w:r>
        <w:rPr>
          <w:i/>
        </w:rPr>
        <w:t>et al., </w:t>
      </w:r>
      <w:r>
        <w:rPr/>
        <w:t>2006; Kraidess </w:t>
      </w:r>
      <w:r>
        <w:rPr>
          <w:i/>
        </w:rPr>
        <w:t>et al., </w:t>
      </w:r>
      <w:r>
        <w:rPr/>
        <w:t>2009; Soltan </w:t>
      </w:r>
      <w:r>
        <w:rPr>
          <w:i/>
        </w:rPr>
        <w:t>et al., </w:t>
      </w:r>
      <w:r>
        <w:rPr/>
        <w:t>2012; Estrada </w:t>
      </w:r>
      <w:r>
        <w:rPr>
          <w:i/>
        </w:rPr>
        <w:t>et al., </w:t>
      </w:r>
      <w:r>
        <w:rPr/>
        <w:t>2013); sin embargo, aún no es posible determinar el nivel biológico óptimo en la producción de</w:t>
      </w:r>
      <w:r>
        <w:rPr>
          <w:spacing w:val="-4"/>
        </w:rPr>
        <w:t> </w:t>
      </w:r>
      <w:r>
        <w:rPr/>
        <w:t>rumiantes.</w:t>
      </w:r>
    </w:p>
    <w:p>
      <w:pPr>
        <w:pStyle w:val="BodyText"/>
        <w:spacing w:line="360" w:lineRule="auto" w:before="4"/>
        <w:ind w:left="152" w:right="108" w:firstLine="707"/>
        <w:jc w:val="both"/>
      </w:pPr>
      <w:r>
        <w:rPr/>
        <w:t>Por otra parte, el rol del Cr en las especies pecuarias puede ser percibido desde dos aspectos, el primero, al mejorar la productividad y el segundo, al mejorar el perfil nutritivo del producto, es decir, la carne. El impacto del Cr en los indicadores de calidad de la   carne</w:t>
      </w:r>
    </w:p>
    <w:p>
      <w:pPr>
        <w:spacing w:after="0" w:line="360" w:lineRule="auto"/>
        <w:jc w:val="both"/>
        <w:sectPr>
          <w:headerReference w:type="default" r:id="rId21"/>
          <w:footerReference w:type="default" r:id="rId22"/>
          <w:pgSz w:w="12240" w:h="15840"/>
          <w:pgMar w:header="1154" w:footer="1383" w:top="1620" w:bottom="1580" w:left="1720" w:right="1420"/>
          <w:pgNumType w:start="14"/>
        </w:sectPr>
      </w:pPr>
    </w:p>
    <w:p>
      <w:pPr>
        <w:pStyle w:val="BodyText"/>
        <w:spacing w:before="2"/>
        <w:rPr>
          <w:sz w:val="9"/>
        </w:rPr>
      </w:pPr>
    </w:p>
    <w:p>
      <w:pPr>
        <w:spacing w:line="360" w:lineRule="auto" w:before="69"/>
        <w:ind w:left="152" w:right="105" w:firstLine="0"/>
        <w:jc w:val="both"/>
        <w:rPr>
          <w:sz w:val="24"/>
        </w:rPr>
      </w:pPr>
      <w:r>
        <w:rPr>
          <w:sz w:val="24"/>
        </w:rPr>
        <w:t>se ha evaluado en cerdos, aves y conejos; la investigación señala mejoras en el contenido de proteína, disminución en la concentración de grasa intramuscular </w:t>
      </w:r>
      <w:r>
        <w:rPr>
          <w:sz w:val="23"/>
        </w:rPr>
        <w:t>(Amatya </w:t>
      </w:r>
      <w:r>
        <w:rPr>
          <w:i/>
          <w:sz w:val="23"/>
        </w:rPr>
        <w:t>et al.</w:t>
      </w:r>
      <w:r>
        <w:rPr>
          <w:sz w:val="23"/>
        </w:rPr>
        <w:t>2004; Lien  </w:t>
      </w:r>
      <w:r>
        <w:rPr>
          <w:i/>
          <w:sz w:val="23"/>
        </w:rPr>
        <w:t>et al., </w:t>
      </w:r>
      <w:r>
        <w:rPr>
          <w:sz w:val="23"/>
        </w:rPr>
        <w:t>1999; Kim </w:t>
      </w:r>
      <w:r>
        <w:rPr>
          <w:i/>
          <w:sz w:val="23"/>
        </w:rPr>
        <w:t>et al. </w:t>
      </w:r>
      <w:r>
        <w:rPr>
          <w:sz w:val="23"/>
        </w:rPr>
        <w:t>1996, Lambertini </w:t>
      </w:r>
      <w:r>
        <w:rPr>
          <w:i/>
          <w:sz w:val="23"/>
        </w:rPr>
        <w:t>et al., </w:t>
      </w:r>
      <w:r>
        <w:rPr>
          <w:sz w:val="23"/>
        </w:rPr>
        <w:t>2004), efectos en el color de la carne (luminosidad) (</w:t>
      </w:r>
      <w:r>
        <w:rPr>
          <w:sz w:val="24"/>
        </w:rPr>
        <w:t>Ondřej </w:t>
      </w:r>
      <w:r>
        <w:rPr>
          <w:i/>
          <w:sz w:val="24"/>
        </w:rPr>
        <w:t>et al., </w:t>
      </w:r>
      <w:r>
        <w:rPr>
          <w:sz w:val="24"/>
        </w:rPr>
        <w:t>2013), en la textura (Boleman </w:t>
      </w:r>
      <w:r>
        <w:rPr>
          <w:i/>
          <w:sz w:val="24"/>
        </w:rPr>
        <w:t>et al., </w:t>
      </w:r>
      <w:r>
        <w:rPr>
          <w:sz w:val="24"/>
        </w:rPr>
        <w:t>1995) y en el perfil de ácidos grasos (Bučko </w:t>
      </w:r>
      <w:r>
        <w:rPr>
          <w:i/>
          <w:sz w:val="24"/>
        </w:rPr>
        <w:t>et al., </w:t>
      </w:r>
      <w:r>
        <w:rPr>
          <w:sz w:val="24"/>
        </w:rPr>
        <w:t>2012); no obstante, en ovinos existe escasa información sobre  el efecto de la levadura enriquecida con altas concentraciones de Cr suplementado a diferentes niveles en la calidad de la</w:t>
      </w:r>
      <w:r>
        <w:rPr>
          <w:spacing w:val="-9"/>
          <w:sz w:val="24"/>
        </w:rPr>
        <w:t> </w:t>
      </w:r>
      <w:r>
        <w:rPr>
          <w:sz w:val="24"/>
        </w:rPr>
        <w:t>carne.</w:t>
      </w:r>
    </w:p>
    <w:p>
      <w:pPr>
        <w:spacing w:line="360" w:lineRule="auto" w:before="4"/>
        <w:ind w:left="152" w:right="106" w:firstLine="707"/>
        <w:jc w:val="both"/>
        <w:rPr>
          <w:sz w:val="23"/>
        </w:rPr>
      </w:pPr>
      <w:r>
        <w:rPr>
          <w:sz w:val="24"/>
        </w:rPr>
        <w:t>Así mismo, existe relativamente escasa información sobre el efecto de la suplementación con Cr sobre el metabolismo de otros minerales; sin embargo, se ha evaluado la interacción de este con otros minerales como el Fe (</w:t>
      </w:r>
      <w:r>
        <w:rPr>
          <w:sz w:val="23"/>
        </w:rPr>
        <w:t>Ani y Mostaghie, 1992; Lukaski </w:t>
      </w:r>
      <w:r>
        <w:rPr>
          <w:i/>
          <w:sz w:val="23"/>
        </w:rPr>
        <w:t>et al., </w:t>
      </w:r>
      <w:r>
        <w:rPr>
          <w:sz w:val="23"/>
        </w:rPr>
        <w:t>1996), Zn y Cu (Stahlhut </w:t>
      </w:r>
      <w:r>
        <w:rPr>
          <w:i/>
          <w:sz w:val="23"/>
        </w:rPr>
        <w:t>et al., </w:t>
      </w:r>
      <w:r>
        <w:rPr>
          <w:sz w:val="23"/>
        </w:rPr>
        <w:t>2006), así como con el Ca y el Mg (Moonsie- Shageer y Mowat, 1993).</w:t>
      </w:r>
    </w:p>
    <w:p>
      <w:pPr>
        <w:pStyle w:val="BodyText"/>
        <w:spacing w:line="360" w:lineRule="auto" w:before="4"/>
        <w:ind w:left="152" w:right="108" w:firstLine="707"/>
        <w:jc w:val="both"/>
      </w:pPr>
      <w:r>
        <w:rPr/>
        <w:t>Por lo anterior, esta investigación se diseñó para evaluar el efecto de suplementar diferentes dosis de levadura alta en Cr dietario sobre la eficiencia productiva, metabolismo de nutrientes (triglicéridos, glucosa y urea en plasma; Fe, Zn, Cu, Ca, P, Mg, Na y K en órganos y tejidos), en las características de la canal y en la calidad de la carne de ovinos en engorda en corral.</w:t>
      </w:r>
    </w:p>
    <w:p>
      <w:pPr>
        <w:spacing w:after="0" w:line="360" w:lineRule="auto"/>
        <w:jc w:val="both"/>
        <w:sectPr>
          <w:pgSz w:w="12240" w:h="15840"/>
          <w:pgMar w:header="1154" w:footer="1383" w:top="1620" w:bottom="1580" w:left="1720" w:right="1420"/>
        </w:sectPr>
      </w:pPr>
    </w:p>
    <w:p>
      <w:pPr>
        <w:pStyle w:val="BodyText"/>
        <w:spacing w:before="6"/>
        <w:rPr>
          <w:sz w:val="28"/>
        </w:rPr>
      </w:pPr>
    </w:p>
    <w:p>
      <w:pPr>
        <w:pStyle w:val="Heading1"/>
        <w:numPr>
          <w:ilvl w:val="0"/>
          <w:numId w:val="5"/>
        </w:numPr>
        <w:tabs>
          <w:tab w:pos="3069" w:val="left" w:leader="none"/>
        </w:tabs>
        <w:spacing w:line="240" w:lineRule="auto" w:before="70" w:after="0"/>
        <w:ind w:left="3069" w:right="0" w:hanging="240"/>
        <w:jc w:val="left"/>
      </w:pPr>
      <w:bookmarkStart w:name="_bookmark5" w:id="7"/>
      <w:bookmarkEnd w:id="7"/>
      <w:r>
        <w:rPr>
          <w:b w:val="0"/>
        </w:rPr>
      </w:r>
      <w:bookmarkStart w:name="_bookmark5" w:id="8"/>
      <w:bookmarkEnd w:id="8"/>
      <w:r>
        <w:rPr/>
        <w:t>R</w:t>
      </w:r>
      <w:r>
        <w:rPr/>
        <w:t>EVISION DE</w:t>
      </w:r>
      <w:r>
        <w:rPr>
          <w:spacing w:val="-6"/>
        </w:rPr>
        <w:t> </w:t>
      </w:r>
      <w:r>
        <w:rPr/>
        <w:t>LITERATURA</w:t>
      </w:r>
    </w:p>
    <w:p>
      <w:pPr>
        <w:pStyle w:val="BodyText"/>
        <w:rPr>
          <w:b/>
        </w:rPr>
      </w:pPr>
    </w:p>
    <w:p>
      <w:pPr>
        <w:pStyle w:val="BodyText"/>
        <w:rPr>
          <w:b/>
        </w:rPr>
      </w:pPr>
    </w:p>
    <w:p>
      <w:pPr>
        <w:pStyle w:val="Heading1"/>
        <w:numPr>
          <w:ilvl w:val="1"/>
          <w:numId w:val="6"/>
        </w:numPr>
        <w:tabs>
          <w:tab w:pos="513" w:val="left" w:leader="none"/>
        </w:tabs>
        <w:spacing w:line="240" w:lineRule="auto" w:before="0" w:after="0"/>
        <w:ind w:left="512" w:right="0" w:hanging="360"/>
        <w:jc w:val="both"/>
      </w:pPr>
      <w:bookmarkStart w:name="_bookmark6" w:id="9"/>
      <w:bookmarkEnd w:id="9"/>
      <w:r>
        <w:rPr>
          <w:b w:val="0"/>
        </w:rPr>
      </w:r>
      <w:bookmarkStart w:name="_bookmark6" w:id="10"/>
      <w:bookmarkEnd w:id="10"/>
      <w:r>
        <w:rPr/>
        <w:t>G</w:t>
      </w:r>
      <w:r>
        <w:rPr/>
        <w:t>eneralidades</w:t>
      </w:r>
    </w:p>
    <w:p>
      <w:pPr>
        <w:pStyle w:val="BodyText"/>
        <w:spacing w:line="360" w:lineRule="auto" w:before="132"/>
        <w:ind w:left="152" w:right="146" w:firstLine="707"/>
        <w:jc w:val="both"/>
      </w:pPr>
      <w:r>
        <w:rPr/>
        <w:t>El Cromo es un elemento natural que se encuentra en rocas, animales, plantas,  suelo; se encuentra presente en el medio ambiente y es el número 21 en cuanto abundancia sobre la corteza terrestre, el contenido promedio en el suelo como cromita oscila entre 20 </w:t>
      </w:r>
      <w:r>
        <w:rPr>
          <w:spacing w:val="21"/>
        </w:rPr>
        <w:t> </w:t>
      </w:r>
      <w:r>
        <w:rPr/>
        <w:t>y</w:t>
      </w:r>
    </w:p>
    <w:p>
      <w:pPr>
        <w:pStyle w:val="BodyText"/>
        <w:spacing w:line="360" w:lineRule="auto" w:before="6"/>
        <w:ind w:left="152" w:right="150"/>
        <w:jc w:val="both"/>
      </w:pPr>
      <w:r>
        <w:rPr/>
        <w:t>590 µg/kg (Jeejeebhoy, 1999). Este elemento fue descubierto en 1979 por Vaquelin, elemento químico, símbolo Cr , número atómico 24, peso atómico 51.996; metal que es de color blanco plateado, duro y quebradizo.</w:t>
      </w:r>
    </w:p>
    <w:p>
      <w:pPr>
        <w:pStyle w:val="BodyText"/>
        <w:spacing w:line="355" w:lineRule="auto" w:before="4"/>
        <w:ind w:left="152" w:right="143" w:firstLine="707"/>
        <w:jc w:val="both"/>
      </w:pPr>
      <w:r>
        <w:rPr/>
        <w:t>Las formas más comunes son el estado de acuerdo son el estado de acuerdo a sus formas diferentes de oxidación y valencia, el cero (0), el trivalente (</w:t>
      </w:r>
      <w:r>
        <w:rPr>
          <w:position w:val="9"/>
          <w:sz w:val="16"/>
        </w:rPr>
        <w:t>3+</w:t>
      </w:r>
      <w:r>
        <w:rPr/>
        <w:t>) y el hexavalente (</w:t>
      </w:r>
      <w:r>
        <w:rPr>
          <w:position w:val="9"/>
          <w:sz w:val="16"/>
        </w:rPr>
        <w:t>6+</w:t>
      </w:r>
      <w:r>
        <w:rPr/>
        <w:t>) son los más importantes en el ambiente y los productos comerciales. El cromo cero no está presente en la corteza terrestre y es biológicamente inerte.</w:t>
      </w:r>
    </w:p>
    <w:p>
      <w:pPr>
        <w:pStyle w:val="BodyText"/>
        <w:spacing w:line="360" w:lineRule="auto" w:before="4"/>
        <w:ind w:left="152" w:right="147" w:firstLine="707"/>
        <w:jc w:val="both"/>
      </w:pPr>
      <w:r>
        <w:rPr>
          <w:b/>
        </w:rPr>
        <w:t>Cromo hexavalente (Cr6</w:t>
      </w:r>
      <w:r>
        <w:rPr>
          <w:b/>
          <w:position w:val="8"/>
          <w:sz w:val="16"/>
        </w:rPr>
        <w:t>+</w:t>
      </w:r>
      <w:r>
        <w:rPr>
          <w:b/>
        </w:rPr>
        <w:t>): </w:t>
      </w:r>
      <w:r>
        <w:rPr/>
        <w:t>es la segunda forma más estable y es un fuerte agente de oxidación, especialmente en acidez media, este elemento al reaccionar con material genético de las células se convierte en un compuesto carcinogénico (Cohen, 1993; Pechova y Pavlata, 2007).</w:t>
      </w:r>
    </w:p>
    <w:p>
      <w:pPr>
        <w:pStyle w:val="BodyText"/>
        <w:spacing w:line="357" w:lineRule="auto"/>
        <w:ind w:left="152" w:right="147" w:firstLine="767"/>
        <w:jc w:val="both"/>
      </w:pPr>
      <w:r>
        <w:rPr>
          <w:b/>
        </w:rPr>
        <w:t>Cromo trivalente (Cr3</w:t>
      </w:r>
      <w:r>
        <w:rPr>
          <w:b/>
          <w:position w:val="8"/>
          <w:sz w:val="16"/>
        </w:rPr>
        <w:t>+</w:t>
      </w:r>
      <w:r>
        <w:rPr>
          <w:b/>
        </w:rPr>
        <w:t>): </w:t>
      </w:r>
      <w:r>
        <w:rPr/>
        <w:t>es la forma con más estabilidad química y se enlaza a ligandos que contienen nitrógeno, oxígeno o radicales sulfuro, formando complejos octaédricos; se usa con fines nutricionales. Casi todo el Cr presente en la naturaleza se encuentra en forma de cromo trivalente (Cr</w:t>
      </w:r>
      <w:r>
        <w:rPr>
          <w:position w:val="9"/>
          <w:sz w:val="16"/>
        </w:rPr>
        <w:t>3+</w:t>
      </w:r>
      <w:r>
        <w:rPr/>
        <w:t>); en la mayoría de los materiales biológicos está asociado fuertemente con proteínas, ácidos nucleicos y otros componentes del organismo (Anderson, 1997).</w:t>
      </w:r>
    </w:p>
    <w:p>
      <w:pPr>
        <w:pStyle w:val="BodyText"/>
        <w:spacing w:line="360" w:lineRule="auto" w:before="6"/>
        <w:ind w:left="152" w:right="147" w:firstLine="707"/>
        <w:jc w:val="both"/>
      </w:pPr>
      <w:r>
        <w:rPr/>
        <w:t>Se considera un elemento traza esencial en humanos y animales, tiene una función importante en el metabolismo de la insulina, posee un efecto en el metabolismo de carbohidratos, lípidos y proteínas (Mertz, 1993; Vincent, 2000; Engle </w:t>
      </w:r>
      <w:r>
        <w:rPr>
          <w:i/>
        </w:rPr>
        <w:t>et al., </w:t>
      </w:r>
      <w:r>
        <w:rPr/>
        <w:t>2005; Socha </w:t>
      </w:r>
      <w:r>
        <w:rPr>
          <w:i/>
        </w:rPr>
        <w:t>et </w:t>
      </w:r>
      <w:r>
        <w:rPr>
          <w:i/>
        </w:rPr>
        <w:t>al., </w:t>
      </w:r>
      <w:r>
        <w:rPr/>
        <w:t>2005). La deficiencia de este elemento provoca un deterioro del metabolismo de la glucosa debido a la mala eficiencia de la insulina. El deterioro de la tolerancia a la   glucosa</w:t>
      </w:r>
    </w:p>
    <w:p>
      <w:pPr>
        <w:spacing w:after="0" w:line="360" w:lineRule="auto"/>
        <w:jc w:val="both"/>
        <w:sectPr>
          <w:headerReference w:type="default" r:id="rId23"/>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56"/>
      </w:pPr>
      <w:r>
        <w:rPr/>
        <w:t>es el primer síntoma de esta deficiencia en animales de experimentación y es posible que sea una de las causas de la intolerancia a la glucosa en</w:t>
      </w:r>
      <w:r>
        <w:rPr>
          <w:spacing w:val="-10"/>
        </w:rPr>
        <w:t> </w:t>
      </w:r>
      <w:r>
        <w:rPr/>
        <w:t>humanos.</w:t>
      </w:r>
    </w:p>
    <w:p>
      <w:pPr>
        <w:pStyle w:val="BodyText"/>
        <w:spacing w:line="357" w:lineRule="auto" w:before="6"/>
        <w:ind w:left="152" w:right="147" w:firstLine="707"/>
        <w:jc w:val="both"/>
      </w:pPr>
      <w:r>
        <w:rPr/>
        <w:t>La manera en que el ser humano puede obtener este elemento es a través del consumo de alimentos ricos en Cr. Lo contiene la mayoría de los alimentos frescos y las fuentes ricas en Cr incluyen yema de huevo, productos de granos completos, cereales, café, nueces, frijol, brócoli, carne y levadura de cerveza (Cefalu y Hu, 2004)</w:t>
      </w:r>
      <w:r>
        <w:rPr>
          <w:b/>
        </w:rPr>
        <w:t>. </w:t>
      </w:r>
      <w:r>
        <w:rPr/>
        <w:t>Los compuestos de Cr</w:t>
      </w:r>
      <w:r>
        <w:rPr>
          <w:position w:val="9"/>
          <w:sz w:val="16"/>
        </w:rPr>
        <w:t>3+ </w:t>
      </w:r>
      <w:r>
        <w:rPr/>
        <w:t>se emplean en humanos y animales con diferentes finalidades, actualmente su uso es muy difundido, lo que ha generado en el medio científico controversias relacionadas con su papel como nutriente, su uso terapéutico y su toxicidad (Jeejeebhoy, 1999).</w:t>
      </w:r>
    </w:p>
    <w:p>
      <w:pPr>
        <w:pStyle w:val="BodyText"/>
      </w:pPr>
    </w:p>
    <w:p>
      <w:pPr>
        <w:pStyle w:val="Heading1"/>
        <w:numPr>
          <w:ilvl w:val="1"/>
          <w:numId w:val="6"/>
        </w:numPr>
        <w:tabs>
          <w:tab w:pos="513" w:val="left" w:leader="none"/>
        </w:tabs>
        <w:spacing w:line="240" w:lineRule="auto" w:before="150" w:after="0"/>
        <w:ind w:left="512" w:right="0" w:hanging="360"/>
        <w:jc w:val="left"/>
      </w:pPr>
      <w:bookmarkStart w:name="_bookmark7" w:id="11"/>
      <w:bookmarkEnd w:id="11"/>
      <w:r>
        <w:rPr>
          <w:b w:val="0"/>
        </w:rPr>
      </w:r>
      <w:bookmarkStart w:name="_bookmark7" w:id="12"/>
      <w:bookmarkEnd w:id="12"/>
      <w:r>
        <w:rPr/>
        <w:t>M</w:t>
      </w:r>
      <w:r>
        <w:rPr/>
        <w:t>etabolismo del</w:t>
      </w:r>
      <w:r>
        <w:rPr>
          <w:spacing w:val="-9"/>
        </w:rPr>
        <w:t> </w:t>
      </w:r>
      <w:r>
        <w:rPr/>
        <w:t>Cromo</w:t>
      </w:r>
    </w:p>
    <w:p>
      <w:pPr>
        <w:pStyle w:val="BodyText"/>
        <w:rPr>
          <w:b/>
        </w:rPr>
      </w:pPr>
    </w:p>
    <w:p>
      <w:pPr>
        <w:pStyle w:val="BodyText"/>
        <w:spacing w:before="11"/>
        <w:rPr>
          <w:b/>
          <w:sz w:val="23"/>
        </w:rPr>
      </w:pPr>
    </w:p>
    <w:p>
      <w:pPr>
        <w:pStyle w:val="ListParagraph"/>
        <w:numPr>
          <w:ilvl w:val="2"/>
          <w:numId w:val="6"/>
        </w:numPr>
        <w:tabs>
          <w:tab w:pos="650" w:val="left" w:leader="none"/>
        </w:tabs>
        <w:spacing w:line="240" w:lineRule="auto" w:before="0" w:after="0"/>
        <w:ind w:left="649" w:right="0" w:hanging="497"/>
        <w:jc w:val="left"/>
        <w:rPr>
          <w:b/>
          <w:i/>
          <w:sz w:val="22"/>
        </w:rPr>
      </w:pPr>
      <w:bookmarkStart w:name="_bookmark8" w:id="13"/>
      <w:bookmarkEnd w:id="13"/>
      <w:r>
        <w:rPr/>
      </w:r>
      <w:bookmarkStart w:name="_bookmark8" w:id="14"/>
      <w:bookmarkEnd w:id="14"/>
      <w:r>
        <w:rPr>
          <w:b/>
          <w:i/>
          <w:sz w:val="22"/>
        </w:rPr>
        <w:t>A</w:t>
      </w:r>
      <w:r>
        <w:rPr>
          <w:b/>
          <w:i/>
          <w:sz w:val="22"/>
        </w:rPr>
        <w:t>bsorción y</w:t>
      </w:r>
      <w:r>
        <w:rPr>
          <w:b/>
          <w:i/>
          <w:spacing w:val="-4"/>
          <w:sz w:val="22"/>
        </w:rPr>
        <w:t> </w:t>
      </w:r>
      <w:r>
        <w:rPr>
          <w:b/>
          <w:i/>
          <w:sz w:val="22"/>
        </w:rPr>
        <w:t>transporte</w:t>
      </w:r>
    </w:p>
    <w:p>
      <w:pPr>
        <w:pStyle w:val="BodyText"/>
        <w:spacing w:line="360" w:lineRule="auto" w:before="122"/>
        <w:ind w:left="152" w:right="144" w:firstLine="707"/>
        <w:jc w:val="both"/>
      </w:pPr>
      <w:r>
        <w:rPr/>
        <w:t>El Cr puede absorberse por vía digestiva, respiratoria y cutánea. La absorción intestinal (yeyuno) del cromo es baja tanto en humanos como en animales, varia de 0.5% hasta 2%, dependiendo de la ingesta dietaría; el resto es excretado en las heces, orina y  bilis; la excreción normal por la orina es de 0.05-0.5 μg/día. El mecanismo de absorción no se conoce con precisión, se cree que es por difusión o por una proteína transportadora. Después de la absorción, el Cr circula en el plasma a una concentración de 0.01 hasta 0.3 g/L, posiblemente unido a la transferrina y albúmina, mediante la unión a la transferrina, el Cr tiene un efecto significativo en el transporte del hierro (Anderson, 1998), el cromo es distribuido y almacenado en varios tejidos, con mayor concentración en riñones, músculo, hígado y epidídimo, se encuentra también en el bazo y tejido óseo (Cefalu y Hu, 2004). La absorción del Cr se ve limitada por su competencia en absorción con el Ca, Fe, Manganeso y Zn (Nielson, 1984), o en presencia de fitatos (Dattilo y Miguel, 2003), niacina, ácido ascórbico y almidón (Offenbacher, 1994; Seaborn y Stoecker, 1989). Otras posibles causas de deficiencia de Cr se presentan en la Tabla 1. La absorción promedio de Cr en humanos  se</w:t>
      </w:r>
      <w:r>
        <w:rPr>
          <w:spacing w:val="31"/>
        </w:rPr>
        <w:t> </w:t>
      </w:r>
      <w:r>
        <w:rPr/>
        <w:t>ha</w:t>
      </w:r>
      <w:r>
        <w:rPr>
          <w:spacing w:val="31"/>
        </w:rPr>
        <w:t> </w:t>
      </w:r>
      <w:r>
        <w:rPr/>
        <w:t>estimado</w:t>
      </w:r>
      <w:r>
        <w:rPr>
          <w:spacing w:val="31"/>
        </w:rPr>
        <w:t> </w:t>
      </w:r>
      <w:r>
        <w:rPr/>
        <w:t>entre</w:t>
      </w:r>
      <w:r>
        <w:rPr>
          <w:spacing w:val="31"/>
        </w:rPr>
        <w:t> </w:t>
      </w:r>
      <w:r>
        <w:rPr/>
        <w:t>0.5</w:t>
      </w:r>
      <w:r>
        <w:rPr>
          <w:spacing w:val="34"/>
        </w:rPr>
        <w:t> </w:t>
      </w:r>
      <w:r>
        <w:rPr/>
        <w:t>y</w:t>
      </w:r>
      <w:r>
        <w:rPr>
          <w:spacing w:val="25"/>
        </w:rPr>
        <w:t> </w:t>
      </w:r>
      <w:r>
        <w:rPr/>
        <w:t>2.5%</w:t>
      </w:r>
      <w:r>
        <w:rPr>
          <w:spacing w:val="36"/>
        </w:rPr>
        <w:t> </w:t>
      </w:r>
      <w:r>
        <w:rPr/>
        <w:t>y</w:t>
      </w:r>
      <w:r>
        <w:rPr>
          <w:spacing w:val="25"/>
        </w:rPr>
        <w:t> </w:t>
      </w:r>
      <w:r>
        <w:rPr/>
        <w:t>las</w:t>
      </w:r>
      <w:r>
        <w:rPr>
          <w:spacing w:val="32"/>
        </w:rPr>
        <w:t> </w:t>
      </w:r>
      <w:r>
        <w:rPr/>
        <w:t>formas</w:t>
      </w:r>
      <w:r>
        <w:rPr>
          <w:spacing w:val="32"/>
        </w:rPr>
        <w:t> </w:t>
      </w:r>
      <w:r>
        <w:rPr/>
        <w:t>orgánicas</w:t>
      </w:r>
      <w:r>
        <w:rPr>
          <w:spacing w:val="32"/>
        </w:rPr>
        <w:t> </w:t>
      </w:r>
      <w:r>
        <w:rPr/>
        <w:t>son</w:t>
      </w:r>
      <w:r>
        <w:rPr>
          <w:spacing w:val="32"/>
        </w:rPr>
        <w:t> </w:t>
      </w:r>
      <w:r>
        <w:rPr/>
        <w:t>mejor</w:t>
      </w:r>
      <w:r>
        <w:rPr>
          <w:spacing w:val="31"/>
        </w:rPr>
        <w:t> </w:t>
      </w:r>
      <w:r>
        <w:rPr/>
        <w:t>absorbidas</w:t>
      </w:r>
      <w:r>
        <w:rPr>
          <w:spacing w:val="32"/>
        </w:rPr>
        <w:t> </w:t>
      </w:r>
      <w:r>
        <w:rPr/>
        <w:t>(Dattilo</w:t>
      </w:r>
      <w:r>
        <w:rPr>
          <w:spacing w:val="34"/>
        </w:rPr>
        <w:t> </w:t>
      </w:r>
      <w:r>
        <w:rPr/>
        <w:t>y</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92" w:right="237"/>
      </w:pPr>
      <w:r>
        <w:rPr/>
        <w:t>Miguel, 2003), su absorción es inversamente proporcional al consumo del mineral  (Vincent,</w:t>
      </w:r>
      <w:r>
        <w:rPr>
          <w:spacing w:val="-5"/>
        </w:rPr>
        <w:t> </w:t>
      </w:r>
      <w:r>
        <w:rPr/>
        <w:t>2000).</w:t>
      </w:r>
    </w:p>
    <w:p>
      <w:pPr>
        <w:pStyle w:val="BodyText"/>
        <w:rPr>
          <w:sz w:val="20"/>
        </w:rPr>
      </w:pPr>
    </w:p>
    <w:p>
      <w:pPr>
        <w:pStyle w:val="BodyText"/>
        <w:spacing w:before="10" w:after="1"/>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19"/>
        <w:gridCol w:w="4376"/>
      </w:tblGrid>
      <w:tr>
        <w:trPr>
          <w:trHeight w:val="341" w:hRule="exact"/>
        </w:trPr>
        <w:tc>
          <w:tcPr>
            <w:tcW w:w="8995" w:type="dxa"/>
            <w:gridSpan w:val="2"/>
            <w:tcBorders>
              <w:left w:val="nil"/>
              <w:right w:val="nil"/>
            </w:tcBorders>
          </w:tcPr>
          <w:p>
            <w:pPr>
              <w:pStyle w:val="TableParagraph"/>
              <w:spacing w:before="1"/>
              <w:ind w:left="1106"/>
              <w:jc w:val="left"/>
              <w:rPr>
                <w:sz w:val="24"/>
              </w:rPr>
            </w:pPr>
            <w:r>
              <w:rPr>
                <w:b/>
                <w:sz w:val="24"/>
              </w:rPr>
              <w:t>Cuadro 1. </w:t>
            </w:r>
            <w:r>
              <w:rPr>
                <w:sz w:val="24"/>
              </w:rPr>
              <w:t>Principales causas de deficiencia de cromo en el organismo</w:t>
            </w:r>
          </w:p>
        </w:tc>
      </w:tr>
      <w:tr>
        <w:trPr>
          <w:trHeight w:val="341" w:hRule="exact"/>
        </w:trPr>
        <w:tc>
          <w:tcPr>
            <w:tcW w:w="4619" w:type="dxa"/>
            <w:tcBorders>
              <w:left w:val="nil"/>
              <w:right w:val="nil"/>
            </w:tcBorders>
          </w:tcPr>
          <w:p>
            <w:pPr>
              <w:pStyle w:val="TableParagraph"/>
              <w:spacing w:before="6"/>
              <w:ind w:left="95" w:right="17"/>
              <w:jc w:val="left"/>
              <w:rPr>
                <w:b/>
                <w:sz w:val="24"/>
              </w:rPr>
            </w:pPr>
            <w:r>
              <w:rPr>
                <w:b/>
                <w:sz w:val="24"/>
              </w:rPr>
              <w:t>Factores que afectan la absorción de cromo</w:t>
            </w:r>
          </w:p>
        </w:tc>
        <w:tc>
          <w:tcPr>
            <w:tcW w:w="4376" w:type="dxa"/>
            <w:tcBorders>
              <w:left w:val="nil"/>
              <w:right w:val="nil"/>
            </w:tcBorders>
          </w:tcPr>
          <w:p>
            <w:pPr>
              <w:pStyle w:val="TableParagraph"/>
              <w:spacing w:before="6"/>
              <w:ind w:left="85"/>
              <w:jc w:val="left"/>
              <w:rPr>
                <w:b/>
                <w:sz w:val="24"/>
              </w:rPr>
            </w:pPr>
            <w:r>
              <w:rPr>
                <w:b/>
                <w:sz w:val="24"/>
              </w:rPr>
              <w:t>Factores que causan la perdida de cromo</w:t>
            </w:r>
          </w:p>
        </w:tc>
      </w:tr>
      <w:tr>
        <w:trPr>
          <w:trHeight w:val="388" w:hRule="exact"/>
        </w:trPr>
        <w:tc>
          <w:tcPr>
            <w:tcW w:w="4619" w:type="dxa"/>
            <w:tcBorders>
              <w:left w:val="nil"/>
              <w:bottom w:val="nil"/>
              <w:right w:val="nil"/>
            </w:tcBorders>
          </w:tcPr>
          <w:p>
            <w:pPr>
              <w:pStyle w:val="TableParagraph"/>
              <w:spacing w:line="270" w:lineRule="exact"/>
              <w:ind w:left="83" w:right="17"/>
              <w:jc w:val="left"/>
              <w:rPr>
                <w:sz w:val="24"/>
              </w:rPr>
            </w:pPr>
            <w:r>
              <w:rPr>
                <w:sz w:val="24"/>
              </w:rPr>
              <w:t>Bajo consumo de materia seca.</w:t>
            </w:r>
          </w:p>
        </w:tc>
        <w:tc>
          <w:tcPr>
            <w:tcW w:w="4376" w:type="dxa"/>
            <w:vMerge w:val="restart"/>
            <w:tcBorders>
              <w:left w:val="nil"/>
              <w:right w:val="nil"/>
            </w:tcBorders>
          </w:tcPr>
          <w:p>
            <w:pPr>
              <w:pStyle w:val="TableParagraph"/>
              <w:tabs>
                <w:tab w:pos="1330" w:val="left" w:leader="none"/>
                <w:tab w:pos="1894" w:val="left" w:leader="none"/>
                <w:tab w:pos="2401" w:val="left" w:leader="none"/>
                <w:tab w:pos="2791" w:val="left" w:leader="none"/>
                <w:tab w:pos="3475" w:val="left" w:leader="none"/>
                <w:tab w:pos="3506" w:val="left" w:leader="none"/>
              </w:tabs>
              <w:spacing w:line="276" w:lineRule="auto"/>
              <w:ind w:left="71" w:right="72"/>
              <w:jc w:val="left"/>
              <w:rPr>
                <w:sz w:val="24"/>
              </w:rPr>
            </w:pPr>
            <w:r>
              <w:rPr>
                <w:sz w:val="24"/>
              </w:rPr>
              <w:t>Consumo</w:t>
              <w:tab/>
              <w:t>de</w:t>
              <w:tab/>
              <w:t>dietas</w:t>
              <w:tab/>
              <w:t>con</w:t>
              <w:tab/>
              <w:t>elevadas concentraciones</w:t>
              <w:tab/>
              <w:t>de</w:t>
              <w:tab/>
              <w:t>azúcares</w:t>
              <w:tab/>
              <w:tab/>
              <w:t>simples, lactosa, propionato, nitrógeno no proteico y/o</w:t>
            </w:r>
            <w:r>
              <w:rPr>
                <w:spacing w:val="-6"/>
                <w:sz w:val="24"/>
              </w:rPr>
              <w:t> </w:t>
            </w:r>
            <w:r>
              <w:rPr>
                <w:sz w:val="24"/>
              </w:rPr>
              <w:t>grasa.</w:t>
            </w:r>
          </w:p>
        </w:tc>
      </w:tr>
      <w:tr>
        <w:trPr>
          <w:trHeight w:val="874" w:hRule="exact"/>
        </w:trPr>
        <w:tc>
          <w:tcPr>
            <w:tcW w:w="4619" w:type="dxa"/>
            <w:tcBorders>
              <w:top w:val="nil"/>
              <w:left w:val="nil"/>
              <w:bottom w:val="nil"/>
              <w:right w:val="nil"/>
            </w:tcBorders>
          </w:tcPr>
          <w:p>
            <w:pPr>
              <w:pStyle w:val="TableParagraph"/>
              <w:spacing w:line="276" w:lineRule="auto" w:before="86"/>
              <w:ind w:left="83" w:right="131"/>
              <w:jc w:val="left"/>
              <w:rPr>
                <w:sz w:val="24"/>
              </w:rPr>
            </w:pPr>
            <w:r>
              <w:rPr>
                <w:sz w:val="24"/>
              </w:rPr>
              <w:t>Baja concentración de cromo bioactivo en los alimentos.</w:t>
            </w:r>
          </w:p>
        </w:tc>
        <w:tc>
          <w:tcPr>
            <w:tcW w:w="4376" w:type="dxa"/>
            <w:vMerge/>
            <w:tcBorders>
              <w:left w:val="nil"/>
              <w:bottom w:val="nil"/>
              <w:right w:val="nil"/>
            </w:tcBorders>
          </w:tcPr>
          <w:p>
            <w:pPr/>
          </w:p>
        </w:tc>
      </w:tr>
      <w:tr>
        <w:trPr>
          <w:trHeight w:val="634" w:hRule="exact"/>
        </w:trPr>
        <w:tc>
          <w:tcPr>
            <w:tcW w:w="4619" w:type="dxa"/>
            <w:tcBorders>
              <w:top w:val="nil"/>
              <w:left w:val="nil"/>
              <w:bottom w:val="nil"/>
              <w:right w:val="nil"/>
            </w:tcBorders>
          </w:tcPr>
          <w:p>
            <w:pPr>
              <w:pStyle w:val="TableParagraph"/>
              <w:spacing w:before="166"/>
              <w:ind w:left="83" w:right="17"/>
              <w:jc w:val="left"/>
              <w:rPr>
                <w:sz w:val="24"/>
              </w:rPr>
            </w:pPr>
            <w:r>
              <w:rPr>
                <w:sz w:val="24"/>
              </w:rPr>
              <w:t>Alimentos deficientes en cromo.</w:t>
            </w:r>
          </w:p>
        </w:tc>
        <w:tc>
          <w:tcPr>
            <w:tcW w:w="4376" w:type="dxa"/>
            <w:tcBorders>
              <w:top w:val="nil"/>
              <w:left w:val="nil"/>
              <w:bottom w:val="nil"/>
              <w:right w:val="nil"/>
            </w:tcBorders>
          </w:tcPr>
          <w:p>
            <w:pPr>
              <w:pStyle w:val="TableParagraph"/>
              <w:spacing w:line="276" w:lineRule="auto" w:before="7"/>
              <w:ind w:left="71" w:right="773"/>
              <w:jc w:val="left"/>
              <w:rPr>
                <w:sz w:val="24"/>
              </w:rPr>
            </w:pPr>
            <w:r>
              <w:rPr>
                <w:sz w:val="24"/>
              </w:rPr>
              <w:t>Estrés (calórico, durante mercadeo y transporte, etc.).</w:t>
            </w:r>
          </w:p>
        </w:tc>
      </w:tr>
      <w:tr>
        <w:trPr>
          <w:trHeight w:val="635" w:hRule="exact"/>
        </w:trPr>
        <w:tc>
          <w:tcPr>
            <w:tcW w:w="4619" w:type="dxa"/>
            <w:tcBorders>
              <w:top w:val="nil"/>
              <w:left w:val="nil"/>
              <w:bottom w:val="nil"/>
              <w:right w:val="nil"/>
            </w:tcBorders>
          </w:tcPr>
          <w:p>
            <w:pPr>
              <w:pStyle w:val="TableParagraph"/>
              <w:spacing w:line="276" w:lineRule="auto" w:before="7"/>
              <w:ind w:left="83" w:right="17"/>
              <w:jc w:val="left"/>
              <w:rPr>
                <w:sz w:val="24"/>
              </w:rPr>
            </w:pPr>
            <w:r>
              <w:rPr>
                <w:sz w:val="24"/>
              </w:rPr>
              <w:t>Niveles elevados de Fe y Zn que interfieren con la absorción de Cr.</w:t>
            </w:r>
          </w:p>
        </w:tc>
        <w:tc>
          <w:tcPr>
            <w:tcW w:w="4376" w:type="dxa"/>
            <w:tcBorders>
              <w:top w:val="nil"/>
              <w:left w:val="nil"/>
              <w:bottom w:val="nil"/>
              <w:right w:val="nil"/>
            </w:tcBorders>
          </w:tcPr>
          <w:p>
            <w:pPr>
              <w:pStyle w:val="TableParagraph"/>
              <w:spacing w:before="166"/>
              <w:ind w:left="71"/>
              <w:jc w:val="left"/>
              <w:rPr>
                <w:sz w:val="24"/>
              </w:rPr>
            </w:pPr>
            <w:r>
              <w:rPr>
                <w:sz w:val="24"/>
              </w:rPr>
              <w:t>Preñez.</w:t>
            </w:r>
          </w:p>
        </w:tc>
      </w:tr>
      <w:tr>
        <w:trPr>
          <w:trHeight w:val="318" w:hRule="exact"/>
        </w:trPr>
        <w:tc>
          <w:tcPr>
            <w:tcW w:w="4619" w:type="dxa"/>
            <w:tcBorders>
              <w:top w:val="nil"/>
              <w:left w:val="nil"/>
              <w:bottom w:val="nil"/>
              <w:right w:val="nil"/>
            </w:tcBorders>
          </w:tcPr>
          <w:p>
            <w:pPr>
              <w:pStyle w:val="TableParagraph"/>
              <w:spacing w:before="8"/>
              <w:ind w:left="83" w:right="17"/>
              <w:jc w:val="left"/>
              <w:rPr>
                <w:sz w:val="24"/>
              </w:rPr>
            </w:pPr>
            <w:r>
              <w:rPr>
                <w:sz w:val="24"/>
              </w:rPr>
              <w:t>Pobre nivel y tipo de aminoácido en la dieta.</w:t>
            </w:r>
          </w:p>
        </w:tc>
        <w:tc>
          <w:tcPr>
            <w:tcW w:w="4376" w:type="dxa"/>
            <w:tcBorders>
              <w:top w:val="nil"/>
              <w:left w:val="nil"/>
              <w:bottom w:val="nil"/>
              <w:right w:val="nil"/>
            </w:tcBorders>
          </w:tcPr>
          <w:p>
            <w:pPr>
              <w:pStyle w:val="TableParagraph"/>
              <w:spacing w:before="8"/>
              <w:ind w:left="71"/>
              <w:jc w:val="left"/>
              <w:rPr>
                <w:sz w:val="24"/>
              </w:rPr>
            </w:pPr>
            <w:r>
              <w:rPr>
                <w:sz w:val="24"/>
              </w:rPr>
              <w:t>Lactancia.</w:t>
            </w:r>
          </w:p>
        </w:tc>
      </w:tr>
      <w:tr>
        <w:trPr>
          <w:trHeight w:val="317" w:hRule="exact"/>
        </w:trPr>
        <w:tc>
          <w:tcPr>
            <w:tcW w:w="4619" w:type="dxa"/>
            <w:tcBorders>
              <w:top w:val="nil"/>
              <w:left w:val="nil"/>
              <w:bottom w:val="nil"/>
              <w:right w:val="nil"/>
            </w:tcBorders>
          </w:tcPr>
          <w:p>
            <w:pPr>
              <w:pStyle w:val="TableParagraph"/>
              <w:spacing w:before="7"/>
              <w:ind w:left="83" w:right="17"/>
              <w:jc w:val="left"/>
              <w:rPr>
                <w:sz w:val="24"/>
              </w:rPr>
            </w:pPr>
            <w:r>
              <w:rPr>
                <w:sz w:val="24"/>
              </w:rPr>
              <w:t>Bajo contenido de niacina en la dieta.</w:t>
            </w:r>
          </w:p>
        </w:tc>
        <w:tc>
          <w:tcPr>
            <w:tcW w:w="4376" w:type="dxa"/>
            <w:tcBorders>
              <w:top w:val="nil"/>
              <w:left w:val="nil"/>
              <w:bottom w:val="nil"/>
              <w:right w:val="nil"/>
            </w:tcBorders>
          </w:tcPr>
          <w:p>
            <w:pPr>
              <w:pStyle w:val="TableParagraph"/>
              <w:spacing w:before="7"/>
              <w:ind w:left="71"/>
              <w:jc w:val="left"/>
              <w:rPr>
                <w:sz w:val="24"/>
              </w:rPr>
            </w:pPr>
            <w:r>
              <w:rPr>
                <w:sz w:val="24"/>
              </w:rPr>
              <w:t>Ejercicio agudo.</w:t>
            </w:r>
          </w:p>
        </w:tc>
      </w:tr>
      <w:tr>
        <w:trPr>
          <w:trHeight w:val="635" w:hRule="exact"/>
        </w:trPr>
        <w:tc>
          <w:tcPr>
            <w:tcW w:w="4619" w:type="dxa"/>
            <w:tcBorders>
              <w:top w:val="nil"/>
              <w:left w:val="nil"/>
              <w:bottom w:val="nil"/>
              <w:right w:val="nil"/>
            </w:tcBorders>
          </w:tcPr>
          <w:p>
            <w:pPr>
              <w:pStyle w:val="TableParagraph"/>
              <w:spacing w:line="276" w:lineRule="auto" w:before="7"/>
              <w:ind w:left="83" w:right="17"/>
              <w:jc w:val="left"/>
              <w:rPr>
                <w:sz w:val="24"/>
              </w:rPr>
            </w:pPr>
            <w:r>
              <w:rPr>
                <w:sz w:val="24"/>
              </w:rPr>
              <w:t>Elevado nivel de sustancias amortiguadoras (buffers) en la ración.</w:t>
            </w:r>
          </w:p>
        </w:tc>
        <w:tc>
          <w:tcPr>
            <w:tcW w:w="4376" w:type="dxa"/>
            <w:tcBorders>
              <w:top w:val="nil"/>
              <w:left w:val="nil"/>
              <w:bottom w:val="nil"/>
              <w:right w:val="nil"/>
            </w:tcBorders>
          </w:tcPr>
          <w:p>
            <w:pPr>
              <w:pStyle w:val="TableParagraph"/>
              <w:spacing w:before="166"/>
              <w:ind w:left="71"/>
              <w:jc w:val="left"/>
              <w:rPr>
                <w:sz w:val="24"/>
              </w:rPr>
            </w:pPr>
            <w:r>
              <w:rPr>
                <w:sz w:val="24"/>
              </w:rPr>
              <w:t>Hemorragias.</w:t>
            </w:r>
          </w:p>
        </w:tc>
      </w:tr>
      <w:tr>
        <w:trPr>
          <w:trHeight w:val="635" w:hRule="exact"/>
        </w:trPr>
        <w:tc>
          <w:tcPr>
            <w:tcW w:w="4619" w:type="dxa"/>
            <w:tcBorders>
              <w:top w:val="nil"/>
              <w:left w:val="nil"/>
              <w:bottom w:val="nil"/>
              <w:right w:val="nil"/>
            </w:tcBorders>
          </w:tcPr>
          <w:p>
            <w:pPr>
              <w:pStyle w:val="TableParagraph"/>
              <w:tabs>
                <w:tab w:pos="760" w:val="left" w:leader="none"/>
                <w:tab w:pos="1588" w:val="left" w:leader="none"/>
                <w:tab w:pos="2640" w:val="left" w:leader="none"/>
                <w:tab w:pos="3573" w:val="left" w:leader="none"/>
                <w:tab w:pos="4027" w:val="left" w:leader="none"/>
              </w:tabs>
              <w:spacing w:line="276" w:lineRule="auto" w:before="8"/>
              <w:ind w:left="83" w:right="71"/>
              <w:jc w:val="left"/>
              <w:rPr>
                <w:sz w:val="24"/>
              </w:rPr>
            </w:pPr>
            <w:r>
              <w:rPr>
                <w:sz w:val="24"/>
              </w:rPr>
              <w:t>Bajo</w:t>
              <w:tab/>
              <w:t>nivelo</w:t>
              <w:tab/>
              <w:t>reducida</w:t>
              <w:tab/>
              <w:t>síntesis</w:t>
              <w:tab/>
              <w:t>de</w:t>
              <w:tab/>
              <w:t>ácido ascórbico.</w:t>
            </w:r>
          </w:p>
        </w:tc>
        <w:tc>
          <w:tcPr>
            <w:tcW w:w="4376" w:type="dxa"/>
            <w:tcBorders>
              <w:top w:val="nil"/>
              <w:left w:val="nil"/>
              <w:bottom w:val="nil"/>
              <w:right w:val="nil"/>
            </w:tcBorders>
          </w:tcPr>
          <w:p>
            <w:pPr>
              <w:pStyle w:val="TableParagraph"/>
              <w:spacing w:before="167"/>
              <w:ind w:left="71"/>
              <w:jc w:val="left"/>
              <w:rPr>
                <w:sz w:val="24"/>
              </w:rPr>
            </w:pPr>
            <w:r>
              <w:rPr>
                <w:sz w:val="24"/>
              </w:rPr>
              <w:t>Trauma físico.</w:t>
            </w:r>
          </w:p>
        </w:tc>
      </w:tr>
      <w:tr>
        <w:trPr>
          <w:trHeight w:val="321" w:hRule="exact"/>
        </w:trPr>
        <w:tc>
          <w:tcPr>
            <w:tcW w:w="4619" w:type="dxa"/>
            <w:tcBorders>
              <w:top w:val="nil"/>
              <w:left w:val="nil"/>
              <w:bottom w:val="nil"/>
              <w:right w:val="nil"/>
            </w:tcBorders>
          </w:tcPr>
          <w:p>
            <w:pPr>
              <w:pStyle w:val="TableParagraph"/>
              <w:spacing w:before="7"/>
              <w:ind w:left="83" w:right="17"/>
              <w:jc w:val="left"/>
              <w:rPr>
                <w:sz w:val="24"/>
              </w:rPr>
            </w:pPr>
            <w:r>
              <w:rPr>
                <w:sz w:val="24"/>
              </w:rPr>
              <w:t>Edad.</w:t>
            </w:r>
          </w:p>
        </w:tc>
        <w:tc>
          <w:tcPr>
            <w:tcW w:w="4376" w:type="dxa"/>
            <w:tcBorders>
              <w:top w:val="nil"/>
              <w:left w:val="nil"/>
              <w:bottom w:val="nil"/>
              <w:right w:val="nil"/>
            </w:tcBorders>
          </w:tcPr>
          <w:p>
            <w:pPr>
              <w:pStyle w:val="TableParagraph"/>
              <w:spacing w:before="7"/>
              <w:ind w:left="71"/>
              <w:jc w:val="left"/>
              <w:rPr>
                <w:sz w:val="24"/>
              </w:rPr>
            </w:pPr>
            <w:r>
              <w:rPr>
                <w:sz w:val="24"/>
              </w:rPr>
              <w:t>Infecciones.</w:t>
            </w:r>
          </w:p>
        </w:tc>
      </w:tr>
      <w:tr>
        <w:trPr>
          <w:trHeight w:val="346" w:hRule="exact"/>
        </w:trPr>
        <w:tc>
          <w:tcPr>
            <w:tcW w:w="4619" w:type="dxa"/>
            <w:tcBorders>
              <w:top w:val="nil"/>
              <w:left w:val="nil"/>
              <w:right w:val="nil"/>
            </w:tcBorders>
          </w:tcPr>
          <w:p>
            <w:pPr/>
          </w:p>
        </w:tc>
        <w:tc>
          <w:tcPr>
            <w:tcW w:w="4376" w:type="dxa"/>
            <w:tcBorders>
              <w:top w:val="nil"/>
              <w:left w:val="nil"/>
              <w:right w:val="nil"/>
            </w:tcBorders>
          </w:tcPr>
          <w:p>
            <w:pPr>
              <w:pStyle w:val="TableParagraph"/>
              <w:spacing w:before="11"/>
              <w:ind w:left="71"/>
              <w:jc w:val="left"/>
              <w:rPr>
                <w:sz w:val="24"/>
              </w:rPr>
            </w:pPr>
            <w:r>
              <w:rPr>
                <w:sz w:val="24"/>
              </w:rPr>
              <w:t>Obesidad.</w:t>
            </w:r>
          </w:p>
        </w:tc>
      </w:tr>
    </w:tbl>
    <w:p>
      <w:pPr>
        <w:pStyle w:val="BodyText"/>
        <w:spacing w:line="270" w:lineRule="exact"/>
        <w:ind w:left="192" w:right="237"/>
      </w:pPr>
      <w:r>
        <w:rPr/>
        <w:t>Mowat, (1997).</w:t>
      </w:r>
    </w:p>
    <w:p>
      <w:pPr>
        <w:pStyle w:val="BodyText"/>
      </w:pPr>
    </w:p>
    <w:p>
      <w:pPr>
        <w:pStyle w:val="BodyText"/>
        <w:spacing w:before="4"/>
      </w:pPr>
    </w:p>
    <w:p>
      <w:pPr>
        <w:pStyle w:val="ListParagraph"/>
        <w:numPr>
          <w:ilvl w:val="2"/>
          <w:numId w:val="6"/>
        </w:numPr>
        <w:tabs>
          <w:tab w:pos="690" w:val="left" w:leader="none"/>
        </w:tabs>
        <w:spacing w:line="240" w:lineRule="auto" w:before="0" w:after="0"/>
        <w:ind w:left="689" w:right="0" w:hanging="497"/>
        <w:jc w:val="left"/>
        <w:rPr>
          <w:b/>
          <w:i/>
          <w:sz w:val="22"/>
        </w:rPr>
      </w:pPr>
      <w:bookmarkStart w:name="_bookmark9" w:id="15"/>
      <w:bookmarkEnd w:id="15"/>
      <w:r>
        <w:rPr/>
      </w:r>
      <w:bookmarkStart w:name="_bookmark9" w:id="16"/>
      <w:bookmarkEnd w:id="16"/>
      <w:r>
        <w:rPr>
          <w:b/>
          <w:i/>
          <w:sz w:val="22"/>
        </w:rPr>
        <w:t>E</w:t>
      </w:r>
      <w:r>
        <w:rPr>
          <w:b/>
          <w:i/>
          <w:sz w:val="22"/>
        </w:rPr>
        <w:t>xcreción</w:t>
      </w:r>
    </w:p>
    <w:p>
      <w:pPr>
        <w:pStyle w:val="BodyText"/>
        <w:spacing w:line="360" w:lineRule="auto" w:before="122"/>
        <w:ind w:left="192" w:right="188" w:firstLine="707"/>
        <w:jc w:val="both"/>
      </w:pPr>
      <w:r>
        <w:rPr/>
        <w:t>El Cr absorbido se excreta principalmente por filtración glomerular o unido a un transportador orgánico de bajo peso molecular (Ducros, 1992). Sin embargo, una pequeña cantidad se elimina en el pelo, transpiración y la bilis. La excreción de Cr, especialmente por el sistema urinario, puede aumentar de 10 a 300 veces en situaciones de estrés, o en consecuencia a una dieta rica en hidratos de carbono (Pechova y Pavlata, 2007).</w:t>
      </w:r>
    </w:p>
    <w:p>
      <w:pPr>
        <w:pStyle w:val="BodyText"/>
      </w:pPr>
    </w:p>
    <w:p>
      <w:pPr>
        <w:pStyle w:val="ListParagraph"/>
        <w:numPr>
          <w:ilvl w:val="2"/>
          <w:numId w:val="6"/>
        </w:numPr>
        <w:tabs>
          <w:tab w:pos="690" w:val="left" w:leader="none"/>
        </w:tabs>
        <w:spacing w:line="240" w:lineRule="auto" w:before="148" w:after="0"/>
        <w:ind w:left="689" w:right="0" w:hanging="497"/>
        <w:jc w:val="left"/>
        <w:rPr>
          <w:b/>
          <w:i/>
          <w:sz w:val="22"/>
        </w:rPr>
      </w:pPr>
      <w:bookmarkStart w:name="_bookmark10" w:id="17"/>
      <w:bookmarkEnd w:id="17"/>
      <w:r>
        <w:rPr/>
      </w:r>
      <w:bookmarkStart w:name="_bookmark10" w:id="18"/>
      <w:bookmarkEnd w:id="18"/>
      <w:r>
        <w:rPr>
          <w:b/>
          <w:i/>
          <w:sz w:val="22"/>
        </w:rPr>
        <w:t>E</w:t>
      </w:r>
      <w:r>
        <w:rPr>
          <w:b/>
          <w:i/>
          <w:sz w:val="22"/>
        </w:rPr>
        <w:t>sencialidad del</w:t>
      </w:r>
      <w:r>
        <w:rPr>
          <w:b/>
          <w:i/>
          <w:spacing w:val="-6"/>
          <w:sz w:val="22"/>
        </w:rPr>
        <w:t> </w:t>
      </w:r>
      <w:r>
        <w:rPr>
          <w:b/>
          <w:i/>
          <w:sz w:val="22"/>
        </w:rPr>
        <w:t>cromo</w:t>
      </w:r>
    </w:p>
    <w:p>
      <w:pPr>
        <w:pStyle w:val="BodyText"/>
        <w:spacing w:line="360" w:lineRule="auto" w:before="122"/>
        <w:ind w:left="192" w:right="190" w:firstLine="707"/>
        <w:jc w:val="both"/>
      </w:pPr>
      <w:r>
        <w:rPr/>
        <w:t>El papel esencial del cromo en la nutrición animal fue reconocido por primera vez por Schwartz y Mertz en 1959. Estos investigadores observaron que ratas alimentadas   con</w:t>
      </w:r>
    </w:p>
    <w:p>
      <w:pPr>
        <w:spacing w:after="0" w:line="360" w:lineRule="auto"/>
        <w:jc w:val="both"/>
        <w:sectPr>
          <w:pgSz w:w="12240" w:h="15840"/>
          <w:pgMar w:header="1154" w:footer="1383" w:top="1400" w:bottom="1580" w:left="1680" w:right="1340"/>
        </w:sectPr>
      </w:pPr>
    </w:p>
    <w:p>
      <w:pPr>
        <w:pStyle w:val="BodyText"/>
        <w:spacing w:before="2"/>
        <w:rPr>
          <w:sz w:val="28"/>
        </w:rPr>
      </w:pPr>
    </w:p>
    <w:p>
      <w:pPr>
        <w:pStyle w:val="BodyText"/>
        <w:spacing w:line="360" w:lineRule="auto" w:before="69"/>
        <w:ind w:left="152" w:right="149"/>
        <w:jc w:val="both"/>
      </w:pPr>
      <w:r>
        <w:rPr/>
        <w:t>levadura torula desarrollaron intolerancia a la glucosa; sin embargo, las ratas alimentadas con levadura de cerveza no desarrollaron este estado. Se llamó factor de tolerancia a la glucosa (FTG) a una sustancia presente en la levadura de cerveza, pero no en la levadura torula. Más adelante se demostró que el ingrediente activo en el FTG es el cromo (III) (Schwartz and Mertz, 1959; Vincent, 2000). La naturaleza exacta del Factor de Tolerancia a la Glucosa propuesta originalmente en 1959 quedó poco definida. A partir de la levadura de cerveza hidrolizada con ácido y riñón porcino se purificó parcialmente un material que contenía cromo que potenciaba el metabolismo de la glucosa. El material a partir de levadura recibió la mayor atención y fue llamada comúnmente levadura FTG. Se informó que el cromo en la levadura FTG se absorbía más fácilmente que en las fuentes de cromo inorgánico y se propuso que la levadura FTG se componía de iones cromo (III), ácido nicotínico, glicina, ácido glutámico y cisteína.</w:t>
      </w:r>
    </w:p>
    <w:p>
      <w:pPr>
        <w:pStyle w:val="BodyText"/>
        <w:spacing w:line="360" w:lineRule="auto" w:before="6"/>
        <w:ind w:left="152" w:right="148" w:firstLine="707"/>
        <w:jc w:val="both"/>
      </w:pPr>
      <w:r>
        <w:rPr/>
        <w:t>A principios de la década de los 90´s se iniciaron una serie de estudios con fines zootécnicos en animales domésticos, el principal interés de estos estudios fue orientado a aprovechar los efectos lipolíticos de las sales de Cr. Los resultados positivos obtenidos en cerdos (Page </w:t>
      </w:r>
      <w:r>
        <w:rPr>
          <w:i/>
        </w:rPr>
        <w:t>et al., </w:t>
      </w:r>
      <w:r>
        <w:rPr/>
        <w:t>1993) promovieron su utilización en ganado bovino, en el caso de esta especie, los resultados más sobresalientes se asociaron a los efectos en la salud y función inmune de los bovinos, durante los períodos de estrés, no sólo disminuyendo los niveles circulantes de cortisol, sino también aumentando la producción de inmunoglobulinas (Chang y Mowat, 1992; Moonsie-Shageer y Mowat, 1993).</w:t>
      </w:r>
    </w:p>
    <w:p>
      <w:pPr>
        <w:pStyle w:val="BodyText"/>
      </w:pPr>
    </w:p>
    <w:p>
      <w:pPr>
        <w:pStyle w:val="Heading1"/>
        <w:numPr>
          <w:ilvl w:val="1"/>
          <w:numId w:val="7"/>
        </w:numPr>
        <w:tabs>
          <w:tab w:pos="513" w:val="left" w:leader="none"/>
        </w:tabs>
        <w:spacing w:line="240" w:lineRule="auto" w:before="148" w:after="0"/>
        <w:ind w:left="512" w:right="0" w:hanging="360"/>
        <w:jc w:val="both"/>
      </w:pPr>
      <w:bookmarkStart w:name="_bookmark11" w:id="19"/>
      <w:bookmarkEnd w:id="19"/>
      <w:r>
        <w:rPr>
          <w:b w:val="0"/>
        </w:rPr>
      </w:r>
      <w:bookmarkStart w:name="_bookmark11" w:id="20"/>
      <w:bookmarkEnd w:id="20"/>
      <w:r>
        <w:rPr/>
        <w:t>F</w:t>
      </w:r>
      <w:r>
        <w:rPr/>
        <w:t>unción biológica del</w:t>
      </w:r>
      <w:r>
        <w:rPr>
          <w:spacing w:val="-8"/>
        </w:rPr>
        <w:t> </w:t>
      </w:r>
      <w:r>
        <w:rPr/>
        <w:t>Cr3+</w:t>
      </w:r>
    </w:p>
    <w:p>
      <w:pPr>
        <w:pStyle w:val="BodyText"/>
        <w:spacing w:line="360" w:lineRule="auto" w:before="134"/>
        <w:ind w:left="152" w:right="146" w:firstLine="707"/>
        <w:jc w:val="both"/>
      </w:pPr>
      <w:r>
        <w:rPr/>
        <w:t>Para describir los mecanismos de acción del Cr, se propone que el mineral aumenta la fluidez de la membrana celular para facilitar la unión de la insulina a su receptor (Evans  y Bowman, 1992). Recientemente, el Cr se caracterizó como un componente del  mecanismo de amplificación celular de señalización de la insulina, es decir, un factor que contribuye en el aumento de la sensibilidad de los receptores de insulina en la membrana plasmática (Vincent, 1999). Este mecanismo de la participación del Cr en la acción de la insulina,</w:t>
      </w:r>
      <w:r>
        <w:rPr>
          <w:spacing w:val="17"/>
        </w:rPr>
        <w:t> </w:t>
      </w:r>
      <w:r>
        <w:rPr/>
        <w:t>se</w:t>
      </w:r>
      <w:r>
        <w:rPr>
          <w:spacing w:val="17"/>
        </w:rPr>
        <w:t> </w:t>
      </w:r>
      <w:r>
        <w:rPr/>
        <w:t>llamó</w:t>
      </w:r>
      <w:r>
        <w:rPr>
          <w:spacing w:val="18"/>
        </w:rPr>
        <w:t> </w:t>
      </w:r>
      <w:r>
        <w:rPr/>
        <w:t>inicialmente</w:t>
      </w:r>
      <w:r>
        <w:rPr>
          <w:spacing w:val="17"/>
        </w:rPr>
        <w:t> </w:t>
      </w:r>
      <w:r>
        <w:rPr/>
        <w:t>como</w:t>
      </w:r>
      <w:r>
        <w:rPr>
          <w:spacing w:val="20"/>
        </w:rPr>
        <w:t> </w:t>
      </w:r>
      <w:r>
        <w:rPr>
          <w:i/>
        </w:rPr>
        <w:t>sustancia</w:t>
      </w:r>
      <w:r>
        <w:rPr>
          <w:i/>
          <w:spacing w:val="18"/>
        </w:rPr>
        <w:t> </w:t>
      </w:r>
      <w:r>
        <w:rPr>
          <w:i/>
        </w:rPr>
        <w:t>que</w:t>
      </w:r>
      <w:r>
        <w:rPr>
          <w:i/>
          <w:spacing w:val="17"/>
        </w:rPr>
        <w:t> </w:t>
      </w:r>
      <w:r>
        <w:rPr>
          <w:i/>
        </w:rPr>
        <w:t>une</w:t>
      </w:r>
      <w:r>
        <w:rPr>
          <w:i/>
          <w:spacing w:val="17"/>
        </w:rPr>
        <w:t> </w:t>
      </w:r>
      <w:r>
        <w:rPr>
          <w:i/>
        </w:rPr>
        <w:t>al</w:t>
      </w:r>
      <w:r>
        <w:rPr>
          <w:i/>
          <w:spacing w:val="18"/>
        </w:rPr>
        <w:t> </w:t>
      </w:r>
      <w:r>
        <w:rPr>
          <w:i/>
        </w:rPr>
        <w:t>cromo</w:t>
      </w:r>
      <w:r>
        <w:rPr>
          <w:i/>
          <w:spacing w:val="17"/>
        </w:rPr>
        <w:t> </w:t>
      </w:r>
      <w:r>
        <w:rPr>
          <w:i/>
        </w:rPr>
        <w:t>de</w:t>
      </w:r>
      <w:r>
        <w:rPr>
          <w:i/>
          <w:spacing w:val="17"/>
        </w:rPr>
        <w:t> </w:t>
      </w:r>
      <w:r>
        <w:rPr>
          <w:i/>
        </w:rPr>
        <w:t>bajo</w:t>
      </w:r>
      <w:r>
        <w:rPr>
          <w:i/>
          <w:spacing w:val="20"/>
        </w:rPr>
        <w:t> </w:t>
      </w:r>
      <w:r>
        <w:rPr>
          <w:i/>
        </w:rPr>
        <w:t>peso</w:t>
      </w:r>
      <w:r>
        <w:rPr>
          <w:i/>
          <w:spacing w:val="18"/>
        </w:rPr>
        <w:t> </w:t>
      </w:r>
      <w:r>
        <w:rPr>
          <w:i/>
        </w:rPr>
        <w:t>molecular</w:t>
      </w:r>
      <w:r>
        <w:rPr/>
        <w:t>,</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46"/>
        <w:jc w:val="both"/>
      </w:pPr>
      <w:r>
        <w:rPr/>
        <w:t>(LMWCr, por sus siglas en inglés) (Vincet, 2000). El oligopéptido tiene un peso molecular aproximado de 1500Da y está constituido por 4 tipos de aminoácidos (glicina, cisteina, glutamato, aspartato) y enlaza a 4 iones de cromo y se creé que juega un papel crítico en la modulación de la acción de la insulina sobre sus receptores; este péptido parece estar ampliamente distribuido en tejidos de mamíferos y se ha aislado a partir de diversas fuentes (Vincent, 2000). La liberación de la c</w:t>
      </w:r>
      <w:r>
        <w:rPr>
          <w:i/>
        </w:rPr>
        <w:t>romodulina </w:t>
      </w:r>
      <w:r>
        <w:rPr/>
        <w:t>se parece a la secreción hormonal porque se libera en la circulación sanguínea en respuesta a un estímulo que puede ser la hiperglicemia (Vincent, 1999). Debido a la similitud en estructura y función con la calmodulina, recibe el nombre de </w:t>
      </w:r>
      <w:r>
        <w:rPr>
          <w:i/>
        </w:rPr>
        <w:t>cromodulina, </w:t>
      </w:r>
      <w:r>
        <w:rPr/>
        <w:t>(cuando se enlaza a cuatro iones de Cr), mientras que en la forma libre de minerales se denomina </w:t>
      </w:r>
      <w:r>
        <w:rPr>
          <w:i/>
        </w:rPr>
        <w:t>apocromodulina, </w:t>
      </w:r>
      <w:r>
        <w:rPr/>
        <w:t>la cual se encuentra predominantemente en el medio ambiente intracelular, concretamente, en el citosol y el núcleo (Vincent, 2000). La acción primaria del cromo, como complejo cromo- cromodulina, es mediante un sistema de autoamplificación de la señal de la insulina por la activación de la región tirosinacinasa en la subunidad beta del receptor de insulina, la cual modifica la captura de glucosa y el metabolismo de los lípidos (Davis y Vincent, 1997).</w:t>
      </w:r>
    </w:p>
    <w:p>
      <w:pPr>
        <w:pStyle w:val="BodyText"/>
        <w:spacing w:line="360" w:lineRule="auto" w:before="4"/>
        <w:ind w:left="152" w:right="147" w:firstLine="707"/>
        <w:jc w:val="both"/>
      </w:pPr>
      <w:r>
        <w:rPr/>
        <w:t>Está bien establecido que, en repuesta a un aumento de la glucosa en sangre, la insulina se secreta rápidamente en la circulación y se une a su subunidad del receptor, situado en la cara exterior de la membrana plasmática, provocando un cambio conformacional que resulta en la auto-fosforilación de residuos de tirosina en la subunidad α, situada en la cara interna de la membrana. Este cambio desencadena una serie de fosforilaciones en cascada para, de esta forma, estimular la translocación de transportadores de glucosa (GLUT) a la membrana plasmática (Champe y Harvey, 1994).</w:t>
      </w:r>
    </w:p>
    <w:p>
      <w:pPr>
        <w:pStyle w:val="BodyText"/>
        <w:spacing w:line="360" w:lineRule="auto" w:before="6"/>
        <w:ind w:left="152" w:right="145" w:firstLine="707"/>
        <w:jc w:val="both"/>
      </w:pPr>
      <w:r>
        <w:rPr/>
        <w:t>El modelo propuesto (Figura 1) para explicar la acción de la </w:t>
      </w:r>
      <w:r>
        <w:rPr>
          <w:i/>
        </w:rPr>
        <w:t>cromodulina </w:t>
      </w:r>
      <w:r>
        <w:rPr/>
        <w:t>como parte del sistema de autoamplificación de la señal de la insulina sugiere que la </w:t>
      </w:r>
      <w:r>
        <w:rPr>
          <w:i/>
        </w:rPr>
        <w:t>cromodulina </w:t>
      </w:r>
      <w:r>
        <w:rPr/>
        <w:t>se almacena en la forma </w:t>
      </w:r>
      <w:r>
        <w:rPr>
          <w:i/>
        </w:rPr>
        <w:t>apocromodulina </w:t>
      </w:r>
      <w:r>
        <w:rPr/>
        <w:t>en el núcleo y en el citosol de las  células sensibles a la insulina. El aumento de la insulina circulante provoca dos condiciones recurrentes: mayor movilización de Cr, en las células diana, mediada principalmente por la transferrina y la movilización del receptor de la transferrina a partir de vesículas intracelulares a fusionarse con la membrana. Por lo tanto, la transferrina saturada con Cr </w:t>
      </w:r>
      <w:r>
        <w:rPr>
          <w:spacing w:val="15"/>
        </w:rPr>
        <w:t> </w:t>
      </w:r>
      <w:r>
        <w:rPr/>
        <w:t>se</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57" w:lineRule="auto" w:before="69"/>
        <w:ind w:left="152" w:right="147"/>
        <w:jc w:val="both"/>
      </w:pPr>
      <w:r>
        <w:rPr/>
        <w:t>une a sus receptores y el complejo formado es internalizado por endocitosis. El pH ácido en el espacio intravesicular favorece la digestión de este complejo y la liberación del Cr en el citosol. Cuatro átomos de Cr</w:t>
      </w:r>
      <w:r>
        <w:rPr>
          <w:position w:val="9"/>
          <w:sz w:val="16"/>
        </w:rPr>
        <w:t>3+  </w:t>
      </w:r>
      <w:r>
        <w:rPr/>
        <w:t>se unen a la </w:t>
      </w:r>
      <w:r>
        <w:rPr>
          <w:i/>
        </w:rPr>
        <w:t>apocromodulina </w:t>
      </w:r>
      <w:r>
        <w:rPr/>
        <w:t>por lo que se activa en la  forma de </w:t>
      </w:r>
      <w:r>
        <w:rPr>
          <w:i/>
        </w:rPr>
        <w:t>cromodulina, </w:t>
      </w:r>
      <w:r>
        <w:rPr/>
        <w:t>que a su vez se une al sitio activo en el receptor de insulina, completando lo activación y amplificación de la señal de la insulina (Vincent, 2000; Sun </w:t>
      </w:r>
      <w:r>
        <w:rPr>
          <w:i/>
        </w:rPr>
        <w:t>et </w:t>
      </w:r>
      <w:r>
        <w:rPr>
          <w:i/>
        </w:rPr>
        <w:t>al., </w:t>
      </w:r>
      <w:r>
        <w:rPr/>
        <w:t>2000). (Figura</w:t>
      </w:r>
      <w:r>
        <w:rPr>
          <w:spacing w:val="-6"/>
        </w:rPr>
        <w:t> </w:t>
      </w:r>
      <w:r>
        <w:rPr/>
        <w:t>1).</w:t>
      </w:r>
    </w:p>
    <w:p>
      <w:pPr>
        <w:pStyle w:val="BodyText"/>
        <w:spacing w:line="360" w:lineRule="auto" w:before="9"/>
        <w:ind w:left="152" w:right="149" w:firstLine="707"/>
        <w:jc w:val="both"/>
      </w:pPr>
      <w:r>
        <w:rPr/>
        <w:t>El cromo desempeña papeles adicionales particularmente en el metabolismo de la glucosa y los lípidos. Así mismo, tiene acción sobre la actividad de la lipoproteína lipasa y existen reportes de su acción en el metabolismo del colesterol. Algunos estudios demuestran que con un suplemento de cromo se incrementan las lipoproteínas de alta densidad (HDL) con una disminución de las lipoproteínas de baja densidad (LDL) sin un mecanismo de acción bien definido (Juturu y Komorowski</w:t>
      </w:r>
      <w:r>
        <w:rPr>
          <w:i/>
        </w:rPr>
        <w:t>,</w:t>
      </w:r>
      <w:r>
        <w:rPr>
          <w:i/>
          <w:spacing w:val="-7"/>
        </w:rPr>
        <w:t> </w:t>
      </w:r>
      <w:r>
        <w:rPr/>
        <w:t>2002).</w:t>
      </w:r>
    </w:p>
    <w:p>
      <w:pPr>
        <w:pStyle w:val="BodyText"/>
        <w:spacing w:line="360" w:lineRule="auto" w:before="6"/>
        <w:ind w:left="152" w:right="146" w:firstLine="707"/>
        <w:jc w:val="both"/>
      </w:pPr>
      <w:r>
        <w:rPr/>
        <w:t>Además, de la acción principal del Cr en el metabolismo de los hidratos de carbono, el Cr también está involucrado en el metabolismo de las proteínas mediante la estimulación de la captación de aminoácidos por las células (Kreider, 1999). Una dieta deficiente en Cr y proteína dificulta la capacidad para incorporar aminoácidos en proteínas de ratas (Mertz, 1987). En el hígado el Cr se une a una proteína en el núcleo celular, participa en la síntesis de ARN y controla la generación de las células hepáticas; por tanto, su acumulación en el núcleo induce la síntesis proteínica, se une a la proteína y activa la cromatina nuclear, y se incrementa la síntesis de ARN nuclear (Okada </w:t>
      </w:r>
      <w:r>
        <w:rPr>
          <w:i/>
        </w:rPr>
        <w:t>et al., </w:t>
      </w:r>
      <w:r>
        <w:rPr/>
        <w:t>1989). El Cr participa en la síntesis de proteína y de ARN y puede ser importante para mantener la integridad del ADN y la expresión del gen (Okada, 1981, citado por Van Heugten y Spears, 1997). El Cr protege el ARN contra la desnaturalización, y podría participar en el mantenimiento de la estructura terciaria de los ácidos nucleicos (Lindemann </w:t>
      </w:r>
      <w:r>
        <w:rPr>
          <w:i/>
        </w:rPr>
        <w:t>et al., </w:t>
      </w:r>
      <w:r>
        <w:rPr/>
        <w:t>1995). El Cr trivalente (III) parece estar involucrado en la estructura y expresión de la información genética en animales. La vinculación del cromo a ácidos nucleicos es más fuerte que en otros iones metálicos (Okada </w:t>
      </w:r>
      <w:r>
        <w:rPr>
          <w:i/>
        </w:rPr>
        <w:t>et al., </w:t>
      </w:r>
      <w:r>
        <w:rPr/>
        <w:t>1982). El Cr ha incrementado la síntesis </w:t>
      </w:r>
      <w:r>
        <w:rPr>
          <w:i/>
        </w:rPr>
        <w:t>in vitro </w:t>
      </w:r>
      <w:r>
        <w:rPr/>
        <w:t>de ARN en ratones (Okada </w:t>
      </w:r>
      <w:r>
        <w:rPr>
          <w:i/>
        </w:rPr>
        <w:t>et al., </w:t>
      </w:r>
      <w:r>
        <w:rPr/>
        <w:t>1983), lo cual sustenta la hipótesis de que el Cr tiene efecto en el funcionamiento de los genes.  El  Cr  participa  en  la  expresión  de  los  genes  vinculándose  a  la  cromatina    </w:t>
      </w:r>
      <w:r>
        <w:rPr>
          <w:spacing w:val="51"/>
        </w:rPr>
        <w:t> </w:t>
      </w:r>
      <w:r>
        <w:rPr/>
        <w:t>y</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53"/>
        <w:jc w:val="both"/>
      </w:pPr>
      <w:r>
        <w:rPr/>
        <w:t>consecuentemente en un incremento en la síntesis de ARN. Este incremento se debe a la inducción de la proteína unida en los núcleos y la activación de la cromatina nuclear  (Okada </w:t>
      </w:r>
      <w:r>
        <w:rPr>
          <w:i/>
        </w:rPr>
        <w:t>et al.,</w:t>
      </w:r>
      <w:r>
        <w:rPr>
          <w:i/>
          <w:spacing w:val="-5"/>
        </w:rPr>
        <w:t> </w:t>
      </w:r>
      <w:r>
        <w:rPr/>
        <w:t>1989).</w:t>
      </w:r>
    </w:p>
    <w:p>
      <w:pPr>
        <w:pStyle w:val="BodyText"/>
        <w:spacing w:line="360" w:lineRule="auto" w:before="4"/>
        <w:ind w:left="152" w:right="145" w:firstLine="707"/>
        <w:jc w:val="both"/>
      </w:pPr>
      <w:r>
        <w:rPr/>
        <w:t>Otra función se relaciona con la fuente de aminoácidos para el músculo esquelético  y el metabolismo de acidos nucleicos (Anderson, 1987; Mooney y Cromwell, 1995). Evans y Bowman (1992) demostraron un incremento en la absorción de aminoácidos y glucosa en el músculo esquelético de ratas que fueron alimentadas con picolinato de Cr. Esta alteración en la absorción de nutrientes fue asociada con la alteración de parámetros de insulina y es cromo-dependiente. Estas observaciones pueden explicar el efecto de tolerancia a la glucosa, así como el incremento en el porcentaje de músculo esquelético reportado por algunos investigadores. El potencial de mejoramiento de la absorción de aminoácidos por células musculares es benéfico para la deposición total de proteína. Roginski y Mertz (1969) afirmaron que la suplementación con cromo intensifica la incorporación de aminoácidos dentro de proteínas del corazón y absorción de aminoácidos en tejidos de ratas.</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before="69"/>
        <w:ind w:left="1060"/>
      </w:pPr>
      <w:r>
        <w:rPr/>
        <w:drawing>
          <wp:anchor distT="0" distB="0" distL="0" distR="0" allowOverlap="1" layoutInCell="1" locked="0" behindDoc="1" simplePos="0" relativeHeight="268230767">
            <wp:simplePos x="0" y="0"/>
            <wp:positionH relativeFrom="page">
              <wp:posOffset>4306061</wp:posOffset>
            </wp:positionH>
            <wp:positionV relativeFrom="paragraph">
              <wp:posOffset>309928</wp:posOffset>
            </wp:positionV>
            <wp:extent cx="2327580" cy="3039046"/>
            <wp:effectExtent l="0" t="0" r="0" b="0"/>
            <wp:wrapNone/>
            <wp:docPr id="3" name="image4.jpeg" descr=""/>
            <wp:cNvGraphicFramePr>
              <a:graphicFrameLocks noChangeAspect="1"/>
            </wp:cNvGraphicFramePr>
            <a:graphic>
              <a:graphicData uri="http://schemas.openxmlformats.org/drawingml/2006/picture">
                <pic:pic>
                  <pic:nvPicPr>
                    <pic:cNvPr id="4" name="image4.jpeg"/>
                    <pic:cNvPicPr/>
                  </pic:nvPicPr>
                  <pic:blipFill>
                    <a:blip r:embed="rId24" cstate="print"/>
                    <a:stretch>
                      <a:fillRect/>
                    </a:stretch>
                  </pic:blipFill>
                  <pic:spPr>
                    <a:xfrm>
                      <a:off x="0" y="0"/>
                      <a:ext cx="2327580" cy="3039046"/>
                    </a:xfrm>
                    <a:prstGeom prst="rect">
                      <a:avLst/>
                    </a:prstGeom>
                  </pic:spPr>
                </pic:pic>
              </a:graphicData>
            </a:graphic>
          </wp:anchor>
        </w:drawing>
      </w:r>
      <w:r>
        <w:rPr>
          <w:b/>
        </w:rPr>
        <w:t>Figura 1. </w:t>
      </w:r>
      <w:r>
        <w:rPr/>
        <w:t>Mecanismo de acción propuesto de la activación del Cr.</w:t>
      </w:r>
    </w:p>
    <w:p>
      <w:pPr>
        <w:pStyle w:val="BodyText"/>
        <w:spacing w:before="5"/>
        <w:rPr>
          <w:sz w:val="12"/>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72"/>
        <w:gridCol w:w="4773"/>
      </w:tblGrid>
      <w:tr>
        <w:trPr>
          <w:trHeight w:val="4761" w:hRule="exact"/>
        </w:trPr>
        <w:tc>
          <w:tcPr>
            <w:tcW w:w="4772" w:type="dxa"/>
          </w:tcPr>
          <w:p>
            <w:pPr>
              <w:pStyle w:val="TableParagraph"/>
              <w:ind w:left="603"/>
              <w:jc w:val="left"/>
              <w:rPr>
                <w:sz w:val="20"/>
              </w:rPr>
            </w:pPr>
            <w:r>
              <w:rPr>
                <w:sz w:val="20"/>
              </w:rPr>
              <w:drawing>
                <wp:inline distT="0" distB="0" distL="0" distR="0">
                  <wp:extent cx="2348093" cy="2958274"/>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25" cstate="print"/>
                          <a:stretch>
                            <a:fillRect/>
                          </a:stretch>
                        </pic:blipFill>
                        <pic:spPr>
                          <a:xfrm>
                            <a:off x="0" y="0"/>
                            <a:ext cx="2348093" cy="2958274"/>
                          </a:xfrm>
                          <a:prstGeom prst="rect">
                            <a:avLst/>
                          </a:prstGeom>
                        </pic:spPr>
                      </pic:pic>
                    </a:graphicData>
                  </a:graphic>
                </wp:inline>
              </w:drawing>
            </w:r>
            <w:r>
              <w:rPr>
                <w:sz w:val="20"/>
              </w:rPr>
            </w:r>
          </w:p>
        </w:tc>
        <w:tc>
          <w:tcPr>
            <w:tcW w:w="4773" w:type="dxa"/>
          </w:tcPr>
          <w:p>
            <w:pPr/>
          </w:p>
        </w:tc>
      </w:tr>
      <w:tr>
        <w:trPr>
          <w:trHeight w:val="2850" w:hRule="exact"/>
        </w:trPr>
        <w:tc>
          <w:tcPr>
            <w:tcW w:w="4772" w:type="dxa"/>
          </w:tcPr>
          <w:p>
            <w:pPr>
              <w:pStyle w:val="TableParagraph"/>
              <w:spacing w:line="236" w:lineRule="exact"/>
              <w:ind w:left="200"/>
              <w:jc w:val="both"/>
              <w:rPr>
                <w:sz w:val="22"/>
              </w:rPr>
            </w:pPr>
            <w:r>
              <w:rPr>
                <w:sz w:val="22"/>
              </w:rPr>
              <w:t>Respuesta a un aumento en glucosa (1), la insulina</w:t>
            </w:r>
          </w:p>
          <w:p>
            <w:pPr>
              <w:pStyle w:val="TableParagraph"/>
              <w:spacing w:line="276" w:lineRule="auto" w:before="40"/>
              <w:ind w:left="200" w:right="106"/>
              <w:jc w:val="both"/>
              <w:rPr>
                <w:sz w:val="22"/>
              </w:rPr>
            </w:pPr>
            <w:r>
              <w:rPr>
                <w:sz w:val="22"/>
              </w:rPr>
              <w:t>se secreta en la circulación (2). El aumento de la insulina circulante provoca mayor mvilización de Cr a las células diana (3). GLUT-4 sin realizar el transporte de glucosa (4). La cromodulina se almacena en forma Apo-croodulina (5).</w:t>
            </w:r>
          </w:p>
        </w:tc>
        <w:tc>
          <w:tcPr>
            <w:tcW w:w="4773" w:type="dxa"/>
          </w:tcPr>
          <w:p>
            <w:pPr>
              <w:pStyle w:val="TableParagraph"/>
              <w:spacing w:line="236" w:lineRule="exact"/>
              <w:ind w:left="108"/>
              <w:jc w:val="both"/>
              <w:rPr>
                <w:sz w:val="22"/>
              </w:rPr>
            </w:pPr>
            <w:r>
              <w:rPr>
                <w:sz w:val="22"/>
              </w:rPr>
              <w:t>Cuatro    átomos    de    Cr3    +    se    unen    a  la</w:t>
            </w:r>
          </w:p>
          <w:p>
            <w:pPr>
              <w:pStyle w:val="TableParagraph"/>
              <w:spacing w:line="276" w:lineRule="auto" w:before="40"/>
              <w:ind w:left="108" w:right="198"/>
              <w:jc w:val="both"/>
              <w:rPr>
                <w:sz w:val="22"/>
              </w:rPr>
            </w:pPr>
            <w:r>
              <w:rPr>
                <w:sz w:val="22"/>
              </w:rPr>
              <w:t>apocromodulina por lo que se activa la forma cromodulina (6), que a su vez se une al sitio  activo en el receptor de la insulina (7), completando la activación y la amplificación de la señal de la insulina (8). Una serie de reacciones de fosforilación en cascada se produce y estimula la translocación de GLUT4 a la membrana plasmática (9) se produce la captación de glucosa (Modificado de Palhari,</w:t>
            </w:r>
            <w:r>
              <w:rPr>
                <w:spacing w:val="-6"/>
                <w:sz w:val="22"/>
              </w:rPr>
              <w:t> </w:t>
            </w:r>
            <w:r>
              <w:rPr>
                <w:sz w:val="22"/>
              </w:rPr>
              <w:t>2014).</w:t>
            </w:r>
          </w:p>
        </w:tc>
      </w:tr>
    </w:tbl>
    <w:p>
      <w:pPr>
        <w:pStyle w:val="BodyText"/>
        <w:spacing w:before="6"/>
        <w:rPr>
          <w:sz w:val="29"/>
        </w:rPr>
      </w:pPr>
    </w:p>
    <w:p>
      <w:pPr>
        <w:pStyle w:val="Heading1"/>
        <w:numPr>
          <w:ilvl w:val="1"/>
          <w:numId w:val="7"/>
        </w:numPr>
        <w:tabs>
          <w:tab w:pos="713" w:val="left" w:leader="none"/>
        </w:tabs>
        <w:spacing w:line="240" w:lineRule="auto" w:before="0" w:after="0"/>
        <w:ind w:left="712" w:right="0" w:hanging="360"/>
        <w:jc w:val="left"/>
      </w:pPr>
      <w:bookmarkStart w:name="_bookmark12" w:id="21"/>
      <w:bookmarkEnd w:id="21"/>
      <w:r>
        <w:rPr>
          <w:b w:val="0"/>
        </w:rPr>
      </w:r>
      <w:bookmarkStart w:name="_bookmark12" w:id="22"/>
      <w:bookmarkEnd w:id="22"/>
      <w:r>
        <w:rPr/>
        <w:t>F</w:t>
      </w:r>
      <w:r>
        <w:rPr/>
        <w:t>uentes de</w:t>
      </w:r>
      <w:r>
        <w:rPr>
          <w:spacing w:val="-9"/>
        </w:rPr>
        <w:t> </w:t>
      </w:r>
      <w:r>
        <w:rPr/>
        <w:t>cromo</w:t>
      </w:r>
    </w:p>
    <w:p>
      <w:pPr>
        <w:pStyle w:val="BodyText"/>
        <w:spacing w:line="360" w:lineRule="auto" w:before="132"/>
        <w:ind w:left="352" w:right="586" w:firstLine="707"/>
        <w:jc w:val="both"/>
      </w:pPr>
      <w:r>
        <w:rPr/>
        <w:t>La carne, cereales y sus subproductos, chícharos, brócoli, especies, levadura de cerveza son algunos de los productos ricos en cromo, alimentos altos en azúcares simples son bajos en cromo y aumentan su excreción (Lukaski, 1999). La determinación de Cr en alimentos es técnicamente complicado,  por lo tanto la información existente del nivel de  Cr en alimentos, forrajes y subproductos es variable y escasa. Los forrajes de corte  y harinas de carnes son más altos en cromo que los granos y proteínas vegetales, aunque los niveles de cromo pueden ser altos en forrajes como el ensilado de maíz (Bunting, 1999) (Cuadro 2). Diferentes      </w:t>
      </w:r>
      <w:r>
        <w:rPr>
          <w:spacing w:val="50"/>
        </w:rPr>
        <w:t> </w:t>
      </w:r>
      <w:r>
        <w:rPr/>
        <w:t>formas de suplementar el cromo se  evalúan en especies como el</w:t>
      </w:r>
    </w:p>
    <w:p>
      <w:pPr>
        <w:spacing w:after="0" w:line="360" w:lineRule="auto"/>
        <w:jc w:val="both"/>
        <w:sectPr>
          <w:pgSz w:w="12240" w:h="15840"/>
          <w:pgMar w:header="1154" w:footer="1383" w:top="1400" w:bottom="1580" w:left="1520" w:right="940"/>
        </w:sectPr>
      </w:pPr>
    </w:p>
    <w:p>
      <w:pPr>
        <w:pStyle w:val="BodyText"/>
        <w:spacing w:before="2"/>
        <w:rPr>
          <w:sz w:val="28"/>
        </w:rPr>
      </w:pPr>
    </w:p>
    <w:p>
      <w:pPr>
        <w:pStyle w:val="BodyText"/>
        <w:spacing w:line="357" w:lineRule="auto" w:before="69"/>
        <w:ind w:left="152" w:right="144"/>
        <w:jc w:val="both"/>
      </w:pPr>
      <w:r>
        <w:rPr/>
        <w:t>cerdo, en esta especie, se indica que la forma química del cromo influye en su respuesta productiva, siendo la forma orgánica, la de mejor desempeño sobre las formas inorgánicas (Bunting </w:t>
      </w:r>
      <w:r>
        <w:rPr>
          <w:i/>
        </w:rPr>
        <w:t>et al., </w:t>
      </w:r>
      <w:r>
        <w:rPr/>
        <w:t>1994; Jeejeebhoy, 1999). Algunas de las fuentes de Cr orgánico que se utilizan en raciones para animales son levadura de cerveza, levadura-Cr, picolinato de Cr, nicotinato de Cr, quelatado de Cr con aminoácidos y proteinato de Cr. La fuente natural de Cr más rica es la levadura de cerveza pero su nivel es de tan sólo 1-2mg/kg</w:t>
      </w:r>
      <w:r>
        <w:rPr>
          <w:position w:val="9"/>
          <w:sz w:val="16"/>
        </w:rPr>
        <w:t>-1</w:t>
      </w:r>
      <w:r>
        <w:rPr/>
        <w:t>MS. Ese nivel es aún menor si se considera que solamente la mitad de esa concentración está presente como Cr biológicamente activo (Mowat, 1997). La levadura de Cr consiste de FTG biológicamente sintetizado y contiene el nivel más elevado de Cr con 1000mg/kg</w:t>
      </w:r>
      <w:r>
        <w:rPr>
          <w:position w:val="9"/>
          <w:sz w:val="16"/>
        </w:rPr>
        <w:t>-1</w:t>
      </w:r>
      <w:r>
        <w:rPr/>
        <w:t>MS. Sin embargo, no todo el Cr forma parte de la molécula de FTG. La levadura-Cr tiene al mineral encapsulado en las células de la levadura y ofrece la ventaja para los rumiantes de sobrepasar el rumen, evitando así pérdidas por degradación, precipitación o formación de complejos con otros compuestos.</w:t>
      </w:r>
    </w:p>
    <w:p>
      <w:pPr>
        <w:pStyle w:val="BodyText"/>
        <w:spacing w:line="360" w:lineRule="auto" w:before="6"/>
        <w:ind w:left="152" w:right="151" w:firstLine="707"/>
        <w:jc w:val="both"/>
      </w:pPr>
      <w:r>
        <w:rPr/>
        <w:t>Existen también varios complejos bioactivos de Cr que han sido sintetizados, entre los que se encuentran el picolinato de Cr, nicotinato de Cr y quelatos de Cr con aminoácidos. Estas fuentes sintéticas tienen una mayor pureza y consistencia que la levadura-Cr, siendo el picolinato de Cr el más utilizado en experimentos. Su composición consiste en tres moléculas de ácido picolínico ligadas al Cr lo que ha mejorado la absorción y el transporte de Cr y otros minerales por su gran capacidad de formar quelatos (Evans, 1989). Ambos ácidos, picolínico y nicotínico, son derivados del triptofano y aunque muestran estructuras químicas semejantes, sus diferencias biológicas son muy marcadas cuando forman parte del picolinato o nicotinato de Cr, respectivamente (Evans y Pauchnik, 1993). Los Cuadros 2 y 3 muestran el contenido de Cr en forrajes, subproductos y otros alimentos.</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before="69"/>
        <w:ind w:left="2174"/>
      </w:pPr>
      <w:r>
        <w:rPr>
          <w:b/>
        </w:rPr>
        <w:t>Cuadro 2. </w:t>
      </w:r>
      <w:r>
        <w:rPr/>
        <w:t>Contenido de cromo en forrajes y subprodutos</w:t>
      </w:r>
    </w:p>
    <w:p>
      <w:pPr>
        <w:pStyle w:val="BodyText"/>
        <w:spacing w:before="4"/>
        <w:rPr>
          <w:sz w:val="12"/>
        </w:rPr>
      </w:pPr>
    </w:p>
    <w:tbl>
      <w:tblPr>
        <w:tblW w:w="0" w:type="auto"/>
        <w:jc w:val="left"/>
        <w:tblInd w:w="10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723"/>
        <w:gridCol w:w="2132"/>
        <w:gridCol w:w="4125"/>
      </w:tblGrid>
      <w:tr>
        <w:trPr>
          <w:trHeight w:val="324" w:hRule="exact"/>
        </w:trPr>
        <w:tc>
          <w:tcPr>
            <w:tcW w:w="2723" w:type="dxa"/>
            <w:tcBorders>
              <w:left w:val="nil"/>
              <w:right w:val="nil"/>
            </w:tcBorders>
          </w:tcPr>
          <w:p>
            <w:pPr>
              <w:pStyle w:val="TableParagraph"/>
              <w:spacing w:line="275" w:lineRule="exact"/>
              <w:ind w:left="1003"/>
              <w:jc w:val="left"/>
              <w:rPr>
                <w:b/>
                <w:sz w:val="24"/>
              </w:rPr>
            </w:pPr>
            <w:r>
              <w:rPr>
                <w:b/>
                <w:sz w:val="24"/>
              </w:rPr>
              <w:t>Alimento</w:t>
            </w:r>
          </w:p>
        </w:tc>
        <w:tc>
          <w:tcPr>
            <w:tcW w:w="2132" w:type="dxa"/>
            <w:tcBorders>
              <w:left w:val="nil"/>
              <w:right w:val="nil"/>
            </w:tcBorders>
          </w:tcPr>
          <w:p>
            <w:pPr>
              <w:pStyle w:val="TableParagraph"/>
              <w:spacing w:line="275" w:lineRule="exact"/>
              <w:ind w:left="650" w:right="574"/>
              <w:rPr>
                <w:b/>
                <w:sz w:val="24"/>
              </w:rPr>
            </w:pPr>
            <w:r>
              <w:rPr>
                <w:b/>
                <w:sz w:val="24"/>
              </w:rPr>
              <w:t>Cr, ppm</w:t>
            </w:r>
          </w:p>
        </w:tc>
        <w:tc>
          <w:tcPr>
            <w:tcW w:w="4125" w:type="dxa"/>
            <w:tcBorders>
              <w:left w:val="nil"/>
              <w:right w:val="nil"/>
            </w:tcBorders>
          </w:tcPr>
          <w:p>
            <w:pPr>
              <w:pStyle w:val="TableParagraph"/>
              <w:spacing w:line="275" w:lineRule="exact"/>
              <w:ind w:left="573" w:right="724"/>
              <w:rPr>
                <w:b/>
                <w:sz w:val="24"/>
              </w:rPr>
            </w:pPr>
            <w:r>
              <w:rPr>
                <w:b/>
                <w:sz w:val="24"/>
              </w:rPr>
              <w:t>Referencia</w:t>
            </w:r>
          </w:p>
        </w:tc>
      </w:tr>
      <w:tr>
        <w:trPr>
          <w:trHeight w:val="306" w:hRule="exact"/>
        </w:trPr>
        <w:tc>
          <w:tcPr>
            <w:tcW w:w="2723" w:type="dxa"/>
            <w:tcBorders>
              <w:left w:val="nil"/>
              <w:bottom w:val="nil"/>
              <w:right w:val="nil"/>
            </w:tcBorders>
          </w:tcPr>
          <w:p>
            <w:pPr>
              <w:pStyle w:val="TableParagraph"/>
              <w:spacing w:line="270" w:lineRule="exact"/>
              <w:ind w:left="69"/>
              <w:jc w:val="left"/>
              <w:rPr>
                <w:sz w:val="24"/>
              </w:rPr>
            </w:pPr>
            <w:r>
              <w:rPr>
                <w:sz w:val="24"/>
              </w:rPr>
              <w:t>Alfalfa deshidratada</w:t>
            </w:r>
          </w:p>
        </w:tc>
        <w:tc>
          <w:tcPr>
            <w:tcW w:w="2132" w:type="dxa"/>
            <w:tcBorders>
              <w:left w:val="nil"/>
              <w:bottom w:val="nil"/>
              <w:right w:val="nil"/>
            </w:tcBorders>
          </w:tcPr>
          <w:p>
            <w:pPr>
              <w:pStyle w:val="TableParagraph"/>
              <w:spacing w:line="270" w:lineRule="exact"/>
              <w:ind w:left="650" w:right="574"/>
              <w:rPr>
                <w:sz w:val="24"/>
              </w:rPr>
            </w:pPr>
            <w:r>
              <w:rPr>
                <w:sz w:val="24"/>
              </w:rPr>
              <w:t>0.20</w:t>
            </w:r>
          </w:p>
        </w:tc>
        <w:tc>
          <w:tcPr>
            <w:tcW w:w="4125" w:type="dxa"/>
            <w:tcBorders>
              <w:left w:val="nil"/>
              <w:bottom w:val="nil"/>
              <w:right w:val="nil"/>
            </w:tcBorders>
          </w:tcPr>
          <w:p>
            <w:pPr>
              <w:pStyle w:val="TableParagraph"/>
              <w:spacing w:line="270" w:lineRule="exact"/>
              <w:ind w:left="574" w:right="724"/>
              <w:rPr>
                <w:sz w:val="24"/>
              </w:rPr>
            </w:pPr>
            <w:r>
              <w:rPr>
                <w:sz w:val="24"/>
              </w:rPr>
              <w:t>Yang y Mowat (sin publicar)</w:t>
            </w:r>
          </w:p>
        </w:tc>
      </w:tr>
      <w:tr>
        <w:trPr>
          <w:trHeight w:val="317" w:hRule="exact"/>
        </w:trPr>
        <w:tc>
          <w:tcPr>
            <w:tcW w:w="2723" w:type="dxa"/>
            <w:tcBorders>
              <w:top w:val="nil"/>
              <w:left w:val="nil"/>
              <w:bottom w:val="nil"/>
              <w:right w:val="nil"/>
            </w:tcBorders>
          </w:tcPr>
          <w:p>
            <w:pPr>
              <w:pStyle w:val="TableParagraph"/>
              <w:spacing w:before="7"/>
              <w:ind w:left="69"/>
              <w:jc w:val="left"/>
              <w:rPr>
                <w:sz w:val="24"/>
              </w:rPr>
            </w:pPr>
            <w:r>
              <w:rPr>
                <w:sz w:val="24"/>
              </w:rPr>
              <w:t>Ensilado de maíz</w:t>
            </w:r>
          </w:p>
        </w:tc>
        <w:tc>
          <w:tcPr>
            <w:tcW w:w="2132" w:type="dxa"/>
            <w:tcBorders>
              <w:top w:val="nil"/>
              <w:left w:val="nil"/>
              <w:bottom w:val="nil"/>
              <w:right w:val="nil"/>
            </w:tcBorders>
          </w:tcPr>
          <w:p>
            <w:pPr>
              <w:pStyle w:val="TableParagraph"/>
              <w:spacing w:before="7"/>
              <w:ind w:left="650" w:right="574"/>
              <w:rPr>
                <w:sz w:val="24"/>
              </w:rPr>
            </w:pPr>
            <w:r>
              <w:rPr>
                <w:sz w:val="24"/>
              </w:rPr>
              <w:t>2.03</w:t>
            </w:r>
          </w:p>
        </w:tc>
        <w:tc>
          <w:tcPr>
            <w:tcW w:w="4125" w:type="dxa"/>
            <w:tcBorders>
              <w:top w:val="nil"/>
              <w:left w:val="nil"/>
              <w:bottom w:val="nil"/>
              <w:right w:val="nil"/>
            </w:tcBorders>
          </w:tcPr>
          <w:p>
            <w:pPr>
              <w:pStyle w:val="TableParagraph"/>
              <w:spacing w:before="7"/>
              <w:ind w:left="573" w:right="724"/>
              <w:rPr>
                <w:sz w:val="24"/>
              </w:rPr>
            </w:pPr>
            <w:r>
              <w:rPr>
                <w:sz w:val="24"/>
              </w:rPr>
              <w:t>Chang (1991)</w:t>
            </w:r>
          </w:p>
        </w:tc>
      </w:tr>
      <w:tr>
        <w:trPr>
          <w:trHeight w:val="317" w:hRule="exact"/>
        </w:trPr>
        <w:tc>
          <w:tcPr>
            <w:tcW w:w="2723" w:type="dxa"/>
            <w:tcBorders>
              <w:top w:val="nil"/>
              <w:left w:val="nil"/>
              <w:bottom w:val="nil"/>
              <w:right w:val="nil"/>
            </w:tcBorders>
          </w:tcPr>
          <w:p>
            <w:pPr>
              <w:pStyle w:val="TableParagraph"/>
              <w:spacing w:before="7"/>
              <w:ind w:left="69"/>
              <w:jc w:val="left"/>
              <w:rPr>
                <w:sz w:val="24"/>
              </w:rPr>
            </w:pPr>
            <w:r>
              <w:rPr>
                <w:sz w:val="24"/>
              </w:rPr>
              <w:t>Ryegrass</w:t>
            </w:r>
          </w:p>
        </w:tc>
        <w:tc>
          <w:tcPr>
            <w:tcW w:w="2132" w:type="dxa"/>
            <w:tcBorders>
              <w:top w:val="nil"/>
              <w:left w:val="nil"/>
              <w:bottom w:val="nil"/>
              <w:right w:val="nil"/>
            </w:tcBorders>
          </w:tcPr>
          <w:p>
            <w:pPr>
              <w:pStyle w:val="TableParagraph"/>
              <w:spacing w:before="7"/>
              <w:ind w:left="650" w:right="574"/>
              <w:rPr>
                <w:sz w:val="24"/>
              </w:rPr>
            </w:pPr>
            <w:r>
              <w:rPr>
                <w:sz w:val="24"/>
              </w:rPr>
              <w:t>0.44</w:t>
            </w:r>
          </w:p>
        </w:tc>
        <w:tc>
          <w:tcPr>
            <w:tcW w:w="4125" w:type="dxa"/>
            <w:tcBorders>
              <w:top w:val="nil"/>
              <w:left w:val="nil"/>
              <w:bottom w:val="nil"/>
              <w:right w:val="nil"/>
            </w:tcBorders>
          </w:tcPr>
          <w:p>
            <w:pPr>
              <w:pStyle w:val="TableParagraph"/>
              <w:spacing w:before="7"/>
              <w:ind w:left="574" w:right="722"/>
              <w:rPr>
                <w:sz w:val="24"/>
              </w:rPr>
            </w:pPr>
            <w:r>
              <w:rPr>
                <w:sz w:val="24"/>
              </w:rPr>
              <w:t>Jones and Buckley (1977)</w:t>
            </w:r>
          </w:p>
        </w:tc>
      </w:tr>
      <w:tr>
        <w:trPr>
          <w:trHeight w:val="318" w:hRule="exact"/>
        </w:trPr>
        <w:tc>
          <w:tcPr>
            <w:tcW w:w="2723" w:type="dxa"/>
            <w:tcBorders>
              <w:top w:val="nil"/>
              <w:left w:val="nil"/>
              <w:bottom w:val="nil"/>
              <w:right w:val="nil"/>
            </w:tcBorders>
          </w:tcPr>
          <w:p>
            <w:pPr>
              <w:pStyle w:val="TableParagraph"/>
              <w:spacing w:before="7"/>
              <w:ind w:left="69"/>
              <w:jc w:val="left"/>
              <w:rPr>
                <w:sz w:val="24"/>
              </w:rPr>
            </w:pPr>
            <w:r>
              <w:rPr>
                <w:sz w:val="24"/>
              </w:rPr>
              <w:t>Cebada</w:t>
            </w:r>
          </w:p>
        </w:tc>
        <w:tc>
          <w:tcPr>
            <w:tcW w:w="2132" w:type="dxa"/>
            <w:tcBorders>
              <w:top w:val="nil"/>
              <w:left w:val="nil"/>
              <w:bottom w:val="nil"/>
              <w:right w:val="nil"/>
            </w:tcBorders>
          </w:tcPr>
          <w:p>
            <w:pPr>
              <w:pStyle w:val="TableParagraph"/>
              <w:spacing w:before="7"/>
              <w:ind w:left="650" w:right="574"/>
              <w:rPr>
                <w:sz w:val="24"/>
              </w:rPr>
            </w:pPr>
            <w:r>
              <w:rPr>
                <w:sz w:val="24"/>
              </w:rPr>
              <w:t>0.83</w:t>
            </w:r>
          </w:p>
        </w:tc>
        <w:tc>
          <w:tcPr>
            <w:tcW w:w="4125" w:type="dxa"/>
            <w:tcBorders>
              <w:top w:val="nil"/>
              <w:left w:val="nil"/>
              <w:bottom w:val="nil"/>
              <w:right w:val="nil"/>
            </w:tcBorders>
          </w:tcPr>
          <w:p>
            <w:pPr>
              <w:pStyle w:val="TableParagraph"/>
              <w:spacing w:before="7"/>
              <w:ind w:left="574" w:right="724"/>
              <w:rPr>
                <w:sz w:val="24"/>
              </w:rPr>
            </w:pPr>
            <w:r>
              <w:rPr>
                <w:sz w:val="24"/>
              </w:rPr>
              <w:t>Yang y Mowat (sin publicar)</w:t>
            </w:r>
          </w:p>
        </w:tc>
      </w:tr>
      <w:tr>
        <w:trPr>
          <w:trHeight w:val="318" w:hRule="exact"/>
        </w:trPr>
        <w:tc>
          <w:tcPr>
            <w:tcW w:w="2723" w:type="dxa"/>
            <w:tcBorders>
              <w:top w:val="nil"/>
              <w:left w:val="nil"/>
              <w:bottom w:val="nil"/>
              <w:right w:val="nil"/>
            </w:tcBorders>
          </w:tcPr>
          <w:p>
            <w:pPr>
              <w:pStyle w:val="TableParagraph"/>
              <w:spacing w:before="8"/>
              <w:ind w:left="69"/>
              <w:jc w:val="left"/>
              <w:rPr>
                <w:sz w:val="24"/>
              </w:rPr>
            </w:pPr>
            <w:r>
              <w:rPr>
                <w:sz w:val="24"/>
              </w:rPr>
              <w:t>Maíz</w:t>
            </w:r>
          </w:p>
        </w:tc>
        <w:tc>
          <w:tcPr>
            <w:tcW w:w="2132" w:type="dxa"/>
            <w:tcBorders>
              <w:top w:val="nil"/>
              <w:left w:val="nil"/>
              <w:bottom w:val="nil"/>
              <w:right w:val="nil"/>
            </w:tcBorders>
          </w:tcPr>
          <w:p>
            <w:pPr>
              <w:pStyle w:val="TableParagraph"/>
              <w:spacing w:before="8"/>
              <w:ind w:left="650" w:right="574"/>
              <w:rPr>
                <w:sz w:val="24"/>
              </w:rPr>
            </w:pPr>
            <w:r>
              <w:rPr>
                <w:sz w:val="24"/>
              </w:rPr>
              <w:t>0.91</w:t>
            </w:r>
          </w:p>
        </w:tc>
        <w:tc>
          <w:tcPr>
            <w:tcW w:w="4125" w:type="dxa"/>
            <w:tcBorders>
              <w:top w:val="nil"/>
              <w:left w:val="nil"/>
              <w:bottom w:val="nil"/>
              <w:right w:val="nil"/>
            </w:tcBorders>
          </w:tcPr>
          <w:p>
            <w:pPr>
              <w:pStyle w:val="TableParagraph"/>
              <w:spacing w:before="8"/>
              <w:ind w:left="574" w:right="724"/>
              <w:rPr>
                <w:sz w:val="24"/>
              </w:rPr>
            </w:pPr>
            <w:r>
              <w:rPr>
                <w:sz w:val="24"/>
              </w:rPr>
              <w:t>Yang y Mowat (sin publicar)</w:t>
            </w:r>
          </w:p>
        </w:tc>
      </w:tr>
      <w:tr>
        <w:trPr>
          <w:trHeight w:val="317" w:hRule="exact"/>
        </w:trPr>
        <w:tc>
          <w:tcPr>
            <w:tcW w:w="2723" w:type="dxa"/>
            <w:tcBorders>
              <w:top w:val="nil"/>
              <w:left w:val="nil"/>
              <w:bottom w:val="nil"/>
              <w:right w:val="nil"/>
            </w:tcBorders>
          </w:tcPr>
          <w:p>
            <w:pPr>
              <w:pStyle w:val="TableParagraph"/>
              <w:spacing w:before="7"/>
              <w:ind w:left="69"/>
              <w:jc w:val="left"/>
              <w:rPr>
                <w:sz w:val="24"/>
              </w:rPr>
            </w:pPr>
            <w:r>
              <w:rPr>
                <w:sz w:val="24"/>
              </w:rPr>
              <w:t>Salvado de trigo</w:t>
            </w:r>
          </w:p>
        </w:tc>
        <w:tc>
          <w:tcPr>
            <w:tcW w:w="2132" w:type="dxa"/>
            <w:tcBorders>
              <w:top w:val="nil"/>
              <w:left w:val="nil"/>
              <w:bottom w:val="nil"/>
              <w:right w:val="nil"/>
            </w:tcBorders>
          </w:tcPr>
          <w:p>
            <w:pPr>
              <w:pStyle w:val="TableParagraph"/>
              <w:spacing w:before="7"/>
              <w:ind w:left="650" w:right="574"/>
              <w:rPr>
                <w:sz w:val="24"/>
              </w:rPr>
            </w:pPr>
            <w:r>
              <w:rPr>
                <w:sz w:val="24"/>
              </w:rPr>
              <w:t>0.63</w:t>
            </w:r>
          </w:p>
        </w:tc>
        <w:tc>
          <w:tcPr>
            <w:tcW w:w="4125" w:type="dxa"/>
            <w:tcBorders>
              <w:top w:val="nil"/>
              <w:left w:val="nil"/>
              <w:bottom w:val="nil"/>
              <w:right w:val="nil"/>
            </w:tcBorders>
          </w:tcPr>
          <w:p>
            <w:pPr>
              <w:pStyle w:val="TableParagraph"/>
              <w:spacing w:before="7"/>
              <w:ind w:left="574" w:right="724"/>
              <w:rPr>
                <w:sz w:val="24"/>
              </w:rPr>
            </w:pPr>
            <w:r>
              <w:rPr>
                <w:sz w:val="24"/>
              </w:rPr>
              <w:t>Yang y Mowat (sin publicar)</w:t>
            </w:r>
          </w:p>
        </w:tc>
      </w:tr>
      <w:tr>
        <w:trPr>
          <w:trHeight w:val="317" w:hRule="exact"/>
        </w:trPr>
        <w:tc>
          <w:tcPr>
            <w:tcW w:w="2723" w:type="dxa"/>
            <w:tcBorders>
              <w:top w:val="nil"/>
              <w:left w:val="nil"/>
              <w:bottom w:val="nil"/>
              <w:right w:val="nil"/>
            </w:tcBorders>
          </w:tcPr>
          <w:p>
            <w:pPr>
              <w:pStyle w:val="TableParagraph"/>
              <w:spacing w:before="7"/>
              <w:ind w:left="69"/>
              <w:jc w:val="left"/>
              <w:rPr>
                <w:sz w:val="24"/>
              </w:rPr>
            </w:pPr>
            <w:r>
              <w:rPr>
                <w:sz w:val="24"/>
              </w:rPr>
              <w:t>Harina de carne</w:t>
            </w:r>
          </w:p>
        </w:tc>
        <w:tc>
          <w:tcPr>
            <w:tcW w:w="2132" w:type="dxa"/>
            <w:tcBorders>
              <w:top w:val="nil"/>
              <w:left w:val="nil"/>
              <w:bottom w:val="nil"/>
              <w:right w:val="nil"/>
            </w:tcBorders>
          </w:tcPr>
          <w:p>
            <w:pPr>
              <w:pStyle w:val="TableParagraph"/>
              <w:spacing w:before="7"/>
              <w:ind w:left="650" w:right="574"/>
              <w:rPr>
                <w:sz w:val="24"/>
              </w:rPr>
            </w:pPr>
            <w:r>
              <w:rPr>
                <w:sz w:val="24"/>
              </w:rPr>
              <w:t>0.80</w:t>
            </w:r>
          </w:p>
        </w:tc>
        <w:tc>
          <w:tcPr>
            <w:tcW w:w="4125" w:type="dxa"/>
            <w:tcBorders>
              <w:top w:val="nil"/>
              <w:left w:val="nil"/>
              <w:bottom w:val="nil"/>
              <w:right w:val="nil"/>
            </w:tcBorders>
          </w:tcPr>
          <w:p>
            <w:pPr>
              <w:pStyle w:val="TableParagraph"/>
              <w:spacing w:before="7"/>
              <w:ind w:left="574" w:right="722"/>
              <w:rPr>
                <w:sz w:val="24"/>
              </w:rPr>
            </w:pPr>
            <w:r>
              <w:rPr>
                <w:sz w:val="24"/>
              </w:rPr>
              <w:t>Jones and Buckley (1977)</w:t>
            </w:r>
          </w:p>
        </w:tc>
      </w:tr>
      <w:tr>
        <w:trPr>
          <w:trHeight w:val="318" w:hRule="exact"/>
        </w:trPr>
        <w:tc>
          <w:tcPr>
            <w:tcW w:w="2723" w:type="dxa"/>
            <w:tcBorders>
              <w:top w:val="nil"/>
              <w:left w:val="nil"/>
              <w:bottom w:val="nil"/>
              <w:right w:val="nil"/>
            </w:tcBorders>
          </w:tcPr>
          <w:p>
            <w:pPr>
              <w:pStyle w:val="TableParagraph"/>
              <w:spacing w:before="7"/>
              <w:ind w:left="69"/>
              <w:jc w:val="left"/>
              <w:rPr>
                <w:sz w:val="24"/>
              </w:rPr>
            </w:pPr>
            <w:r>
              <w:rPr>
                <w:sz w:val="24"/>
              </w:rPr>
              <w:t>Harina de pescado</w:t>
            </w:r>
          </w:p>
        </w:tc>
        <w:tc>
          <w:tcPr>
            <w:tcW w:w="2132" w:type="dxa"/>
            <w:tcBorders>
              <w:top w:val="nil"/>
              <w:left w:val="nil"/>
              <w:bottom w:val="nil"/>
              <w:right w:val="nil"/>
            </w:tcBorders>
          </w:tcPr>
          <w:p>
            <w:pPr>
              <w:pStyle w:val="TableParagraph"/>
              <w:spacing w:before="7"/>
              <w:ind w:left="650" w:right="574"/>
              <w:rPr>
                <w:sz w:val="24"/>
              </w:rPr>
            </w:pPr>
            <w:r>
              <w:rPr>
                <w:sz w:val="24"/>
              </w:rPr>
              <w:t>0.63</w:t>
            </w:r>
          </w:p>
        </w:tc>
        <w:tc>
          <w:tcPr>
            <w:tcW w:w="4125" w:type="dxa"/>
            <w:tcBorders>
              <w:top w:val="nil"/>
              <w:left w:val="nil"/>
              <w:bottom w:val="nil"/>
              <w:right w:val="nil"/>
            </w:tcBorders>
          </w:tcPr>
          <w:p>
            <w:pPr>
              <w:pStyle w:val="TableParagraph"/>
              <w:spacing w:before="7"/>
              <w:ind w:left="574" w:right="722"/>
              <w:rPr>
                <w:sz w:val="24"/>
              </w:rPr>
            </w:pPr>
            <w:r>
              <w:rPr>
                <w:sz w:val="24"/>
              </w:rPr>
              <w:t>Jones and Buckley (1977)</w:t>
            </w:r>
          </w:p>
        </w:tc>
      </w:tr>
      <w:tr>
        <w:trPr>
          <w:trHeight w:val="318" w:hRule="exact"/>
        </w:trPr>
        <w:tc>
          <w:tcPr>
            <w:tcW w:w="2723" w:type="dxa"/>
            <w:tcBorders>
              <w:top w:val="nil"/>
              <w:left w:val="nil"/>
              <w:bottom w:val="nil"/>
              <w:right w:val="nil"/>
            </w:tcBorders>
          </w:tcPr>
          <w:p>
            <w:pPr>
              <w:pStyle w:val="TableParagraph"/>
              <w:spacing w:before="9"/>
              <w:ind w:left="69"/>
              <w:jc w:val="left"/>
              <w:rPr>
                <w:sz w:val="24"/>
              </w:rPr>
            </w:pPr>
            <w:r>
              <w:rPr>
                <w:sz w:val="24"/>
              </w:rPr>
              <w:t>Harina de soya</w:t>
            </w:r>
          </w:p>
        </w:tc>
        <w:tc>
          <w:tcPr>
            <w:tcW w:w="2132" w:type="dxa"/>
            <w:tcBorders>
              <w:top w:val="nil"/>
              <w:left w:val="nil"/>
              <w:bottom w:val="nil"/>
              <w:right w:val="nil"/>
            </w:tcBorders>
          </w:tcPr>
          <w:p>
            <w:pPr>
              <w:pStyle w:val="TableParagraph"/>
              <w:spacing w:before="9"/>
              <w:ind w:left="650" w:right="574"/>
              <w:rPr>
                <w:sz w:val="24"/>
              </w:rPr>
            </w:pPr>
            <w:r>
              <w:rPr>
                <w:sz w:val="24"/>
              </w:rPr>
              <w:t>0.15</w:t>
            </w:r>
          </w:p>
        </w:tc>
        <w:tc>
          <w:tcPr>
            <w:tcW w:w="4125" w:type="dxa"/>
            <w:tcBorders>
              <w:top w:val="nil"/>
              <w:left w:val="nil"/>
              <w:bottom w:val="nil"/>
              <w:right w:val="nil"/>
            </w:tcBorders>
          </w:tcPr>
          <w:p>
            <w:pPr>
              <w:pStyle w:val="TableParagraph"/>
              <w:spacing w:before="9"/>
              <w:ind w:left="574" w:right="724"/>
              <w:rPr>
                <w:sz w:val="24"/>
              </w:rPr>
            </w:pPr>
            <w:r>
              <w:rPr>
                <w:sz w:val="24"/>
              </w:rPr>
              <w:t>Yang y Mowat (sin publicar)</w:t>
            </w:r>
          </w:p>
        </w:tc>
      </w:tr>
      <w:tr>
        <w:trPr>
          <w:trHeight w:val="332" w:hRule="exact"/>
        </w:trPr>
        <w:tc>
          <w:tcPr>
            <w:tcW w:w="2723" w:type="dxa"/>
            <w:tcBorders>
              <w:top w:val="nil"/>
              <w:left w:val="nil"/>
              <w:right w:val="nil"/>
            </w:tcBorders>
          </w:tcPr>
          <w:p>
            <w:pPr>
              <w:pStyle w:val="TableParagraph"/>
              <w:spacing w:before="7"/>
              <w:ind w:left="69"/>
              <w:jc w:val="left"/>
              <w:rPr>
                <w:sz w:val="24"/>
              </w:rPr>
            </w:pPr>
            <w:r>
              <w:rPr>
                <w:sz w:val="24"/>
              </w:rPr>
              <w:t>Levadura de cerveza</w:t>
            </w:r>
          </w:p>
        </w:tc>
        <w:tc>
          <w:tcPr>
            <w:tcW w:w="2132" w:type="dxa"/>
            <w:tcBorders>
              <w:top w:val="nil"/>
              <w:left w:val="nil"/>
              <w:right w:val="nil"/>
            </w:tcBorders>
          </w:tcPr>
          <w:p>
            <w:pPr>
              <w:pStyle w:val="TableParagraph"/>
              <w:spacing w:before="7"/>
              <w:ind w:left="650" w:right="574"/>
              <w:rPr>
                <w:sz w:val="24"/>
              </w:rPr>
            </w:pPr>
            <w:r>
              <w:rPr>
                <w:sz w:val="24"/>
              </w:rPr>
              <w:t>1.00</w:t>
            </w:r>
          </w:p>
        </w:tc>
        <w:tc>
          <w:tcPr>
            <w:tcW w:w="4125" w:type="dxa"/>
            <w:tcBorders>
              <w:top w:val="nil"/>
              <w:left w:val="nil"/>
              <w:right w:val="nil"/>
            </w:tcBorders>
          </w:tcPr>
          <w:p>
            <w:pPr>
              <w:pStyle w:val="TableParagraph"/>
              <w:spacing w:before="7"/>
              <w:ind w:left="574" w:right="722"/>
              <w:rPr>
                <w:sz w:val="24"/>
              </w:rPr>
            </w:pPr>
            <w:r>
              <w:rPr>
                <w:sz w:val="24"/>
              </w:rPr>
              <w:t>Jones and Buckley (1977)</w:t>
            </w:r>
          </w:p>
        </w:tc>
      </w:tr>
    </w:tbl>
    <w:p>
      <w:pPr>
        <w:pStyle w:val="BodyText"/>
        <w:spacing w:line="270" w:lineRule="exact"/>
        <w:ind w:left="172"/>
      </w:pPr>
      <w:r>
        <w:rPr/>
        <w:t>Subiyatno, (1994) citado por Mowat (1997).</w:t>
      </w:r>
    </w:p>
    <w:p>
      <w:pPr>
        <w:pStyle w:val="BodyText"/>
        <w:rPr>
          <w:sz w:val="20"/>
        </w:rPr>
      </w:pPr>
    </w:p>
    <w:p>
      <w:pPr>
        <w:pStyle w:val="BodyText"/>
        <w:spacing w:before="4"/>
        <w:rPr>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23"/>
        <w:gridCol w:w="2715"/>
        <w:gridCol w:w="3242"/>
      </w:tblGrid>
      <w:tr>
        <w:trPr>
          <w:trHeight w:val="294" w:hRule="exact"/>
        </w:trPr>
        <w:tc>
          <w:tcPr>
            <w:tcW w:w="8980" w:type="dxa"/>
            <w:gridSpan w:val="3"/>
            <w:tcBorders>
              <w:bottom w:val="single" w:sz="2" w:space="0" w:color="000000"/>
            </w:tcBorders>
          </w:tcPr>
          <w:p>
            <w:pPr>
              <w:pStyle w:val="TableParagraph"/>
              <w:spacing w:line="245" w:lineRule="exact"/>
              <w:ind w:left="2155"/>
              <w:jc w:val="left"/>
              <w:rPr>
                <w:sz w:val="24"/>
              </w:rPr>
            </w:pPr>
            <w:r>
              <w:rPr>
                <w:b/>
                <w:sz w:val="24"/>
              </w:rPr>
              <w:t>Cuadro 3. </w:t>
            </w:r>
            <w:r>
              <w:rPr>
                <w:sz w:val="24"/>
              </w:rPr>
              <w:t>Contenido de cromo en los alimentos</w:t>
            </w:r>
          </w:p>
        </w:tc>
      </w:tr>
      <w:tr>
        <w:trPr>
          <w:trHeight w:val="379" w:hRule="exact"/>
        </w:trPr>
        <w:tc>
          <w:tcPr>
            <w:tcW w:w="3023" w:type="dxa"/>
            <w:tcBorders>
              <w:top w:val="single" w:sz="2" w:space="0" w:color="000000"/>
              <w:bottom w:val="single" w:sz="2" w:space="0" w:color="000000"/>
            </w:tcBorders>
          </w:tcPr>
          <w:p>
            <w:pPr>
              <w:pStyle w:val="TableParagraph"/>
              <w:spacing w:before="56"/>
              <w:ind w:left="1180"/>
              <w:jc w:val="left"/>
              <w:rPr>
                <w:b/>
                <w:sz w:val="24"/>
              </w:rPr>
            </w:pPr>
            <w:r>
              <w:rPr>
                <w:b/>
                <w:sz w:val="24"/>
              </w:rPr>
              <w:t>Alimento</w:t>
            </w:r>
          </w:p>
        </w:tc>
        <w:tc>
          <w:tcPr>
            <w:tcW w:w="2715" w:type="dxa"/>
            <w:tcBorders>
              <w:top w:val="single" w:sz="2" w:space="0" w:color="000000"/>
              <w:bottom w:val="single" w:sz="2" w:space="0" w:color="000000"/>
            </w:tcBorders>
          </w:tcPr>
          <w:p>
            <w:pPr>
              <w:pStyle w:val="TableParagraph"/>
              <w:spacing w:before="56"/>
              <w:ind w:left="878" w:right="322"/>
              <w:rPr>
                <w:b/>
                <w:sz w:val="24"/>
              </w:rPr>
            </w:pPr>
            <w:r>
              <w:rPr>
                <w:b/>
                <w:sz w:val="24"/>
              </w:rPr>
              <w:t>Humedad (%)</w:t>
            </w:r>
          </w:p>
        </w:tc>
        <w:tc>
          <w:tcPr>
            <w:tcW w:w="3242" w:type="dxa"/>
            <w:tcBorders>
              <w:top w:val="single" w:sz="2" w:space="0" w:color="000000"/>
              <w:bottom w:val="single" w:sz="2" w:space="0" w:color="000000"/>
            </w:tcBorders>
          </w:tcPr>
          <w:p>
            <w:pPr>
              <w:pStyle w:val="TableParagraph"/>
              <w:spacing w:before="51"/>
              <w:ind w:left="322" w:right="54"/>
              <w:rPr>
                <w:b/>
                <w:sz w:val="16"/>
              </w:rPr>
            </w:pPr>
            <w:r>
              <w:rPr>
                <w:b/>
                <w:sz w:val="24"/>
              </w:rPr>
              <w:t>Contenido de cromo (µg/g)</w:t>
            </w:r>
            <w:r>
              <w:rPr>
                <w:b/>
                <w:position w:val="8"/>
                <w:sz w:val="16"/>
              </w:rPr>
              <w:t>2</w:t>
            </w:r>
          </w:p>
        </w:tc>
      </w:tr>
      <w:tr>
        <w:trPr>
          <w:trHeight w:val="320" w:hRule="exact"/>
        </w:trPr>
        <w:tc>
          <w:tcPr>
            <w:tcW w:w="3023" w:type="dxa"/>
            <w:tcBorders>
              <w:top w:val="single" w:sz="2" w:space="0" w:color="000000"/>
            </w:tcBorders>
          </w:tcPr>
          <w:p>
            <w:pPr>
              <w:pStyle w:val="TableParagraph"/>
              <w:spacing w:before="8"/>
              <w:ind w:left="69"/>
              <w:jc w:val="left"/>
              <w:rPr>
                <w:sz w:val="24"/>
              </w:rPr>
            </w:pPr>
            <w:r>
              <w:rPr>
                <w:sz w:val="24"/>
              </w:rPr>
              <w:t>Frijol</w:t>
            </w:r>
          </w:p>
        </w:tc>
        <w:tc>
          <w:tcPr>
            <w:tcW w:w="2715" w:type="dxa"/>
            <w:tcBorders>
              <w:top w:val="single" w:sz="2" w:space="0" w:color="000000"/>
            </w:tcBorders>
          </w:tcPr>
          <w:p>
            <w:pPr>
              <w:pStyle w:val="TableParagraph"/>
              <w:spacing w:before="8"/>
              <w:ind w:left="876" w:right="322"/>
              <w:rPr>
                <w:sz w:val="24"/>
              </w:rPr>
            </w:pPr>
            <w:r>
              <w:rPr>
                <w:sz w:val="24"/>
              </w:rPr>
              <w:t>69.60</w:t>
            </w:r>
          </w:p>
        </w:tc>
        <w:tc>
          <w:tcPr>
            <w:tcW w:w="3242" w:type="dxa"/>
            <w:tcBorders>
              <w:top w:val="single" w:sz="2" w:space="0" w:color="000000"/>
            </w:tcBorders>
          </w:tcPr>
          <w:p>
            <w:pPr>
              <w:pStyle w:val="TableParagraph"/>
              <w:spacing w:before="8"/>
              <w:ind w:left="321" w:right="54"/>
              <w:rPr>
                <w:sz w:val="24"/>
              </w:rPr>
            </w:pPr>
            <w:r>
              <w:rPr>
                <w:sz w:val="24"/>
              </w:rPr>
              <w:t>0.0200</w:t>
            </w:r>
          </w:p>
        </w:tc>
      </w:tr>
      <w:tr>
        <w:trPr>
          <w:trHeight w:val="317" w:hRule="exact"/>
        </w:trPr>
        <w:tc>
          <w:tcPr>
            <w:tcW w:w="3023" w:type="dxa"/>
          </w:tcPr>
          <w:p>
            <w:pPr>
              <w:pStyle w:val="TableParagraph"/>
              <w:spacing w:before="7"/>
              <w:ind w:left="69"/>
              <w:jc w:val="left"/>
              <w:rPr>
                <w:sz w:val="24"/>
              </w:rPr>
            </w:pPr>
            <w:r>
              <w:rPr>
                <w:sz w:val="24"/>
              </w:rPr>
              <w:t>Carne</w:t>
            </w:r>
          </w:p>
        </w:tc>
        <w:tc>
          <w:tcPr>
            <w:tcW w:w="2715" w:type="dxa"/>
          </w:tcPr>
          <w:p>
            <w:pPr>
              <w:pStyle w:val="TableParagraph"/>
              <w:spacing w:before="7"/>
              <w:ind w:left="876" w:right="322"/>
              <w:rPr>
                <w:sz w:val="24"/>
              </w:rPr>
            </w:pPr>
            <w:r>
              <w:rPr>
                <w:sz w:val="24"/>
              </w:rPr>
              <w:t>53.60</w:t>
            </w:r>
          </w:p>
        </w:tc>
        <w:tc>
          <w:tcPr>
            <w:tcW w:w="3242" w:type="dxa"/>
          </w:tcPr>
          <w:p>
            <w:pPr>
              <w:pStyle w:val="TableParagraph"/>
              <w:spacing w:before="7"/>
              <w:ind w:left="321" w:right="54"/>
              <w:rPr>
                <w:sz w:val="24"/>
              </w:rPr>
            </w:pPr>
            <w:r>
              <w:rPr>
                <w:sz w:val="24"/>
              </w:rPr>
              <w:t>0.0822</w:t>
            </w:r>
          </w:p>
        </w:tc>
      </w:tr>
      <w:tr>
        <w:trPr>
          <w:trHeight w:val="318" w:hRule="exact"/>
        </w:trPr>
        <w:tc>
          <w:tcPr>
            <w:tcW w:w="3023" w:type="dxa"/>
          </w:tcPr>
          <w:p>
            <w:pPr>
              <w:pStyle w:val="TableParagraph"/>
              <w:spacing w:before="7"/>
              <w:ind w:left="69"/>
              <w:jc w:val="left"/>
              <w:rPr>
                <w:sz w:val="24"/>
              </w:rPr>
            </w:pPr>
            <w:r>
              <w:rPr>
                <w:sz w:val="24"/>
              </w:rPr>
              <w:t>Huevo</w:t>
            </w:r>
          </w:p>
        </w:tc>
        <w:tc>
          <w:tcPr>
            <w:tcW w:w="2715" w:type="dxa"/>
          </w:tcPr>
          <w:p>
            <w:pPr>
              <w:pStyle w:val="TableParagraph"/>
              <w:spacing w:before="7"/>
              <w:ind w:left="876" w:right="322"/>
              <w:rPr>
                <w:sz w:val="24"/>
              </w:rPr>
            </w:pPr>
            <w:r>
              <w:rPr>
                <w:sz w:val="24"/>
              </w:rPr>
              <w:t>69.50</w:t>
            </w:r>
          </w:p>
        </w:tc>
        <w:tc>
          <w:tcPr>
            <w:tcW w:w="3242" w:type="dxa"/>
          </w:tcPr>
          <w:p>
            <w:pPr>
              <w:pStyle w:val="TableParagraph"/>
              <w:spacing w:before="7"/>
              <w:ind w:left="321" w:right="54"/>
              <w:rPr>
                <w:sz w:val="24"/>
              </w:rPr>
            </w:pPr>
            <w:r>
              <w:rPr>
                <w:sz w:val="24"/>
              </w:rPr>
              <w:t>0.0219</w:t>
            </w:r>
          </w:p>
        </w:tc>
      </w:tr>
      <w:tr>
        <w:trPr>
          <w:trHeight w:val="318" w:hRule="exact"/>
        </w:trPr>
        <w:tc>
          <w:tcPr>
            <w:tcW w:w="3023" w:type="dxa"/>
          </w:tcPr>
          <w:p>
            <w:pPr>
              <w:pStyle w:val="TableParagraph"/>
              <w:spacing w:before="8"/>
              <w:ind w:left="69"/>
              <w:jc w:val="left"/>
              <w:rPr>
                <w:sz w:val="24"/>
              </w:rPr>
            </w:pPr>
            <w:r>
              <w:rPr>
                <w:sz w:val="24"/>
              </w:rPr>
              <w:t>Tortilla de maíz</w:t>
            </w:r>
          </w:p>
        </w:tc>
        <w:tc>
          <w:tcPr>
            <w:tcW w:w="2715" w:type="dxa"/>
          </w:tcPr>
          <w:p>
            <w:pPr>
              <w:pStyle w:val="TableParagraph"/>
              <w:spacing w:before="8"/>
              <w:ind w:left="876" w:right="322"/>
              <w:rPr>
                <w:sz w:val="24"/>
              </w:rPr>
            </w:pPr>
            <w:r>
              <w:rPr>
                <w:sz w:val="24"/>
              </w:rPr>
              <w:t>45.90</w:t>
            </w:r>
          </w:p>
        </w:tc>
        <w:tc>
          <w:tcPr>
            <w:tcW w:w="3242" w:type="dxa"/>
          </w:tcPr>
          <w:p>
            <w:pPr>
              <w:pStyle w:val="TableParagraph"/>
              <w:spacing w:before="8"/>
              <w:ind w:left="321" w:right="54"/>
              <w:rPr>
                <w:sz w:val="24"/>
              </w:rPr>
            </w:pPr>
            <w:r>
              <w:rPr>
                <w:sz w:val="24"/>
              </w:rPr>
              <w:t>0.0337</w:t>
            </w:r>
          </w:p>
        </w:tc>
      </w:tr>
      <w:tr>
        <w:trPr>
          <w:trHeight w:val="317" w:hRule="exact"/>
        </w:trPr>
        <w:tc>
          <w:tcPr>
            <w:tcW w:w="3023" w:type="dxa"/>
          </w:tcPr>
          <w:p>
            <w:pPr>
              <w:pStyle w:val="TableParagraph"/>
              <w:spacing w:before="7"/>
              <w:ind w:left="69"/>
              <w:jc w:val="left"/>
              <w:rPr>
                <w:sz w:val="24"/>
              </w:rPr>
            </w:pPr>
            <w:r>
              <w:rPr>
                <w:sz w:val="24"/>
              </w:rPr>
              <w:t>Leche</w:t>
            </w:r>
          </w:p>
        </w:tc>
        <w:tc>
          <w:tcPr>
            <w:tcW w:w="2715" w:type="dxa"/>
          </w:tcPr>
          <w:p>
            <w:pPr>
              <w:pStyle w:val="TableParagraph"/>
              <w:spacing w:before="7"/>
              <w:ind w:left="876" w:right="322"/>
              <w:rPr>
                <w:sz w:val="24"/>
              </w:rPr>
            </w:pPr>
            <w:r>
              <w:rPr>
                <w:sz w:val="24"/>
              </w:rPr>
              <w:t>89.20</w:t>
            </w:r>
          </w:p>
        </w:tc>
        <w:tc>
          <w:tcPr>
            <w:tcW w:w="3242" w:type="dxa"/>
          </w:tcPr>
          <w:p>
            <w:pPr>
              <w:pStyle w:val="TableParagraph"/>
              <w:spacing w:before="7"/>
              <w:ind w:left="321" w:right="54"/>
              <w:rPr>
                <w:sz w:val="24"/>
              </w:rPr>
            </w:pPr>
            <w:r>
              <w:rPr>
                <w:sz w:val="24"/>
              </w:rPr>
              <w:t>0.0086</w:t>
            </w:r>
          </w:p>
        </w:tc>
      </w:tr>
      <w:tr>
        <w:trPr>
          <w:trHeight w:val="317" w:hRule="exact"/>
        </w:trPr>
        <w:tc>
          <w:tcPr>
            <w:tcW w:w="3023" w:type="dxa"/>
          </w:tcPr>
          <w:p>
            <w:pPr>
              <w:pStyle w:val="TableParagraph"/>
              <w:spacing w:before="7"/>
              <w:ind w:left="69"/>
              <w:jc w:val="left"/>
              <w:rPr>
                <w:sz w:val="24"/>
              </w:rPr>
            </w:pPr>
            <w:r>
              <w:rPr>
                <w:sz w:val="24"/>
              </w:rPr>
              <w:t>Azúcar</w:t>
            </w:r>
          </w:p>
        </w:tc>
        <w:tc>
          <w:tcPr>
            <w:tcW w:w="2715" w:type="dxa"/>
          </w:tcPr>
          <w:p>
            <w:pPr>
              <w:pStyle w:val="TableParagraph"/>
              <w:spacing w:before="7"/>
              <w:ind w:left="876" w:right="322"/>
              <w:rPr>
                <w:sz w:val="24"/>
              </w:rPr>
            </w:pPr>
            <w:r>
              <w:rPr>
                <w:sz w:val="24"/>
              </w:rPr>
              <w:t>2.00</w:t>
            </w:r>
          </w:p>
        </w:tc>
        <w:tc>
          <w:tcPr>
            <w:tcW w:w="3242" w:type="dxa"/>
          </w:tcPr>
          <w:p>
            <w:pPr>
              <w:pStyle w:val="TableParagraph"/>
              <w:spacing w:before="7"/>
              <w:ind w:left="321" w:right="54"/>
              <w:rPr>
                <w:sz w:val="24"/>
              </w:rPr>
            </w:pPr>
            <w:r>
              <w:rPr>
                <w:sz w:val="24"/>
              </w:rPr>
              <w:t>0.0004</w:t>
            </w:r>
          </w:p>
        </w:tc>
      </w:tr>
      <w:tr>
        <w:trPr>
          <w:trHeight w:val="318" w:hRule="exact"/>
        </w:trPr>
        <w:tc>
          <w:tcPr>
            <w:tcW w:w="3023" w:type="dxa"/>
          </w:tcPr>
          <w:p>
            <w:pPr>
              <w:pStyle w:val="TableParagraph"/>
              <w:spacing w:before="7"/>
              <w:ind w:left="69"/>
              <w:jc w:val="left"/>
              <w:rPr>
                <w:sz w:val="24"/>
              </w:rPr>
            </w:pPr>
            <w:r>
              <w:rPr>
                <w:sz w:val="24"/>
              </w:rPr>
              <w:t>Tortilla de trigo</w:t>
            </w:r>
          </w:p>
        </w:tc>
        <w:tc>
          <w:tcPr>
            <w:tcW w:w="2715" w:type="dxa"/>
          </w:tcPr>
          <w:p>
            <w:pPr>
              <w:pStyle w:val="TableParagraph"/>
              <w:spacing w:before="7"/>
              <w:ind w:left="876" w:right="322"/>
              <w:rPr>
                <w:sz w:val="24"/>
              </w:rPr>
            </w:pPr>
            <w:r>
              <w:rPr>
                <w:sz w:val="24"/>
              </w:rPr>
              <w:t>27.70</w:t>
            </w:r>
          </w:p>
        </w:tc>
        <w:tc>
          <w:tcPr>
            <w:tcW w:w="3242" w:type="dxa"/>
          </w:tcPr>
          <w:p>
            <w:pPr>
              <w:pStyle w:val="TableParagraph"/>
              <w:spacing w:before="7"/>
              <w:ind w:left="321" w:right="54"/>
              <w:rPr>
                <w:sz w:val="24"/>
              </w:rPr>
            </w:pPr>
            <w:r>
              <w:rPr>
                <w:sz w:val="24"/>
              </w:rPr>
              <w:t>0.0553</w:t>
            </w:r>
          </w:p>
        </w:tc>
      </w:tr>
      <w:tr>
        <w:trPr>
          <w:trHeight w:val="318" w:hRule="exact"/>
        </w:trPr>
        <w:tc>
          <w:tcPr>
            <w:tcW w:w="3023" w:type="dxa"/>
          </w:tcPr>
          <w:p>
            <w:pPr>
              <w:pStyle w:val="TableParagraph"/>
              <w:spacing w:before="8"/>
              <w:ind w:left="69"/>
              <w:jc w:val="left"/>
              <w:rPr>
                <w:sz w:val="24"/>
              </w:rPr>
            </w:pPr>
            <w:r>
              <w:rPr>
                <w:sz w:val="24"/>
              </w:rPr>
              <w:t>Café</w:t>
            </w:r>
          </w:p>
        </w:tc>
        <w:tc>
          <w:tcPr>
            <w:tcW w:w="2715" w:type="dxa"/>
          </w:tcPr>
          <w:p>
            <w:pPr>
              <w:pStyle w:val="TableParagraph"/>
              <w:spacing w:before="8"/>
              <w:ind w:left="876" w:right="322"/>
              <w:rPr>
                <w:sz w:val="24"/>
              </w:rPr>
            </w:pPr>
            <w:r>
              <w:rPr>
                <w:sz w:val="24"/>
              </w:rPr>
              <w:t>99.30</w:t>
            </w:r>
          </w:p>
        </w:tc>
        <w:tc>
          <w:tcPr>
            <w:tcW w:w="3242" w:type="dxa"/>
          </w:tcPr>
          <w:p>
            <w:pPr>
              <w:pStyle w:val="TableParagraph"/>
              <w:spacing w:before="8"/>
              <w:ind w:left="321" w:right="54"/>
              <w:rPr>
                <w:sz w:val="24"/>
              </w:rPr>
            </w:pPr>
            <w:r>
              <w:rPr>
                <w:sz w:val="24"/>
              </w:rPr>
              <w:t>0.0012</w:t>
            </w:r>
          </w:p>
        </w:tc>
      </w:tr>
      <w:tr>
        <w:trPr>
          <w:trHeight w:val="317" w:hRule="exact"/>
        </w:trPr>
        <w:tc>
          <w:tcPr>
            <w:tcW w:w="3023" w:type="dxa"/>
          </w:tcPr>
          <w:p>
            <w:pPr>
              <w:pStyle w:val="TableParagraph"/>
              <w:spacing w:before="7"/>
              <w:ind w:left="69"/>
              <w:jc w:val="left"/>
              <w:rPr>
                <w:sz w:val="24"/>
              </w:rPr>
            </w:pPr>
            <w:r>
              <w:rPr>
                <w:sz w:val="24"/>
              </w:rPr>
              <w:t>Papas</w:t>
            </w:r>
          </w:p>
        </w:tc>
        <w:tc>
          <w:tcPr>
            <w:tcW w:w="2715" w:type="dxa"/>
          </w:tcPr>
          <w:p>
            <w:pPr>
              <w:pStyle w:val="TableParagraph"/>
              <w:spacing w:before="7"/>
              <w:ind w:left="876" w:right="322"/>
              <w:rPr>
                <w:sz w:val="24"/>
              </w:rPr>
            </w:pPr>
            <w:r>
              <w:rPr>
                <w:sz w:val="24"/>
              </w:rPr>
              <w:t>52.90</w:t>
            </w:r>
          </w:p>
        </w:tc>
        <w:tc>
          <w:tcPr>
            <w:tcW w:w="3242" w:type="dxa"/>
          </w:tcPr>
          <w:p>
            <w:pPr>
              <w:pStyle w:val="TableParagraph"/>
              <w:spacing w:before="7"/>
              <w:ind w:left="321" w:right="54"/>
              <w:rPr>
                <w:sz w:val="24"/>
              </w:rPr>
            </w:pPr>
            <w:r>
              <w:rPr>
                <w:sz w:val="24"/>
              </w:rPr>
              <w:t>0.0435</w:t>
            </w:r>
          </w:p>
        </w:tc>
      </w:tr>
      <w:tr>
        <w:trPr>
          <w:trHeight w:val="317" w:hRule="exact"/>
        </w:trPr>
        <w:tc>
          <w:tcPr>
            <w:tcW w:w="3023" w:type="dxa"/>
          </w:tcPr>
          <w:p>
            <w:pPr>
              <w:pStyle w:val="TableParagraph"/>
              <w:spacing w:before="7"/>
              <w:ind w:left="69"/>
              <w:jc w:val="left"/>
              <w:rPr>
                <w:sz w:val="24"/>
              </w:rPr>
            </w:pPr>
            <w:r>
              <w:rPr>
                <w:sz w:val="24"/>
              </w:rPr>
              <w:t>Tomate</w:t>
            </w:r>
          </w:p>
        </w:tc>
        <w:tc>
          <w:tcPr>
            <w:tcW w:w="2715" w:type="dxa"/>
          </w:tcPr>
          <w:p>
            <w:pPr>
              <w:pStyle w:val="TableParagraph"/>
              <w:spacing w:before="7"/>
              <w:ind w:left="876" w:right="322"/>
              <w:rPr>
                <w:sz w:val="24"/>
              </w:rPr>
            </w:pPr>
            <w:r>
              <w:rPr>
                <w:sz w:val="24"/>
              </w:rPr>
              <w:t>94.00</w:t>
            </w:r>
          </w:p>
        </w:tc>
        <w:tc>
          <w:tcPr>
            <w:tcW w:w="3242" w:type="dxa"/>
          </w:tcPr>
          <w:p>
            <w:pPr>
              <w:pStyle w:val="TableParagraph"/>
              <w:spacing w:before="7"/>
              <w:ind w:left="321" w:right="54"/>
              <w:rPr>
                <w:sz w:val="24"/>
              </w:rPr>
            </w:pPr>
            <w:r>
              <w:rPr>
                <w:sz w:val="24"/>
              </w:rPr>
              <w:t>0.0412</w:t>
            </w:r>
          </w:p>
        </w:tc>
      </w:tr>
      <w:tr>
        <w:trPr>
          <w:trHeight w:val="317" w:hRule="exact"/>
        </w:trPr>
        <w:tc>
          <w:tcPr>
            <w:tcW w:w="3023" w:type="dxa"/>
          </w:tcPr>
          <w:p>
            <w:pPr>
              <w:pStyle w:val="TableParagraph"/>
              <w:spacing w:before="7"/>
              <w:ind w:left="69"/>
              <w:jc w:val="left"/>
              <w:rPr>
                <w:sz w:val="24"/>
              </w:rPr>
            </w:pPr>
            <w:r>
              <w:rPr>
                <w:sz w:val="24"/>
              </w:rPr>
              <w:t>Sodas</w:t>
            </w:r>
          </w:p>
        </w:tc>
        <w:tc>
          <w:tcPr>
            <w:tcW w:w="2715" w:type="dxa"/>
          </w:tcPr>
          <w:p>
            <w:pPr>
              <w:pStyle w:val="TableParagraph"/>
              <w:spacing w:before="7"/>
              <w:ind w:left="876" w:right="322"/>
              <w:rPr>
                <w:sz w:val="24"/>
              </w:rPr>
            </w:pPr>
            <w:r>
              <w:rPr>
                <w:sz w:val="24"/>
              </w:rPr>
              <w:t>99.80</w:t>
            </w:r>
          </w:p>
        </w:tc>
        <w:tc>
          <w:tcPr>
            <w:tcW w:w="3242" w:type="dxa"/>
          </w:tcPr>
          <w:p>
            <w:pPr>
              <w:pStyle w:val="TableParagraph"/>
              <w:spacing w:before="7"/>
              <w:ind w:left="321" w:right="54"/>
              <w:rPr>
                <w:sz w:val="24"/>
              </w:rPr>
            </w:pPr>
            <w:r>
              <w:rPr>
                <w:sz w:val="24"/>
              </w:rPr>
              <w:t>0.0211</w:t>
            </w:r>
          </w:p>
        </w:tc>
      </w:tr>
      <w:tr>
        <w:trPr>
          <w:trHeight w:val="318" w:hRule="exact"/>
        </w:trPr>
        <w:tc>
          <w:tcPr>
            <w:tcW w:w="3023" w:type="dxa"/>
          </w:tcPr>
          <w:p>
            <w:pPr>
              <w:pStyle w:val="TableParagraph"/>
              <w:spacing w:before="7"/>
              <w:ind w:left="69"/>
              <w:jc w:val="left"/>
              <w:rPr>
                <w:sz w:val="24"/>
              </w:rPr>
            </w:pPr>
            <w:r>
              <w:rPr>
                <w:sz w:val="24"/>
              </w:rPr>
              <w:t>Pan de trigo</w:t>
            </w:r>
          </w:p>
        </w:tc>
        <w:tc>
          <w:tcPr>
            <w:tcW w:w="2715" w:type="dxa"/>
          </w:tcPr>
          <w:p>
            <w:pPr>
              <w:pStyle w:val="TableParagraph"/>
              <w:spacing w:before="7"/>
              <w:ind w:left="876" w:right="322"/>
              <w:rPr>
                <w:sz w:val="24"/>
              </w:rPr>
            </w:pPr>
            <w:r>
              <w:rPr>
                <w:sz w:val="24"/>
              </w:rPr>
              <w:t>31.40</w:t>
            </w:r>
          </w:p>
        </w:tc>
        <w:tc>
          <w:tcPr>
            <w:tcW w:w="3242" w:type="dxa"/>
          </w:tcPr>
          <w:p>
            <w:pPr>
              <w:pStyle w:val="TableParagraph"/>
              <w:spacing w:before="7"/>
              <w:ind w:left="321" w:right="54"/>
              <w:rPr>
                <w:sz w:val="24"/>
              </w:rPr>
            </w:pPr>
            <w:r>
              <w:rPr>
                <w:sz w:val="24"/>
              </w:rPr>
              <w:t>0.0488</w:t>
            </w:r>
          </w:p>
        </w:tc>
      </w:tr>
      <w:tr>
        <w:trPr>
          <w:trHeight w:val="318" w:hRule="exact"/>
        </w:trPr>
        <w:tc>
          <w:tcPr>
            <w:tcW w:w="3023" w:type="dxa"/>
          </w:tcPr>
          <w:p>
            <w:pPr>
              <w:pStyle w:val="TableParagraph"/>
              <w:spacing w:before="8"/>
              <w:ind w:left="69"/>
              <w:jc w:val="left"/>
              <w:rPr>
                <w:sz w:val="24"/>
              </w:rPr>
            </w:pPr>
            <w:r>
              <w:rPr>
                <w:sz w:val="24"/>
              </w:rPr>
              <w:t>Queso fresco</w:t>
            </w:r>
          </w:p>
        </w:tc>
        <w:tc>
          <w:tcPr>
            <w:tcW w:w="2715" w:type="dxa"/>
          </w:tcPr>
          <w:p>
            <w:pPr>
              <w:pStyle w:val="TableParagraph"/>
              <w:spacing w:before="8"/>
              <w:ind w:left="876" w:right="322"/>
              <w:rPr>
                <w:sz w:val="24"/>
              </w:rPr>
            </w:pPr>
            <w:r>
              <w:rPr>
                <w:sz w:val="24"/>
              </w:rPr>
              <w:t>59.00</w:t>
            </w:r>
          </w:p>
        </w:tc>
        <w:tc>
          <w:tcPr>
            <w:tcW w:w="3242" w:type="dxa"/>
          </w:tcPr>
          <w:p>
            <w:pPr>
              <w:pStyle w:val="TableParagraph"/>
              <w:spacing w:before="8"/>
              <w:ind w:left="321" w:right="54"/>
              <w:rPr>
                <w:sz w:val="24"/>
              </w:rPr>
            </w:pPr>
            <w:r>
              <w:rPr>
                <w:sz w:val="24"/>
              </w:rPr>
              <w:t>0.1641</w:t>
            </w:r>
          </w:p>
        </w:tc>
      </w:tr>
      <w:tr>
        <w:trPr>
          <w:trHeight w:val="317" w:hRule="exact"/>
        </w:trPr>
        <w:tc>
          <w:tcPr>
            <w:tcW w:w="3023" w:type="dxa"/>
          </w:tcPr>
          <w:p>
            <w:pPr>
              <w:pStyle w:val="TableParagraph"/>
              <w:spacing w:before="7"/>
              <w:ind w:left="69"/>
              <w:jc w:val="left"/>
              <w:rPr>
                <w:sz w:val="24"/>
              </w:rPr>
            </w:pPr>
            <w:r>
              <w:rPr>
                <w:sz w:val="24"/>
              </w:rPr>
              <w:t>Sopa pasta</w:t>
            </w:r>
          </w:p>
        </w:tc>
        <w:tc>
          <w:tcPr>
            <w:tcW w:w="2715" w:type="dxa"/>
          </w:tcPr>
          <w:p>
            <w:pPr>
              <w:pStyle w:val="TableParagraph"/>
              <w:spacing w:before="7"/>
              <w:ind w:left="876" w:right="322"/>
              <w:rPr>
                <w:sz w:val="24"/>
              </w:rPr>
            </w:pPr>
            <w:r>
              <w:rPr>
                <w:sz w:val="24"/>
              </w:rPr>
              <w:t>77.70</w:t>
            </w:r>
          </w:p>
        </w:tc>
        <w:tc>
          <w:tcPr>
            <w:tcW w:w="3242" w:type="dxa"/>
          </w:tcPr>
          <w:p>
            <w:pPr>
              <w:pStyle w:val="TableParagraph"/>
              <w:spacing w:before="7"/>
              <w:ind w:left="321" w:right="54"/>
              <w:rPr>
                <w:sz w:val="24"/>
              </w:rPr>
            </w:pPr>
            <w:r>
              <w:rPr>
                <w:sz w:val="24"/>
              </w:rPr>
              <w:t>0.1147</w:t>
            </w:r>
          </w:p>
        </w:tc>
      </w:tr>
      <w:tr>
        <w:trPr>
          <w:trHeight w:val="317" w:hRule="exact"/>
        </w:trPr>
        <w:tc>
          <w:tcPr>
            <w:tcW w:w="3023" w:type="dxa"/>
          </w:tcPr>
          <w:p>
            <w:pPr>
              <w:pStyle w:val="TableParagraph"/>
              <w:spacing w:before="7"/>
              <w:ind w:left="69"/>
              <w:jc w:val="left"/>
              <w:rPr>
                <w:sz w:val="24"/>
              </w:rPr>
            </w:pPr>
            <w:r>
              <w:rPr>
                <w:sz w:val="24"/>
              </w:rPr>
              <w:t>Arroz</w:t>
            </w:r>
          </w:p>
        </w:tc>
        <w:tc>
          <w:tcPr>
            <w:tcW w:w="2715" w:type="dxa"/>
          </w:tcPr>
          <w:p>
            <w:pPr>
              <w:pStyle w:val="TableParagraph"/>
              <w:spacing w:before="7"/>
              <w:ind w:left="876" w:right="322"/>
              <w:rPr>
                <w:sz w:val="24"/>
              </w:rPr>
            </w:pPr>
            <w:r>
              <w:rPr>
                <w:sz w:val="24"/>
              </w:rPr>
              <w:t>72.60</w:t>
            </w:r>
          </w:p>
        </w:tc>
        <w:tc>
          <w:tcPr>
            <w:tcW w:w="3242" w:type="dxa"/>
          </w:tcPr>
          <w:p>
            <w:pPr>
              <w:pStyle w:val="TableParagraph"/>
              <w:spacing w:before="7"/>
              <w:ind w:left="321" w:right="54"/>
              <w:rPr>
                <w:sz w:val="24"/>
              </w:rPr>
            </w:pPr>
            <w:r>
              <w:rPr>
                <w:sz w:val="24"/>
              </w:rPr>
              <w:t>0.0139</w:t>
            </w:r>
          </w:p>
        </w:tc>
      </w:tr>
      <w:tr>
        <w:trPr>
          <w:trHeight w:val="318" w:hRule="exact"/>
        </w:trPr>
        <w:tc>
          <w:tcPr>
            <w:tcW w:w="3023" w:type="dxa"/>
          </w:tcPr>
          <w:p>
            <w:pPr>
              <w:pStyle w:val="TableParagraph"/>
              <w:spacing w:before="7"/>
              <w:ind w:left="69"/>
              <w:jc w:val="left"/>
              <w:rPr>
                <w:sz w:val="24"/>
              </w:rPr>
            </w:pPr>
            <w:r>
              <w:rPr>
                <w:sz w:val="24"/>
              </w:rPr>
              <w:t>Naranja</w:t>
            </w:r>
          </w:p>
        </w:tc>
        <w:tc>
          <w:tcPr>
            <w:tcW w:w="2715" w:type="dxa"/>
          </w:tcPr>
          <w:p>
            <w:pPr>
              <w:pStyle w:val="TableParagraph"/>
              <w:spacing w:before="7"/>
              <w:ind w:left="876" w:right="322"/>
              <w:rPr>
                <w:sz w:val="24"/>
              </w:rPr>
            </w:pPr>
            <w:r>
              <w:rPr>
                <w:sz w:val="24"/>
              </w:rPr>
              <w:t>86.30</w:t>
            </w:r>
          </w:p>
        </w:tc>
        <w:tc>
          <w:tcPr>
            <w:tcW w:w="3242" w:type="dxa"/>
          </w:tcPr>
          <w:p>
            <w:pPr>
              <w:pStyle w:val="TableParagraph"/>
              <w:spacing w:before="7"/>
              <w:ind w:left="321" w:right="54"/>
              <w:rPr>
                <w:sz w:val="24"/>
              </w:rPr>
            </w:pPr>
            <w:r>
              <w:rPr>
                <w:sz w:val="24"/>
              </w:rPr>
              <w:t>0.0263</w:t>
            </w:r>
          </w:p>
        </w:tc>
      </w:tr>
      <w:tr>
        <w:trPr>
          <w:trHeight w:val="324" w:hRule="exact"/>
        </w:trPr>
        <w:tc>
          <w:tcPr>
            <w:tcW w:w="3023" w:type="dxa"/>
          </w:tcPr>
          <w:p>
            <w:pPr>
              <w:pStyle w:val="TableParagraph"/>
              <w:spacing w:before="8"/>
              <w:ind w:left="69"/>
              <w:jc w:val="left"/>
              <w:rPr>
                <w:sz w:val="24"/>
              </w:rPr>
            </w:pPr>
            <w:r>
              <w:rPr>
                <w:sz w:val="24"/>
              </w:rPr>
              <w:t>Lechuga</w:t>
            </w:r>
          </w:p>
        </w:tc>
        <w:tc>
          <w:tcPr>
            <w:tcW w:w="2715" w:type="dxa"/>
          </w:tcPr>
          <w:p>
            <w:pPr>
              <w:pStyle w:val="TableParagraph"/>
              <w:spacing w:before="8"/>
              <w:ind w:left="876" w:right="322"/>
              <w:rPr>
                <w:sz w:val="24"/>
              </w:rPr>
            </w:pPr>
            <w:r>
              <w:rPr>
                <w:sz w:val="24"/>
              </w:rPr>
              <w:t>94.90</w:t>
            </w:r>
          </w:p>
        </w:tc>
        <w:tc>
          <w:tcPr>
            <w:tcW w:w="3242" w:type="dxa"/>
          </w:tcPr>
          <w:p>
            <w:pPr>
              <w:pStyle w:val="TableParagraph"/>
              <w:spacing w:before="8"/>
              <w:ind w:left="321" w:right="54"/>
              <w:rPr>
                <w:sz w:val="24"/>
              </w:rPr>
            </w:pPr>
            <w:r>
              <w:rPr>
                <w:sz w:val="24"/>
              </w:rPr>
              <w:t>0.0517</w:t>
            </w:r>
          </w:p>
        </w:tc>
      </w:tr>
      <w:tr>
        <w:trPr>
          <w:trHeight w:val="338" w:hRule="exact"/>
        </w:trPr>
        <w:tc>
          <w:tcPr>
            <w:tcW w:w="3023" w:type="dxa"/>
            <w:tcBorders>
              <w:bottom w:val="single" w:sz="2" w:space="0" w:color="000000"/>
            </w:tcBorders>
          </w:tcPr>
          <w:p>
            <w:pPr>
              <w:pStyle w:val="TableParagraph"/>
              <w:spacing w:before="13"/>
              <w:ind w:left="69"/>
              <w:jc w:val="left"/>
              <w:rPr>
                <w:sz w:val="24"/>
              </w:rPr>
            </w:pPr>
            <w:r>
              <w:rPr>
                <w:sz w:val="24"/>
              </w:rPr>
              <w:t>Plátano</w:t>
            </w:r>
          </w:p>
        </w:tc>
        <w:tc>
          <w:tcPr>
            <w:tcW w:w="2715" w:type="dxa"/>
            <w:tcBorders>
              <w:bottom w:val="single" w:sz="2" w:space="0" w:color="000000"/>
            </w:tcBorders>
          </w:tcPr>
          <w:p>
            <w:pPr>
              <w:pStyle w:val="TableParagraph"/>
              <w:spacing w:before="13"/>
              <w:ind w:left="876" w:right="322"/>
              <w:rPr>
                <w:sz w:val="24"/>
              </w:rPr>
            </w:pPr>
            <w:r>
              <w:rPr>
                <w:sz w:val="24"/>
              </w:rPr>
              <w:t>74.30</w:t>
            </w:r>
          </w:p>
        </w:tc>
        <w:tc>
          <w:tcPr>
            <w:tcW w:w="3242" w:type="dxa"/>
            <w:tcBorders>
              <w:bottom w:val="single" w:sz="2" w:space="0" w:color="000000"/>
            </w:tcBorders>
          </w:tcPr>
          <w:p>
            <w:pPr>
              <w:pStyle w:val="TableParagraph"/>
              <w:spacing w:before="13"/>
              <w:ind w:left="321" w:right="54"/>
              <w:rPr>
                <w:sz w:val="24"/>
              </w:rPr>
            </w:pPr>
            <w:r>
              <w:rPr>
                <w:sz w:val="24"/>
              </w:rPr>
              <w:t>0.0264</w:t>
            </w:r>
          </w:p>
        </w:tc>
      </w:tr>
      <w:tr>
        <w:trPr>
          <w:trHeight w:val="325" w:hRule="exact"/>
        </w:trPr>
        <w:tc>
          <w:tcPr>
            <w:tcW w:w="3023" w:type="dxa"/>
            <w:tcBorders>
              <w:top w:val="single" w:sz="2" w:space="0" w:color="000000"/>
            </w:tcBorders>
          </w:tcPr>
          <w:p>
            <w:pPr>
              <w:pStyle w:val="TableParagraph"/>
              <w:spacing w:before="36"/>
              <w:ind w:left="69"/>
              <w:jc w:val="left"/>
              <w:rPr>
                <w:sz w:val="24"/>
              </w:rPr>
            </w:pPr>
            <w:r>
              <w:rPr>
                <w:position w:val="9"/>
                <w:sz w:val="16"/>
              </w:rPr>
              <w:t>2 </w:t>
            </w:r>
            <w:r>
              <w:rPr>
                <w:sz w:val="24"/>
              </w:rPr>
              <w:t>Base seca</w:t>
            </w:r>
          </w:p>
        </w:tc>
        <w:tc>
          <w:tcPr>
            <w:tcW w:w="2715" w:type="dxa"/>
            <w:tcBorders>
              <w:top w:val="single" w:sz="2" w:space="0" w:color="000000"/>
            </w:tcBorders>
          </w:tcPr>
          <w:p>
            <w:pPr/>
          </w:p>
        </w:tc>
        <w:tc>
          <w:tcPr>
            <w:tcW w:w="3242" w:type="dxa"/>
            <w:tcBorders>
              <w:top w:val="single" w:sz="2" w:space="0" w:color="000000"/>
            </w:tcBorders>
          </w:tcPr>
          <w:p>
            <w:pPr/>
          </w:p>
        </w:tc>
      </w:tr>
    </w:tbl>
    <w:p>
      <w:pPr>
        <w:spacing w:before="48"/>
        <w:ind w:left="172" w:right="0" w:firstLine="0"/>
        <w:jc w:val="left"/>
        <w:rPr>
          <w:sz w:val="24"/>
        </w:rPr>
      </w:pPr>
      <w:r>
        <w:rPr>
          <w:sz w:val="24"/>
        </w:rPr>
        <w:t>Grijalva </w:t>
      </w:r>
      <w:r>
        <w:rPr>
          <w:i/>
          <w:sz w:val="24"/>
        </w:rPr>
        <w:t>et al. </w:t>
      </w:r>
      <w:r>
        <w:rPr>
          <w:sz w:val="24"/>
        </w:rPr>
        <w:t>(2001).</w:t>
      </w:r>
    </w:p>
    <w:p>
      <w:pPr>
        <w:spacing w:after="0"/>
        <w:jc w:val="left"/>
        <w:rPr>
          <w:sz w:val="24"/>
        </w:rPr>
        <w:sectPr>
          <w:pgSz w:w="12240" w:h="15840"/>
          <w:pgMar w:header="1154" w:footer="1383" w:top="1400" w:bottom="1580" w:left="1700" w:right="1340"/>
        </w:sectPr>
      </w:pPr>
    </w:p>
    <w:p>
      <w:pPr>
        <w:pStyle w:val="BodyText"/>
        <w:spacing w:before="3"/>
        <w:rPr>
          <w:sz w:val="28"/>
        </w:rPr>
      </w:pPr>
    </w:p>
    <w:p>
      <w:pPr>
        <w:spacing w:before="72"/>
        <w:ind w:left="152" w:right="156" w:firstLine="0"/>
        <w:jc w:val="left"/>
        <w:rPr>
          <w:b/>
          <w:i/>
          <w:sz w:val="22"/>
        </w:rPr>
      </w:pPr>
      <w:bookmarkStart w:name="_bookmark13" w:id="23"/>
      <w:bookmarkEnd w:id="23"/>
      <w:r>
        <w:rPr/>
      </w:r>
      <w:r>
        <w:rPr>
          <w:b/>
          <w:i/>
          <w:sz w:val="22"/>
        </w:rPr>
        <w:t>2.4.1 Beneficios del cromo orgánico</w:t>
      </w:r>
    </w:p>
    <w:p>
      <w:pPr>
        <w:pStyle w:val="BodyText"/>
        <w:spacing w:line="360" w:lineRule="auto" w:before="122"/>
        <w:ind w:left="152" w:right="149" w:firstLine="707"/>
        <w:jc w:val="both"/>
      </w:pPr>
      <w:r>
        <w:rPr/>
        <w:t>Las formas orgánicas del Cr trivalente, a saber; FTG, Picolinato de Cr, complejos sintéticos de Cr y Niacina son bioactivas y una vez absorbidas activan a la insulina (Mowat, 1997). Esas fuentes orgánicas son absorbidas más eficiente y rápidamente que las inorgánicas, tales como el óxido y el cloruro de Cr, las que por su baja absorción se usan como marcadores en estudios de digestibilidad. Además, las fuentes de Cr inorgánico no tienen ninguna actividad biológica sino hasta que son convertidas a complejos orgánicos como el FTG. El Cr trivalente orgánico tiene 50 veces más actividad biológica que el Cr trivalente inorgánico (McDowell, 1992). Es posible que la diferencia en actividad biológica entre fuentes orgánicas e inorgánicas de Cr se deba al paso más acelerado de las orgánicas hacia el interior celular. Sin embargo, el contenido total de Cr (orgánico más inorgánico) en la dieta tiene poca relación con su actividad biológica debido a que las fuentes inorgánicas de Cr no son bioactivas y su absorción es pobre.</w:t>
      </w:r>
    </w:p>
    <w:p>
      <w:pPr>
        <w:pStyle w:val="BodyText"/>
        <w:spacing w:line="360" w:lineRule="auto" w:before="6"/>
        <w:ind w:left="152" w:right="145" w:firstLine="707"/>
        <w:jc w:val="both"/>
      </w:pPr>
      <w:r>
        <w:rPr/>
        <w:t>El Cr inorgánico es absorbido por el organismo del hombre y animales en niveles muy bajos (0.4 a 3%) (Anderson y Kozlowski, 1985; Anderson, 1987). Por otra parte, el Cr en forma orgánica de quelatos se asimila mejor por el organismo, Chang, </w:t>
      </w:r>
      <w:r>
        <w:rPr>
          <w:i/>
        </w:rPr>
        <w:t>et al. </w:t>
      </w:r>
      <w:r>
        <w:rPr/>
        <w:t>(1994) observaron que el coeficiente de absorción para el Cr quelado osciló entre 10 y 25%. El quelato puede definirse como el complejo formado entre un ligante y un ión metálico, donde el ligante (o agente quelante) debe contener grupos funcionales capaces de donar un par de electrones para poder combinarse a través de una unión covalente con un metal,  entre las formas de Cr orgánico (o quelado) más usadas se encuentran el picolinato de Cr (Pic-Cr); el cromo niacina (Cr-Niac); el cromo levadura (Cr-Lev) y el cromo metionina (Cr-Met) (Langwinsky y Patino,</w:t>
      </w:r>
      <w:r>
        <w:rPr>
          <w:spacing w:val="-8"/>
        </w:rPr>
        <w:t> </w:t>
      </w:r>
      <w:r>
        <w:rPr/>
        <w:t>2001).</w:t>
      </w:r>
    </w:p>
    <w:p>
      <w:pPr>
        <w:pStyle w:val="BodyText"/>
      </w:pPr>
    </w:p>
    <w:p>
      <w:pPr>
        <w:pStyle w:val="Heading1"/>
        <w:numPr>
          <w:ilvl w:val="1"/>
          <w:numId w:val="8"/>
        </w:numPr>
        <w:tabs>
          <w:tab w:pos="513" w:val="left" w:leader="none"/>
        </w:tabs>
        <w:spacing w:line="240" w:lineRule="auto" w:before="148" w:after="0"/>
        <w:ind w:left="512" w:right="0" w:hanging="360"/>
        <w:jc w:val="left"/>
      </w:pPr>
      <w:bookmarkStart w:name="_bookmark14" w:id="24"/>
      <w:bookmarkEnd w:id="24"/>
      <w:r>
        <w:rPr>
          <w:b w:val="0"/>
        </w:rPr>
      </w:r>
      <w:bookmarkStart w:name="_bookmark14" w:id="25"/>
      <w:bookmarkEnd w:id="25"/>
      <w:r>
        <w:rPr/>
        <w:t>Uso</w:t>
      </w:r>
      <w:r>
        <w:rPr/>
        <w:t> del cromo en la producción (nutrición)</w:t>
      </w:r>
      <w:r>
        <w:rPr>
          <w:spacing w:val="-13"/>
        </w:rPr>
        <w:t> </w:t>
      </w:r>
      <w:r>
        <w:rPr/>
        <w:t>animal</w:t>
      </w:r>
    </w:p>
    <w:p>
      <w:pPr>
        <w:pStyle w:val="BodyText"/>
        <w:spacing w:line="360" w:lineRule="auto" w:before="135"/>
        <w:ind w:left="152" w:right="147" w:firstLine="707"/>
        <w:jc w:val="both"/>
      </w:pPr>
      <w:r>
        <w:rPr/>
        <w:t>A principios de la década de los 90´s se iniciaron una serie de estudios con fines zootécnicos en animales domésticos, el principal interés de estos estudios fue orientado a aprovechar los efectos lipolíticos de las sales de Cr. Los resultados positivos obtenidos en cerdos (Page </w:t>
      </w:r>
      <w:r>
        <w:rPr>
          <w:i/>
        </w:rPr>
        <w:t>et al., </w:t>
      </w:r>
      <w:r>
        <w:rPr/>
        <w:t>1993) promovieron su utilización en ganado bovino, en esta especie, los</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48"/>
        <w:jc w:val="both"/>
      </w:pPr>
      <w:r>
        <w:rPr/>
        <w:t>resultados más sobresalientes se asociaron a los efectos en la salud y función inmune de los animales, durante los períodos de estrés, no sólo disminuyendo los niveles circulantes de cortisol, sino también aumentando la producción de inmunoglobulinas (Chang y Mowat, 1992; Moonsie-Shageer y Mowat, 1993).</w:t>
      </w:r>
    </w:p>
    <w:p>
      <w:pPr>
        <w:pStyle w:val="BodyText"/>
      </w:pPr>
    </w:p>
    <w:p>
      <w:pPr>
        <w:pStyle w:val="ListParagraph"/>
        <w:numPr>
          <w:ilvl w:val="2"/>
          <w:numId w:val="8"/>
        </w:numPr>
        <w:tabs>
          <w:tab w:pos="650" w:val="left" w:leader="none"/>
        </w:tabs>
        <w:spacing w:line="240" w:lineRule="auto" w:before="147" w:after="0"/>
        <w:ind w:left="649" w:right="0" w:hanging="497"/>
        <w:jc w:val="both"/>
        <w:rPr>
          <w:b/>
          <w:i/>
          <w:sz w:val="22"/>
        </w:rPr>
      </w:pPr>
      <w:bookmarkStart w:name="_bookmark15" w:id="26"/>
      <w:bookmarkEnd w:id="26"/>
      <w:r>
        <w:rPr/>
      </w:r>
      <w:bookmarkStart w:name="_bookmark15" w:id="27"/>
      <w:bookmarkEnd w:id="27"/>
      <w:r>
        <w:rPr>
          <w:b/>
          <w:i/>
          <w:sz w:val="22"/>
        </w:rPr>
        <w:t>E</w:t>
      </w:r>
      <w:r>
        <w:rPr>
          <w:b/>
          <w:i/>
          <w:sz w:val="22"/>
        </w:rPr>
        <w:t>fecto del cromo orgánico en la respuesta productiva de</w:t>
      </w:r>
      <w:r>
        <w:rPr>
          <w:b/>
          <w:i/>
          <w:spacing w:val="-18"/>
          <w:sz w:val="22"/>
        </w:rPr>
        <w:t> </w:t>
      </w:r>
      <w:r>
        <w:rPr>
          <w:b/>
          <w:i/>
          <w:sz w:val="22"/>
        </w:rPr>
        <w:t>rumiantes</w:t>
      </w:r>
    </w:p>
    <w:p>
      <w:pPr>
        <w:pStyle w:val="BodyText"/>
        <w:spacing w:line="360" w:lineRule="auto" w:before="122"/>
        <w:ind w:left="152" w:right="143" w:firstLine="707"/>
        <w:jc w:val="both"/>
      </w:pPr>
      <w:r>
        <w:rPr/>
        <w:t>Los resultados relacionados con el uso del Cr en sus formas orgánicas en la respuesta productiva en rumiantes son variables. Existen resultados favorables sobre algunos aspectos del crecimiento de ovinos Olsen </w:t>
      </w:r>
      <w:r>
        <w:rPr>
          <w:i/>
        </w:rPr>
        <w:t>et al. </w:t>
      </w:r>
      <w:r>
        <w:rPr/>
        <w:t>(1996) reportaron incrementos en la ganancia de peso (GDP) de ovinos suplementados con PicCr usando dosis de 0.5 y 1 ppm, Chang y Mowat (1992) indicaron resultados positivos en la GDP de novillos con la inclusión de 0.4 ppm de Cr (LevCr); Mowat </w:t>
      </w:r>
      <w:r>
        <w:rPr>
          <w:i/>
        </w:rPr>
        <w:t>et al. </w:t>
      </w:r>
      <w:r>
        <w:rPr/>
        <w:t>(1993) observaron incrementos en la GDP durante los primeros 21 días de la engorda en repuesta a la inclusión de LevCr, Bonomi </w:t>
      </w:r>
      <w:r>
        <w:rPr>
          <w:i/>
        </w:rPr>
        <w:t>et al. </w:t>
      </w:r>
      <w:r>
        <w:rPr/>
        <w:t>(2000) al agregar al sutituto de leche 0.2, 0.3 y 0.4 ppm de Cr (LevCr) encontraron mejoras en la GDP de corderos. En contraste, Chang </w:t>
      </w:r>
      <w:r>
        <w:rPr>
          <w:i/>
        </w:rPr>
        <w:t>et al. </w:t>
      </w:r>
      <w:r>
        <w:rPr/>
        <w:t>(1992) mencionaron que una fuente orgánica de Cr (LevCr) en dosis de 0.2 mg kg</w:t>
      </w:r>
      <w:r>
        <w:rPr>
          <w:position w:val="9"/>
          <w:sz w:val="16"/>
        </w:rPr>
        <w:t>-1 </w:t>
      </w:r>
      <w:r>
        <w:rPr/>
        <w:t>no mejoró la GDP en novillos; así mismo, Guifen </w:t>
      </w:r>
      <w:r>
        <w:rPr>
          <w:i/>
        </w:rPr>
        <w:t>et al. </w:t>
      </w:r>
      <w:r>
        <w:rPr/>
        <w:t>(2011) no encontraron efectos en la respuesta productiva en novillos usando una fuente orgánica de Cr (PicCr); Forbes </w:t>
      </w:r>
      <w:r>
        <w:rPr>
          <w:i/>
        </w:rPr>
        <w:t>et al. </w:t>
      </w:r>
      <w:r>
        <w:rPr/>
        <w:t>(1998) no hallaron mejoras en el crecimiento de ovinos suplementados con PicCr (370 ppb Cr); por su parte, Arvizu </w:t>
      </w:r>
      <w:r>
        <w:rPr>
          <w:i/>
        </w:rPr>
        <w:t>et al. </w:t>
      </w:r>
      <w:r>
        <w:rPr/>
        <w:t>(2011) al evaluar en ovinos en pastoreo el efecto de un suplemento proteico y energético y una fuente orgánica de Cr (LevCr) con dosis de 0.25 ppm, indicaron que ninguna de las variables de crecimiento fue afectada por el Cr; Kitchalong </w:t>
      </w:r>
      <w:r>
        <w:rPr>
          <w:i/>
        </w:rPr>
        <w:t>et al. </w:t>
      </w:r>
      <w:r>
        <w:rPr/>
        <w:t>(1995) al adicionar 0.250 ppm de Cr (PicCr) en la dieta de ovinos Suffolk no encontraron diferencias en la respuesta productiva; así mismo Gentry </w:t>
      </w:r>
      <w:r>
        <w:rPr>
          <w:i/>
        </w:rPr>
        <w:t>et al. </w:t>
      </w:r>
      <w:r>
        <w:rPr/>
        <w:t>(1999) suplementaron ovinos Suffolk con PicCr (0.4 ppm) y diferentes niveles de proteína, y no reportaron efectos sobre la respuesta</w:t>
      </w:r>
      <w:r>
        <w:rPr>
          <w:spacing w:val="-5"/>
        </w:rPr>
        <w:t> </w:t>
      </w:r>
      <w:r>
        <w:rPr/>
        <w:t>productiva.</w:t>
      </w:r>
    </w:p>
    <w:p>
      <w:pPr>
        <w:spacing w:after="0" w:line="360" w:lineRule="auto"/>
        <w:jc w:val="both"/>
        <w:sectPr>
          <w:pgSz w:w="12240" w:h="15840"/>
          <w:pgMar w:header="1154" w:footer="1383" w:top="1400" w:bottom="1580" w:left="1720" w:right="1380"/>
        </w:sectPr>
      </w:pPr>
    </w:p>
    <w:p>
      <w:pPr>
        <w:pStyle w:val="BodyText"/>
        <w:spacing w:before="3"/>
        <w:rPr>
          <w:sz w:val="28"/>
        </w:rPr>
      </w:pPr>
    </w:p>
    <w:p>
      <w:pPr>
        <w:pStyle w:val="ListParagraph"/>
        <w:numPr>
          <w:ilvl w:val="2"/>
          <w:numId w:val="8"/>
        </w:numPr>
        <w:tabs>
          <w:tab w:pos="650" w:val="left" w:leader="none"/>
        </w:tabs>
        <w:spacing w:line="240" w:lineRule="auto" w:before="72" w:after="0"/>
        <w:ind w:left="649" w:right="0" w:hanging="497"/>
        <w:jc w:val="both"/>
        <w:rPr>
          <w:b/>
          <w:i/>
          <w:sz w:val="22"/>
        </w:rPr>
      </w:pPr>
      <w:bookmarkStart w:name="_bookmark16" w:id="28"/>
      <w:bookmarkEnd w:id="28"/>
      <w:r>
        <w:rPr/>
      </w:r>
      <w:bookmarkStart w:name="_bookmark16" w:id="29"/>
      <w:bookmarkEnd w:id="29"/>
      <w:r>
        <w:rPr>
          <w:b/>
          <w:i/>
          <w:sz w:val="22"/>
        </w:rPr>
        <w:t>E</w:t>
      </w:r>
      <w:r>
        <w:rPr>
          <w:b/>
          <w:i/>
          <w:sz w:val="22"/>
        </w:rPr>
        <w:t>fecto de la suplementación de cromo en la respuesta inmune y metabolitos en</w:t>
      </w:r>
      <w:r>
        <w:rPr>
          <w:b/>
          <w:i/>
          <w:spacing w:val="-18"/>
          <w:sz w:val="22"/>
        </w:rPr>
        <w:t> </w:t>
      </w:r>
      <w:r>
        <w:rPr>
          <w:b/>
          <w:i/>
          <w:sz w:val="22"/>
        </w:rPr>
        <w:t>sangre</w:t>
      </w:r>
    </w:p>
    <w:p>
      <w:pPr>
        <w:pStyle w:val="BodyText"/>
        <w:spacing w:line="360" w:lineRule="auto" w:before="122"/>
        <w:ind w:left="152" w:right="144" w:firstLine="707"/>
        <w:jc w:val="both"/>
      </w:pPr>
      <w:r>
        <w:rPr/>
        <w:t>Se ha observado que la deficiencia de Cr favorece el incremento de colesterol y triglicéridos sanguíneos (Anderson, 1994). En bovinos, diversas investigaciones indican  que la concentración de lípidos plasmáticos tienden a modificarse con el uso de Cr, la inclusión de 0.8 ppm de PicCr disminuyó los triglicéridos durante la 3ª semana de la prueba y triglicéridos hepáticos en la 9ª semana, no así la concentración de colesterol plasmático (Besong </w:t>
      </w:r>
      <w:r>
        <w:rPr>
          <w:i/>
        </w:rPr>
        <w:t>et al., </w:t>
      </w:r>
      <w:r>
        <w:rPr/>
        <w:t>2001); Subiyatno </w:t>
      </w:r>
      <w:r>
        <w:rPr>
          <w:i/>
        </w:rPr>
        <w:t>et al. </w:t>
      </w:r>
      <w:r>
        <w:rPr/>
        <w:t>(1996) observaron una reducción en la  concentración plasmática de trigicéridos, durante el periodo preparto de vacas primíparas Holstein con la inclusión de 0.5 ppm de Cr. Así mismo, Bunting </w:t>
      </w:r>
      <w:r>
        <w:rPr>
          <w:i/>
        </w:rPr>
        <w:t>et al. </w:t>
      </w:r>
      <w:r>
        <w:rPr/>
        <w:t>(1994), suplementaron dietas para becerros Holstein con 0.37 ppm de Cr (PicCr) y observaron una reducción en la concentración de colesterol durante la 4ª semana de la prueba en un experimento y en la 6ª semana de un segundo experimento, en cambio, Besong </w:t>
      </w:r>
      <w:r>
        <w:rPr>
          <w:i/>
        </w:rPr>
        <w:t>et al. </w:t>
      </w:r>
      <w:r>
        <w:rPr/>
        <w:t>(2001) no encontraron una disminución de colesterol sanguíneo con 0.8 ppm de Cr (PicCr), resultados similares fueron observados por Chang y Mowat (1992), al suplementar con 0.4 ppm de LevCr en</w:t>
      </w:r>
      <w:r>
        <w:rPr>
          <w:spacing w:val="-4"/>
        </w:rPr>
        <w:t> </w:t>
      </w:r>
      <w:r>
        <w:rPr/>
        <w:t>bovinos.</w:t>
      </w:r>
    </w:p>
    <w:p>
      <w:pPr>
        <w:pStyle w:val="BodyText"/>
        <w:spacing w:line="360" w:lineRule="auto" w:before="6"/>
        <w:ind w:left="152" w:right="145" w:firstLine="707"/>
        <w:jc w:val="both"/>
      </w:pPr>
      <w:r>
        <w:rPr/>
        <w:t>En ovinos, la suplementación con 0.2 y 0.4 ppm de Cr (Cl3-Cr), disminuyó el nivel de triglicéridos sanguíneos (Uyanik, 2001), Yan </w:t>
      </w:r>
      <w:r>
        <w:rPr>
          <w:i/>
        </w:rPr>
        <w:t>et al. </w:t>
      </w:r>
      <w:r>
        <w:rPr/>
        <w:t>(2008) indicaron una reducción del nivel de triglicéridos en ovinos suplementados con Cr (LevCr) en dosis de 400 y 800 ppb, mientras que DePew </w:t>
      </w:r>
      <w:r>
        <w:rPr>
          <w:i/>
        </w:rPr>
        <w:t>et al. </w:t>
      </w:r>
      <w:r>
        <w:rPr/>
        <w:t>(1996) con 0.5 ppm de Cr (PicCr) no observaron reducción en la concentración de triglicéridos, resultados similares fueron reportados por Forbes </w:t>
      </w:r>
      <w:r>
        <w:rPr>
          <w:i/>
        </w:rPr>
        <w:t>et al. </w:t>
      </w:r>
      <w:r>
        <w:rPr/>
        <w:t>(1998) al usar 0.37 ppm de Cr (PicCr). Por otra parte, Kitchalonk </w:t>
      </w:r>
      <w:r>
        <w:rPr>
          <w:i/>
        </w:rPr>
        <w:t>et al. </w:t>
      </w:r>
      <w:r>
        <w:rPr/>
        <w:t>(1995) al emplear</w:t>
      </w:r>
    </w:p>
    <w:p>
      <w:pPr>
        <w:pStyle w:val="BodyText"/>
        <w:spacing w:line="360" w:lineRule="auto" w:before="6"/>
        <w:ind w:left="152" w:right="139"/>
        <w:jc w:val="both"/>
      </w:pPr>
      <w:r>
        <w:rPr/>
        <w:t>0.25 ppm de PicCr, encontraron que el colesterol plasmático disminuyó en un 17% en la 2ª semana de prueba, por su parte Samsell y Spears (1989) con dietas ricas en fibra y suplementadas con 0.1 ppm de Cl3-Cr encontraron que la concentración de colesterol no  fue modificada; DePew </w:t>
      </w:r>
      <w:r>
        <w:rPr>
          <w:i/>
        </w:rPr>
        <w:t>et al. </w:t>
      </w:r>
      <w:r>
        <w:rPr/>
        <w:t>(1996) tampoco encontraron disminución del colesterol cuando suplementaron con 0.5 ppm (PicCr); Uyanik (2001) encontró el mismo resultado al emplear 0.2 y 0.4 ppm de Cr en</w:t>
      </w:r>
      <w:r>
        <w:rPr>
          <w:spacing w:val="-6"/>
        </w:rPr>
        <w:t> </w:t>
      </w:r>
      <w:r>
        <w:rPr/>
        <w:t>ovinos.</w:t>
      </w:r>
    </w:p>
    <w:p>
      <w:pPr>
        <w:pStyle w:val="BodyText"/>
        <w:spacing w:line="360" w:lineRule="auto" w:before="6"/>
        <w:ind w:left="152" w:right="152" w:firstLine="707"/>
        <w:jc w:val="both"/>
      </w:pPr>
      <w:r>
        <w:rPr/>
        <w:t>Por otra parte, trabajos recientes han puesto de manifiesto los efectos benéficos de  la  suplementación  con  Cr  orgánico  en  la  dieta  sobre  los  parámetros  productivos  y</w:t>
      </w:r>
      <w:r>
        <w:rPr>
          <w:spacing w:val="55"/>
        </w:rPr>
        <w:t> </w:t>
      </w:r>
      <w:r>
        <w:rPr/>
        <w:t>la</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48"/>
        <w:jc w:val="both"/>
      </w:pPr>
      <w:r>
        <w:rPr/>
        <w:t>reducción en los índices de morbilidad en novillos en crecimiento o finalización estresados por manejo y transporte. Chang y Mowat (1992) fueron los primeros en publicar estos efectos benéficos de la suplementación con Cr orgánico trivalente sobre la reducción de los porcentajes de morbilidad en novillos estresados por transporte.</w:t>
      </w:r>
    </w:p>
    <w:p>
      <w:pPr>
        <w:pStyle w:val="BodyText"/>
        <w:spacing w:line="360" w:lineRule="auto" w:before="6"/>
        <w:ind w:left="152" w:right="143" w:firstLine="707"/>
        <w:jc w:val="both"/>
      </w:pPr>
      <w:r>
        <w:rPr/>
        <w:t>La suplementación con altas dosis de Cr quelado o levadura de Cr en novillos con estrés de transporte produce una reducción en los índices de morbilidad así como un mejoramiento en la eficiencia alimenticia y bajas concentraciones de cortisol. Sin embargo, la reducción de los niveles de cortisol fue detectada posterior a la llegada de los animales al corral (Chang y Mowat, 1992; Mowat </w:t>
      </w:r>
      <w:r>
        <w:rPr>
          <w:i/>
        </w:rPr>
        <w:t>et al., </w:t>
      </w:r>
      <w:r>
        <w:rPr/>
        <w:t>1993). Moonsie-Shageer y Mowat (1993) detectaron disminución en los niveles de cortisol hasta después de 28 días de la llegada de los novillos suplementados con Cr a los corrales. Mowat (1997) indicó que la adición de Cr en dosis de 0.2 a 0.4 ppm en terneros disminuyó los niveles de cortisol; por lo tanto, observó una mejor respuesta inmunitaria en términos de títulos de anticuerpos, después de una vacunación frente a IBR (Rinotraqueitis Infecciosa Bovina). Sin embargo, Chang </w:t>
      </w:r>
      <w:r>
        <w:rPr>
          <w:i/>
        </w:rPr>
        <w:t>et al. </w:t>
      </w:r>
      <w:r>
        <w:rPr/>
        <w:t>(1996) reportaron aumentos en el título de anticuerpos frente a una vacunación de BVD (Diarrea Viral Bovina), pero no frente a vacunación de IBR, Parainfluenza-3, Virus respiratorio Sincitial Bovino ni frente a </w:t>
      </w:r>
      <w:r>
        <w:rPr>
          <w:i/>
        </w:rPr>
        <w:t>P. haemolytica. </w:t>
      </w:r>
      <w:r>
        <w:rPr/>
        <w:t>Estos resultados, indican que la influencia del cromo sobre la inmunidad humoral en terneros es variable según el antígeno, e incluso según el genotipo del animal; además, existe evidencia de que el cromo mejora el estatus de la vitamina C del organismo, protegiendo a esta vitamina de la oxidación; esta vitamina juega un papel importante en la disminución de la inmunodepresión producida por estrés (Mowat,</w:t>
      </w:r>
      <w:r>
        <w:rPr>
          <w:spacing w:val="-3"/>
        </w:rPr>
        <w:t> </w:t>
      </w:r>
      <w:r>
        <w:rPr/>
        <w:t>1997).</w:t>
      </w:r>
    </w:p>
    <w:p>
      <w:pPr>
        <w:pStyle w:val="BodyText"/>
      </w:pPr>
    </w:p>
    <w:p>
      <w:pPr>
        <w:pStyle w:val="ListParagraph"/>
        <w:numPr>
          <w:ilvl w:val="2"/>
          <w:numId w:val="9"/>
        </w:numPr>
        <w:tabs>
          <w:tab w:pos="650" w:val="left" w:leader="none"/>
        </w:tabs>
        <w:spacing w:line="240" w:lineRule="auto" w:before="147" w:after="0"/>
        <w:ind w:left="649" w:right="0" w:hanging="497"/>
        <w:jc w:val="both"/>
        <w:rPr>
          <w:b/>
          <w:i/>
          <w:sz w:val="22"/>
        </w:rPr>
      </w:pPr>
      <w:bookmarkStart w:name="_bookmark17" w:id="30"/>
      <w:bookmarkEnd w:id="30"/>
      <w:r>
        <w:rPr/>
      </w:r>
      <w:bookmarkStart w:name="_bookmark17" w:id="31"/>
      <w:bookmarkEnd w:id="31"/>
      <w:r>
        <w:rPr>
          <w:b/>
          <w:i/>
          <w:sz w:val="22"/>
        </w:rPr>
        <w:t>E</w:t>
      </w:r>
      <w:r>
        <w:rPr>
          <w:b/>
          <w:i/>
          <w:sz w:val="22"/>
        </w:rPr>
        <w:t>fecto del cromo en el metabolismo de</w:t>
      </w:r>
      <w:r>
        <w:rPr>
          <w:b/>
          <w:i/>
          <w:spacing w:val="-15"/>
          <w:sz w:val="22"/>
        </w:rPr>
        <w:t> </w:t>
      </w:r>
      <w:r>
        <w:rPr>
          <w:b/>
          <w:i/>
          <w:sz w:val="22"/>
        </w:rPr>
        <w:t>minerales</w:t>
      </w:r>
    </w:p>
    <w:p>
      <w:pPr>
        <w:pStyle w:val="BodyText"/>
        <w:spacing w:line="360" w:lineRule="auto" w:before="122"/>
        <w:ind w:left="152" w:right="146" w:firstLine="707"/>
        <w:jc w:val="both"/>
      </w:pPr>
      <w:r>
        <w:rPr/>
        <w:t>Existen relativamente pocos reportes del efecto de la suplementación con Cr en el metabolismo de otros minerales. La relación entre el Cr y el Fe ha sido investigada desde que se hizo evidente que ambos minerales son transportados por la transferrina (Vincent, 2000). A baja saturación de Fe, el Cr y el Fe se unen preferentemente a diferentes sitios de unión. Sin embargo, cuando la concentración de Fe es alta, los dos minerales compiten </w:t>
      </w:r>
      <w:r>
        <w:rPr>
          <w:spacing w:val="51"/>
        </w:rPr>
        <w:t> </w:t>
      </w:r>
      <w:r>
        <w:rPr/>
        <w:t>por</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48"/>
        <w:jc w:val="both"/>
      </w:pPr>
      <w:r>
        <w:rPr/>
        <w:t>los mismos sitios de enlaces. La evidencia de que el Cr puede afectar el metabolismo del hierro fue descrita por Ani y Mostaghie (1992). La alteración en la homeostasis del Fe se ha reportado por otros autores, la alteración más significativa fue detectada cuando se suplementó con PicCr (Lukaski </w:t>
      </w:r>
      <w:r>
        <w:rPr>
          <w:i/>
        </w:rPr>
        <w:t>et al., </w:t>
      </w:r>
      <w:r>
        <w:rPr/>
        <w:t>1996). La alteración del metabolismo del Fe al suplementar con Cr fue reportada por Anderson </w:t>
      </w:r>
      <w:r>
        <w:rPr>
          <w:i/>
        </w:rPr>
        <w:t>et al. </w:t>
      </w:r>
      <w:r>
        <w:rPr/>
        <w:t>(1996), quienes encontraron disminución en las concentraciones de Fe en tejidos.</w:t>
      </w:r>
    </w:p>
    <w:p>
      <w:pPr>
        <w:pStyle w:val="BodyText"/>
        <w:spacing w:line="360" w:lineRule="auto" w:before="6"/>
        <w:ind w:left="152" w:right="143" w:firstLine="707"/>
        <w:jc w:val="both"/>
      </w:pPr>
      <w:r>
        <w:rPr/>
        <w:t>El metabolismo de minerales con deficiencia de Cr inducida experimentalmente en cabras fue explorada a detalle por Frank </w:t>
      </w:r>
      <w:r>
        <w:rPr>
          <w:i/>
        </w:rPr>
        <w:t>et al. </w:t>
      </w:r>
      <w:r>
        <w:rPr/>
        <w:t>(2000) para estimar las concentraciones de Al, Ca, Cd, Co, Cr, Cu, Fe, Mg, Mn, Mo, Ni, P, Pb, Se, Sr, V y Zn en hígado, riñones, costillas y plasma sanguíneo. Estos autores detectaron una concentración renal de Cu 43% más baja comparada con el control, pero elevadas concentraciones de Al, Co y V en riñones e hígado. Los autores atribuyen el incremento de las concentraciones de estos minerales a la disminución en la concentración de Cr, causando subsecuentemente la liberación de sitios de enlace en la transferrina. Una disminución en la pérdida de algunos microelementos (Zn, Fe, Cu, Mn) durante el estrés después de la suplementación con Cr en ratones fue reportada por Schrauzer </w:t>
      </w:r>
      <w:r>
        <w:rPr>
          <w:i/>
        </w:rPr>
        <w:t>et al. </w:t>
      </w:r>
      <w:r>
        <w:rPr/>
        <w:t>(1986). La interacción del Cr y el Cu fue estudiada por Stahlhut </w:t>
      </w:r>
      <w:r>
        <w:rPr>
          <w:i/>
        </w:rPr>
        <w:t>et al. </w:t>
      </w:r>
      <w:r>
        <w:rPr/>
        <w:t>(2006); la suplementación con Cr no tuvo efecto en las concentraciones de Cu en el hígado o plasma de vacas, sin embargo, el Cr suplementado resultó en altas concentraciones de Cu en terneros en el día 279. Pechova </w:t>
      </w:r>
      <w:r>
        <w:rPr>
          <w:i/>
        </w:rPr>
        <w:t>et al. </w:t>
      </w:r>
      <w:r>
        <w:rPr/>
        <w:t>(2002) detectaron altas concentraciones de Cu plasmático en respuesta a la suplementación con Cr en toros de engorda. Las interacciones entre el Cr, Ca y Mg fueron reportadas por Moonsie-Shageer y Mowat (1993), quienes mencionaron que la suplementación con Cr estaba asociada a incrementos en la concentración de Ca y Mg en el día 7 de la</w:t>
      </w:r>
      <w:r>
        <w:rPr>
          <w:spacing w:val="-11"/>
        </w:rPr>
        <w:t> </w:t>
      </w:r>
      <w:r>
        <w:rPr/>
        <w:t>prueba.</w:t>
      </w:r>
    </w:p>
    <w:p>
      <w:pPr>
        <w:pStyle w:val="BodyText"/>
      </w:pPr>
    </w:p>
    <w:p>
      <w:pPr>
        <w:pStyle w:val="ListParagraph"/>
        <w:numPr>
          <w:ilvl w:val="2"/>
          <w:numId w:val="9"/>
        </w:numPr>
        <w:tabs>
          <w:tab w:pos="650" w:val="left" w:leader="none"/>
        </w:tabs>
        <w:spacing w:line="240" w:lineRule="auto" w:before="145" w:after="0"/>
        <w:ind w:left="649" w:right="0" w:hanging="497"/>
        <w:jc w:val="both"/>
        <w:rPr>
          <w:b/>
          <w:i/>
          <w:sz w:val="22"/>
        </w:rPr>
      </w:pPr>
      <w:bookmarkStart w:name="_bookmark18" w:id="32"/>
      <w:bookmarkEnd w:id="32"/>
      <w:r>
        <w:rPr/>
      </w:r>
      <w:bookmarkStart w:name="_bookmark18" w:id="33"/>
      <w:bookmarkEnd w:id="33"/>
      <w:r>
        <w:rPr>
          <w:b/>
          <w:i/>
          <w:sz w:val="22"/>
        </w:rPr>
        <w:t>E</w:t>
      </w:r>
      <w:r>
        <w:rPr>
          <w:b/>
          <w:i/>
          <w:sz w:val="22"/>
        </w:rPr>
        <w:t>fecto del cromo en las características y calidad de la canal en</w:t>
      </w:r>
      <w:r>
        <w:rPr>
          <w:b/>
          <w:i/>
          <w:spacing w:val="-17"/>
          <w:sz w:val="22"/>
        </w:rPr>
        <w:t> </w:t>
      </w:r>
      <w:r>
        <w:rPr>
          <w:b/>
          <w:i/>
          <w:sz w:val="22"/>
        </w:rPr>
        <w:t>rumiantes</w:t>
      </w:r>
    </w:p>
    <w:p>
      <w:pPr>
        <w:pStyle w:val="BodyText"/>
        <w:spacing w:line="360" w:lineRule="auto" w:before="125"/>
        <w:ind w:left="152" w:right="146" w:firstLine="707"/>
        <w:jc w:val="both"/>
        <w:rPr>
          <w:i/>
        </w:rPr>
      </w:pPr>
      <w:r>
        <w:rPr/>
        <w:t>En rumiantes algunas características de la canal han sido evaluadas, en ovinos, Gardner </w:t>
      </w:r>
      <w:r>
        <w:rPr>
          <w:i/>
        </w:rPr>
        <w:t>et al. </w:t>
      </w:r>
      <w:r>
        <w:rPr/>
        <w:t>(1998) reportaron una reducción de la grasa dorsal al suplementar con Cr orgánico en dosis de 0.1 ppm; Uyanik (2001) indicó un incremento en el área del ojo de la </w:t>
      </w:r>
      <w:r>
        <w:rPr>
          <w:position w:val="2"/>
        </w:rPr>
        <w:t>chuleta de ovinos suplementados con Cr  en dosis de 0.2 y 0.4 ppm (CrCl</w:t>
      </w:r>
      <w:r>
        <w:rPr>
          <w:sz w:val="16"/>
        </w:rPr>
        <w:t>3</w:t>
      </w:r>
      <w:r>
        <w:rPr>
          <w:position w:val="2"/>
        </w:rPr>
        <w:t>-6) Cr); Arvizu </w:t>
      </w:r>
      <w:r>
        <w:rPr>
          <w:i/>
          <w:position w:val="2"/>
        </w:rPr>
        <w:t>et</w:t>
      </w:r>
    </w:p>
    <w:p>
      <w:pPr>
        <w:spacing w:after="0" w:line="360" w:lineRule="auto"/>
        <w:jc w:val="both"/>
        <w:sectPr>
          <w:pgSz w:w="12240" w:h="15840"/>
          <w:pgMar w:header="1154" w:footer="1383" w:top="1400" w:bottom="1580" w:left="1720" w:right="1380"/>
        </w:sectPr>
      </w:pPr>
    </w:p>
    <w:p>
      <w:pPr>
        <w:pStyle w:val="BodyText"/>
        <w:spacing w:before="2"/>
        <w:rPr>
          <w:i/>
          <w:sz w:val="28"/>
        </w:rPr>
      </w:pPr>
    </w:p>
    <w:p>
      <w:pPr>
        <w:pStyle w:val="BodyText"/>
        <w:spacing w:line="360" w:lineRule="auto" w:before="69"/>
        <w:ind w:left="152" w:right="145"/>
        <w:jc w:val="both"/>
      </w:pPr>
      <w:r>
        <w:rPr>
          <w:i/>
        </w:rPr>
        <w:t>al. </w:t>
      </w:r>
      <w:r>
        <w:rPr/>
        <w:t>(2011) al evaluar, en ovinos en pastoreo, el efecto de una fuente de Cr orgánico (LevCr) en dosis de 0.25 ppm, reportaron una reducción de la grasa dorsal de 18.4 % por efecto del Cr, en bovinos, Pollard </w:t>
      </w:r>
      <w:r>
        <w:rPr>
          <w:i/>
        </w:rPr>
        <w:t>et al. </w:t>
      </w:r>
      <w:r>
        <w:rPr/>
        <w:t>(1999) reportaron que las canales de novillos suplementados con 0.2 ppm LevCr fueron más pesadas, al suplementar con 0.4 ppm se incrementó el área del ojo de chuleta y al mismo tiempo se encontró una menor concentración de grasa intramuscular. En contraste, Guifen </w:t>
      </w:r>
      <w:r>
        <w:rPr>
          <w:i/>
        </w:rPr>
        <w:t>et al. </w:t>
      </w:r>
      <w:r>
        <w:rPr/>
        <w:t>(2011) no indicaron efecto del PicCr en el rendimiento de las canales de novillos con dosis de 200, 600 y 1200 g/kg de Cr; así mismo, Chang </w:t>
      </w:r>
      <w:r>
        <w:rPr>
          <w:i/>
        </w:rPr>
        <w:t>et al. </w:t>
      </w:r>
      <w:r>
        <w:rPr/>
        <w:t>(1992) indicaron que una fuente orgánica de Cr (LevCr) en dosis de 0.2 ppm en novillos no modificó las características de la canal (rendimiento, área del ojo de chuleta y grasa dorsal). Así mismo, Danielsson y Pehrson (1998) no hallaron efecto en ninguna de las características de la canal al suplementar con una fuente de Cr orgánico (LevCr) en  dosis de 0.9 ppm a novillos; resultados similares encontraron Hong </w:t>
      </w:r>
      <w:r>
        <w:rPr>
          <w:i/>
        </w:rPr>
        <w:t>et al. </w:t>
      </w:r>
      <w:r>
        <w:rPr/>
        <w:t>(2002) al suplementar 0.25 y 0.5 ppm de Cr (PicCr) en bovinos; Domínguez </w:t>
      </w:r>
      <w:r>
        <w:rPr>
          <w:i/>
        </w:rPr>
        <w:t>et al</w:t>
      </w:r>
      <w:r>
        <w:rPr/>
        <w:t>. (1999), reportaron que 0.2 ppm de Cr suministrado como Cr L-Metionina, no aumentó el área de la chuleta y no disminuyó la grasa dorsal en la canal de ovinos en finalización, Gardner </w:t>
      </w:r>
      <w:r>
        <w:rPr>
          <w:i/>
        </w:rPr>
        <w:t>et al. </w:t>
      </w:r>
      <w:r>
        <w:rPr/>
        <w:t>(1998) no reportaron efecto sobre el área del ojo de chuleta de ovinos al adicionar 0.1 ppm de</w:t>
      </w:r>
      <w:r>
        <w:rPr>
          <w:spacing w:val="-12"/>
        </w:rPr>
        <w:t> </w:t>
      </w:r>
      <w:r>
        <w:rPr/>
        <w:t>Cr.</w:t>
      </w:r>
    </w:p>
    <w:p>
      <w:pPr>
        <w:pStyle w:val="BodyText"/>
      </w:pPr>
    </w:p>
    <w:p>
      <w:pPr>
        <w:pStyle w:val="ListParagraph"/>
        <w:numPr>
          <w:ilvl w:val="2"/>
          <w:numId w:val="9"/>
        </w:numPr>
        <w:tabs>
          <w:tab w:pos="650" w:val="left" w:leader="none"/>
        </w:tabs>
        <w:spacing w:line="240" w:lineRule="auto" w:before="148" w:after="0"/>
        <w:ind w:left="649" w:right="0" w:hanging="497"/>
        <w:jc w:val="both"/>
        <w:rPr>
          <w:b/>
          <w:i/>
          <w:sz w:val="22"/>
        </w:rPr>
      </w:pPr>
      <w:bookmarkStart w:name="_bookmark19" w:id="34"/>
      <w:bookmarkEnd w:id="34"/>
      <w:r>
        <w:rPr/>
      </w:r>
      <w:bookmarkStart w:name="_bookmark19" w:id="35"/>
      <w:bookmarkEnd w:id="35"/>
      <w:r>
        <w:rPr>
          <w:b/>
          <w:i/>
          <w:sz w:val="22"/>
        </w:rPr>
        <w:t>E</w:t>
      </w:r>
      <w:r>
        <w:rPr>
          <w:b/>
          <w:i/>
          <w:sz w:val="22"/>
        </w:rPr>
        <w:t>fecto del cromo en la calidad de la</w:t>
      </w:r>
      <w:r>
        <w:rPr>
          <w:b/>
          <w:i/>
          <w:spacing w:val="-11"/>
          <w:sz w:val="22"/>
        </w:rPr>
        <w:t> </w:t>
      </w:r>
      <w:r>
        <w:rPr>
          <w:b/>
          <w:i/>
          <w:sz w:val="22"/>
        </w:rPr>
        <w:t>carne</w:t>
      </w:r>
    </w:p>
    <w:p>
      <w:pPr>
        <w:pStyle w:val="BodyText"/>
        <w:spacing w:line="355" w:lineRule="auto" w:before="122"/>
        <w:ind w:left="152" w:right="145" w:firstLine="707"/>
        <w:jc w:val="both"/>
      </w:pPr>
      <w:r>
        <w:rPr/>
        <w:t>El Cr ha sido evaluado sobre algunos indicadores de la calidad de la carne en cerdos, pollo de engorda y conejos. Anandhi </w:t>
      </w:r>
      <w:r>
        <w:rPr>
          <w:i/>
        </w:rPr>
        <w:t>et al. </w:t>
      </w:r>
      <w:r>
        <w:rPr/>
        <w:t>(2006) indicaron un incremento en el porcentaje de proteína en músculo (muslo) de aves al suplementar con Cr orgánico en dosis de 250, 500 y 750 µg Cr kg</w:t>
      </w:r>
      <w:r>
        <w:rPr>
          <w:position w:val="9"/>
          <w:sz w:val="16"/>
        </w:rPr>
        <w:t>-1 </w:t>
      </w:r>
      <w:r>
        <w:rPr/>
        <w:t>de la dieta, por otra parte, Suksombat y Kanchenatawee  (2005) indicaron mayor contenido de proteína en aves suplementadas con PicCr y LevCr en dosis de 200, 400 y 800 µg Cr kg</w:t>
      </w:r>
      <w:r>
        <w:rPr>
          <w:position w:val="9"/>
          <w:sz w:val="16"/>
        </w:rPr>
        <w:t>-1</w:t>
      </w:r>
      <w:r>
        <w:rPr/>
        <w:t>; Amatya </w:t>
      </w:r>
      <w:r>
        <w:rPr>
          <w:i/>
        </w:rPr>
        <w:t>et al. </w:t>
      </w:r>
      <w:r>
        <w:rPr/>
        <w:t>(2004) mencionaron que al suplementar  la dieta de aves con diferentes fuentes de Cr (cromato de potasio, cloruro de Cr, levadura rica en Cr), a una dosis de 0.2 mg kg</w:t>
      </w:r>
      <w:r>
        <w:rPr>
          <w:position w:val="9"/>
          <w:sz w:val="16"/>
        </w:rPr>
        <w:t>-1</w:t>
      </w:r>
      <w:r>
        <w:rPr/>
        <w:t>, la concentración de proteína en la carne mostró ser mayor en todos los grupos suplementados con Cr respecto al control; además, la grasa disminuyó en los grupos suplementados con Cr; Lien </w:t>
      </w:r>
      <w:r>
        <w:rPr>
          <w:i/>
        </w:rPr>
        <w:t>et al. </w:t>
      </w:r>
      <w:r>
        <w:rPr/>
        <w:t>(1999) y Kim </w:t>
      </w:r>
      <w:r>
        <w:rPr>
          <w:i/>
        </w:rPr>
        <w:t>et al. </w:t>
      </w:r>
      <w:r>
        <w:rPr/>
        <w:t>(1996), al suplementar con 1,600 ppb y 200 a 400 µg Cr kg</w:t>
      </w:r>
      <w:r>
        <w:rPr>
          <w:position w:val="9"/>
          <w:sz w:val="16"/>
        </w:rPr>
        <w:t>-1          </w:t>
      </w:r>
      <w:r>
        <w:rPr>
          <w:spacing w:val="21"/>
          <w:position w:val="9"/>
          <w:sz w:val="16"/>
        </w:rPr>
        <w:t> </w:t>
      </w:r>
      <w:r>
        <w:rPr/>
        <w:t>de Cr en pollo de engorda, señalaron</w:t>
      </w:r>
    </w:p>
    <w:p>
      <w:pPr>
        <w:spacing w:after="0" w:line="355" w:lineRule="auto"/>
        <w:jc w:val="both"/>
        <w:sectPr>
          <w:pgSz w:w="12240" w:h="15840"/>
          <w:pgMar w:header="1154" w:footer="1383" w:top="1400" w:bottom="1580" w:left="1720" w:right="1380"/>
        </w:sectPr>
      </w:pPr>
    </w:p>
    <w:p>
      <w:pPr>
        <w:pStyle w:val="BodyText"/>
        <w:spacing w:before="2"/>
        <w:rPr>
          <w:sz w:val="28"/>
        </w:rPr>
      </w:pPr>
    </w:p>
    <w:p>
      <w:pPr>
        <w:pStyle w:val="BodyText"/>
        <w:spacing w:line="357" w:lineRule="auto" w:before="69"/>
        <w:ind w:left="152" w:right="143"/>
        <w:jc w:val="both"/>
      </w:pPr>
      <w:r>
        <w:rPr/>
        <w:t>que la proteína se incrementó y se redujo la concentración de grasa intramuscular. Samanta </w:t>
      </w:r>
      <w:r>
        <w:rPr>
          <w:i/>
        </w:rPr>
        <w:t>et al. </w:t>
      </w:r>
      <w:r>
        <w:rPr/>
        <w:t>(2008) reportaron un incremento en la concentración de proteína de la carne de aves alimentadas con Cr, bajo condiciones de estrés. Toghyani </w:t>
      </w:r>
      <w:r>
        <w:rPr>
          <w:i/>
        </w:rPr>
        <w:t>et al. </w:t>
      </w:r>
      <w:r>
        <w:rPr/>
        <w:t>(2008) al comparar dos fuentes de Cr (nicotinato de Cr y cloruro de Cr) a diferentes niveles, indicaron que el pH de la carne no fue influido significativamente por la fuente o dosis de Cr; sin embargo, se observó una tendencia a incrementarse el pH en los grupos suplementados con Cr, especialmente en el grupo con cloruro de Cr. Amatya </w:t>
      </w:r>
      <w:r>
        <w:rPr>
          <w:i/>
        </w:rPr>
        <w:t>et al. </w:t>
      </w:r>
      <w:r>
        <w:rPr/>
        <w:t>(2004) al usar diferentes fuentes de cromo (cromato de potasio, cloruro de cromo y levadura enriquecida con cromo) en aves no encontraron variación en el pH de la carne por efecto de ninguna de las fuentes de cromo; </w:t>
      </w:r>
      <w:r>
        <w:rPr>
          <w:sz w:val="23"/>
        </w:rPr>
        <w:t>por su parte, Lambertini </w:t>
      </w:r>
      <w:r>
        <w:rPr>
          <w:i/>
          <w:sz w:val="23"/>
        </w:rPr>
        <w:t>et al. </w:t>
      </w:r>
      <w:r>
        <w:rPr>
          <w:sz w:val="23"/>
        </w:rPr>
        <w:t>(2004) indicaron que el pH de la carne de conejos no fue modificado por una fuente orgánica de Cr (LevCr) en dosis de 0.4 y 0.8 mg kg</w:t>
      </w:r>
      <w:r>
        <w:rPr>
          <w:position w:val="9"/>
          <w:sz w:val="15"/>
        </w:rPr>
        <w:t>-1</w:t>
      </w:r>
      <w:r>
        <w:rPr>
          <w:sz w:val="23"/>
        </w:rPr>
        <w:t>; Peres </w:t>
      </w:r>
      <w:r>
        <w:rPr>
          <w:i/>
          <w:sz w:val="23"/>
        </w:rPr>
        <w:t>et al. </w:t>
      </w:r>
      <w:r>
        <w:rPr>
          <w:sz w:val="23"/>
        </w:rPr>
        <w:t>(2014) tampoco indicaron efectos en el pH inicial o final de la carne de cerdo al suplementar Cr orgánico (MetCr) en dosis de 200 </w:t>
      </w:r>
      <w:r>
        <w:rPr/>
        <w:t>µg Cr kg</w:t>
      </w:r>
      <w:r>
        <w:rPr>
          <w:position w:val="9"/>
          <w:sz w:val="16"/>
        </w:rPr>
        <w:t>-1</w:t>
      </w:r>
      <w:r>
        <w:rPr/>
        <w:t>, Ria (2002), suplementó a aves y cerdos en diferentes fases de desarrollo con y no encontró efectos del Cr sobre la capacidad de retención de agua en la carne; Amatya </w:t>
      </w:r>
      <w:r>
        <w:rPr>
          <w:i/>
        </w:rPr>
        <w:t>et al. </w:t>
      </w:r>
      <w:r>
        <w:rPr/>
        <w:t>(2004) hallaron un incremento en la capacidad de retención de agua en aves suplementadas con 0.2 mg/kg ms de Cr (levadura rica en cromo). Estos autores, al suplementar la dieta de pollo de engorda con diferentes fuentes de Cr (cromato de potasio, cloruro de Cr, levadura rica en Cr) a una dosis de 0.2 mg kg</w:t>
      </w:r>
      <w:r>
        <w:rPr>
          <w:position w:val="9"/>
          <w:sz w:val="16"/>
        </w:rPr>
        <w:t>-1 </w:t>
      </w:r>
      <w:r>
        <w:rPr/>
        <w:t>y evaluar diferentes atributos sensoriales de la carne, reportaron mejoras en la evaluación sensorial de la carne suplementada con Cr; también indicaron efectos significativos de la levadura con Cr sobre los parámetros evaluados en los grupos suplementados, Boleman </w:t>
      </w:r>
      <w:r>
        <w:rPr>
          <w:i/>
        </w:rPr>
        <w:t>et </w:t>
      </w:r>
      <w:r>
        <w:rPr>
          <w:i/>
        </w:rPr>
        <w:t>al. </w:t>
      </w:r>
      <w:r>
        <w:rPr/>
        <w:t>(1995) reportaron un incremento en la fuerza de corte de la carne de cerdos suplementados con PicCr con dosis de 200ppb; Ondѓej </w:t>
      </w:r>
      <w:r>
        <w:rPr>
          <w:i/>
        </w:rPr>
        <w:t>et al. </w:t>
      </w:r>
      <w:r>
        <w:rPr/>
        <w:t>(2013) no encontraron efecto del Cr (nicotinato de Cr) en la fuerza de corte de la carne de cerdos con dosis de 0.75 mg/kg</w:t>
      </w:r>
      <w:r>
        <w:rPr>
          <w:position w:val="9"/>
          <w:sz w:val="16"/>
        </w:rPr>
        <w:t>-1</w:t>
      </w:r>
      <w:r>
        <w:rPr/>
        <w:t>, en la misma especie, Matthews </w:t>
      </w:r>
      <w:r>
        <w:rPr>
          <w:i/>
        </w:rPr>
        <w:t>et al. </w:t>
      </w:r>
      <w:r>
        <w:rPr/>
        <w:t>(2003) indicaron que la fuerza de corte no  fue modificada por una fuente orgánica de Cr (Propionato de Cr) en dosis de 0.200</w:t>
      </w:r>
      <w:r>
        <w:rPr>
          <w:spacing w:val="-11"/>
        </w:rPr>
        <w:t> </w:t>
      </w:r>
      <w:r>
        <w:rPr/>
        <w:t>ppb.</w:t>
      </w:r>
    </w:p>
    <w:p>
      <w:pPr>
        <w:spacing w:after="0" w:line="357" w:lineRule="auto"/>
        <w:jc w:val="both"/>
        <w:sectPr>
          <w:pgSz w:w="12240" w:h="15840"/>
          <w:pgMar w:header="1154" w:footer="1383" w:top="1400" w:bottom="1580" w:left="1720" w:right="1380"/>
        </w:sectPr>
      </w:pPr>
    </w:p>
    <w:p>
      <w:pPr>
        <w:pStyle w:val="BodyText"/>
        <w:spacing w:before="6"/>
        <w:rPr>
          <w:sz w:val="28"/>
        </w:rPr>
      </w:pPr>
    </w:p>
    <w:p>
      <w:pPr>
        <w:pStyle w:val="Heading1"/>
        <w:numPr>
          <w:ilvl w:val="1"/>
          <w:numId w:val="9"/>
        </w:numPr>
        <w:tabs>
          <w:tab w:pos="553" w:val="left" w:leader="none"/>
        </w:tabs>
        <w:spacing w:line="240" w:lineRule="auto" w:before="70" w:after="0"/>
        <w:ind w:left="552" w:right="0" w:hanging="360"/>
        <w:jc w:val="left"/>
      </w:pPr>
      <w:bookmarkStart w:name="_bookmark20" w:id="36"/>
      <w:bookmarkEnd w:id="36"/>
      <w:r>
        <w:rPr>
          <w:b w:val="0"/>
        </w:rPr>
      </w:r>
      <w:bookmarkStart w:name="_bookmark20" w:id="37"/>
      <w:bookmarkEnd w:id="37"/>
      <w:r>
        <w:rPr/>
        <w:t>C</w:t>
      </w:r>
      <w:r>
        <w:rPr/>
        <w:t>omposición química de la</w:t>
      </w:r>
      <w:r>
        <w:rPr>
          <w:spacing w:val="-8"/>
        </w:rPr>
        <w:t> </w:t>
      </w:r>
      <w:r>
        <w:rPr/>
        <w:t>carne</w:t>
      </w:r>
    </w:p>
    <w:p>
      <w:pPr>
        <w:pStyle w:val="BodyText"/>
        <w:spacing w:line="360" w:lineRule="auto" w:before="132"/>
        <w:ind w:left="192" w:right="186" w:firstLine="707"/>
        <w:jc w:val="both"/>
      </w:pPr>
      <w:r>
        <w:rPr/>
        <w:t>La carne es el producto pecuario de mayor valor. Posee proteínas y aminoácidos, minerales, grasas y ácidos grasos, vitaminas y otros componentes bioactivos, así como pequeñas cantidades de carbohidratos. Desde el punto de vista nutricional, la importancia  de la carne deriva de sus proteínas de alta calidad, que contienen todos los aminoácidos esenciales, así como de sus minerales y vitaminas de elevada biodisponibilidad (FAO, 2013). El Codex Alimentarius define a la carne como “todas las partes de un animal que han sido dictaminadas como inocuas y aptas para el consumo humano o se destinan para este fin”. La carne se compone de agua, proteínas y aminoácidos, minerales, grasas y ácidos grasos, vitaminas y otros componentes bioactivos, así como pequeñas cantidades de carbohidratos. </w:t>
      </w:r>
      <w:r>
        <w:rPr>
          <w:spacing w:val="-3"/>
        </w:rPr>
        <w:t>La </w:t>
      </w:r>
      <w:r>
        <w:rPr/>
        <w:t>composición química de la carne puede variar de acuerdo con la especie, el músculo, la edad, el tipo de alimentación y el sexo del animal, pero en  términos generales el músculo contiene: 50-77% de agua, 15-22% de proteínas, 15-30% de grasa, 0.05-0.2% de carbohidratos, 1-1.3% de minerales y un poco cantidad de vitaminas (Cuadro 4).</w:t>
      </w:r>
    </w:p>
    <w:p>
      <w:pPr>
        <w:pStyle w:val="BodyText"/>
      </w:pPr>
    </w:p>
    <w:p>
      <w:pPr>
        <w:pStyle w:val="BodyText"/>
        <w:spacing w:before="143" w:after="42"/>
        <w:ind w:left="1169" w:right="237"/>
      </w:pPr>
      <w:r>
        <w:rPr>
          <w:b/>
        </w:rPr>
        <w:t>Cuadro 4. </w:t>
      </w:r>
      <w:r>
        <w:rPr/>
        <w:t>Contenido nutricional en carne de diferentes razas de ovinos</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88"/>
        <w:gridCol w:w="1154"/>
        <w:gridCol w:w="1022"/>
        <w:gridCol w:w="1140"/>
        <w:gridCol w:w="935"/>
        <w:gridCol w:w="751"/>
        <w:gridCol w:w="924"/>
        <w:gridCol w:w="792"/>
      </w:tblGrid>
      <w:tr>
        <w:trPr>
          <w:trHeight w:val="304" w:hRule="exact"/>
        </w:trPr>
        <w:tc>
          <w:tcPr>
            <w:tcW w:w="2288" w:type="dxa"/>
            <w:tcBorders>
              <w:left w:val="nil"/>
              <w:bottom w:val="nil"/>
              <w:right w:val="nil"/>
            </w:tcBorders>
          </w:tcPr>
          <w:p>
            <w:pPr/>
          </w:p>
        </w:tc>
        <w:tc>
          <w:tcPr>
            <w:tcW w:w="1154" w:type="dxa"/>
            <w:tcBorders>
              <w:left w:val="nil"/>
              <w:right w:val="nil"/>
            </w:tcBorders>
          </w:tcPr>
          <w:p>
            <w:pPr>
              <w:pStyle w:val="TableParagraph"/>
              <w:spacing w:before="3"/>
              <w:ind w:left="85" w:right="148"/>
              <w:rPr>
                <w:b/>
                <w:sz w:val="24"/>
              </w:rPr>
            </w:pPr>
            <w:r>
              <w:rPr>
                <w:b/>
                <w:sz w:val="24"/>
              </w:rPr>
              <w:t>Proteína</w:t>
            </w:r>
          </w:p>
        </w:tc>
        <w:tc>
          <w:tcPr>
            <w:tcW w:w="1022" w:type="dxa"/>
            <w:tcBorders>
              <w:left w:val="nil"/>
              <w:right w:val="nil"/>
            </w:tcBorders>
          </w:tcPr>
          <w:p>
            <w:pPr>
              <w:pStyle w:val="TableParagraph"/>
              <w:spacing w:before="3"/>
              <w:ind w:left="170"/>
              <w:jc w:val="left"/>
              <w:rPr>
                <w:b/>
                <w:sz w:val="24"/>
              </w:rPr>
            </w:pPr>
            <w:r>
              <w:rPr>
                <w:b/>
                <w:sz w:val="24"/>
              </w:rPr>
              <w:t>Grasa</w:t>
            </w:r>
          </w:p>
        </w:tc>
        <w:tc>
          <w:tcPr>
            <w:tcW w:w="1140" w:type="dxa"/>
            <w:tcBorders>
              <w:left w:val="nil"/>
              <w:right w:val="nil"/>
            </w:tcBorders>
          </w:tcPr>
          <w:p>
            <w:pPr>
              <w:pStyle w:val="TableParagraph"/>
              <w:spacing w:before="3"/>
              <w:ind w:left="206" w:right="187"/>
              <w:rPr>
                <w:b/>
                <w:sz w:val="24"/>
              </w:rPr>
            </w:pPr>
            <w:r>
              <w:rPr>
                <w:b/>
                <w:sz w:val="24"/>
              </w:rPr>
              <w:t>Ceniza</w:t>
            </w:r>
          </w:p>
        </w:tc>
        <w:tc>
          <w:tcPr>
            <w:tcW w:w="935" w:type="dxa"/>
            <w:tcBorders>
              <w:left w:val="nil"/>
              <w:right w:val="nil"/>
            </w:tcBorders>
          </w:tcPr>
          <w:p>
            <w:pPr>
              <w:pStyle w:val="TableParagraph"/>
              <w:spacing w:before="3"/>
              <w:ind w:left="187" w:right="166"/>
              <w:rPr>
                <w:b/>
                <w:sz w:val="24"/>
              </w:rPr>
            </w:pPr>
            <w:r>
              <w:rPr>
                <w:b/>
                <w:sz w:val="24"/>
              </w:rPr>
              <w:t>Ca</w:t>
            </w:r>
          </w:p>
        </w:tc>
        <w:tc>
          <w:tcPr>
            <w:tcW w:w="751" w:type="dxa"/>
            <w:tcBorders>
              <w:left w:val="nil"/>
              <w:right w:val="nil"/>
            </w:tcBorders>
          </w:tcPr>
          <w:p>
            <w:pPr>
              <w:pStyle w:val="TableParagraph"/>
              <w:spacing w:before="3"/>
              <w:ind w:left="163" w:right="124"/>
              <w:rPr>
                <w:b/>
                <w:sz w:val="24"/>
              </w:rPr>
            </w:pPr>
            <w:r>
              <w:rPr>
                <w:b/>
                <w:sz w:val="24"/>
              </w:rPr>
              <w:t>Fe</w:t>
            </w:r>
          </w:p>
        </w:tc>
        <w:tc>
          <w:tcPr>
            <w:tcW w:w="924" w:type="dxa"/>
            <w:tcBorders>
              <w:left w:val="nil"/>
              <w:right w:val="nil"/>
            </w:tcBorders>
          </w:tcPr>
          <w:p>
            <w:pPr>
              <w:pStyle w:val="TableParagraph"/>
              <w:spacing w:before="3"/>
              <w:ind w:left="21"/>
              <w:rPr>
                <w:b/>
                <w:sz w:val="24"/>
              </w:rPr>
            </w:pPr>
            <w:r>
              <w:rPr>
                <w:b/>
                <w:sz w:val="24"/>
              </w:rPr>
              <w:t>K</w:t>
            </w:r>
          </w:p>
        </w:tc>
        <w:tc>
          <w:tcPr>
            <w:tcW w:w="792" w:type="dxa"/>
            <w:tcBorders>
              <w:left w:val="nil"/>
              <w:right w:val="nil"/>
            </w:tcBorders>
          </w:tcPr>
          <w:p>
            <w:pPr>
              <w:pStyle w:val="TableParagraph"/>
              <w:spacing w:before="3"/>
              <w:ind w:left="98" w:right="111"/>
              <w:rPr>
                <w:b/>
                <w:sz w:val="24"/>
              </w:rPr>
            </w:pPr>
            <w:r>
              <w:rPr>
                <w:b/>
                <w:sz w:val="24"/>
              </w:rPr>
              <w:t>Na</w:t>
            </w:r>
          </w:p>
        </w:tc>
      </w:tr>
      <w:tr>
        <w:trPr>
          <w:trHeight w:val="563" w:hRule="exact"/>
        </w:trPr>
        <w:tc>
          <w:tcPr>
            <w:tcW w:w="2288" w:type="dxa"/>
            <w:tcBorders>
              <w:top w:val="nil"/>
              <w:left w:val="nil"/>
              <w:right w:val="nil"/>
            </w:tcBorders>
          </w:tcPr>
          <w:p>
            <w:pPr>
              <w:pStyle w:val="TableParagraph"/>
              <w:spacing w:line="250" w:lineRule="exact"/>
              <w:ind w:left="866" w:right="860"/>
              <w:rPr>
                <w:b/>
                <w:sz w:val="24"/>
              </w:rPr>
            </w:pPr>
            <w:r>
              <w:rPr>
                <w:b/>
                <w:sz w:val="24"/>
              </w:rPr>
              <w:t>Raza</w:t>
            </w:r>
          </w:p>
        </w:tc>
        <w:tc>
          <w:tcPr>
            <w:tcW w:w="5927" w:type="dxa"/>
            <w:gridSpan w:val="6"/>
            <w:tcBorders>
              <w:left w:val="nil"/>
              <w:right w:val="nil"/>
            </w:tcBorders>
          </w:tcPr>
          <w:p>
            <w:pPr>
              <w:pStyle w:val="TableParagraph"/>
              <w:tabs>
                <w:tab w:pos="5108" w:val="left" w:leader="none"/>
              </w:tabs>
              <w:ind w:left="105"/>
              <w:jc w:val="left"/>
              <w:rPr>
                <w:sz w:val="20"/>
              </w:rPr>
            </w:pPr>
            <w:r>
              <w:rPr>
                <w:sz w:val="20"/>
              </w:rPr>
              <w:t>--Concentración (g por 100 g</w:t>
            </w:r>
            <w:r>
              <w:rPr>
                <w:spacing w:val="-9"/>
                <w:sz w:val="20"/>
              </w:rPr>
              <w:t> </w:t>
            </w:r>
            <w:r>
              <w:rPr>
                <w:sz w:val="20"/>
              </w:rPr>
              <w:t>de</w:t>
            </w:r>
            <w:r>
              <w:rPr>
                <w:spacing w:val="49"/>
                <w:sz w:val="20"/>
              </w:rPr>
              <w:t> </w:t>
            </w:r>
            <w:r>
              <w:rPr>
                <w:sz w:val="20"/>
              </w:rPr>
              <w:t>músculo)--</w:t>
              <w:tab/>
              <w:t>(mg/100)</w:t>
            </w:r>
          </w:p>
        </w:tc>
        <w:tc>
          <w:tcPr>
            <w:tcW w:w="792" w:type="dxa"/>
            <w:tcBorders>
              <w:left w:val="nil"/>
              <w:right w:val="nil"/>
            </w:tcBorders>
          </w:tcPr>
          <w:p>
            <w:pPr/>
          </w:p>
        </w:tc>
      </w:tr>
      <w:tr>
        <w:trPr>
          <w:trHeight w:val="295" w:hRule="exact"/>
        </w:trPr>
        <w:tc>
          <w:tcPr>
            <w:tcW w:w="2288" w:type="dxa"/>
            <w:tcBorders>
              <w:left w:val="nil"/>
              <w:bottom w:val="nil"/>
              <w:right w:val="nil"/>
            </w:tcBorders>
          </w:tcPr>
          <w:p>
            <w:pPr>
              <w:pStyle w:val="TableParagraph"/>
              <w:spacing w:line="275" w:lineRule="exact"/>
              <w:ind w:left="120"/>
              <w:jc w:val="left"/>
              <w:rPr>
                <w:sz w:val="16"/>
              </w:rPr>
            </w:pPr>
            <w:r>
              <w:rPr>
                <w:sz w:val="24"/>
              </w:rPr>
              <w:t>Katahdin</w:t>
            </w:r>
            <w:r>
              <w:rPr>
                <w:position w:val="9"/>
                <w:sz w:val="16"/>
              </w:rPr>
              <w:t>1</w:t>
            </w:r>
          </w:p>
        </w:tc>
        <w:tc>
          <w:tcPr>
            <w:tcW w:w="1154" w:type="dxa"/>
            <w:tcBorders>
              <w:left w:val="nil"/>
              <w:bottom w:val="nil"/>
              <w:right w:val="nil"/>
            </w:tcBorders>
          </w:tcPr>
          <w:p>
            <w:pPr>
              <w:pStyle w:val="TableParagraph"/>
              <w:spacing w:line="275" w:lineRule="exact"/>
              <w:ind w:left="85" w:right="145"/>
              <w:rPr>
                <w:sz w:val="24"/>
              </w:rPr>
            </w:pPr>
            <w:r>
              <w:rPr>
                <w:sz w:val="24"/>
              </w:rPr>
              <w:t>16.79</w:t>
            </w:r>
          </w:p>
        </w:tc>
        <w:tc>
          <w:tcPr>
            <w:tcW w:w="1022" w:type="dxa"/>
            <w:tcBorders>
              <w:left w:val="nil"/>
              <w:bottom w:val="nil"/>
              <w:right w:val="nil"/>
            </w:tcBorders>
          </w:tcPr>
          <w:p>
            <w:pPr>
              <w:pStyle w:val="TableParagraph"/>
              <w:spacing w:line="275" w:lineRule="exact"/>
              <w:ind w:left="213"/>
              <w:jc w:val="left"/>
              <w:rPr>
                <w:sz w:val="24"/>
              </w:rPr>
            </w:pPr>
            <w:r>
              <w:rPr>
                <w:sz w:val="24"/>
              </w:rPr>
              <w:t>26.24</w:t>
            </w:r>
          </w:p>
        </w:tc>
        <w:tc>
          <w:tcPr>
            <w:tcW w:w="1140" w:type="dxa"/>
            <w:tcBorders>
              <w:left w:val="nil"/>
              <w:bottom w:val="nil"/>
              <w:right w:val="nil"/>
            </w:tcBorders>
          </w:tcPr>
          <w:p>
            <w:pPr>
              <w:pStyle w:val="TableParagraph"/>
              <w:spacing w:line="275" w:lineRule="exact"/>
              <w:ind w:left="204" w:right="187"/>
              <w:rPr>
                <w:sz w:val="24"/>
              </w:rPr>
            </w:pPr>
            <w:r>
              <w:rPr>
                <w:sz w:val="24"/>
              </w:rPr>
              <w:t>0.90</w:t>
            </w:r>
          </w:p>
        </w:tc>
        <w:tc>
          <w:tcPr>
            <w:tcW w:w="935" w:type="dxa"/>
            <w:tcBorders>
              <w:left w:val="nil"/>
              <w:bottom w:val="nil"/>
              <w:right w:val="nil"/>
            </w:tcBorders>
          </w:tcPr>
          <w:p>
            <w:pPr>
              <w:pStyle w:val="TableParagraph"/>
              <w:spacing w:line="275" w:lineRule="exact"/>
              <w:ind w:left="187" w:right="168"/>
              <w:rPr>
                <w:sz w:val="24"/>
              </w:rPr>
            </w:pPr>
            <w:r>
              <w:rPr>
                <w:sz w:val="24"/>
              </w:rPr>
              <w:t>19.50</w:t>
            </w:r>
          </w:p>
        </w:tc>
        <w:tc>
          <w:tcPr>
            <w:tcW w:w="751" w:type="dxa"/>
            <w:tcBorders>
              <w:left w:val="nil"/>
              <w:bottom w:val="nil"/>
              <w:right w:val="nil"/>
            </w:tcBorders>
          </w:tcPr>
          <w:p>
            <w:pPr>
              <w:pStyle w:val="TableParagraph"/>
              <w:spacing w:line="275" w:lineRule="exact"/>
              <w:ind w:left="167" w:right="124"/>
              <w:rPr>
                <w:sz w:val="24"/>
              </w:rPr>
            </w:pPr>
            <w:r>
              <w:rPr>
                <w:sz w:val="24"/>
              </w:rPr>
              <w:t>1.90</w:t>
            </w:r>
          </w:p>
        </w:tc>
        <w:tc>
          <w:tcPr>
            <w:tcW w:w="924" w:type="dxa"/>
            <w:tcBorders>
              <w:left w:val="nil"/>
              <w:bottom w:val="nil"/>
              <w:right w:val="nil"/>
            </w:tcBorders>
          </w:tcPr>
          <w:p>
            <w:pPr>
              <w:pStyle w:val="TableParagraph"/>
              <w:spacing w:line="275" w:lineRule="exact"/>
              <w:ind w:left="124" w:right="100"/>
              <w:rPr>
                <w:sz w:val="24"/>
              </w:rPr>
            </w:pPr>
            <w:r>
              <w:rPr>
                <w:sz w:val="24"/>
              </w:rPr>
              <w:t>258.20</w:t>
            </w:r>
          </w:p>
        </w:tc>
        <w:tc>
          <w:tcPr>
            <w:tcW w:w="792" w:type="dxa"/>
            <w:tcBorders>
              <w:left w:val="nil"/>
              <w:bottom w:val="nil"/>
              <w:right w:val="nil"/>
            </w:tcBorders>
          </w:tcPr>
          <w:p>
            <w:pPr>
              <w:pStyle w:val="TableParagraph"/>
              <w:spacing w:line="275" w:lineRule="exact"/>
              <w:ind w:left="101" w:right="111"/>
              <w:rPr>
                <w:sz w:val="24"/>
              </w:rPr>
            </w:pPr>
            <w:r>
              <w:rPr>
                <w:sz w:val="24"/>
              </w:rPr>
              <w:t>79.18</w:t>
            </w:r>
          </w:p>
        </w:tc>
      </w:tr>
      <w:tr>
        <w:trPr>
          <w:trHeight w:val="317" w:hRule="exact"/>
        </w:trPr>
        <w:tc>
          <w:tcPr>
            <w:tcW w:w="2288" w:type="dxa"/>
            <w:tcBorders>
              <w:top w:val="nil"/>
              <w:left w:val="nil"/>
              <w:bottom w:val="nil"/>
              <w:right w:val="nil"/>
            </w:tcBorders>
          </w:tcPr>
          <w:p>
            <w:pPr>
              <w:pStyle w:val="TableParagraph"/>
              <w:spacing w:before="10"/>
              <w:ind w:left="120"/>
              <w:jc w:val="left"/>
              <w:rPr>
                <w:sz w:val="16"/>
              </w:rPr>
            </w:pPr>
            <w:r>
              <w:rPr>
                <w:sz w:val="24"/>
              </w:rPr>
              <w:t>Ovino Criollo</w:t>
            </w:r>
            <w:r>
              <w:rPr>
                <w:position w:val="9"/>
                <w:sz w:val="16"/>
              </w:rPr>
              <w:t>1</w:t>
            </w:r>
          </w:p>
        </w:tc>
        <w:tc>
          <w:tcPr>
            <w:tcW w:w="1154" w:type="dxa"/>
            <w:tcBorders>
              <w:top w:val="nil"/>
              <w:left w:val="nil"/>
              <w:bottom w:val="nil"/>
              <w:right w:val="nil"/>
            </w:tcBorders>
          </w:tcPr>
          <w:p>
            <w:pPr>
              <w:pStyle w:val="TableParagraph"/>
              <w:spacing w:before="25"/>
              <w:ind w:left="85" w:right="145"/>
              <w:rPr>
                <w:sz w:val="24"/>
              </w:rPr>
            </w:pPr>
            <w:r>
              <w:rPr>
                <w:sz w:val="24"/>
              </w:rPr>
              <w:t>16.58</w:t>
            </w:r>
          </w:p>
        </w:tc>
        <w:tc>
          <w:tcPr>
            <w:tcW w:w="1022" w:type="dxa"/>
            <w:tcBorders>
              <w:top w:val="nil"/>
              <w:left w:val="nil"/>
              <w:bottom w:val="nil"/>
              <w:right w:val="nil"/>
            </w:tcBorders>
          </w:tcPr>
          <w:p>
            <w:pPr>
              <w:pStyle w:val="TableParagraph"/>
              <w:spacing w:before="25"/>
              <w:ind w:left="213"/>
              <w:jc w:val="left"/>
              <w:rPr>
                <w:sz w:val="24"/>
              </w:rPr>
            </w:pPr>
            <w:r>
              <w:rPr>
                <w:sz w:val="24"/>
              </w:rPr>
              <w:t>22.58</w:t>
            </w:r>
          </w:p>
        </w:tc>
        <w:tc>
          <w:tcPr>
            <w:tcW w:w="1140" w:type="dxa"/>
            <w:tcBorders>
              <w:top w:val="nil"/>
              <w:left w:val="nil"/>
              <w:bottom w:val="nil"/>
              <w:right w:val="nil"/>
            </w:tcBorders>
          </w:tcPr>
          <w:p>
            <w:pPr>
              <w:pStyle w:val="TableParagraph"/>
              <w:spacing w:before="25"/>
              <w:ind w:left="204" w:right="187"/>
              <w:rPr>
                <w:sz w:val="24"/>
              </w:rPr>
            </w:pPr>
            <w:r>
              <w:rPr>
                <w:sz w:val="24"/>
              </w:rPr>
              <w:t>0.87</w:t>
            </w:r>
          </w:p>
        </w:tc>
        <w:tc>
          <w:tcPr>
            <w:tcW w:w="935" w:type="dxa"/>
            <w:tcBorders>
              <w:top w:val="nil"/>
              <w:left w:val="nil"/>
              <w:bottom w:val="nil"/>
              <w:right w:val="nil"/>
            </w:tcBorders>
          </w:tcPr>
          <w:p>
            <w:pPr>
              <w:pStyle w:val="TableParagraph"/>
              <w:spacing w:before="25"/>
              <w:ind w:left="187" w:right="168"/>
              <w:rPr>
                <w:sz w:val="24"/>
              </w:rPr>
            </w:pPr>
            <w:r>
              <w:rPr>
                <w:sz w:val="24"/>
              </w:rPr>
              <w:t>13.20</w:t>
            </w:r>
          </w:p>
        </w:tc>
        <w:tc>
          <w:tcPr>
            <w:tcW w:w="751" w:type="dxa"/>
            <w:tcBorders>
              <w:top w:val="nil"/>
              <w:left w:val="nil"/>
              <w:bottom w:val="nil"/>
              <w:right w:val="nil"/>
            </w:tcBorders>
          </w:tcPr>
          <w:p>
            <w:pPr>
              <w:pStyle w:val="TableParagraph"/>
              <w:spacing w:before="25"/>
              <w:ind w:left="167" w:right="124"/>
              <w:rPr>
                <w:sz w:val="24"/>
              </w:rPr>
            </w:pPr>
            <w:r>
              <w:rPr>
                <w:sz w:val="24"/>
              </w:rPr>
              <w:t>1.57</w:t>
            </w:r>
          </w:p>
        </w:tc>
        <w:tc>
          <w:tcPr>
            <w:tcW w:w="924" w:type="dxa"/>
            <w:tcBorders>
              <w:top w:val="nil"/>
              <w:left w:val="nil"/>
              <w:bottom w:val="nil"/>
              <w:right w:val="nil"/>
            </w:tcBorders>
          </w:tcPr>
          <w:p>
            <w:pPr>
              <w:pStyle w:val="TableParagraph"/>
              <w:spacing w:before="25"/>
              <w:ind w:left="124" w:right="100"/>
              <w:rPr>
                <w:sz w:val="24"/>
              </w:rPr>
            </w:pPr>
            <w:r>
              <w:rPr>
                <w:sz w:val="24"/>
              </w:rPr>
              <w:t>219.40</w:t>
            </w:r>
          </w:p>
        </w:tc>
        <w:tc>
          <w:tcPr>
            <w:tcW w:w="792" w:type="dxa"/>
            <w:tcBorders>
              <w:top w:val="nil"/>
              <w:left w:val="nil"/>
              <w:bottom w:val="nil"/>
              <w:right w:val="nil"/>
            </w:tcBorders>
          </w:tcPr>
          <w:p>
            <w:pPr>
              <w:pStyle w:val="TableParagraph"/>
              <w:spacing w:before="25"/>
              <w:ind w:left="101" w:right="111"/>
              <w:rPr>
                <w:sz w:val="24"/>
              </w:rPr>
            </w:pPr>
            <w:r>
              <w:rPr>
                <w:sz w:val="24"/>
              </w:rPr>
              <w:t>60.20</w:t>
            </w:r>
          </w:p>
        </w:tc>
      </w:tr>
      <w:tr>
        <w:trPr>
          <w:trHeight w:val="318" w:hRule="exact"/>
        </w:trPr>
        <w:tc>
          <w:tcPr>
            <w:tcW w:w="2288" w:type="dxa"/>
            <w:tcBorders>
              <w:top w:val="nil"/>
              <w:left w:val="nil"/>
              <w:bottom w:val="nil"/>
              <w:right w:val="nil"/>
            </w:tcBorders>
          </w:tcPr>
          <w:p>
            <w:pPr>
              <w:pStyle w:val="TableParagraph"/>
              <w:spacing w:before="10"/>
              <w:ind w:left="120"/>
              <w:jc w:val="left"/>
              <w:rPr>
                <w:sz w:val="16"/>
              </w:rPr>
            </w:pPr>
            <w:r>
              <w:rPr>
                <w:sz w:val="24"/>
              </w:rPr>
              <w:t>Katahdin</w:t>
            </w:r>
            <w:r>
              <w:rPr>
                <w:position w:val="9"/>
                <w:sz w:val="16"/>
              </w:rPr>
              <w:t>1</w:t>
            </w:r>
          </w:p>
        </w:tc>
        <w:tc>
          <w:tcPr>
            <w:tcW w:w="1154" w:type="dxa"/>
            <w:tcBorders>
              <w:top w:val="nil"/>
              <w:left w:val="nil"/>
              <w:bottom w:val="nil"/>
              <w:right w:val="nil"/>
            </w:tcBorders>
          </w:tcPr>
          <w:p>
            <w:pPr>
              <w:pStyle w:val="TableParagraph"/>
              <w:spacing w:before="25"/>
              <w:ind w:left="85" w:right="145"/>
              <w:rPr>
                <w:sz w:val="24"/>
              </w:rPr>
            </w:pPr>
            <w:r>
              <w:rPr>
                <w:sz w:val="24"/>
              </w:rPr>
              <w:t>16.86</w:t>
            </w:r>
          </w:p>
        </w:tc>
        <w:tc>
          <w:tcPr>
            <w:tcW w:w="1022" w:type="dxa"/>
            <w:tcBorders>
              <w:top w:val="nil"/>
              <w:left w:val="nil"/>
              <w:bottom w:val="nil"/>
              <w:right w:val="nil"/>
            </w:tcBorders>
          </w:tcPr>
          <w:p>
            <w:pPr>
              <w:pStyle w:val="TableParagraph"/>
              <w:spacing w:before="25"/>
              <w:ind w:left="213"/>
              <w:jc w:val="left"/>
              <w:rPr>
                <w:sz w:val="24"/>
              </w:rPr>
            </w:pPr>
            <w:r>
              <w:rPr>
                <w:sz w:val="24"/>
              </w:rPr>
              <w:t>22.18</w:t>
            </w:r>
          </w:p>
        </w:tc>
        <w:tc>
          <w:tcPr>
            <w:tcW w:w="1140" w:type="dxa"/>
            <w:tcBorders>
              <w:top w:val="nil"/>
              <w:left w:val="nil"/>
              <w:bottom w:val="nil"/>
              <w:right w:val="nil"/>
            </w:tcBorders>
          </w:tcPr>
          <w:p>
            <w:pPr>
              <w:pStyle w:val="TableParagraph"/>
              <w:spacing w:before="25"/>
              <w:ind w:left="204" w:right="187"/>
              <w:rPr>
                <w:sz w:val="24"/>
              </w:rPr>
            </w:pPr>
            <w:r>
              <w:rPr>
                <w:sz w:val="24"/>
              </w:rPr>
              <w:t>0.94</w:t>
            </w:r>
          </w:p>
        </w:tc>
        <w:tc>
          <w:tcPr>
            <w:tcW w:w="935" w:type="dxa"/>
            <w:tcBorders>
              <w:top w:val="nil"/>
              <w:left w:val="nil"/>
              <w:bottom w:val="nil"/>
              <w:right w:val="nil"/>
            </w:tcBorders>
          </w:tcPr>
          <w:p>
            <w:pPr>
              <w:pStyle w:val="TableParagraph"/>
              <w:spacing w:before="25"/>
              <w:ind w:left="187" w:right="168"/>
              <w:rPr>
                <w:sz w:val="24"/>
              </w:rPr>
            </w:pPr>
            <w:r>
              <w:rPr>
                <w:sz w:val="24"/>
              </w:rPr>
              <w:t>13.60</w:t>
            </w:r>
          </w:p>
        </w:tc>
        <w:tc>
          <w:tcPr>
            <w:tcW w:w="751" w:type="dxa"/>
            <w:tcBorders>
              <w:top w:val="nil"/>
              <w:left w:val="nil"/>
              <w:bottom w:val="nil"/>
              <w:right w:val="nil"/>
            </w:tcBorders>
          </w:tcPr>
          <w:p>
            <w:pPr>
              <w:pStyle w:val="TableParagraph"/>
              <w:spacing w:before="25"/>
              <w:ind w:left="167" w:right="124"/>
              <w:rPr>
                <w:sz w:val="24"/>
              </w:rPr>
            </w:pPr>
            <w:r>
              <w:rPr>
                <w:sz w:val="24"/>
              </w:rPr>
              <w:t>1.47</w:t>
            </w:r>
          </w:p>
        </w:tc>
        <w:tc>
          <w:tcPr>
            <w:tcW w:w="924" w:type="dxa"/>
            <w:tcBorders>
              <w:top w:val="nil"/>
              <w:left w:val="nil"/>
              <w:bottom w:val="nil"/>
              <w:right w:val="nil"/>
            </w:tcBorders>
          </w:tcPr>
          <w:p>
            <w:pPr>
              <w:pStyle w:val="TableParagraph"/>
              <w:spacing w:before="25"/>
              <w:ind w:left="124" w:right="100"/>
              <w:rPr>
                <w:sz w:val="24"/>
              </w:rPr>
            </w:pPr>
            <w:r>
              <w:rPr>
                <w:sz w:val="24"/>
              </w:rPr>
              <w:t>130.80</w:t>
            </w:r>
          </w:p>
        </w:tc>
        <w:tc>
          <w:tcPr>
            <w:tcW w:w="792" w:type="dxa"/>
            <w:tcBorders>
              <w:top w:val="nil"/>
              <w:left w:val="nil"/>
              <w:bottom w:val="nil"/>
              <w:right w:val="nil"/>
            </w:tcBorders>
          </w:tcPr>
          <w:p>
            <w:pPr>
              <w:pStyle w:val="TableParagraph"/>
              <w:spacing w:before="25"/>
              <w:ind w:left="101" w:right="111"/>
              <w:rPr>
                <w:sz w:val="24"/>
              </w:rPr>
            </w:pPr>
            <w:r>
              <w:rPr>
                <w:sz w:val="24"/>
              </w:rPr>
              <w:t>40.60</w:t>
            </w:r>
          </w:p>
        </w:tc>
      </w:tr>
      <w:tr>
        <w:trPr>
          <w:trHeight w:val="318" w:hRule="exact"/>
        </w:trPr>
        <w:tc>
          <w:tcPr>
            <w:tcW w:w="2288" w:type="dxa"/>
            <w:tcBorders>
              <w:top w:val="nil"/>
              <w:left w:val="nil"/>
              <w:bottom w:val="nil"/>
              <w:right w:val="nil"/>
            </w:tcBorders>
          </w:tcPr>
          <w:p>
            <w:pPr>
              <w:pStyle w:val="TableParagraph"/>
              <w:spacing w:before="11"/>
              <w:ind w:left="120"/>
              <w:jc w:val="left"/>
              <w:rPr>
                <w:sz w:val="16"/>
              </w:rPr>
            </w:pPr>
            <w:r>
              <w:rPr>
                <w:sz w:val="24"/>
              </w:rPr>
              <w:t>Ovinos Suffolk</w:t>
            </w:r>
            <w:r>
              <w:rPr>
                <w:position w:val="9"/>
                <w:sz w:val="16"/>
              </w:rPr>
              <w:t>2</w:t>
            </w:r>
          </w:p>
        </w:tc>
        <w:tc>
          <w:tcPr>
            <w:tcW w:w="1154" w:type="dxa"/>
            <w:tcBorders>
              <w:top w:val="nil"/>
              <w:left w:val="nil"/>
              <w:bottom w:val="nil"/>
              <w:right w:val="nil"/>
            </w:tcBorders>
          </w:tcPr>
          <w:p>
            <w:pPr>
              <w:pStyle w:val="TableParagraph"/>
              <w:spacing w:before="27"/>
              <w:ind w:left="85" w:right="145"/>
              <w:rPr>
                <w:sz w:val="24"/>
              </w:rPr>
            </w:pPr>
            <w:r>
              <w:rPr>
                <w:sz w:val="24"/>
              </w:rPr>
              <w:t>22.3</w:t>
            </w:r>
          </w:p>
        </w:tc>
        <w:tc>
          <w:tcPr>
            <w:tcW w:w="1022" w:type="dxa"/>
            <w:tcBorders>
              <w:top w:val="nil"/>
              <w:left w:val="nil"/>
              <w:bottom w:val="nil"/>
              <w:right w:val="nil"/>
            </w:tcBorders>
          </w:tcPr>
          <w:p>
            <w:pPr>
              <w:pStyle w:val="TableParagraph"/>
              <w:spacing w:before="27"/>
              <w:ind w:left="213"/>
              <w:jc w:val="left"/>
              <w:rPr>
                <w:sz w:val="24"/>
              </w:rPr>
            </w:pPr>
            <w:r>
              <w:rPr>
                <w:sz w:val="24"/>
              </w:rPr>
              <w:t>5.800</w:t>
            </w:r>
          </w:p>
        </w:tc>
        <w:tc>
          <w:tcPr>
            <w:tcW w:w="1140" w:type="dxa"/>
            <w:tcBorders>
              <w:top w:val="nil"/>
              <w:left w:val="nil"/>
              <w:bottom w:val="nil"/>
              <w:right w:val="nil"/>
            </w:tcBorders>
          </w:tcPr>
          <w:p>
            <w:pPr>
              <w:pStyle w:val="TableParagraph"/>
              <w:spacing w:before="27"/>
              <w:ind w:left="204" w:right="187"/>
              <w:rPr>
                <w:sz w:val="24"/>
              </w:rPr>
            </w:pPr>
            <w:r>
              <w:rPr>
                <w:sz w:val="24"/>
              </w:rPr>
              <w:t>1.95</w:t>
            </w:r>
          </w:p>
        </w:tc>
        <w:tc>
          <w:tcPr>
            <w:tcW w:w="935" w:type="dxa"/>
            <w:tcBorders>
              <w:top w:val="nil"/>
              <w:left w:val="nil"/>
              <w:bottom w:val="nil"/>
              <w:right w:val="nil"/>
            </w:tcBorders>
          </w:tcPr>
          <w:p>
            <w:pPr>
              <w:pStyle w:val="TableParagraph"/>
              <w:spacing w:before="27"/>
              <w:ind w:left="20"/>
              <w:rPr>
                <w:sz w:val="24"/>
              </w:rPr>
            </w:pPr>
            <w:r>
              <w:rPr>
                <w:w w:val="99"/>
                <w:sz w:val="24"/>
              </w:rPr>
              <w:t>-</w:t>
            </w:r>
          </w:p>
        </w:tc>
        <w:tc>
          <w:tcPr>
            <w:tcW w:w="751" w:type="dxa"/>
            <w:tcBorders>
              <w:top w:val="nil"/>
              <w:left w:val="nil"/>
              <w:bottom w:val="nil"/>
              <w:right w:val="nil"/>
            </w:tcBorders>
          </w:tcPr>
          <w:p>
            <w:pPr>
              <w:pStyle w:val="TableParagraph"/>
              <w:spacing w:before="27"/>
              <w:ind w:left="44"/>
              <w:rPr>
                <w:sz w:val="24"/>
              </w:rPr>
            </w:pPr>
            <w:r>
              <w:rPr>
                <w:w w:val="99"/>
                <w:sz w:val="24"/>
              </w:rPr>
              <w:t>-</w:t>
            </w:r>
          </w:p>
        </w:tc>
        <w:tc>
          <w:tcPr>
            <w:tcW w:w="924" w:type="dxa"/>
            <w:tcBorders>
              <w:top w:val="nil"/>
              <w:left w:val="nil"/>
              <w:bottom w:val="nil"/>
              <w:right w:val="nil"/>
            </w:tcBorders>
          </w:tcPr>
          <w:p>
            <w:pPr>
              <w:pStyle w:val="TableParagraph"/>
              <w:spacing w:before="27"/>
              <w:ind w:left="24"/>
              <w:rPr>
                <w:sz w:val="24"/>
              </w:rPr>
            </w:pPr>
            <w:r>
              <w:rPr>
                <w:w w:val="99"/>
                <w:sz w:val="24"/>
              </w:rPr>
              <w:t>-</w:t>
            </w:r>
          </w:p>
        </w:tc>
        <w:tc>
          <w:tcPr>
            <w:tcW w:w="792" w:type="dxa"/>
            <w:tcBorders>
              <w:top w:val="nil"/>
              <w:left w:val="nil"/>
              <w:bottom w:val="nil"/>
              <w:right w:val="nil"/>
            </w:tcBorders>
          </w:tcPr>
          <w:p>
            <w:pPr>
              <w:pStyle w:val="TableParagraph"/>
              <w:spacing w:before="27"/>
              <w:ind w:right="9"/>
              <w:rPr>
                <w:sz w:val="24"/>
              </w:rPr>
            </w:pPr>
            <w:r>
              <w:rPr>
                <w:w w:val="99"/>
                <w:sz w:val="24"/>
              </w:rPr>
              <w:t>-</w:t>
            </w:r>
          </w:p>
        </w:tc>
      </w:tr>
      <w:tr>
        <w:trPr>
          <w:trHeight w:val="346" w:hRule="exact"/>
        </w:trPr>
        <w:tc>
          <w:tcPr>
            <w:tcW w:w="2288" w:type="dxa"/>
            <w:tcBorders>
              <w:top w:val="nil"/>
              <w:left w:val="nil"/>
              <w:bottom w:val="single" w:sz="2" w:space="0" w:color="000000"/>
              <w:right w:val="nil"/>
            </w:tcBorders>
          </w:tcPr>
          <w:p>
            <w:pPr>
              <w:pStyle w:val="TableParagraph"/>
              <w:spacing w:before="10"/>
              <w:ind w:left="120"/>
              <w:jc w:val="left"/>
              <w:rPr>
                <w:sz w:val="16"/>
              </w:rPr>
            </w:pPr>
            <w:r>
              <w:rPr>
                <w:sz w:val="24"/>
              </w:rPr>
              <w:t>Ovinos Rambouillet</w:t>
            </w:r>
            <w:r>
              <w:rPr>
                <w:position w:val="9"/>
                <w:sz w:val="16"/>
              </w:rPr>
              <w:t>3</w:t>
            </w:r>
          </w:p>
        </w:tc>
        <w:tc>
          <w:tcPr>
            <w:tcW w:w="1154" w:type="dxa"/>
            <w:tcBorders>
              <w:top w:val="nil"/>
              <w:left w:val="nil"/>
              <w:bottom w:val="single" w:sz="2" w:space="0" w:color="000000"/>
              <w:right w:val="nil"/>
            </w:tcBorders>
          </w:tcPr>
          <w:p>
            <w:pPr>
              <w:pStyle w:val="TableParagraph"/>
              <w:spacing w:before="25"/>
              <w:ind w:left="85" w:right="145"/>
              <w:rPr>
                <w:sz w:val="24"/>
              </w:rPr>
            </w:pPr>
            <w:r>
              <w:rPr>
                <w:sz w:val="24"/>
              </w:rPr>
              <w:t>16.87</w:t>
            </w:r>
          </w:p>
        </w:tc>
        <w:tc>
          <w:tcPr>
            <w:tcW w:w="1022" w:type="dxa"/>
            <w:tcBorders>
              <w:top w:val="nil"/>
              <w:left w:val="nil"/>
              <w:bottom w:val="single" w:sz="2" w:space="0" w:color="000000"/>
              <w:right w:val="nil"/>
            </w:tcBorders>
          </w:tcPr>
          <w:p>
            <w:pPr>
              <w:pStyle w:val="TableParagraph"/>
              <w:spacing w:before="25"/>
              <w:ind w:left="213"/>
              <w:jc w:val="left"/>
              <w:rPr>
                <w:sz w:val="24"/>
              </w:rPr>
            </w:pPr>
            <w:r>
              <w:rPr>
                <w:sz w:val="24"/>
              </w:rPr>
              <w:t>4.890</w:t>
            </w:r>
          </w:p>
        </w:tc>
        <w:tc>
          <w:tcPr>
            <w:tcW w:w="1140" w:type="dxa"/>
            <w:tcBorders>
              <w:top w:val="nil"/>
              <w:left w:val="nil"/>
              <w:bottom w:val="single" w:sz="2" w:space="0" w:color="000000"/>
              <w:right w:val="nil"/>
            </w:tcBorders>
          </w:tcPr>
          <w:p>
            <w:pPr>
              <w:pStyle w:val="TableParagraph"/>
              <w:spacing w:before="25"/>
              <w:ind w:left="204" w:right="187"/>
              <w:rPr>
                <w:sz w:val="24"/>
              </w:rPr>
            </w:pPr>
            <w:r>
              <w:rPr>
                <w:sz w:val="24"/>
              </w:rPr>
              <w:t>3.50</w:t>
            </w:r>
          </w:p>
        </w:tc>
        <w:tc>
          <w:tcPr>
            <w:tcW w:w="935" w:type="dxa"/>
            <w:tcBorders>
              <w:top w:val="nil"/>
              <w:left w:val="nil"/>
              <w:bottom w:val="single" w:sz="2" w:space="0" w:color="000000"/>
              <w:right w:val="nil"/>
            </w:tcBorders>
          </w:tcPr>
          <w:p>
            <w:pPr>
              <w:pStyle w:val="TableParagraph"/>
              <w:spacing w:before="25"/>
              <w:ind w:left="20"/>
              <w:rPr>
                <w:sz w:val="24"/>
              </w:rPr>
            </w:pPr>
            <w:r>
              <w:rPr>
                <w:w w:val="99"/>
                <w:sz w:val="24"/>
              </w:rPr>
              <w:t>-</w:t>
            </w:r>
          </w:p>
        </w:tc>
        <w:tc>
          <w:tcPr>
            <w:tcW w:w="751" w:type="dxa"/>
            <w:tcBorders>
              <w:top w:val="nil"/>
              <w:left w:val="nil"/>
              <w:bottom w:val="single" w:sz="2" w:space="0" w:color="000000"/>
              <w:right w:val="nil"/>
            </w:tcBorders>
          </w:tcPr>
          <w:p>
            <w:pPr>
              <w:pStyle w:val="TableParagraph"/>
              <w:spacing w:before="25"/>
              <w:ind w:left="44"/>
              <w:rPr>
                <w:sz w:val="24"/>
              </w:rPr>
            </w:pPr>
            <w:r>
              <w:rPr>
                <w:w w:val="99"/>
                <w:sz w:val="24"/>
              </w:rPr>
              <w:t>-</w:t>
            </w:r>
          </w:p>
        </w:tc>
        <w:tc>
          <w:tcPr>
            <w:tcW w:w="924" w:type="dxa"/>
            <w:tcBorders>
              <w:top w:val="nil"/>
              <w:left w:val="nil"/>
              <w:bottom w:val="single" w:sz="2" w:space="0" w:color="000000"/>
              <w:right w:val="nil"/>
            </w:tcBorders>
          </w:tcPr>
          <w:p>
            <w:pPr>
              <w:pStyle w:val="TableParagraph"/>
              <w:spacing w:before="25"/>
              <w:ind w:left="24"/>
              <w:rPr>
                <w:sz w:val="24"/>
              </w:rPr>
            </w:pPr>
            <w:r>
              <w:rPr>
                <w:w w:val="99"/>
                <w:sz w:val="24"/>
              </w:rPr>
              <w:t>-</w:t>
            </w:r>
          </w:p>
        </w:tc>
        <w:tc>
          <w:tcPr>
            <w:tcW w:w="792" w:type="dxa"/>
            <w:tcBorders>
              <w:top w:val="nil"/>
              <w:left w:val="nil"/>
              <w:bottom w:val="single" w:sz="2" w:space="0" w:color="000000"/>
              <w:right w:val="nil"/>
            </w:tcBorders>
          </w:tcPr>
          <w:p>
            <w:pPr>
              <w:pStyle w:val="TableParagraph"/>
              <w:spacing w:before="25"/>
              <w:ind w:right="9"/>
              <w:rPr>
                <w:sz w:val="24"/>
              </w:rPr>
            </w:pPr>
            <w:r>
              <w:rPr>
                <w:w w:val="99"/>
                <w:sz w:val="24"/>
              </w:rPr>
              <w:t>-</w:t>
            </w:r>
          </w:p>
        </w:tc>
      </w:tr>
    </w:tbl>
    <w:p>
      <w:pPr>
        <w:pStyle w:val="BodyText"/>
        <w:spacing w:line="273" w:lineRule="exact"/>
        <w:ind w:left="192" w:right="237"/>
      </w:pPr>
      <w:r>
        <w:rPr>
          <w:position w:val="9"/>
          <w:sz w:val="16"/>
        </w:rPr>
        <w:t>1</w:t>
      </w:r>
      <w:r>
        <w:rPr/>
        <w:t>Saskatckewan Katadhin Sheep, (1999); </w:t>
      </w:r>
      <w:r>
        <w:rPr>
          <w:position w:val="9"/>
          <w:sz w:val="16"/>
        </w:rPr>
        <w:t>2 </w:t>
      </w:r>
      <w:r>
        <w:rPr/>
        <w:t>Moreno, (2010); </w:t>
      </w:r>
      <w:r>
        <w:rPr>
          <w:position w:val="9"/>
          <w:sz w:val="16"/>
        </w:rPr>
        <w:t>3 </w:t>
      </w:r>
      <w:r>
        <w:rPr/>
        <w:t>Mondragón </w:t>
      </w:r>
      <w:r>
        <w:rPr>
          <w:i/>
        </w:rPr>
        <w:t>et al. </w:t>
      </w:r>
      <w:r>
        <w:rPr/>
        <w:t>(2010).</w:t>
      </w:r>
    </w:p>
    <w:p>
      <w:pPr>
        <w:pStyle w:val="BodyText"/>
        <w:spacing w:before="8"/>
        <w:rPr>
          <w:sz w:val="36"/>
        </w:rPr>
      </w:pPr>
    </w:p>
    <w:p>
      <w:pPr>
        <w:pStyle w:val="Heading1"/>
        <w:numPr>
          <w:ilvl w:val="1"/>
          <w:numId w:val="9"/>
        </w:numPr>
        <w:tabs>
          <w:tab w:pos="553" w:val="left" w:leader="none"/>
        </w:tabs>
        <w:spacing w:line="240" w:lineRule="auto" w:before="0" w:after="0"/>
        <w:ind w:left="552" w:right="0" w:hanging="360"/>
        <w:jc w:val="left"/>
      </w:pPr>
      <w:bookmarkStart w:name="_bookmark21" w:id="38"/>
      <w:bookmarkEnd w:id="38"/>
      <w:r>
        <w:rPr>
          <w:b w:val="0"/>
        </w:rPr>
      </w:r>
      <w:bookmarkStart w:name="_bookmark21" w:id="39"/>
      <w:bookmarkEnd w:id="39"/>
      <w:r>
        <w:rPr/>
        <w:t>Cali</w:t>
      </w:r>
      <w:r>
        <w:rPr/>
        <w:t>dad de la</w:t>
      </w:r>
      <w:r>
        <w:rPr>
          <w:spacing w:val="-3"/>
        </w:rPr>
        <w:t> </w:t>
      </w:r>
      <w:r>
        <w:rPr/>
        <w:t>carne</w:t>
      </w:r>
    </w:p>
    <w:p>
      <w:pPr>
        <w:pStyle w:val="BodyText"/>
        <w:spacing w:line="360" w:lineRule="auto" w:before="132"/>
        <w:ind w:left="192" w:right="185" w:firstLine="707"/>
        <w:jc w:val="both"/>
      </w:pPr>
      <w:r>
        <w:rPr/>
        <w:t>La “calidad” es un término complejo de definir, el concepto de “calidad” más extendido es el que la define como “</w:t>
      </w:r>
      <w:r>
        <w:rPr>
          <w:i/>
        </w:rPr>
        <w:t>la adecuación al uso”</w:t>
      </w:r>
      <w:r>
        <w:rPr/>
        <w:t>, es decir, la capacidad de un producto para satisfacer las expectativas del consumidor. En el caso de un alimento, la calidad engloba diferentes conceptos:</w:t>
      </w:r>
    </w:p>
    <w:p>
      <w:pPr>
        <w:spacing w:after="0" w:line="360" w:lineRule="auto"/>
        <w:jc w:val="both"/>
        <w:sectPr>
          <w:pgSz w:w="12240" w:h="15840"/>
          <w:pgMar w:header="1154" w:footer="1383" w:top="1400" w:bottom="1580" w:left="1680" w:right="1340"/>
        </w:sectPr>
      </w:pPr>
    </w:p>
    <w:p>
      <w:pPr>
        <w:pStyle w:val="BodyText"/>
        <w:spacing w:before="2"/>
        <w:rPr>
          <w:sz w:val="28"/>
        </w:rPr>
      </w:pPr>
    </w:p>
    <w:p>
      <w:pPr>
        <w:spacing w:before="69"/>
        <w:ind w:left="152" w:right="0" w:firstLine="0"/>
        <w:jc w:val="left"/>
        <w:rPr>
          <w:sz w:val="24"/>
        </w:rPr>
      </w:pPr>
      <w:r>
        <w:rPr>
          <w:sz w:val="16"/>
        </w:rPr>
        <w:t>1.    </w:t>
      </w:r>
      <w:r>
        <w:rPr>
          <w:i/>
          <w:sz w:val="24"/>
        </w:rPr>
        <w:t>Calidad higiénico-sanitaria: </w:t>
      </w:r>
      <w:r>
        <w:rPr>
          <w:sz w:val="24"/>
        </w:rPr>
        <w:t>Libre de contaminación microbiana y de sustancias tóxicas.</w:t>
      </w:r>
    </w:p>
    <w:p>
      <w:pPr>
        <w:spacing w:line="360" w:lineRule="auto" w:before="137"/>
        <w:ind w:left="435" w:right="156" w:hanging="284"/>
        <w:jc w:val="left"/>
        <w:rPr>
          <w:sz w:val="24"/>
        </w:rPr>
      </w:pPr>
      <w:r>
        <w:rPr>
          <w:sz w:val="16"/>
        </w:rPr>
        <w:t>2. </w:t>
      </w:r>
      <w:r>
        <w:rPr>
          <w:i/>
          <w:sz w:val="24"/>
        </w:rPr>
        <w:t>Calidad nutritiva: </w:t>
      </w:r>
      <w:r>
        <w:rPr>
          <w:sz w:val="24"/>
        </w:rPr>
        <w:t>Que aporte los nutrientes  necesarios  para satisfacer las  necesidades del organismo.</w:t>
      </w:r>
    </w:p>
    <w:p>
      <w:pPr>
        <w:spacing w:line="360" w:lineRule="auto" w:before="4"/>
        <w:ind w:left="435" w:right="156" w:hanging="284"/>
        <w:jc w:val="left"/>
        <w:rPr>
          <w:sz w:val="24"/>
        </w:rPr>
      </w:pPr>
      <w:r>
        <w:rPr>
          <w:sz w:val="16"/>
        </w:rPr>
        <w:t>3. </w:t>
      </w:r>
      <w:r>
        <w:rPr>
          <w:i/>
          <w:sz w:val="24"/>
        </w:rPr>
        <w:t>Calidad organoléptica: </w:t>
      </w:r>
      <w:r>
        <w:rPr>
          <w:sz w:val="24"/>
        </w:rPr>
        <w:t>Que durante su consumo, ofrezca, percepciones satisfactorias de carácter sensorial.</w:t>
      </w:r>
    </w:p>
    <w:p>
      <w:pPr>
        <w:pStyle w:val="BodyText"/>
        <w:spacing w:line="360" w:lineRule="auto" w:before="4"/>
        <w:ind w:left="435" w:right="156" w:hanging="284"/>
      </w:pPr>
      <w:r>
        <w:rPr>
          <w:sz w:val="16"/>
        </w:rPr>
        <w:t>4. </w:t>
      </w:r>
      <w:r>
        <w:rPr>
          <w:i/>
        </w:rPr>
        <w:t>Calidad tecnológica: </w:t>
      </w:r>
      <w:r>
        <w:rPr/>
        <w:t>que mantenga las características necesarias para el desarrollo de determinados procesos de transformación en la industria de manejo y de conservación.</w:t>
      </w:r>
    </w:p>
    <w:p>
      <w:pPr>
        <w:pStyle w:val="BodyText"/>
        <w:spacing w:line="362" w:lineRule="auto" w:before="4"/>
        <w:ind w:left="435" w:right="156" w:hanging="284"/>
      </w:pPr>
      <w:r>
        <w:rPr>
          <w:sz w:val="16"/>
        </w:rPr>
        <w:t>5. </w:t>
      </w:r>
      <w:r>
        <w:rPr>
          <w:i/>
        </w:rPr>
        <w:t>Calidad de servicio: </w:t>
      </w:r>
      <w:r>
        <w:rPr/>
        <w:t>que posea ciertas cualidades culinarias o cierto formato de presentación que permita que sea fácil de preparar  y /o consumir.</w:t>
      </w:r>
    </w:p>
    <w:p>
      <w:pPr>
        <w:pStyle w:val="BodyText"/>
        <w:spacing w:line="360" w:lineRule="auto" w:before="1"/>
        <w:ind w:left="152" w:right="143"/>
        <w:jc w:val="right"/>
      </w:pPr>
      <w:r>
        <w:rPr>
          <w:sz w:val="16"/>
        </w:rPr>
        <w:t>6. </w:t>
      </w:r>
      <w:r>
        <w:rPr>
          <w:i/>
        </w:rPr>
        <w:t>Calidad simbólica</w:t>
      </w:r>
      <w:r>
        <w:rPr/>
        <w:t>: que posea ciertas características que el consumidor asocie con una mayor calidad (producto fresco </w:t>
      </w:r>
      <w:r>
        <w:rPr>
          <w:i/>
        </w:rPr>
        <w:t>vs </w:t>
      </w:r>
      <w:r>
        <w:rPr/>
        <w:t>a congelado, imagen de una determinada marca, etc.). Atendiendo a las distintas definiciones de calidad existen diversos parámetros y atributos</w:t>
      </w:r>
      <w:r>
        <w:rPr>
          <w:spacing w:val="28"/>
        </w:rPr>
        <w:t> </w:t>
      </w:r>
      <w:r>
        <w:rPr/>
        <w:t>indicativos de la calidad de la carne, como son el pH, el color, el contenido de pigmentos, la flora bacteriana, la capacidad de retención de agua, la composición química y energética, los niveles de oxidación lipídica, propiedades de textura,</w:t>
      </w:r>
      <w:r>
        <w:rPr>
          <w:spacing w:val="51"/>
        </w:rPr>
        <w:t> </w:t>
      </w:r>
      <w:r>
        <w:rPr/>
        <w:t>atributos sensoriales</w:t>
      </w:r>
      <w:r>
        <w:rPr>
          <w:w w:val="99"/>
        </w:rPr>
        <w:t> </w:t>
      </w:r>
      <w:r>
        <w:rPr/>
        <w:t>como olor, sabor y aromas percibidos durante la masticación. Dichos atributos de calidad no  pueden  considerarse  independientes,  </w:t>
      </w:r>
      <w:r>
        <w:rPr>
          <w:spacing w:val="-3"/>
        </w:rPr>
        <w:t>ya  </w:t>
      </w:r>
      <w:r>
        <w:rPr/>
        <w:t>que  están  muy  relacionados  entre  sí  y   su</w:t>
      </w:r>
    </w:p>
    <w:p>
      <w:pPr>
        <w:pStyle w:val="BodyText"/>
        <w:spacing w:before="4"/>
        <w:ind w:left="152" w:right="156"/>
      </w:pPr>
      <w:r>
        <w:rPr/>
        <w:t>interacción proporciona las características globales de calidad de carne (Sierra, 2010).</w:t>
      </w:r>
    </w:p>
    <w:p>
      <w:pPr>
        <w:pStyle w:val="BodyText"/>
      </w:pPr>
    </w:p>
    <w:p>
      <w:pPr>
        <w:pStyle w:val="BodyText"/>
        <w:spacing w:before="4"/>
      </w:pPr>
    </w:p>
    <w:p>
      <w:pPr>
        <w:pStyle w:val="ListParagraph"/>
        <w:numPr>
          <w:ilvl w:val="2"/>
          <w:numId w:val="10"/>
        </w:numPr>
        <w:tabs>
          <w:tab w:pos="650" w:val="left" w:leader="none"/>
        </w:tabs>
        <w:spacing w:line="240" w:lineRule="auto" w:before="0" w:after="0"/>
        <w:ind w:left="649" w:right="0" w:hanging="497"/>
        <w:jc w:val="left"/>
        <w:rPr>
          <w:b/>
          <w:i/>
          <w:sz w:val="22"/>
        </w:rPr>
      </w:pPr>
      <w:bookmarkStart w:name="_bookmark22" w:id="40"/>
      <w:bookmarkEnd w:id="40"/>
      <w:r>
        <w:rPr/>
      </w:r>
      <w:bookmarkStart w:name="_bookmark22" w:id="41"/>
      <w:bookmarkEnd w:id="41"/>
      <w:r>
        <w:rPr>
          <w:b/>
          <w:i/>
          <w:sz w:val="22"/>
        </w:rPr>
        <w:t>Par</w:t>
      </w:r>
      <w:r>
        <w:rPr>
          <w:b/>
          <w:i/>
          <w:sz w:val="22"/>
        </w:rPr>
        <w:t>ámetros fisicoquímicos que determinan la calidad de la</w:t>
      </w:r>
      <w:r>
        <w:rPr>
          <w:b/>
          <w:i/>
          <w:spacing w:val="-20"/>
          <w:sz w:val="22"/>
        </w:rPr>
        <w:t> </w:t>
      </w:r>
      <w:r>
        <w:rPr>
          <w:b/>
          <w:i/>
          <w:sz w:val="22"/>
        </w:rPr>
        <w:t>carne</w:t>
      </w:r>
    </w:p>
    <w:p>
      <w:pPr>
        <w:pStyle w:val="BodyText"/>
        <w:rPr>
          <w:b/>
          <w:i/>
          <w:sz w:val="22"/>
        </w:rPr>
      </w:pPr>
    </w:p>
    <w:p>
      <w:pPr>
        <w:pStyle w:val="BodyText"/>
        <w:rPr>
          <w:b/>
          <w:i/>
          <w:sz w:val="25"/>
        </w:rPr>
      </w:pPr>
    </w:p>
    <w:p>
      <w:pPr>
        <w:pStyle w:val="ListParagraph"/>
        <w:numPr>
          <w:ilvl w:val="2"/>
          <w:numId w:val="10"/>
        </w:numPr>
        <w:tabs>
          <w:tab w:pos="650" w:val="left" w:leader="none"/>
        </w:tabs>
        <w:spacing w:line="240" w:lineRule="auto" w:before="1" w:after="0"/>
        <w:ind w:left="649" w:right="0" w:hanging="497"/>
        <w:jc w:val="left"/>
        <w:rPr>
          <w:b/>
          <w:i/>
          <w:sz w:val="22"/>
        </w:rPr>
      </w:pPr>
      <w:bookmarkStart w:name="_bookmark23" w:id="42"/>
      <w:bookmarkEnd w:id="42"/>
      <w:r>
        <w:rPr/>
      </w:r>
      <w:bookmarkStart w:name="_bookmark23" w:id="43"/>
      <w:bookmarkEnd w:id="43"/>
      <w:r>
        <w:rPr>
          <w:b/>
          <w:i/>
          <w:sz w:val="22"/>
        </w:rPr>
        <w:t>p</w:t>
      </w:r>
      <w:r>
        <w:rPr>
          <w:b/>
          <w:i/>
          <w:sz w:val="22"/>
        </w:rPr>
        <w:t>H</w:t>
      </w:r>
      <w:r>
        <w:rPr>
          <w:b/>
          <w:i/>
          <w:spacing w:val="-4"/>
          <w:sz w:val="22"/>
        </w:rPr>
        <w:t> </w:t>
      </w:r>
      <w:r>
        <w:rPr>
          <w:b/>
          <w:i/>
          <w:sz w:val="22"/>
        </w:rPr>
        <w:t>muscular</w:t>
      </w:r>
    </w:p>
    <w:p>
      <w:pPr>
        <w:pStyle w:val="BodyText"/>
        <w:spacing w:line="360" w:lineRule="auto" w:before="122"/>
        <w:ind w:left="152" w:right="147" w:firstLine="707"/>
        <w:jc w:val="both"/>
      </w:pPr>
      <w:r>
        <w:rPr/>
        <w:t>Es la característica de calidad de la carne más importante </w:t>
      </w:r>
      <w:r>
        <w:rPr>
          <w:spacing w:val="-3"/>
        </w:rPr>
        <w:t>ya </w:t>
      </w:r>
      <w:r>
        <w:rPr/>
        <w:t>que afecta directamente a la estabilidad y propiedades de las proteínas, de su valor final (medido generalmente a las 24 horas post-mortem) así como la velocidad de caída del mismo durante la transformación del músculo en carne, afectan a las características organolépticas (color, jugosidad, etc.) y tecnológicas de la misma (capacidad de retención de agua, capacidad de conservación). (Sañudo, 1991). El pH del tejido muscular del animal vivo es prácticamente neutro.  Cuando</w:t>
      </w:r>
      <w:r>
        <w:rPr>
          <w:spacing w:val="21"/>
        </w:rPr>
        <w:t> </w:t>
      </w:r>
      <w:r>
        <w:rPr/>
        <w:t>el</w:t>
      </w:r>
      <w:r>
        <w:rPr>
          <w:spacing w:val="22"/>
        </w:rPr>
        <w:t> </w:t>
      </w:r>
      <w:r>
        <w:rPr/>
        <w:t>animal</w:t>
      </w:r>
      <w:r>
        <w:rPr>
          <w:spacing w:val="22"/>
        </w:rPr>
        <w:t> </w:t>
      </w:r>
      <w:r>
        <w:rPr/>
        <w:t>muere,</w:t>
      </w:r>
      <w:r>
        <w:rPr>
          <w:spacing w:val="21"/>
        </w:rPr>
        <w:t> </w:t>
      </w:r>
      <w:r>
        <w:rPr/>
        <w:t>cesa</w:t>
      </w:r>
      <w:r>
        <w:rPr>
          <w:spacing w:val="21"/>
        </w:rPr>
        <w:t> </w:t>
      </w:r>
      <w:r>
        <w:rPr/>
        <w:t>el</w:t>
      </w:r>
      <w:r>
        <w:rPr>
          <w:spacing w:val="22"/>
        </w:rPr>
        <w:t> </w:t>
      </w:r>
      <w:r>
        <w:rPr/>
        <w:t>aporte</w:t>
      </w:r>
      <w:r>
        <w:rPr>
          <w:spacing w:val="20"/>
        </w:rPr>
        <w:t> </w:t>
      </w:r>
      <w:r>
        <w:rPr/>
        <w:t>sanguíneo</w:t>
      </w:r>
      <w:r>
        <w:rPr>
          <w:spacing w:val="21"/>
        </w:rPr>
        <w:t> </w:t>
      </w:r>
      <w:r>
        <w:rPr/>
        <w:t>de</w:t>
      </w:r>
      <w:r>
        <w:rPr>
          <w:spacing w:val="20"/>
        </w:rPr>
        <w:t> </w:t>
      </w:r>
      <w:r>
        <w:rPr/>
        <w:t>oxígeno</w:t>
      </w:r>
      <w:r>
        <w:rPr>
          <w:spacing w:val="24"/>
        </w:rPr>
        <w:t> </w:t>
      </w:r>
      <w:r>
        <w:rPr/>
        <w:t>y</w:t>
      </w:r>
      <w:r>
        <w:rPr>
          <w:spacing w:val="16"/>
        </w:rPr>
        <w:t> </w:t>
      </w:r>
      <w:r>
        <w:rPr/>
        <w:t>nutrientes</w:t>
      </w:r>
      <w:r>
        <w:rPr>
          <w:spacing w:val="22"/>
        </w:rPr>
        <w:t> </w:t>
      </w:r>
      <w:r>
        <w:rPr/>
        <w:t>al</w:t>
      </w:r>
      <w:r>
        <w:rPr>
          <w:spacing w:val="22"/>
        </w:rPr>
        <w:t> </w:t>
      </w:r>
      <w:r>
        <w:rPr/>
        <w:t>músculo,</w:t>
      </w:r>
      <w:r>
        <w:rPr>
          <w:spacing w:val="21"/>
        </w:rPr>
        <w:t> </w:t>
      </w:r>
      <w:r>
        <w:rPr/>
        <w:t>el</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92" w:right="187"/>
        <w:jc w:val="both"/>
      </w:pPr>
      <w:r>
        <w:rPr/>
        <w:t>cual debe utilizar sus reservas de energía para sintetizar ATP con el fin de mantener su temperatura e integridad muscular. Conforme se reducen los niveles de ATP se genera simultáneamente fosfato inorgánico, que a su vez estimula la degradación de glucógeno a ácido láctico mediante la glucólisis anaerobia (Garrido </w:t>
      </w:r>
      <w:r>
        <w:rPr>
          <w:i/>
        </w:rPr>
        <w:t>et al., </w:t>
      </w:r>
      <w:r>
        <w:rPr/>
        <w:t>2005). La formación de ácido láctico y de otros ácidos orgánicos provoca un descenso del pH muscular que continua  hasta que se agotan las reservas de glucógeno o hasta que se inactivan las enzimas que  rigen el metabolismo muscular (Lawrie, 1998). Debido a la relación que existe entre el descenso del pH y la transformación del músculo en carne, la determinación de este parámetro constituye una buena medida para conocer el proceso de maduración y valorar la calidad de la carne como producto final del mismo (Purchas, 1990). Existen dos circunstancias en la evolución del pH de los animales sacrificados que producen alteraciones en la calidad de la carne, las cuales son las conocidas como carnes PSE (pale, soft, exudative) y DFD (dark, firm, dry) cuyas características han sido ampliamente estudiadas (Galian, 2004). En el Cuadro 5 se pueden observar estas</w:t>
      </w:r>
      <w:r>
        <w:rPr>
          <w:spacing w:val="-12"/>
        </w:rPr>
        <w:t> </w:t>
      </w:r>
      <w:r>
        <w:rPr/>
        <w:t>características.</w:t>
      </w:r>
    </w:p>
    <w:p>
      <w:pPr>
        <w:pStyle w:val="BodyText"/>
        <w:rPr>
          <w:sz w:val="20"/>
        </w:rPr>
      </w:pPr>
    </w:p>
    <w:p>
      <w:pPr>
        <w:pStyle w:val="BodyText"/>
        <w:spacing w:before="1"/>
        <w:rPr>
          <w:sz w:val="19"/>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76"/>
        <w:gridCol w:w="2723"/>
        <w:gridCol w:w="2996"/>
      </w:tblGrid>
      <w:tr>
        <w:trPr>
          <w:trHeight w:val="301" w:hRule="exact"/>
        </w:trPr>
        <w:tc>
          <w:tcPr>
            <w:tcW w:w="8995" w:type="dxa"/>
            <w:gridSpan w:val="3"/>
            <w:tcBorders>
              <w:bottom w:val="single" w:sz="8" w:space="0" w:color="000000"/>
            </w:tcBorders>
          </w:tcPr>
          <w:p>
            <w:pPr>
              <w:pStyle w:val="TableParagraph"/>
              <w:spacing w:line="245" w:lineRule="exact"/>
              <w:ind w:left="2011"/>
              <w:jc w:val="left"/>
              <w:rPr>
                <w:sz w:val="24"/>
              </w:rPr>
            </w:pPr>
            <w:r>
              <w:rPr>
                <w:b/>
                <w:sz w:val="24"/>
              </w:rPr>
              <w:t>Cuadro 5. </w:t>
            </w:r>
            <w:r>
              <w:rPr>
                <w:sz w:val="24"/>
              </w:rPr>
              <w:t>Características de las carnes PSE y DFD</w:t>
            </w:r>
          </w:p>
        </w:tc>
      </w:tr>
      <w:tr>
        <w:trPr>
          <w:trHeight w:val="351" w:hRule="exact"/>
        </w:trPr>
        <w:tc>
          <w:tcPr>
            <w:tcW w:w="3276" w:type="dxa"/>
            <w:tcBorders>
              <w:top w:val="single" w:sz="8" w:space="0" w:color="000000"/>
              <w:bottom w:val="single" w:sz="8" w:space="0" w:color="000000"/>
            </w:tcBorders>
          </w:tcPr>
          <w:p>
            <w:pPr>
              <w:pStyle w:val="TableParagraph"/>
              <w:spacing w:before="6"/>
              <w:ind w:left="83"/>
              <w:jc w:val="left"/>
              <w:rPr>
                <w:b/>
                <w:sz w:val="24"/>
              </w:rPr>
            </w:pPr>
            <w:r>
              <w:rPr>
                <w:b/>
                <w:sz w:val="24"/>
              </w:rPr>
              <w:t>Características</w:t>
            </w:r>
          </w:p>
        </w:tc>
        <w:tc>
          <w:tcPr>
            <w:tcW w:w="2723" w:type="dxa"/>
            <w:tcBorders>
              <w:top w:val="single" w:sz="8" w:space="0" w:color="000000"/>
              <w:bottom w:val="single" w:sz="8" w:space="0" w:color="000000"/>
            </w:tcBorders>
          </w:tcPr>
          <w:p>
            <w:pPr>
              <w:pStyle w:val="TableParagraph"/>
              <w:spacing w:before="6"/>
              <w:ind w:left="919" w:right="509"/>
              <w:rPr>
                <w:b/>
                <w:sz w:val="24"/>
              </w:rPr>
            </w:pPr>
            <w:r>
              <w:rPr>
                <w:b/>
                <w:sz w:val="24"/>
              </w:rPr>
              <w:t>Carne PSE</w:t>
            </w:r>
          </w:p>
        </w:tc>
        <w:tc>
          <w:tcPr>
            <w:tcW w:w="2996" w:type="dxa"/>
            <w:tcBorders>
              <w:top w:val="single" w:sz="8" w:space="0" w:color="000000"/>
              <w:bottom w:val="single" w:sz="8" w:space="0" w:color="000000"/>
            </w:tcBorders>
          </w:tcPr>
          <w:p>
            <w:pPr>
              <w:pStyle w:val="TableParagraph"/>
              <w:spacing w:before="6"/>
              <w:ind w:left="508" w:right="606"/>
              <w:rPr>
                <w:b/>
                <w:sz w:val="24"/>
              </w:rPr>
            </w:pPr>
            <w:r>
              <w:rPr>
                <w:b/>
                <w:sz w:val="24"/>
              </w:rPr>
              <w:t>Carne DFD</w:t>
            </w:r>
          </w:p>
        </w:tc>
      </w:tr>
      <w:tr>
        <w:trPr>
          <w:trHeight w:val="320" w:hRule="exact"/>
        </w:trPr>
        <w:tc>
          <w:tcPr>
            <w:tcW w:w="3276" w:type="dxa"/>
            <w:tcBorders>
              <w:top w:val="single" w:sz="8" w:space="0" w:color="000000"/>
            </w:tcBorders>
          </w:tcPr>
          <w:p>
            <w:pPr>
              <w:pStyle w:val="TableParagraph"/>
              <w:spacing w:line="273" w:lineRule="exact"/>
              <w:ind w:left="83"/>
              <w:jc w:val="left"/>
              <w:rPr>
                <w:sz w:val="24"/>
              </w:rPr>
            </w:pPr>
            <w:r>
              <w:rPr>
                <w:sz w:val="24"/>
              </w:rPr>
              <w:t>Glicólisis, caída del pH</w:t>
            </w:r>
          </w:p>
        </w:tc>
        <w:tc>
          <w:tcPr>
            <w:tcW w:w="2723" w:type="dxa"/>
            <w:tcBorders>
              <w:top w:val="single" w:sz="8" w:space="0" w:color="000000"/>
            </w:tcBorders>
          </w:tcPr>
          <w:p>
            <w:pPr>
              <w:pStyle w:val="TableParagraph"/>
              <w:spacing w:line="273" w:lineRule="exact"/>
              <w:ind w:left="919" w:right="510"/>
              <w:rPr>
                <w:sz w:val="24"/>
              </w:rPr>
            </w:pPr>
            <w:r>
              <w:rPr>
                <w:sz w:val="24"/>
              </w:rPr>
              <w:t>Muy elevada</w:t>
            </w:r>
          </w:p>
        </w:tc>
        <w:tc>
          <w:tcPr>
            <w:tcW w:w="2996" w:type="dxa"/>
            <w:tcBorders>
              <w:top w:val="single" w:sz="8" w:space="0" w:color="000000"/>
            </w:tcBorders>
          </w:tcPr>
          <w:p>
            <w:pPr>
              <w:pStyle w:val="TableParagraph"/>
              <w:spacing w:line="273" w:lineRule="exact"/>
              <w:ind w:left="511" w:right="606"/>
              <w:rPr>
                <w:sz w:val="24"/>
              </w:rPr>
            </w:pPr>
            <w:r>
              <w:rPr>
                <w:sz w:val="24"/>
              </w:rPr>
              <w:t>Lenta e incompleta</w:t>
            </w:r>
          </w:p>
        </w:tc>
      </w:tr>
      <w:tr>
        <w:trPr>
          <w:trHeight w:val="333" w:hRule="exact"/>
        </w:trPr>
        <w:tc>
          <w:tcPr>
            <w:tcW w:w="3276" w:type="dxa"/>
          </w:tcPr>
          <w:p>
            <w:pPr>
              <w:pStyle w:val="TableParagraph"/>
              <w:spacing w:before="12"/>
              <w:ind w:left="83"/>
              <w:jc w:val="left"/>
              <w:rPr>
                <w:sz w:val="24"/>
              </w:rPr>
            </w:pPr>
            <w:r>
              <w:rPr>
                <w:sz w:val="24"/>
              </w:rPr>
              <w:t>Valor de pH</w:t>
            </w:r>
          </w:p>
        </w:tc>
        <w:tc>
          <w:tcPr>
            <w:tcW w:w="2723" w:type="dxa"/>
          </w:tcPr>
          <w:p>
            <w:pPr>
              <w:pStyle w:val="TableParagraph"/>
              <w:spacing w:before="8"/>
              <w:ind w:left="919" w:right="510"/>
              <w:rPr>
                <w:sz w:val="24"/>
              </w:rPr>
            </w:pPr>
            <w:r>
              <w:rPr>
                <w:sz w:val="24"/>
              </w:rPr>
              <w:t>pH 45 </w:t>
            </w:r>
            <w:r>
              <w:rPr>
                <w:rFonts w:ascii="Calibri"/>
                <w:sz w:val="24"/>
              </w:rPr>
              <w:t>&lt; </w:t>
            </w:r>
            <w:r>
              <w:rPr>
                <w:sz w:val="24"/>
              </w:rPr>
              <w:t>5.8</w:t>
            </w:r>
          </w:p>
        </w:tc>
        <w:tc>
          <w:tcPr>
            <w:tcW w:w="2996" w:type="dxa"/>
          </w:tcPr>
          <w:p>
            <w:pPr>
              <w:pStyle w:val="TableParagraph"/>
              <w:spacing w:before="8"/>
              <w:ind w:left="511" w:right="604"/>
              <w:rPr>
                <w:sz w:val="24"/>
              </w:rPr>
            </w:pPr>
            <w:r>
              <w:rPr>
                <w:sz w:val="24"/>
              </w:rPr>
              <w:t>pH 24 </w:t>
            </w:r>
            <w:r>
              <w:rPr>
                <w:rFonts w:ascii="Calibri"/>
                <w:sz w:val="24"/>
              </w:rPr>
              <w:t>&gt; </w:t>
            </w:r>
            <w:r>
              <w:rPr>
                <w:sz w:val="24"/>
              </w:rPr>
              <w:t>6.2</w:t>
            </w:r>
          </w:p>
        </w:tc>
      </w:tr>
      <w:tr>
        <w:trPr>
          <w:trHeight w:val="315" w:hRule="exact"/>
        </w:trPr>
        <w:tc>
          <w:tcPr>
            <w:tcW w:w="3276" w:type="dxa"/>
          </w:tcPr>
          <w:p>
            <w:pPr>
              <w:pStyle w:val="TableParagraph"/>
              <w:spacing w:before="5"/>
              <w:ind w:left="83"/>
              <w:jc w:val="left"/>
              <w:rPr>
                <w:sz w:val="24"/>
              </w:rPr>
            </w:pPr>
            <w:r>
              <w:rPr>
                <w:sz w:val="24"/>
              </w:rPr>
              <w:t>Color</w:t>
            </w:r>
          </w:p>
        </w:tc>
        <w:tc>
          <w:tcPr>
            <w:tcW w:w="2723" w:type="dxa"/>
          </w:tcPr>
          <w:p>
            <w:pPr>
              <w:pStyle w:val="TableParagraph"/>
              <w:spacing w:before="5"/>
              <w:ind w:left="919" w:right="511"/>
              <w:rPr>
                <w:sz w:val="24"/>
              </w:rPr>
            </w:pPr>
            <w:r>
              <w:rPr>
                <w:sz w:val="24"/>
              </w:rPr>
              <w:t>Claro, pálido</w:t>
            </w:r>
          </w:p>
        </w:tc>
        <w:tc>
          <w:tcPr>
            <w:tcW w:w="2996" w:type="dxa"/>
          </w:tcPr>
          <w:p>
            <w:pPr>
              <w:pStyle w:val="TableParagraph"/>
              <w:spacing w:before="5"/>
              <w:ind w:left="509" w:right="606"/>
              <w:rPr>
                <w:sz w:val="24"/>
              </w:rPr>
            </w:pPr>
            <w:r>
              <w:rPr>
                <w:sz w:val="24"/>
              </w:rPr>
              <w:t>Oscuro</w:t>
            </w:r>
          </w:p>
        </w:tc>
      </w:tr>
      <w:tr>
        <w:trPr>
          <w:trHeight w:val="318" w:hRule="exact"/>
        </w:trPr>
        <w:tc>
          <w:tcPr>
            <w:tcW w:w="3276" w:type="dxa"/>
          </w:tcPr>
          <w:p>
            <w:pPr>
              <w:pStyle w:val="TableParagraph"/>
              <w:spacing w:before="7"/>
              <w:ind w:left="83"/>
              <w:jc w:val="left"/>
              <w:rPr>
                <w:sz w:val="24"/>
              </w:rPr>
            </w:pPr>
            <w:r>
              <w:rPr>
                <w:sz w:val="24"/>
              </w:rPr>
              <w:t>Consistencia</w:t>
            </w:r>
          </w:p>
        </w:tc>
        <w:tc>
          <w:tcPr>
            <w:tcW w:w="2723" w:type="dxa"/>
          </w:tcPr>
          <w:p>
            <w:pPr>
              <w:pStyle w:val="TableParagraph"/>
              <w:spacing w:before="7"/>
              <w:ind w:left="919" w:right="510"/>
              <w:rPr>
                <w:sz w:val="24"/>
              </w:rPr>
            </w:pPr>
            <w:r>
              <w:rPr>
                <w:sz w:val="24"/>
              </w:rPr>
              <w:t>Blando</w:t>
            </w:r>
          </w:p>
        </w:tc>
        <w:tc>
          <w:tcPr>
            <w:tcW w:w="2996" w:type="dxa"/>
          </w:tcPr>
          <w:p>
            <w:pPr>
              <w:pStyle w:val="TableParagraph"/>
              <w:spacing w:before="7"/>
              <w:ind w:left="511" w:right="606"/>
              <w:rPr>
                <w:sz w:val="24"/>
              </w:rPr>
            </w:pPr>
            <w:r>
              <w:rPr>
                <w:sz w:val="24"/>
              </w:rPr>
              <w:t>Dura, firme</w:t>
            </w:r>
          </w:p>
        </w:tc>
      </w:tr>
      <w:tr>
        <w:trPr>
          <w:trHeight w:val="318" w:hRule="exact"/>
        </w:trPr>
        <w:tc>
          <w:tcPr>
            <w:tcW w:w="3276" w:type="dxa"/>
          </w:tcPr>
          <w:p>
            <w:pPr>
              <w:pStyle w:val="TableParagraph"/>
              <w:spacing w:before="8"/>
              <w:ind w:left="83"/>
              <w:jc w:val="left"/>
              <w:rPr>
                <w:sz w:val="24"/>
              </w:rPr>
            </w:pPr>
            <w:r>
              <w:rPr>
                <w:sz w:val="24"/>
              </w:rPr>
              <w:t>CRA</w:t>
            </w:r>
          </w:p>
        </w:tc>
        <w:tc>
          <w:tcPr>
            <w:tcW w:w="2723" w:type="dxa"/>
          </w:tcPr>
          <w:p>
            <w:pPr>
              <w:pStyle w:val="TableParagraph"/>
              <w:spacing w:before="8"/>
              <w:ind w:left="918" w:right="511"/>
              <w:rPr>
                <w:sz w:val="24"/>
              </w:rPr>
            </w:pPr>
            <w:r>
              <w:rPr>
                <w:sz w:val="24"/>
              </w:rPr>
              <w:t>Escasa</w:t>
            </w:r>
          </w:p>
        </w:tc>
        <w:tc>
          <w:tcPr>
            <w:tcW w:w="2996" w:type="dxa"/>
          </w:tcPr>
          <w:p>
            <w:pPr>
              <w:pStyle w:val="TableParagraph"/>
              <w:spacing w:before="8"/>
              <w:ind w:left="511" w:right="606"/>
              <w:rPr>
                <w:sz w:val="24"/>
              </w:rPr>
            </w:pPr>
            <w:r>
              <w:rPr>
                <w:sz w:val="24"/>
              </w:rPr>
              <w:t>Elevada</w:t>
            </w:r>
          </w:p>
        </w:tc>
      </w:tr>
      <w:tr>
        <w:trPr>
          <w:trHeight w:val="320" w:hRule="exact"/>
        </w:trPr>
        <w:tc>
          <w:tcPr>
            <w:tcW w:w="3276" w:type="dxa"/>
          </w:tcPr>
          <w:p>
            <w:pPr>
              <w:pStyle w:val="TableParagraph"/>
              <w:spacing w:before="7"/>
              <w:ind w:left="83"/>
              <w:jc w:val="left"/>
              <w:rPr>
                <w:sz w:val="24"/>
              </w:rPr>
            </w:pPr>
            <w:r>
              <w:rPr>
                <w:sz w:val="24"/>
              </w:rPr>
              <w:t>% PO</w:t>
            </w:r>
          </w:p>
        </w:tc>
        <w:tc>
          <w:tcPr>
            <w:tcW w:w="2723" w:type="dxa"/>
          </w:tcPr>
          <w:p>
            <w:pPr>
              <w:pStyle w:val="TableParagraph"/>
              <w:spacing w:before="7"/>
              <w:ind w:left="919" w:right="510"/>
              <w:rPr>
                <w:sz w:val="24"/>
              </w:rPr>
            </w:pPr>
            <w:r>
              <w:rPr>
                <w:sz w:val="24"/>
              </w:rPr>
              <w:t>Alta</w:t>
            </w:r>
          </w:p>
        </w:tc>
        <w:tc>
          <w:tcPr>
            <w:tcW w:w="2996" w:type="dxa"/>
          </w:tcPr>
          <w:p>
            <w:pPr>
              <w:pStyle w:val="TableParagraph"/>
              <w:spacing w:before="7"/>
              <w:ind w:left="508" w:right="606"/>
              <w:rPr>
                <w:sz w:val="24"/>
              </w:rPr>
            </w:pPr>
            <w:r>
              <w:rPr>
                <w:sz w:val="24"/>
              </w:rPr>
              <w:t>Baja</w:t>
            </w:r>
          </w:p>
        </w:tc>
      </w:tr>
      <w:tr>
        <w:trPr>
          <w:trHeight w:val="350" w:hRule="exact"/>
        </w:trPr>
        <w:tc>
          <w:tcPr>
            <w:tcW w:w="3276" w:type="dxa"/>
            <w:tcBorders>
              <w:bottom w:val="single" w:sz="8" w:space="0" w:color="000000"/>
            </w:tcBorders>
          </w:tcPr>
          <w:p>
            <w:pPr>
              <w:pStyle w:val="TableParagraph"/>
              <w:spacing w:before="11"/>
              <w:ind w:left="83"/>
              <w:jc w:val="left"/>
              <w:rPr>
                <w:sz w:val="24"/>
              </w:rPr>
            </w:pPr>
            <w:r>
              <w:rPr>
                <w:sz w:val="24"/>
              </w:rPr>
              <w:t>Terneza</w:t>
            </w:r>
          </w:p>
        </w:tc>
        <w:tc>
          <w:tcPr>
            <w:tcW w:w="2723" w:type="dxa"/>
            <w:tcBorders>
              <w:bottom w:val="single" w:sz="8" w:space="0" w:color="000000"/>
            </w:tcBorders>
          </w:tcPr>
          <w:p>
            <w:pPr>
              <w:pStyle w:val="TableParagraph"/>
              <w:spacing w:before="11"/>
              <w:ind w:left="919" w:right="507"/>
              <w:rPr>
                <w:sz w:val="24"/>
              </w:rPr>
            </w:pPr>
            <w:r>
              <w:rPr>
                <w:sz w:val="24"/>
              </w:rPr>
              <w:t>Disminuida</w:t>
            </w:r>
          </w:p>
        </w:tc>
        <w:tc>
          <w:tcPr>
            <w:tcW w:w="2996" w:type="dxa"/>
            <w:tcBorders>
              <w:bottom w:val="single" w:sz="8" w:space="0" w:color="000000"/>
            </w:tcBorders>
          </w:tcPr>
          <w:p>
            <w:pPr>
              <w:pStyle w:val="TableParagraph"/>
              <w:spacing w:before="11"/>
              <w:ind w:left="509" w:right="606"/>
              <w:rPr>
                <w:sz w:val="24"/>
              </w:rPr>
            </w:pPr>
            <w:r>
              <w:rPr>
                <w:sz w:val="24"/>
              </w:rPr>
              <w:t>Aumentada</w:t>
            </w:r>
          </w:p>
        </w:tc>
      </w:tr>
    </w:tbl>
    <w:p>
      <w:pPr>
        <w:pStyle w:val="BodyText"/>
        <w:spacing w:line="270" w:lineRule="exact"/>
        <w:ind w:left="192" w:right="237"/>
      </w:pPr>
      <w:r>
        <w:rPr/>
        <w:t>PO=Pérdidas por oreo; Hoffmann, (1987).</w:t>
      </w:r>
    </w:p>
    <w:p>
      <w:pPr>
        <w:pStyle w:val="BodyText"/>
      </w:pPr>
    </w:p>
    <w:p>
      <w:pPr>
        <w:pStyle w:val="BodyText"/>
      </w:pPr>
    </w:p>
    <w:p>
      <w:pPr>
        <w:pStyle w:val="BodyText"/>
        <w:spacing w:line="360" w:lineRule="auto"/>
        <w:ind w:left="192" w:right="190" w:firstLine="707"/>
        <w:jc w:val="both"/>
      </w:pPr>
      <w:r>
        <w:rPr/>
        <w:t>La medida de los valores de pH sobre los diferentes músculos de la canal tiene  como finalidad comprobar la evolución de este parámetro durante los procesos de transformación en carne. Por esta razón, se utilizan para su medición tiempos cercanos a la </w:t>
      </w:r>
      <w:r>
        <w:rPr>
          <w:position w:val="2"/>
        </w:rPr>
        <w:t>obtención</w:t>
      </w:r>
      <w:r>
        <w:rPr>
          <w:spacing w:val="25"/>
          <w:position w:val="2"/>
        </w:rPr>
        <w:t> </w:t>
      </w:r>
      <w:r>
        <w:rPr>
          <w:position w:val="2"/>
        </w:rPr>
        <w:t>de</w:t>
      </w:r>
      <w:r>
        <w:rPr>
          <w:spacing w:val="24"/>
          <w:position w:val="2"/>
        </w:rPr>
        <w:t> </w:t>
      </w:r>
      <w:r>
        <w:rPr>
          <w:position w:val="2"/>
        </w:rPr>
        <w:t>la</w:t>
      </w:r>
      <w:r>
        <w:rPr>
          <w:spacing w:val="27"/>
          <w:position w:val="2"/>
        </w:rPr>
        <w:t> </w:t>
      </w:r>
      <w:r>
        <w:rPr>
          <w:position w:val="2"/>
        </w:rPr>
        <w:t>canal</w:t>
      </w:r>
      <w:r>
        <w:rPr>
          <w:spacing w:val="28"/>
          <w:position w:val="2"/>
        </w:rPr>
        <w:t> </w:t>
      </w:r>
      <w:r>
        <w:rPr>
          <w:position w:val="2"/>
        </w:rPr>
        <w:t>a</w:t>
      </w:r>
      <w:r>
        <w:rPr>
          <w:spacing w:val="28"/>
          <w:position w:val="2"/>
        </w:rPr>
        <w:t> </w:t>
      </w:r>
      <w:r>
        <w:rPr>
          <w:position w:val="2"/>
        </w:rPr>
        <w:t>los</w:t>
      </w:r>
      <w:r>
        <w:rPr>
          <w:spacing w:val="25"/>
          <w:position w:val="2"/>
        </w:rPr>
        <w:t> </w:t>
      </w:r>
      <w:r>
        <w:rPr>
          <w:position w:val="2"/>
        </w:rPr>
        <w:t>45</w:t>
      </w:r>
      <w:r>
        <w:rPr>
          <w:spacing w:val="25"/>
          <w:position w:val="2"/>
        </w:rPr>
        <w:t> </w:t>
      </w:r>
      <w:r>
        <w:rPr>
          <w:position w:val="2"/>
        </w:rPr>
        <w:t>minutos</w:t>
      </w:r>
      <w:r>
        <w:rPr>
          <w:spacing w:val="25"/>
          <w:position w:val="2"/>
        </w:rPr>
        <w:t> </w:t>
      </w:r>
      <w:r>
        <w:rPr>
          <w:position w:val="2"/>
        </w:rPr>
        <w:t>del</w:t>
      </w:r>
      <w:r>
        <w:rPr>
          <w:spacing w:val="25"/>
          <w:position w:val="2"/>
        </w:rPr>
        <w:t> </w:t>
      </w:r>
      <w:r>
        <w:rPr>
          <w:position w:val="2"/>
        </w:rPr>
        <w:t>sacrificio</w:t>
      </w:r>
      <w:r>
        <w:rPr>
          <w:spacing w:val="25"/>
          <w:position w:val="2"/>
        </w:rPr>
        <w:t> </w:t>
      </w:r>
      <w:r>
        <w:rPr>
          <w:position w:val="2"/>
        </w:rPr>
        <w:t>(pH</w:t>
      </w:r>
      <w:r>
        <w:rPr>
          <w:sz w:val="16"/>
        </w:rPr>
        <w:t>45</w:t>
      </w:r>
      <w:r>
        <w:rPr>
          <w:position w:val="2"/>
        </w:rPr>
        <w:t>)</w:t>
      </w:r>
      <w:r>
        <w:rPr>
          <w:spacing w:val="26"/>
          <w:position w:val="2"/>
        </w:rPr>
        <w:t> </w:t>
      </w:r>
      <w:r>
        <w:rPr>
          <w:position w:val="2"/>
        </w:rPr>
        <w:t>y</w:t>
      </w:r>
      <w:r>
        <w:rPr>
          <w:spacing w:val="22"/>
          <w:position w:val="2"/>
        </w:rPr>
        <w:t> </w:t>
      </w:r>
      <w:r>
        <w:rPr>
          <w:position w:val="2"/>
        </w:rPr>
        <w:t>a</w:t>
      </w:r>
      <w:r>
        <w:rPr>
          <w:spacing w:val="24"/>
          <w:position w:val="2"/>
        </w:rPr>
        <w:t> </w:t>
      </w:r>
      <w:r>
        <w:rPr>
          <w:position w:val="2"/>
        </w:rPr>
        <w:t>las</w:t>
      </w:r>
      <w:r>
        <w:rPr>
          <w:spacing w:val="24"/>
          <w:position w:val="2"/>
        </w:rPr>
        <w:t> </w:t>
      </w:r>
      <w:r>
        <w:rPr>
          <w:position w:val="2"/>
        </w:rPr>
        <w:t>24</w:t>
      </w:r>
      <w:r>
        <w:rPr>
          <w:spacing w:val="25"/>
          <w:position w:val="2"/>
        </w:rPr>
        <w:t> </w:t>
      </w:r>
      <w:r>
        <w:rPr>
          <w:position w:val="2"/>
        </w:rPr>
        <w:t>horas</w:t>
      </w:r>
      <w:r>
        <w:rPr>
          <w:spacing w:val="25"/>
          <w:position w:val="2"/>
        </w:rPr>
        <w:t> </w:t>
      </w:r>
      <w:r>
        <w:rPr>
          <w:position w:val="2"/>
        </w:rPr>
        <w:t>postmortem</w:t>
      </w:r>
    </w:p>
    <w:p>
      <w:pPr>
        <w:spacing w:after="0" w:line="360" w:lineRule="auto"/>
        <w:jc w:val="both"/>
        <w:sectPr>
          <w:pgSz w:w="12240" w:h="15840"/>
          <w:pgMar w:header="1154" w:footer="1383" w:top="1400" w:bottom="1580" w:left="1680" w:right="1340"/>
        </w:sectPr>
      </w:pPr>
    </w:p>
    <w:p>
      <w:pPr>
        <w:pStyle w:val="BodyText"/>
        <w:spacing w:before="2"/>
        <w:rPr>
          <w:sz w:val="28"/>
        </w:rPr>
      </w:pPr>
    </w:p>
    <w:p>
      <w:pPr>
        <w:pStyle w:val="BodyText"/>
        <w:spacing w:line="357" w:lineRule="auto" w:before="68"/>
        <w:ind w:left="152" w:right="156"/>
      </w:pPr>
      <w:r>
        <w:rPr>
          <w:position w:val="2"/>
        </w:rPr>
        <w:t>(pH</w:t>
      </w:r>
      <w:r>
        <w:rPr>
          <w:sz w:val="16"/>
        </w:rPr>
        <w:t>24</w:t>
      </w:r>
      <w:r>
        <w:rPr>
          <w:position w:val="2"/>
        </w:rPr>
        <w:t>), ya que este es el momento cuando se alcanza el pH más bajo, a partir de aquí se </w:t>
      </w:r>
      <w:r>
        <w:rPr/>
        <w:t>mantiene o comienza a subir, según la temperatura ambiental (Oliver </w:t>
      </w:r>
      <w:r>
        <w:rPr>
          <w:i/>
        </w:rPr>
        <w:t>et al., </w:t>
      </w:r>
      <w:r>
        <w:rPr/>
        <w:t>1991).</w:t>
      </w:r>
    </w:p>
    <w:p>
      <w:pPr>
        <w:pStyle w:val="BodyText"/>
      </w:pPr>
    </w:p>
    <w:p>
      <w:pPr>
        <w:pStyle w:val="ListParagraph"/>
        <w:numPr>
          <w:ilvl w:val="2"/>
          <w:numId w:val="10"/>
        </w:numPr>
        <w:tabs>
          <w:tab w:pos="650" w:val="left" w:leader="none"/>
        </w:tabs>
        <w:spacing w:line="240" w:lineRule="auto" w:before="150" w:after="0"/>
        <w:ind w:left="649" w:right="0" w:hanging="497"/>
        <w:jc w:val="left"/>
        <w:rPr>
          <w:b/>
          <w:i/>
          <w:sz w:val="22"/>
        </w:rPr>
      </w:pPr>
      <w:bookmarkStart w:name="_bookmark24" w:id="44"/>
      <w:bookmarkEnd w:id="44"/>
      <w:r>
        <w:rPr/>
      </w:r>
      <w:bookmarkStart w:name="_bookmark24" w:id="45"/>
      <w:bookmarkEnd w:id="45"/>
      <w:r>
        <w:rPr>
          <w:b/>
          <w:i/>
          <w:sz w:val="22"/>
        </w:rPr>
        <w:t>C</w:t>
      </w:r>
      <w:r>
        <w:rPr>
          <w:b/>
          <w:i/>
          <w:sz w:val="22"/>
        </w:rPr>
        <w:t>apacidad de retención de</w:t>
      </w:r>
      <w:r>
        <w:rPr>
          <w:b/>
          <w:i/>
          <w:spacing w:val="-2"/>
          <w:sz w:val="22"/>
        </w:rPr>
        <w:t> </w:t>
      </w:r>
      <w:r>
        <w:rPr>
          <w:b/>
          <w:i/>
          <w:sz w:val="22"/>
        </w:rPr>
        <w:t>agua</w:t>
      </w:r>
    </w:p>
    <w:p>
      <w:pPr>
        <w:pStyle w:val="BodyText"/>
        <w:spacing w:line="360" w:lineRule="auto" w:before="122"/>
        <w:ind w:left="152" w:right="146" w:firstLine="707"/>
        <w:jc w:val="both"/>
      </w:pPr>
      <w:r>
        <w:rPr/>
        <w:t>La capacidad de retención de agua (CRA) es la propiedad que posee la carne para retener su agua constitutiva tanto durante la aplicación de fuerzas externas como por otros tratamientos (Hamm, 1960). Esto es importante, </w:t>
      </w:r>
      <w:r>
        <w:rPr>
          <w:spacing w:val="-3"/>
        </w:rPr>
        <w:t>ya </w:t>
      </w:r>
      <w:r>
        <w:rPr/>
        <w:t>que pérdidas o ganancias de agua afectan al peso y valor económico de la carne. El contenido y distribución del agua influyen en las propiedades de la carne y de sus productos derivados, estando relacionada con la textura, terneza y color de la carne cruda y con la jugosidad y firmeza de la carne cocinada (Offer </w:t>
      </w:r>
      <w:r>
        <w:rPr>
          <w:i/>
        </w:rPr>
        <w:t>et al., </w:t>
      </w:r>
      <w:r>
        <w:rPr/>
        <w:t>1989). La carne cruda de los mamíferos inmediatamente después del sacrificio contiene, por término medio un 75% de agua (Lawrie, 1998), este porcentaje que varía con la especie de procedencia y el músculo que se considere. Parte de esta agua se pierde por evaporación durante el enfriamiento de las canales (las de bovino pierden hasta un 2% de  su peso) o por goteo, como consecuencia de la disección de tejidos (según el grado de partición de la carne puede perderse hasta un 6%, el cual puede duplicarse tras la descongelación y que puede ser mayor aún en las carnes PSE). Las mayores pérdidas de agua, sin embargo, se producen en el cocinado de la carne, perdidas que pueden superar el 40% (Offer y Knight, 1988). Las pérdidas de agua por evaporación de la superficie de las canales se producen durante el enfriamiento de estas, por diferencias de presión de vapor. La evaporación afecta al aspecto de la carne, disminuyendo su aceptabilidad por parte del consumidor (James y Swain, 1986). </w:t>
      </w:r>
      <w:r>
        <w:rPr>
          <w:spacing w:val="-3"/>
        </w:rPr>
        <w:t>La </w:t>
      </w:r>
      <w:r>
        <w:rPr/>
        <w:t>evaporación se produce fundamentalmente a partir de la superficie de la carne, siendo prácticamente insignificante más allá de unos milímetros hacia el interior, pero el contenido de agua de la superficie puede disminuir en un 33%, con el correspondiente incremento en la concentración de sales y</w:t>
      </w:r>
      <w:r>
        <w:rPr>
          <w:spacing w:val="-14"/>
        </w:rPr>
        <w:t> </w:t>
      </w:r>
      <w:r>
        <w:rPr/>
        <w:t>proteínas.</w:t>
      </w:r>
    </w:p>
    <w:p>
      <w:pPr>
        <w:pStyle w:val="BodyText"/>
        <w:spacing w:line="360" w:lineRule="auto" w:before="7"/>
        <w:ind w:left="152" w:right="151" w:firstLine="707"/>
        <w:jc w:val="both"/>
      </w:pPr>
      <w:r>
        <w:rPr/>
        <w:t>El 70% del agua constitutiva de la carne fresca se encuentra localizada en las miofibrillas musculares, el 20% en el sarcoplasma y el resto en el tejido conjuntivo. Del total de agua del músculo un 4-5% se encuentra asociada a los grupos polares de la  proteína,  lo  cual  se  conoce  como  “</w:t>
      </w:r>
      <w:r>
        <w:rPr>
          <w:i/>
        </w:rPr>
        <w:t>agua  ligada</w:t>
      </w:r>
      <w:r>
        <w:rPr/>
        <w:t>”.  Este  grado  de  unión  depende  de</w:t>
      </w:r>
      <w:r>
        <w:rPr>
          <w:spacing w:val="54"/>
        </w:rPr>
        <w:t> </w:t>
      </w:r>
      <w:r>
        <w:rPr/>
        <w:t>la</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43"/>
        <w:jc w:val="both"/>
      </w:pPr>
      <w:r>
        <w:rPr/>
        <w:t>solubilidad proteica y esta a su vez del estado de las proteínas miofibrilares (Sayre y Briske, 1963) y del pH. Así el agua ligada permanece fuertemente unida a las proteínas, incluso cuando se aplican fuerzas externas sobre el músculo. A medida que esta alejan de los  grupos reactivos de las proteínas se disponen moléculas de agua unidas por fuerzas </w:t>
      </w:r>
      <w:r>
        <w:rPr>
          <w:spacing w:val="3"/>
        </w:rPr>
        <w:t>de </w:t>
      </w:r>
      <w:r>
        <w:rPr/>
        <w:t>menor intensidad, la cual se denomina </w:t>
      </w:r>
      <w:r>
        <w:rPr>
          <w:i/>
        </w:rPr>
        <w:t>“agua inmovilizada” </w:t>
      </w:r>
      <w:r>
        <w:rPr/>
        <w:t>y la cantidad que se desprende depende de la intensidad de la fuerza externa aplicada sobre el músculo. El agua que se mantienen unida a la estructura del músculo únicamente por fuerzas superficiales se denomina “</w:t>
      </w:r>
      <w:r>
        <w:rPr>
          <w:i/>
        </w:rPr>
        <w:t>agua libre” </w:t>
      </w:r>
      <w:r>
        <w:rPr/>
        <w:t>y se libera fácilmente del mismo al aplicar una fuerza externa (Forrest </w:t>
      </w:r>
      <w:r>
        <w:rPr>
          <w:i/>
        </w:rPr>
        <w:t>et al.,</w:t>
      </w:r>
      <w:r>
        <w:rPr>
          <w:i/>
          <w:spacing w:val="-7"/>
        </w:rPr>
        <w:t> </w:t>
      </w:r>
      <w:r>
        <w:rPr/>
        <w:t>1979).</w:t>
      </w:r>
    </w:p>
    <w:p>
      <w:pPr>
        <w:pStyle w:val="BodyText"/>
        <w:spacing w:line="360" w:lineRule="auto" w:before="4"/>
        <w:ind w:left="152" w:right="144" w:firstLine="707"/>
        <w:jc w:val="both"/>
      </w:pPr>
      <w:r>
        <w:rPr/>
        <w:t>Los cambios en la CRA afectan al agua que se denomina </w:t>
      </w:r>
      <w:r>
        <w:rPr>
          <w:i/>
        </w:rPr>
        <w:t>"inmovilizada" </w:t>
      </w:r>
      <w:r>
        <w:rPr/>
        <w:t>y no tienen ninguna relación con el </w:t>
      </w:r>
      <w:r>
        <w:rPr>
          <w:i/>
        </w:rPr>
        <w:t>"agua de constitución" </w:t>
      </w:r>
      <w:r>
        <w:rPr/>
        <w:t>(fuertemente ligada a grupos específicos de la molécula o ubicada en regiones intersticiales) ni tampoco con el </w:t>
      </w:r>
      <w:r>
        <w:rPr>
          <w:i/>
        </w:rPr>
        <w:t>"agua de interfase" </w:t>
      </w:r>
      <w:r>
        <w:rPr/>
        <w:t>El término </w:t>
      </w:r>
      <w:r>
        <w:rPr>
          <w:i/>
        </w:rPr>
        <w:t>"agua ligada" </w:t>
      </w:r>
      <w:r>
        <w:rPr/>
        <w:t>incluye tanto el agua de constitución como el agua de interfase próxima a las proteínas, y el resto de las fracciones se consideran </w:t>
      </w:r>
      <w:r>
        <w:rPr>
          <w:i/>
        </w:rPr>
        <w:t>"agua inmovilizada" </w:t>
      </w:r>
      <w:r>
        <w:rPr/>
        <w:t>(en la superficie de las proteínas, en buena medida fijada a sus cargas) (Hamm, 1986). Solamente tratamientos muy severos (deshidratación a altas temperaturas) afectan al agua ligada.</w:t>
      </w:r>
    </w:p>
    <w:p>
      <w:pPr>
        <w:pStyle w:val="BodyText"/>
        <w:spacing w:line="360" w:lineRule="auto" w:before="4"/>
        <w:ind w:left="152" w:right="153" w:firstLine="707"/>
        <w:jc w:val="both"/>
      </w:pPr>
      <w:r>
        <w:rPr/>
        <w:t>Existen múltiples procedimientos para medir la CRA de la carne. Considerando la forma en que el agua está presente en el músculo y los distintos mecanismos que la retienen en él, Hamm (1986) propuso cuatro métodos para su determinación:</w:t>
      </w:r>
    </w:p>
    <w:p>
      <w:pPr>
        <w:pStyle w:val="BodyText"/>
        <w:spacing w:line="360" w:lineRule="auto" w:before="6"/>
        <w:ind w:left="435" w:right="156" w:hanging="284"/>
      </w:pPr>
      <w:r>
        <w:rPr>
          <w:sz w:val="16"/>
        </w:rPr>
        <w:t>1. </w:t>
      </w:r>
      <w:r>
        <w:rPr/>
        <w:t>Pérdidas por goteo (drip loss), determinadas por la formación de un exudado sobre la carne, sin aplicación de fuerzas externas.</w:t>
      </w:r>
    </w:p>
    <w:p>
      <w:pPr>
        <w:pStyle w:val="BodyText"/>
        <w:spacing w:line="360" w:lineRule="auto" w:before="6"/>
        <w:ind w:left="435" w:right="156" w:hanging="284"/>
      </w:pPr>
      <w:r>
        <w:rPr>
          <w:sz w:val="16"/>
        </w:rPr>
        <w:t>2. </w:t>
      </w:r>
      <w:r>
        <w:rPr/>
        <w:t>Pérdidas por descongelación (thawing loss), que originan un exudado sobre la carne tras su congelación y descongelación, sin aplicación de fuerzas externas.</w:t>
      </w:r>
    </w:p>
    <w:p>
      <w:pPr>
        <w:pStyle w:val="BodyText"/>
        <w:spacing w:line="362" w:lineRule="auto" w:before="4"/>
        <w:ind w:left="435" w:right="156" w:hanging="284"/>
      </w:pPr>
      <w:r>
        <w:rPr>
          <w:sz w:val="16"/>
        </w:rPr>
        <w:t>3. </w:t>
      </w:r>
      <w:r>
        <w:rPr/>
        <w:t>Pérdidas por cocinado (cooking loss), consistente en fluidos liberados tras el calentamiento de la carne sin aplicación de fuerzas externas.</w:t>
      </w:r>
    </w:p>
    <w:p>
      <w:pPr>
        <w:pStyle w:val="BodyText"/>
        <w:spacing w:line="360" w:lineRule="auto" w:before="1"/>
        <w:ind w:left="579" w:right="145" w:hanging="286"/>
        <w:jc w:val="both"/>
      </w:pPr>
      <w:r>
        <w:rPr>
          <w:sz w:val="16"/>
        </w:rPr>
        <w:t>4. </w:t>
      </w:r>
      <w:r>
        <w:rPr/>
        <w:t>Jugo exprimible (squeezing juice) de la carne no calentada (incluso de  la  descongelada), mediante aplicación de fuerzas externas originadas por métodos de compresión, centrifugación o</w:t>
      </w:r>
      <w:r>
        <w:rPr>
          <w:spacing w:val="-7"/>
        </w:rPr>
        <w:t> </w:t>
      </w:r>
      <w:r>
        <w:rPr/>
        <w:t>succión.</w:t>
      </w:r>
    </w:p>
    <w:p>
      <w:pPr>
        <w:spacing w:after="0" w:line="360" w:lineRule="auto"/>
        <w:jc w:val="both"/>
        <w:sectPr>
          <w:pgSz w:w="12240" w:h="15840"/>
          <w:pgMar w:header="1154" w:footer="1383" w:top="1400" w:bottom="1580" w:left="1720" w:right="1380"/>
        </w:sectPr>
      </w:pPr>
    </w:p>
    <w:p>
      <w:pPr>
        <w:pStyle w:val="BodyText"/>
        <w:spacing w:before="3"/>
        <w:rPr>
          <w:sz w:val="28"/>
        </w:rPr>
      </w:pPr>
    </w:p>
    <w:p>
      <w:pPr>
        <w:pStyle w:val="ListParagraph"/>
        <w:numPr>
          <w:ilvl w:val="2"/>
          <w:numId w:val="10"/>
        </w:numPr>
        <w:tabs>
          <w:tab w:pos="650" w:val="left" w:leader="none"/>
        </w:tabs>
        <w:spacing w:line="240" w:lineRule="auto" w:before="72" w:after="0"/>
        <w:ind w:left="649" w:right="0" w:hanging="497"/>
        <w:jc w:val="left"/>
        <w:rPr>
          <w:b/>
          <w:i/>
          <w:sz w:val="22"/>
        </w:rPr>
      </w:pPr>
      <w:bookmarkStart w:name="_bookmark25" w:id="46"/>
      <w:bookmarkEnd w:id="46"/>
      <w:r>
        <w:rPr/>
      </w:r>
      <w:bookmarkStart w:name="_bookmark25" w:id="47"/>
      <w:bookmarkEnd w:id="47"/>
      <w:r>
        <w:rPr>
          <w:b/>
          <w:i/>
          <w:sz w:val="22"/>
        </w:rPr>
        <w:t>C</w:t>
      </w:r>
      <w:r>
        <w:rPr>
          <w:b/>
          <w:i/>
          <w:sz w:val="22"/>
        </w:rPr>
        <w:t>olor</w:t>
      </w:r>
    </w:p>
    <w:p>
      <w:pPr>
        <w:pStyle w:val="BodyText"/>
        <w:spacing w:line="360" w:lineRule="auto" w:before="122"/>
        <w:ind w:left="152" w:right="144" w:firstLine="707"/>
        <w:jc w:val="both"/>
      </w:pPr>
      <w:r>
        <w:rPr/>
        <w:t>El color ocupa un lugar preferente entre los factores que definen la calidad de un alimento, el cual puede ser rechazado por su color sin valorarse otras propiedades como su aroma, textura o sabor. De aquí que sea de gran importancia para la industria cárnica que la apariencia que la carne ofrece al consumidor muestre un alto grado de aceptabilidad (Kramer, 1994; Shackelford </w:t>
      </w:r>
      <w:r>
        <w:rPr>
          <w:i/>
        </w:rPr>
        <w:t>et al</w:t>
      </w:r>
      <w:r>
        <w:rPr/>
        <w:t>., 1992), no obstante en la aceptación del color influyen factores geográficos, sociales y culturales, por lo que la generalización en este parámetro es compleja.</w:t>
      </w:r>
    </w:p>
    <w:p>
      <w:pPr>
        <w:pStyle w:val="BodyText"/>
        <w:spacing w:line="360" w:lineRule="auto" w:before="4"/>
        <w:ind w:left="152" w:right="144" w:firstLine="707"/>
        <w:jc w:val="both"/>
      </w:pPr>
      <w:r>
        <w:rPr/>
        <w:t>El color de la carne depende de la concentración de pigmentos hemínicos (principalmente mioglobina), de estado químico de la mioglobina en su superficie, de la estructura y estado físico de las proteínas musculares y de la proporción de grasa de infiltración (Warris </w:t>
      </w:r>
      <w:r>
        <w:rPr>
          <w:i/>
        </w:rPr>
        <w:t>et al., </w:t>
      </w:r>
      <w:r>
        <w:rPr/>
        <w:t>1990). El color rojizo de la carne es el resultado de la presencia del pigmento mioglobina, proteína conjugada con un grupo prostético llamado </w:t>
      </w:r>
      <w:r>
        <w:rPr>
          <w:i/>
        </w:rPr>
        <w:t>hemo</w:t>
      </w:r>
      <w:r>
        <w:rPr/>
        <w:t>, el cual contiene hierro que juega un papel primordial en las distintas coloraciones. Este pigmento se presenta en diversas formas: la oxihemoglobina, de color rojo brillante, la metamioglobina de color café y la mioglobina reducida de color rojo púrpura; las elevadas concentraciones de oximioglobina son muy deseables </w:t>
      </w:r>
      <w:r>
        <w:rPr>
          <w:spacing w:val="-3"/>
        </w:rPr>
        <w:t>ya </w:t>
      </w:r>
      <w:r>
        <w:rPr/>
        <w:t>que imparten el color rojo  brillante asociado a la carne de óptima calidad (Ranken, 2003). Los cambios de color dependerán de la cantidad de este pigmento y de sus cambios químicos. Cuanto mayor presencia de mioglobina, más oscura será la carne, por otra parte, el cambio de color de la carne está vinculado a la presencia o ausencia de aire, debido a la sensibilidad de los pigmentos a la oxigenación y oxidación; la superficie de los cortes frescos van cambiando de tonalidad debido al estado oxigenado de este pigmento (Cañeque y Sañudo,</w:t>
      </w:r>
      <w:r>
        <w:rPr>
          <w:spacing w:val="-9"/>
        </w:rPr>
        <w:t> </w:t>
      </w:r>
      <w:r>
        <w:rPr/>
        <w:t>2005).</w:t>
      </w:r>
    </w:p>
    <w:p>
      <w:pPr>
        <w:pStyle w:val="BodyText"/>
        <w:spacing w:line="360" w:lineRule="auto" w:before="6"/>
        <w:ind w:left="152" w:right="144" w:firstLine="707"/>
        <w:jc w:val="both"/>
      </w:pPr>
      <w:r>
        <w:rPr/>
        <w:t>El hierro puede cambiar de su forma ferrosa a férrica y los microorganismos </w:t>
      </w:r>
      <w:r>
        <w:rPr>
          <w:position w:val="2"/>
        </w:rPr>
        <w:t>compiten por el O</w:t>
      </w:r>
      <w:r>
        <w:rPr>
          <w:sz w:val="16"/>
        </w:rPr>
        <w:t>2 </w:t>
      </w:r>
      <w:r>
        <w:rPr>
          <w:position w:val="2"/>
        </w:rPr>
        <w:t>y oxidan los pigmentos de la carne fresca. La habilidad de la mioglobina </w:t>
      </w:r>
      <w:r>
        <w:rPr/>
        <w:t>para combinarse con el oxígeno se pierde cuando las proteínas de la carne se desnaturalizan por el calor y esta es la razón por la cual cambia de color en la cocción. Otra causa de cambios en los colores normales es la presencia de microrganismos en la superficie de la carne que ocasionan una oxidación de la misma (Guerrero </w:t>
      </w:r>
      <w:r>
        <w:rPr>
          <w:i/>
        </w:rPr>
        <w:t>et al., </w:t>
      </w:r>
      <w:r>
        <w:rPr/>
        <w:t>2002). El color no está</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56"/>
      </w:pPr>
      <w:r>
        <w:rPr/>
        <w:t>asociado a la terneza y en general cuanto más oscura sea una carne más intenso será su sabor.</w:t>
      </w:r>
    </w:p>
    <w:p>
      <w:pPr>
        <w:pStyle w:val="BodyText"/>
        <w:spacing w:line="360" w:lineRule="auto" w:before="6"/>
        <w:ind w:left="152" w:right="147" w:firstLine="707"/>
        <w:jc w:val="both"/>
      </w:pPr>
      <w:r>
        <w:rPr/>
        <w:t>La percepción del color es única y exclusiva para cada individuo, por lo que existía gran dificultad para comunicar subjetivamente un color específico, sin tener una base de referencia, de tal forma que las primeras medidas de color se realizaron basadas en estándares por medio de comparación. Actualmente, para la identificación exacta de un color, existen numerosos instrumentos que le atribuyen valores numéricos, los cuales hacen objetiva esta propiedad. La Comisión Internacional de la Iluminación (Commission International de l`Eclairage- CIE) ha definido el sistema más importante y más usado en la actualidad para la descripción del color, basado en el uso de observadores y fuentes de iluminación estándar (Giese, 1995). El método de referencia ampliamente utilizado para la medición del color es el referenciado por Honikel (1997, 1998). La ventaja de utilizar este espacio de color (CIE-Lab) estriba en su similitud con la uniformidad visual humana. El sistema obtiene los valores triestímulo CIE en relación con el espectro visible, definiendo tres colores primarios: rojo (X), verde (Y) y azul (Z). A partir de ellos se calculan matemáticamente las coordenadas de color L* (luminosidad), a* (rojo-verde), b* (amarillo- azul). El parámetro L* varía de 0 (negro) a 100 (blanco), el valor de a* puede ser positivo (a*&gt;0, rojo) o negativo (a*&lt;0, verde) y el valor de b* puede ser positivo (b*&gt;0, amarillo) o negativo (b*&lt;0, azul). La coordenada L* se relaciona con la valoración visual del consumidor (Murray, 1989). Depende de factores como el pH, capacidad de retención de agua, humedad, integridad de la estructura muscular, y en menor medida del grado de oxidación de los hemopigmentos (Sayas, 1997). El contenido de grasa es otro factor a tener en cuenta sobre esta coordenada, ya que a mayor contenido de grasa en carne de aves, cerdo y ternera mayores valores de L* (Pérez-Alvarez </w:t>
      </w:r>
      <w:r>
        <w:rPr>
          <w:i/>
        </w:rPr>
        <w:t>et al., </w:t>
      </w:r>
      <w:r>
        <w:rPr/>
        <w:t>1998).</w:t>
      </w:r>
    </w:p>
    <w:p>
      <w:pPr>
        <w:pStyle w:val="BodyText"/>
        <w:spacing w:line="362" w:lineRule="auto" w:before="4"/>
        <w:ind w:left="152" w:right="148" w:firstLine="707"/>
        <w:jc w:val="both"/>
      </w:pPr>
      <w:r>
        <w:rPr/>
        <w:t>La coordenada a* (rojo-verde) está relacionada con el contenido de mioglobina (Pérez-Álvarez </w:t>
      </w:r>
      <w:r>
        <w:rPr>
          <w:i/>
        </w:rPr>
        <w:t>et al., </w:t>
      </w:r>
      <w:r>
        <w:rPr/>
        <w:t>1998).</w:t>
      </w:r>
    </w:p>
    <w:p>
      <w:pPr>
        <w:pStyle w:val="BodyText"/>
        <w:spacing w:line="360" w:lineRule="auto" w:before="1"/>
        <w:ind w:left="152" w:right="147" w:firstLine="707"/>
        <w:jc w:val="both"/>
      </w:pPr>
      <w:r>
        <w:rPr/>
        <w:t>La coordenada b* (amarillo-azul) ha sido relacionada con los distintos estados de la mioglobina (Pérez-Álvarez </w:t>
      </w:r>
      <w:r>
        <w:rPr>
          <w:i/>
        </w:rPr>
        <w:t>et al., </w:t>
      </w:r>
      <w:r>
        <w:rPr/>
        <w:t>1998).</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92" w:right="187" w:firstLine="707"/>
        <w:jc w:val="both"/>
      </w:pPr>
      <w:r>
        <w:rPr/>
        <w:t>El color de la carne puede modificarse por factores de tipo fisiológico y de proceso, tales como la especie (los bovinos poseen mayor concentración de mioglobina que los porcinos); el contenido de mioglobina en los ovinos se estima alrededor de 0.25%; el sexo (los machos poseen mayor cantidad de mioglobina que las hembras y que los machos castrados; la cantidad y tipo de fibras musculares, las características genéticas  y la edad  (los animales viejos producen carne de color marrón) (Díaz, 2001) Las Cuadros 6 y 7 muestran parámetros de color en la canal  y la carne de distintas especies</w:t>
      </w:r>
      <w:r>
        <w:rPr>
          <w:spacing w:val="-16"/>
        </w:rPr>
        <w:t> </w:t>
      </w:r>
      <w:r>
        <w:rPr/>
        <w:t>pecuarias.</w:t>
      </w:r>
    </w:p>
    <w:p>
      <w:pPr>
        <w:pStyle w:val="BodyText"/>
        <w:rPr>
          <w:sz w:val="20"/>
        </w:rPr>
      </w:pPr>
    </w:p>
    <w:p>
      <w:pPr>
        <w:pStyle w:val="BodyText"/>
        <w:spacing w:before="4" w:after="1"/>
        <w:rPr>
          <w:sz w:val="19"/>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03"/>
        <w:gridCol w:w="3577"/>
        <w:gridCol w:w="1505"/>
        <w:gridCol w:w="934"/>
        <w:gridCol w:w="876"/>
      </w:tblGrid>
      <w:tr>
        <w:trPr>
          <w:trHeight w:val="308" w:hRule="exact"/>
        </w:trPr>
        <w:tc>
          <w:tcPr>
            <w:tcW w:w="8995" w:type="dxa"/>
            <w:gridSpan w:val="5"/>
            <w:tcBorders>
              <w:bottom w:val="single" w:sz="8" w:space="0" w:color="000000"/>
            </w:tcBorders>
          </w:tcPr>
          <w:p>
            <w:pPr>
              <w:pStyle w:val="TableParagraph"/>
              <w:spacing w:line="247" w:lineRule="exact"/>
              <w:ind w:left="1348"/>
              <w:jc w:val="left"/>
              <w:rPr>
                <w:sz w:val="24"/>
              </w:rPr>
            </w:pPr>
            <w:r>
              <w:rPr>
                <w:b/>
                <w:sz w:val="24"/>
              </w:rPr>
              <w:t>Cuadro 6. </w:t>
            </w:r>
            <w:r>
              <w:rPr>
                <w:sz w:val="24"/>
              </w:rPr>
              <w:t>Parámetros de color de diferentes músculos y especies</w:t>
            </w:r>
          </w:p>
        </w:tc>
      </w:tr>
      <w:tr>
        <w:trPr>
          <w:trHeight w:val="350" w:hRule="exact"/>
        </w:trPr>
        <w:tc>
          <w:tcPr>
            <w:tcW w:w="2103" w:type="dxa"/>
            <w:tcBorders>
              <w:top w:val="single" w:sz="8" w:space="0" w:color="000000"/>
              <w:bottom w:val="single" w:sz="8" w:space="0" w:color="000000"/>
            </w:tcBorders>
          </w:tcPr>
          <w:p>
            <w:pPr>
              <w:pStyle w:val="TableParagraph"/>
              <w:spacing w:before="8"/>
              <w:ind w:left="501"/>
              <w:jc w:val="left"/>
              <w:rPr>
                <w:b/>
                <w:sz w:val="24"/>
              </w:rPr>
            </w:pPr>
            <w:r>
              <w:rPr>
                <w:b/>
                <w:sz w:val="24"/>
              </w:rPr>
              <w:t>Especie</w:t>
            </w:r>
          </w:p>
        </w:tc>
        <w:tc>
          <w:tcPr>
            <w:tcW w:w="3577" w:type="dxa"/>
            <w:tcBorders>
              <w:top w:val="single" w:sz="8" w:space="0" w:color="000000"/>
              <w:bottom w:val="single" w:sz="8" w:space="0" w:color="000000"/>
            </w:tcBorders>
          </w:tcPr>
          <w:p>
            <w:pPr>
              <w:pStyle w:val="TableParagraph"/>
              <w:spacing w:before="8"/>
              <w:ind w:left="807" w:right="681"/>
              <w:rPr>
                <w:b/>
                <w:sz w:val="24"/>
              </w:rPr>
            </w:pPr>
            <w:r>
              <w:rPr>
                <w:b/>
                <w:sz w:val="24"/>
              </w:rPr>
              <w:t>Músculo</w:t>
            </w:r>
          </w:p>
        </w:tc>
        <w:tc>
          <w:tcPr>
            <w:tcW w:w="1505" w:type="dxa"/>
            <w:tcBorders>
              <w:top w:val="single" w:sz="8" w:space="0" w:color="000000"/>
              <w:bottom w:val="single" w:sz="8" w:space="0" w:color="000000"/>
            </w:tcBorders>
          </w:tcPr>
          <w:p>
            <w:pPr>
              <w:pStyle w:val="TableParagraph"/>
              <w:spacing w:before="8"/>
              <w:ind w:right="390"/>
              <w:jc w:val="right"/>
              <w:rPr>
                <w:b/>
                <w:sz w:val="24"/>
              </w:rPr>
            </w:pPr>
            <w:r>
              <w:rPr>
                <w:b/>
                <w:sz w:val="24"/>
              </w:rPr>
              <w:t>L*</w:t>
            </w:r>
          </w:p>
        </w:tc>
        <w:tc>
          <w:tcPr>
            <w:tcW w:w="934" w:type="dxa"/>
            <w:tcBorders>
              <w:top w:val="single" w:sz="8" w:space="0" w:color="000000"/>
              <w:bottom w:val="single" w:sz="8" w:space="0" w:color="000000"/>
            </w:tcBorders>
          </w:tcPr>
          <w:p>
            <w:pPr>
              <w:pStyle w:val="TableParagraph"/>
              <w:spacing w:before="8"/>
              <w:ind w:left="240" w:right="229"/>
              <w:rPr>
                <w:b/>
                <w:sz w:val="24"/>
              </w:rPr>
            </w:pPr>
            <w:r>
              <w:rPr>
                <w:b/>
                <w:sz w:val="24"/>
              </w:rPr>
              <w:t>a*</w:t>
            </w:r>
          </w:p>
        </w:tc>
        <w:tc>
          <w:tcPr>
            <w:tcW w:w="876" w:type="dxa"/>
            <w:tcBorders>
              <w:top w:val="single" w:sz="8" w:space="0" w:color="000000"/>
              <w:bottom w:val="single" w:sz="8" w:space="0" w:color="000000"/>
            </w:tcBorders>
          </w:tcPr>
          <w:p>
            <w:pPr>
              <w:pStyle w:val="TableParagraph"/>
              <w:spacing w:before="8"/>
              <w:ind w:left="229" w:right="183"/>
              <w:rPr>
                <w:b/>
                <w:sz w:val="24"/>
              </w:rPr>
            </w:pPr>
            <w:r>
              <w:rPr>
                <w:b/>
                <w:sz w:val="24"/>
              </w:rPr>
              <w:t>b*</w:t>
            </w:r>
          </w:p>
        </w:tc>
      </w:tr>
      <w:tr>
        <w:trPr>
          <w:trHeight w:val="358" w:hRule="exact"/>
        </w:trPr>
        <w:tc>
          <w:tcPr>
            <w:tcW w:w="2103" w:type="dxa"/>
            <w:tcBorders>
              <w:top w:val="single" w:sz="8" w:space="0" w:color="000000"/>
            </w:tcBorders>
          </w:tcPr>
          <w:p>
            <w:pPr>
              <w:pStyle w:val="TableParagraph"/>
              <w:spacing w:before="10"/>
              <w:ind w:left="83"/>
              <w:jc w:val="left"/>
              <w:rPr>
                <w:sz w:val="16"/>
              </w:rPr>
            </w:pPr>
            <w:r>
              <w:rPr>
                <w:sz w:val="24"/>
              </w:rPr>
              <w:t>Vacuno</w:t>
            </w:r>
            <w:r>
              <w:rPr>
                <w:position w:val="9"/>
                <w:sz w:val="16"/>
              </w:rPr>
              <w:t>1</w:t>
            </w:r>
          </w:p>
        </w:tc>
        <w:tc>
          <w:tcPr>
            <w:tcW w:w="3577" w:type="dxa"/>
            <w:tcBorders>
              <w:top w:val="single" w:sz="8" w:space="0" w:color="000000"/>
            </w:tcBorders>
          </w:tcPr>
          <w:p>
            <w:pPr>
              <w:pStyle w:val="TableParagraph"/>
              <w:spacing w:before="25"/>
              <w:ind w:left="808" w:right="681"/>
              <w:rPr>
                <w:i/>
                <w:sz w:val="24"/>
              </w:rPr>
            </w:pPr>
            <w:r>
              <w:rPr>
                <w:i/>
                <w:sz w:val="24"/>
              </w:rPr>
              <w:t>Longissimus dorsi</w:t>
            </w:r>
          </w:p>
        </w:tc>
        <w:tc>
          <w:tcPr>
            <w:tcW w:w="1505" w:type="dxa"/>
            <w:tcBorders>
              <w:top w:val="single" w:sz="8" w:space="0" w:color="000000"/>
            </w:tcBorders>
          </w:tcPr>
          <w:p>
            <w:pPr>
              <w:pStyle w:val="TableParagraph"/>
              <w:spacing w:before="25"/>
              <w:ind w:right="323"/>
              <w:jc w:val="right"/>
              <w:rPr>
                <w:sz w:val="24"/>
              </w:rPr>
            </w:pPr>
            <w:r>
              <w:rPr>
                <w:sz w:val="24"/>
              </w:rPr>
              <w:t>39.1</w:t>
            </w:r>
          </w:p>
        </w:tc>
        <w:tc>
          <w:tcPr>
            <w:tcW w:w="934" w:type="dxa"/>
            <w:tcBorders>
              <w:top w:val="single" w:sz="8" w:space="0" w:color="000000"/>
            </w:tcBorders>
          </w:tcPr>
          <w:p>
            <w:pPr>
              <w:pStyle w:val="TableParagraph"/>
              <w:spacing w:before="25"/>
              <w:ind w:left="243" w:right="229"/>
              <w:rPr>
                <w:sz w:val="24"/>
              </w:rPr>
            </w:pPr>
            <w:r>
              <w:rPr>
                <w:sz w:val="24"/>
              </w:rPr>
              <w:t>17.1</w:t>
            </w:r>
          </w:p>
        </w:tc>
        <w:tc>
          <w:tcPr>
            <w:tcW w:w="876" w:type="dxa"/>
            <w:tcBorders>
              <w:top w:val="single" w:sz="8" w:space="0" w:color="000000"/>
            </w:tcBorders>
          </w:tcPr>
          <w:p>
            <w:pPr>
              <w:pStyle w:val="TableParagraph"/>
              <w:spacing w:before="25"/>
              <w:ind w:left="45"/>
              <w:rPr>
                <w:sz w:val="24"/>
              </w:rPr>
            </w:pPr>
            <w:r>
              <w:rPr>
                <w:sz w:val="24"/>
              </w:rPr>
              <w:t>7</w:t>
            </w:r>
          </w:p>
        </w:tc>
      </w:tr>
      <w:tr>
        <w:trPr>
          <w:trHeight w:val="376" w:hRule="exact"/>
        </w:trPr>
        <w:tc>
          <w:tcPr>
            <w:tcW w:w="2103" w:type="dxa"/>
          </w:tcPr>
          <w:p>
            <w:pPr>
              <w:pStyle w:val="TableParagraph"/>
              <w:spacing w:before="38"/>
              <w:ind w:left="83"/>
              <w:jc w:val="left"/>
              <w:rPr>
                <w:sz w:val="16"/>
              </w:rPr>
            </w:pPr>
            <w:r>
              <w:rPr>
                <w:sz w:val="24"/>
              </w:rPr>
              <w:t>Vacuno</w:t>
            </w:r>
            <w:r>
              <w:rPr>
                <w:position w:val="9"/>
                <w:sz w:val="16"/>
              </w:rPr>
              <w:t>2</w:t>
            </w:r>
          </w:p>
        </w:tc>
        <w:tc>
          <w:tcPr>
            <w:tcW w:w="3577" w:type="dxa"/>
          </w:tcPr>
          <w:p>
            <w:pPr>
              <w:pStyle w:val="TableParagraph"/>
              <w:spacing w:before="53"/>
              <w:ind w:left="808" w:right="681"/>
              <w:rPr>
                <w:i/>
                <w:sz w:val="24"/>
              </w:rPr>
            </w:pPr>
            <w:r>
              <w:rPr>
                <w:i/>
                <w:sz w:val="24"/>
              </w:rPr>
              <w:t>Longissimus thoracis</w:t>
            </w:r>
          </w:p>
        </w:tc>
        <w:tc>
          <w:tcPr>
            <w:tcW w:w="1505" w:type="dxa"/>
          </w:tcPr>
          <w:p>
            <w:pPr>
              <w:pStyle w:val="TableParagraph"/>
              <w:spacing w:before="53"/>
              <w:ind w:right="323"/>
              <w:jc w:val="right"/>
              <w:rPr>
                <w:sz w:val="24"/>
              </w:rPr>
            </w:pPr>
            <w:r>
              <w:rPr>
                <w:sz w:val="24"/>
              </w:rPr>
              <w:t>32.2</w:t>
            </w:r>
          </w:p>
        </w:tc>
        <w:tc>
          <w:tcPr>
            <w:tcW w:w="934" w:type="dxa"/>
          </w:tcPr>
          <w:p>
            <w:pPr>
              <w:pStyle w:val="TableParagraph"/>
              <w:spacing w:before="53"/>
              <w:ind w:left="243" w:right="229"/>
              <w:rPr>
                <w:sz w:val="24"/>
              </w:rPr>
            </w:pPr>
            <w:r>
              <w:rPr>
                <w:sz w:val="24"/>
              </w:rPr>
              <w:t>23.4</w:t>
            </w:r>
          </w:p>
        </w:tc>
        <w:tc>
          <w:tcPr>
            <w:tcW w:w="876" w:type="dxa"/>
          </w:tcPr>
          <w:p>
            <w:pPr>
              <w:pStyle w:val="TableParagraph"/>
              <w:spacing w:before="53"/>
              <w:ind w:left="229" w:right="187"/>
              <w:rPr>
                <w:sz w:val="24"/>
              </w:rPr>
            </w:pPr>
            <w:r>
              <w:rPr>
                <w:sz w:val="24"/>
              </w:rPr>
              <w:t>13.2</w:t>
            </w:r>
          </w:p>
        </w:tc>
      </w:tr>
      <w:tr>
        <w:trPr>
          <w:trHeight w:val="374" w:hRule="exact"/>
        </w:trPr>
        <w:tc>
          <w:tcPr>
            <w:tcW w:w="2103" w:type="dxa"/>
          </w:tcPr>
          <w:p>
            <w:pPr>
              <w:pStyle w:val="TableParagraph"/>
              <w:spacing w:before="37"/>
              <w:ind w:left="83"/>
              <w:jc w:val="left"/>
              <w:rPr>
                <w:sz w:val="16"/>
              </w:rPr>
            </w:pPr>
            <w:r>
              <w:rPr>
                <w:sz w:val="24"/>
              </w:rPr>
              <w:t>Pollo</w:t>
            </w:r>
            <w:r>
              <w:rPr>
                <w:position w:val="9"/>
                <w:sz w:val="16"/>
              </w:rPr>
              <w:t>3</w:t>
            </w:r>
          </w:p>
        </w:tc>
        <w:tc>
          <w:tcPr>
            <w:tcW w:w="3577" w:type="dxa"/>
          </w:tcPr>
          <w:p>
            <w:pPr>
              <w:pStyle w:val="TableParagraph"/>
              <w:spacing w:before="52"/>
              <w:ind w:left="806" w:right="681"/>
              <w:rPr>
                <w:i/>
                <w:sz w:val="24"/>
              </w:rPr>
            </w:pPr>
            <w:r>
              <w:rPr>
                <w:i/>
                <w:sz w:val="24"/>
              </w:rPr>
              <w:t>Pectoralis</w:t>
            </w:r>
          </w:p>
        </w:tc>
        <w:tc>
          <w:tcPr>
            <w:tcW w:w="1505" w:type="dxa"/>
          </w:tcPr>
          <w:p>
            <w:pPr>
              <w:pStyle w:val="TableParagraph"/>
              <w:spacing w:before="52"/>
              <w:ind w:right="413"/>
              <w:jc w:val="right"/>
              <w:rPr>
                <w:sz w:val="24"/>
              </w:rPr>
            </w:pPr>
            <w:r>
              <w:rPr>
                <w:sz w:val="24"/>
              </w:rPr>
              <w:t>57</w:t>
            </w:r>
          </w:p>
        </w:tc>
        <w:tc>
          <w:tcPr>
            <w:tcW w:w="934" w:type="dxa"/>
          </w:tcPr>
          <w:p>
            <w:pPr>
              <w:pStyle w:val="TableParagraph"/>
              <w:spacing w:before="52"/>
              <w:ind w:left="243" w:right="229"/>
              <w:rPr>
                <w:sz w:val="24"/>
              </w:rPr>
            </w:pPr>
            <w:r>
              <w:rPr>
                <w:sz w:val="24"/>
              </w:rPr>
              <w:t>7.44</w:t>
            </w:r>
          </w:p>
        </w:tc>
        <w:tc>
          <w:tcPr>
            <w:tcW w:w="876" w:type="dxa"/>
          </w:tcPr>
          <w:p>
            <w:pPr>
              <w:pStyle w:val="TableParagraph"/>
              <w:spacing w:before="52"/>
              <w:ind w:left="229" w:right="187"/>
              <w:rPr>
                <w:sz w:val="24"/>
              </w:rPr>
            </w:pPr>
            <w:r>
              <w:rPr>
                <w:sz w:val="24"/>
              </w:rPr>
              <w:t>15.9</w:t>
            </w:r>
          </w:p>
        </w:tc>
      </w:tr>
      <w:tr>
        <w:trPr>
          <w:trHeight w:val="374" w:hRule="exact"/>
        </w:trPr>
        <w:tc>
          <w:tcPr>
            <w:tcW w:w="2103" w:type="dxa"/>
          </w:tcPr>
          <w:p>
            <w:pPr>
              <w:pStyle w:val="TableParagraph"/>
              <w:spacing w:before="37"/>
              <w:ind w:left="83"/>
              <w:jc w:val="left"/>
              <w:rPr>
                <w:sz w:val="16"/>
              </w:rPr>
            </w:pPr>
            <w:r>
              <w:rPr>
                <w:sz w:val="24"/>
              </w:rPr>
              <w:t>Cerdo</w:t>
            </w:r>
            <w:r>
              <w:rPr>
                <w:position w:val="9"/>
                <w:sz w:val="16"/>
              </w:rPr>
              <w:t>4</w:t>
            </w:r>
          </w:p>
        </w:tc>
        <w:tc>
          <w:tcPr>
            <w:tcW w:w="3577" w:type="dxa"/>
          </w:tcPr>
          <w:p>
            <w:pPr>
              <w:pStyle w:val="TableParagraph"/>
              <w:spacing w:before="52"/>
              <w:ind w:left="808" w:right="681"/>
              <w:rPr>
                <w:i/>
                <w:sz w:val="24"/>
              </w:rPr>
            </w:pPr>
            <w:r>
              <w:rPr>
                <w:i/>
                <w:sz w:val="24"/>
              </w:rPr>
              <w:t>Longissimus dorsi</w:t>
            </w:r>
          </w:p>
        </w:tc>
        <w:tc>
          <w:tcPr>
            <w:tcW w:w="1505" w:type="dxa"/>
          </w:tcPr>
          <w:p>
            <w:pPr>
              <w:pStyle w:val="TableParagraph"/>
              <w:spacing w:before="52"/>
              <w:ind w:right="413"/>
              <w:jc w:val="right"/>
              <w:rPr>
                <w:sz w:val="24"/>
              </w:rPr>
            </w:pPr>
            <w:r>
              <w:rPr>
                <w:sz w:val="24"/>
              </w:rPr>
              <w:t>57</w:t>
            </w:r>
          </w:p>
        </w:tc>
        <w:tc>
          <w:tcPr>
            <w:tcW w:w="934" w:type="dxa"/>
          </w:tcPr>
          <w:p>
            <w:pPr>
              <w:pStyle w:val="TableParagraph"/>
              <w:spacing w:before="52"/>
              <w:ind w:left="243" w:right="229"/>
              <w:rPr>
                <w:sz w:val="24"/>
              </w:rPr>
            </w:pPr>
            <w:r>
              <w:rPr>
                <w:sz w:val="24"/>
              </w:rPr>
              <w:t>7.44</w:t>
            </w:r>
          </w:p>
        </w:tc>
        <w:tc>
          <w:tcPr>
            <w:tcW w:w="876" w:type="dxa"/>
          </w:tcPr>
          <w:p>
            <w:pPr>
              <w:pStyle w:val="TableParagraph"/>
              <w:spacing w:before="52"/>
              <w:ind w:left="229" w:right="187"/>
              <w:rPr>
                <w:sz w:val="24"/>
              </w:rPr>
            </w:pPr>
            <w:r>
              <w:rPr>
                <w:sz w:val="24"/>
              </w:rPr>
              <w:t>15.9</w:t>
            </w:r>
          </w:p>
        </w:tc>
      </w:tr>
      <w:tr>
        <w:trPr>
          <w:trHeight w:val="376" w:hRule="exact"/>
        </w:trPr>
        <w:tc>
          <w:tcPr>
            <w:tcW w:w="2103" w:type="dxa"/>
          </w:tcPr>
          <w:p>
            <w:pPr>
              <w:pStyle w:val="TableParagraph"/>
              <w:spacing w:before="37"/>
              <w:ind w:left="83"/>
              <w:jc w:val="left"/>
              <w:rPr>
                <w:sz w:val="16"/>
              </w:rPr>
            </w:pPr>
            <w:r>
              <w:rPr>
                <w:sz w:val="24"/>
              </w:rPr>
              <w:t>Cerdo</w:t>
            </w:r>
            <w:r>
              <w:rPr>
                <w:position w:val="9"/>
                <w:sz w:val="16"/>
              </w:rPr>
              <w:t>5</w:t>
            </w:r>
          </w:p>
        </w:tc>
        <w:tc>
          <w:tcPr>
            <w:tcW w:w="3577" w:type="dxa"/>
          </w:tcPr>
          <w:p>
            <w:pPr>
              <w:pStyle w:val="TableParagraph"/>
              <w:spacing w:before="52"/>
              <w:ind w:left="805" w:right="681"/>
              <w:rPr>
                <w:i/>
                <w:sz w:val="24"/>
              </w:rPr>
            </w:pPr>
            <w:r>
              <w:rPr>
                <w:i/>
                <w:sz w:val="24"/>
              </w:rPr>
              <w:t>Semimembranoso</w:t>
            </w:r>
          </w:p>
        </w:tc>
        <w:tc>
          <w:tcPr>
            <w:tcW w:w="1505" w:type="dxa"/>
          </w:tcPr>
          <w:p>
            <w:pPr>
              <w:pStyle w:val="TableParagraph"/>
              <w:spacing w:before="52"/>
              <w:ind w:right="263"/>
              <w:jc w:val="right"/>
              <w:rPr>
                <w:sz w:val="24"/>
              </w:rPr>
            </w:pPr>
            <w:r>
              <w:rPr>
                <w:sz w:val="24"/>
              </w:rPr>
              <w:t>63.17</w:t>
            </w:r>
          </w:p>
        </w:tc>
        <w:tc>
          <w:tcPr>
            <w:tcW w:w="934" w:type="dxa"/>
          </w:tcPr>
          <w:p>
            <w:pPr>
              <w:pStyle w:val="TableParagraph"/>
              <w:spacing w:before="52"/>
              <w:ind w:left="243" w:right="229"/>
              <w:rPr>
                <w:sz w:val="24"/>
              </w:rPr>
            </w:pPr>
            <w:r>
              <w:rPr>
                <w:sz w:val="24"/>
              </w:rPr>
              <w:t>8.12</w:t>
            </w:r>
          </w:p>
        </w:tc>
        <w:tc>
          <w:tcPr>
            <w:tcW w:w="876" w:type="dxa"/>
          </w:tcPr>
          <w:p>
            <w:pPr>
              <w:pStyle w:val="TableParagraph"/>
              <w:spacing w:before="52"/>
              <w:ind w:left="229" w:right="187"/>
              <w:rPr>
                <w:sz w:val="24"/>
              </w:rPr>
            </w:pPr>
            <w:r>
              <w:rPr>
                <w:sz w:val="24"/>
              </w:rPr>
              <w:t>2.13</w:t>
            </w:r>
          </w:p>
        </w:tc>
      </w:tr>
      <w:tr>
        <w:trPr>
          <w:trHeight w:val="407" w:hRule="exact"/>
        </w:trPr>
        <w:tc>
          <w:tcPr>
            <w:tcW w:w="2103" w:type="dxa"/>
            <w:tcBorders>
              <w:bottom w:val="single" w:sz="4" w:space="0" w:color="000000"/>
            </w:tcBorders>
          </w:tcPr>
          <w:p>
            <w:pPr>
              <w:pStyle w:val="TableParagraph"/>
              <w:spacing w:before="38"/>
              <w:ind w:left="83"/>
              <w:jc w:val="left"/>
              <w:rPr>
                <w:sz w:val="16"/>
              </w:rPr>
            </w:pPr>
            <w:r>
              <w:rPr>
                <w:sz w:val="24"/>
              </w:rPr>
              <w:t>Conejo</w:t>
            </w:r>
            <w:r>
              <w:rPr>
                <w:position w:val="9"/>
                <w:sz w:val="16"/>
              </w:rPr>
              <w:t>6</w:t>
            </w:r>
          </w:p>
        </w:tc>
        <w:tc>
          <w:tcPr>
            <w:tcW w:w="3577" w:type="dxa"/>
            <w:tcBorders>
              <w:bottom w:val="single" w:sz="4" w:space="0" w:color="000000"/>
            </w:tcBorders>
          </w:tcPr>
          <w:p>
            <w:pPr>
              <w:pStyle w:val="TableParagraph"/>
              <w:spacing w:before="53"/>
              <w:ind w:left="806" w:right="681"/>
              <w:rPr>
                <w:i/>
                <w:sz w:val="24"/>
              </w:rPr>
            </w:pPr>
            <w:r>
              <w:rPr>
                <w:i/>
                <w:sz w:val="24"/>
              </w:rPr>
              <w:t>Biceps femoralis</w:t>
            </w:r>
          </w:p>
        </w:tc>
        <w:tc>
          <w:tcPr>
            <w:tcW w:w="1505" w:type="dxa"/>
            <w:tcBorders>
              <w:bottom w:val="single" w:sz="4" w:space="0" w:color="000000"/>
            </w:tcBorders>
          </w:tcPr>
          <w:p>
            <w:pPr>
              <w:pStyle w:val="TableParagraph"/>
              <w:spacing w:before="53"/>
              <w:ind w:right="263"/>
              <w:jc w:val="right"/>
              <w:rPr>
                <w:sz w:val="24"/>
              </w:rPr>
            </w:pPr>
            <w:r>
              <w:rPr>
                <w:sz w:val="24"/>
              </w:rPr>
              <w:t>52.08</w:t>
            </w:r>
          </w:p>
        </w:tc>
        <w:tc>
          <w:tcPr>
            <w:tcW w:w="934" w:type="dxa"/>
            <w:tcBorders>
              <w:bottom w:val="single" w:sz="4" w:space="0" w:color="000000"/>
            </w:tcBorders>
          </w:tcPr>
          <w:p>
            <w:pPr>
              <w:pStyle w:val="TableParagraph"/>
              <w:spacing w:before="53"/>
              <w:ind w:left="243" w:right="229"/>
              <w:rPr>
                <w:sz w:val="24"/>
              </w:rPr>
            </w:pPr>
            <w:r>
              <w:rPr>
                <w:sz w:val="24"/>
              </w:rPr>
              <w:t>3.47</w:t>
            </w:r>
          </w:p>
        </w:tc>
        <w:tc>
          <w:tcPr>
            <w:tcW w:w="876" w:type="dxa"/>
            <w:tcBorders>
              <w:bottom w:val="single" w:sz="4" w:space="0" w:color="000000"/>
            </w:tcBorders>
          </w:tcPr>
          <w:p>
            <w:pPr>
              <w:pStyle w:val="TableParagraph"/>
              <w:spacing w:before="53"/>
              <w:ind w:left="229" w:right="187"/>
              <w:rPr>
                <w:sz w:val="24"/>
              </w:rPr>
            </w:pPr>
            <w:r>
              <w:rPr>
                <w:sz w:val="24"/>
              </w:rPr>
              <w:t>4.4</w:t>
            </w:r>
          </w:p>
        </w:tc>
      </w:tr>
    </w:tbl>
    <w:p>
      <w:pPr>
        <w:spacing w:line="273" w:lineRule="exact" w:before="0"/>
        <w:ind w:left="192" w:right="0" w:firstLine="0"/>
        <w:jc w:val="left"/>
        <w:rPr>
          <w:sz w:val="16"/>
        </w:rPr>
      </w:pPr>
      <w:r>
        <w:rPr>
          <w:position w:val="9"/>
          <w:sz w:val="16"/>
        </w:rPr>
        <w:t>1  </w:t>
      </w:r>
      <w:r>
        <w:rPr>
          <w:sz w:val="24"/>
        </w:rPr>
        <w:t>Rubio </w:t>
      </w:r>
      <w:r>
        <w:rPr>
          <w:i/>
          <w:sz w:val="24"/>
        </w:rPr>
        <w:t>et al. </w:t>
      </w:r>
      <w:r>
        <w:rPr>
          <w:sz w:val="24"/>
        </w:rPr>
        <w:t>(2005); </w:t>
      </w:r>
      <w:r>
        <w:rPr>
          <w:position w:val="9"/>
          <w:sz w:val="16"/>
        </w:rPr>
        <w:t>2  </w:t>
      </w:r>
      <w:r>
        <w:rPr>
          <w:sz w:val="24"/>
        </w:rPr>
        <w:t>Gil </w:t>
      </w:r>
      <w:r>
        <w:rPr>
          <w:i/>
          <w:sz w:val="24"/>
        </w:rPr>
        <w:t>et al. </w:t>
      </w:r>
      <w:r>
        <w:rPr>
          <w:sz w:val="24"/>
        </w:rPr>
        <w:t>(2001); </w:t>
      </w:r>
      <w:r>
        <w:rPr>
          <w:position w:val="9"/>
          <w:sz w:val="16"/>
        </w:rPr>
        <w:t>3  </w:t>
      </w:r>
      <w:r>
        <w:rPr>
          <w:sz w:val="24"/>
        </w:rPr>
        <w:t>Holownia </w:t>
      </w:r>
      <w:r>
        <w:rPr>
          <w:i/>
          <w:sz w:val="24"/>
        </w:rPr>
        <w:t>et al. (</w:t>
      </w:r>
      <w:r>
        <w:rPr>
          <w:sz w:val="24"/>
        </w:rPr>
        <w:t>2003); </w:t>
      </w:r>
      <w:r>
        <w:rPr>
          <w:position w:val="9"/>
          <w:sz w:val="16"/>
        </w:rPr>
        <w:t>4  </w:t>
      </w:r>
      <w:r>
        <w:rPr>
          <w:sz w:val="24"/>
        </w:rPr>
        <w:t>Norman </w:t>
      </w:r>
      <w:r>
        <w:rPr>
          <w:i/>
          <w:sz w:val="24"/>
        </w:rPr>
        <w:t>et al. </w:t>
      </w:r>
      <w:r>
        <w:rPr>
          <w:sz w:val="24"/>
        </w:rPr>
        <w:t>(2003); </w:t>
      </w:r>
      <w:r>
        <w:rPr>
          <w:position w:val="9"/>
          <w:sz w:val="16"/>
        </w:rPr>
        <w:t>5</w:t>
      </w:r>
    </w:p>
    <w:p>
      <w:pPr>
        <w:spacing w:before="25"/>
        <w:ind w:left="192" w:right="237" w:firstLine="0"/>
        <w:jc w:val="left"/>
        <w:rPr>
          <w:sz w:val="24"/>
        </w:rPr>
      </w:pPr>
      <w:r>
        <w:rPr>
          <w:sz w:val="24"/>
        </w:rPr>
        <w:t>Ondѓej </w:t>
      </w:r>
      <w:r>
        <w:rPr>
          <w:i/>
          <w:sz w:val="24"/>
        </w:rPr>
        <w:t>et al. </w:t>
      </w:r>
      <w:r>
        <w:rPr>
          <w:sz w:val="24"/>
        </w:rPr>
        <w:t>(2013); </w:t>
      </w:r>
      <w:r>
        <w:rPr>
          <w:position w:val="9"/>
          <w:sz w:val="16"/>
        </w:rPr>
        <w:t>6  </w:t>
      </w:r>
      <w:r>
        <w:rPr>
          <w:sz w:val="24"/>
        </w:rPr>
        <w:t>Pla </w:t>
      </w:r>
      <w:r>
        <w:rPr>
          <w:i/>
          <w:sz w:val="24"/>
        </w:rPr>
        <w:t>et al. </w:t>
      </w:r>
      <w:r>
        <w:rPr>
          <w:sz w:val="24"/>
        </w:rPr>
        <w:t>(1998).</w:t>
      </w:r>
    </w:p>
    <w:p>
      <w:pPr>
        <w:pStyle w:val="BodyText"/>
        <w:rPr>
          <w:sz w:val="20"/>
        </w:rPr>
      </w:pPr>
    </w:p>
    <w:p>
      <w:pPr>
        <w:pStyle w:val="BodyText"/>
        <w:spacing w:before="9"/>
        <w:rPr>
          <w:sz w:val="2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1"/>
        <w:gridCol w:w="3289"/>
        <w:gridCol w:w="831"/>
        <w:gridCol w:w="766"/>
        <w:gridCol w:w="768"/>
      </w:tblGrid>
      <w:tr>
        <w:trPr>
          <w:trHeight w:val="308" w:hRule="exact"/>
        </w:trPr>
        <w:tc>
          <w:tcPr>
            <w:tcW w:w="8995" w:type="dxa"/>
            <w:gridSpan w:val="5"/>
            <w:tcBorders>
              <w:bottom w:val="single" w:sz="8" w:space="0" w:color="000000"/>
            </w:tcBorders>
          </w:tcPr>
          <w:p>
            <w:pPr>
              <w:pStyle w:val="TableParagraph"/>
              <w:spacing w:line="247" w:lineRule="exact"/>
              <w:ind w:left="1199"/>
              <w:jc w:val="left"/>
              <w:rPr>
                <w:sz w:val="24"/>
              </w:rPr>
            </w:pPr>
            <w:r>
              <w:rPr>
                <w:b/>
                <w:sz w:val="24"/>
              </w:rPr>
              <w:t>Cuadro 7. </w:t>
            </w:r>
            <w:r>
              <w:rPr>
                <w:sz w:val="24"/>
              </w:rPr>
              <w:t>Parámetros de color en la superficie de la canal de ovinos</w:t>
            </w:r>
          </w:p>
        </w:tc>
      </w:tr>
      <w:tr>
        <w:trPr>
          <w:trHeight w:val="348" w:hRule="exact"/>
        </w:trPr>
        <w:tc>
          <w:tcPr>
            <w:tcW w:w="3341" w:type="dxa"/>
            <w:tcBorders>
              <w:top w:val="single" w:sz="8" w:space="0" w:color="000000"/>
              <w:bottom w:val="single" w:sz="8" w:space="0" w:color="000000"/>
            </w:tcBorders>
          </w:tcPr>
          <w:p>
            <w:pPr>
              <w:pStyle w:val="TableParagraph"/>
              <w:spacing w:before="6"/>
              <w:ind w:left="1459" w:right="1320"/>
              <w:rPr>
                <w:b/>
                <w:sz w:val="24"/>
              </w:rPr>
            </w:pPr>
            <w:r>
              <w:rPr>
                <w:b/>
                <w:sz w:val="24"/>
              </w:rPr>
              <w:t>Raza</w:t>
            </w:r>
          </w:p>
        </w:tc>
        <w:tc>
          <w:tcPr>
            <w:tcW w:w="3289" w:type="dxa"/>
            <w:tcBorders>
              <w:top w:val="single" w:sz="8" w:space="0" w:color="000000"/>
              <w:bottom w:val="single" w:sz="8" w:space="0" w:color="000000"/>
            </w:tcBorders>
          </w:tcPr>
          <w:p>
            <w:pPr>
              <w:pStyle w:val="TableParagraph"/>
              <w:spacing w:before="6"/>
              <w:ind w:left="347" w:right="158"/>
              <w:rPr>
                <w:b/>
                <w:sz w:val="24"/>
              </w:rPr>
            </w:pPr>
            <w:r>
              <w:rPr>
                <w:b/>
                <w:sz w:val="24"/>
              </w:rPr>
              <w:t>Músculo</w:t>
            </w:r>
          </w:p>
        </w:tc>
        <w:tc>
          <w:tcPr>
            <w:tcW w:w="831" w:type="dxa"/>
            <w:tcBorders>
              <w:top w:val="single" w:sz="8" w:space="0" w:color="000000"/>
              <w:bottom w:val="single" w:sz="8" w:space="0" w:color="000000"/>
            </w:tcBorders>
          </w:tcPr>
          <w:p>
            <w:pPr>
              <w:pStyle w:val="TableParagraph"/>
              <w:spacing w:before="6"/>
              <w:ind w:left="158" w:right="92"/>
              <w:rPr>
                <w:b/>
                <w:sz w:val="24"/>
              </w:rPr>
            </w:pPr>
            <w:r>
              <w:rPr>
                <w:b/>
                <w:sz w:val="24"/>
              </w:rPr>
              <w:t>L*</w:t>
            </w:r>
          </w:p>
        </w:tc>
        <w:tc>
          <w:tcPr>
            <w:tcW w:w="766" w:type="dxa"/>
            <w:tcBorders>
              <w:top w:val="single" w:sz="8" w:space="0" w:color="000000"/>
              <w:bottom w:val="single" w:sz="8" w:space="0" w:color="000000"/>
            </w:tcBorders>
          </w:tcPr>
          <w:p>
            <w:pPr>
              <w:pStyle w:val="TableParagraph"/>
              <w:spacing w:before="6"/>
              <w:ind w:left="92" w:right="92"/>
              <w:rPr>
                <w:b/>
                <w:sz w:val="24"/>
              </w:rPr>
            </w:pPr>
            <w:r>
              <w:rPr>
                <w:b/>
                <w:sz w:val="24"/>
              </w:rPr>
              <w:t>a*</w:t>
            </w:r>
          </w:p>
        </w:tc>
        <w:tc>
          <w:tcPr>
            <w:tcW w:w="768" w:type="dxa"/>
            <w:tcBorders>
              <w:top w:val="single" w:sz="8" w:space="0" w:color="000000"/>
              <w:bottom w:val="single" w:sz="8" w:space="0" w:color="000000"/>
            </w:tcBorders>
          </w:tcPr>
          <w:p>
            <w:pPr>
              <w:pStyle w:val="TableParagraph"/>
              <w:spacing w:before="6"/>
              <w:ind w:left="94" w:right="94"/>
              <w:rPr>
                <w:b/>
                <w:sz w:val="24"/>
              </w:rPr>
            </w:pPr>
            <w:r>
              <w:rPr>
                <w:b/>
                <w:sz w:val="24"/>
              </w:rPr>
              <w:t>b*</w:t>
            </w:r>
          </w:p>
        </w:tc>
      </w:tr>
      <w:tr>
        <w:trPr>
          <w:trHeight w:val="374" w:hRule="exact"/>
        </w:trPr>
        <w:tc>
          <w:tcPr>
            <w:tcW w:w="3341" w:type="dxa"/>
            <w:tcBorders>
              <w:top w:val="single" w:sz="8" w:space="0" w:color="000000"/>
            </w:tcBorders>
          </w:tcPr>
          <w:p>
            <w:pPr>
              <w:pStyle w:val="TableParagraph"/>
              <w:spacing w:before="12"/>
              <w:ind w:left="83"/>
              <w:jc w:val="left"/>
              <w:rPr>
                <w:sz w:val="16"/>
              </w:rPr>
            </w:pPr>
            <w:r>
              <w:rPr>
                <w:sz w:val="24"/>
              </w:rPr>
              <w:t>Corderos (raza Segureña)</w:t>
            </w:r>
            <w:r>
              <w:rPr>
                <w:position w:val="9"/>
                <w:sz w:val="16"/>
              </w:rPr>
              <w:t>1</w:t>
            </w:r>
          </w:p>
        </w:tc>
        <w:tc>
          <w:tcPr>
            <w:tcW w:w="3289" w:type="dxa"/>
            <w:tcBorders>
              <w:top w:val="single" w:sz="8" w:space="0" w:color="000000"/>
            </w:tcBorders>
          </w:tcPr>
          <w:p>
            <w:pPr>
              <w:pStyle w:val="TableParagraph"/>
              <w:spacing w:before="56"/>
              <w:ind w:left="348" w:right="158"/>
              <w:rPr>
                <w:i/>
                <w:sz w:val="24"/>
              </w:rPr>
            </w:pPr>
            <w:r>
              <w:rPr>
                <w:i/>
                <w:sz w:val="24"/>
              </w:rPr>
              <w:t>Longissimus dorsi(machos)</w:t>
            </w:r>
          </w:p>
        </w:tc>
        <w:tc>
          <w:tcPr>
            <w:tcW w:w="831" w:type="dxa"/>
            <w:tcBorders>
              <w:top w:val="single" w:sz="8" w:space="0" w:color="000000"/>
            </w:tcBorders>
          </w:tcPr>
          <w:p>
            <w:pPr>
              <w:pStyle w:val="TableParagraph"/>
              <w:spacing w:before="27"/>
              <w:ind w:left="158" w:right="93"/>
              <w:rPr>
                <w:sz w:val="24"/>
              </w:rPr>
            </w:pPr>
            <w:r>
              <w:rPr>
                <w:sz w:val="24"/>
              </w:rPr>
              <w:t>40.38</w:t>
            </w:r>
          </w:p>
        </w:tc>
        <w:tc>
          <w:tcPr>
            <w:tcW w:w="766" w:type="dxa"/>
            <w:tcBorders>
              <w:top w:val="single" w:sz="8" w:space="0" w:color="000000"/>
            </w:tcBorders>
          </w:tcPr>
          <w:p>
            <w:pPr>
              <w:pStyle w:val="TableParagraph"/>
              <w:spacing w:before="27"/>
              <w:ind w:left="92" w:right="92"/>
              <w:rPr>
                <w:sz w:val="24"/>
              </w:rPr>
            </w:pPr>
            <w:r>
              <w:rPr>
                <w:sz w:val="24"/>
              </w:rPr>
              <w:t>12.64</w:t>
            </w:r>
          </w:p>
        </w:tc>
        <w:tc>
          <w:tcPr>
            <w:tcW w:w="768" w:type="dxa"/>
            <w:tcBorders>
              <w:top w:val="single" w:sz="8" w:space="0" w:color="000000"/>
            </w:tcBorders>
          </w:tcPr>
          <w:p>
            <w:pPr>
              <w:pStyle w:val="TableParagraph"/>
              <w:spacing w:before="27"/>
              <w:ind w:left="94" w:right="94"/>
              <w:rPr>
                <w:sz w:val="24"/>
              </w:rPr>
            </w:pPr>
            <w:r>
              <w:rPr>
                <w:sz w:val="24"/>
              </w:rPr>
              <w:t>2.88</w:t>
            </w:r>
          </w:p>
        </w:tc>
      </w:tr>
      <w:tr>
        <w:trPr>
          <w:trHeight w:val="374" w:hRule="exact"/>
        </w:trPr>
        <w:tc>
          <w:tcPr>
            <w:tcW w:w="3341" w:type="dxa"/>
          </w:tcPr>
          <w:p>
            <w:pPr>
              <w:pStyle w:val="TableParagraph"/>
              <w:spacing w:before="22"/>
              <w:ind w:left="83"/>
              <w:jc w:val="left"/>
              <w:rPr>
                <w:sz w:val="16"/>
              </w:rPr>
            </w:pPr>
            <w:r>
              <w:rPr>
                <w:sz w:val="24"/>
              </w:rPr>
              <w:t>Corderos (raza Segureña)</w:t>
            </w:r>
            <w:r>
              <w:rPr>
                <w:position w:val="9"/>
                <w:sz w:val="16"/>
              </w:rPr>
              <w:t>1</w:t>
            </w:r>
          </w:p>
        </w:tc>
        <w:tc>
          <w:tcPr>
            <w:tcW w:w="3289" w:type="dxa"/>
          </w:tcPr>
          <w:p>
            <w:pPr>
              <w:pStyle w:val="TableParagraph"/>
              <w:spacing w:before="66"/>
              <w:ind w:left="349" w:right="158"/>
              <w:rPr>
                <w:i/>
                <w:sz w:val="24"/>
              </w:rPr>
            </w:pPr>
            <w:r>
              <w:rPr>
                <w:i/>
                <w:sz w:val="24"/>
              </w:rPr>
              <w:t>Longissimus dorsi(hembras)</w:t>
            </w:r>
          </w:p>
        </w:tc>
        <w:tc>
          <w:tcPr>
            <w:tcW w:w="831" w:type="dxa"/>
          </w:tcPr>
          <w:p>
            <w:pPr>
              <w:pStyle w:val="TableParagraph"/>
              <w:spacing w:before="37"/>
              <w:ind w:left="158" w:right="93"/>
              <w:rPr>
                <w:sz w:val="24"/>
              </w:rPr>
            </w:pPr>
            <w:r>
              <w:rPr>
                <w:sz w:val="24"/>
              </w:rPr>
              <w:t>38.1</w:t>
            </w:r>
          </w:p>
        </w:tc>
        <w:tc>
          <w:tcPr>
            <w:tcW w:w="766" w:type="dxa"/>
          </w:tcPr>
          <w:p>
            <w:pPr>
              <w:pStyle w:val="TableParagraph"/>
              <w:spacing w:before="37"/>
              <w:ind w:left="92" w:right="92"/>
              <w:rPr>
                <w:sz w:val="24"/>
              </w:rPr>
            </w:pPr>
            <w:r>
              <w:rPr>
                <w:sz w:val="24"/>
              </w:rPr>
              <w:t>12.7</w:t>
            </w:r>
          </w:p>
        </w:tc>
        <w:tc>
          <w:tcPr>
            <w:tcW w:w="768" w:type="dxa"/>
          </w:tcPr>
          <w:p>
            <w:pPr>
              <w:pStyle w:val="TableParagraph"/>
              <w:spacing w:before="37"/>
              <w:ind w:left="94" w:right="94"/>
              <w:rPr>
                <w:sz w:val="24"/>
              </w:rPr>
            </w:pPr>
            <w:r>
              <w:rPr>
                <w:sz w:val="24"/>
              </w:rPr>
              <w:t>3.05</w:t>
            </w:r>
          </w:p>
        </w:tc>
      </w:tr>
      <w:tr>
        <w:trPr>
          <w:trHeight w:val="360" w:hRule="exact"/>
        </w:trPr>
        <w:tc>
          <w:tcPr>
            <w:tcW w:w="3341" w:type="dxa"/>
          </w:tcPr>
          <w:p>
            <w:pPr>
              <w:pStyle w:val="TableParagraph"/>
              <w:spacing w:before="22"/>
              <w:ind w:left="83"/>
              <w:jc w:val="left"/>
              <w:rPr>
                <w:sz w:val="16"/>
              </w:rPr>
            </w:pPr>
            <w:r>
              <w:rPr>
                <w:sz w:val="24"/>
              </w:rPr>
              <w:t>Corderos (Santa Inés)</w:t>
            </w:r>
            <w:r>
              <w:rPr>
                <w:position w:val="9"/>
                <w:sz w:val="16"/>
              </w:rPr>
              <w:t>2</w:t>
            </w:r>
          </w:p>
        </w:tc>
        <w:tc>
          <w:tcPr>
            <w:tcW w:w="3289" w:type="dxa"/>
          </w:tcPr>
          <w:p>
            <w:pPr>
              <w:pStyle w:val="TableParagraph"/>
              <w:spacing w:before="66"/>
              <w:ind w:left="349" w:right="158"/>
              <w:rPr>
                <w:i/>
                <w:sz w:val="24"/>
              </w:rPr>
            </w:pPr>
            <w:r>
              <w:rPr>
                <w:i/>
                <w:sz w:val="24"/>
              </w:rPr>
              <w:t>Longissimus dorsi</w:t>
            </w:r>
          </w:p>
        </w:tc>
        <w:tc>
          <w:tcPr>
            <w:tcW w:w="831" w:type="dxa"/>
          </w:tcPr>
          <w:p>
            <w:pPr>
              <w:pStyle w:val="TableParagraph"/>
              <w:spacing w:before="37"/>
              <w:ind w:left="158" w:right="93"/>
              <w:rPr>
                <w:sz w:val="24"/>
              </w:rPr>
            </w:pPr>
            <w:r>
              <w:rPr>
                <w:sz w:val="24"/>
              </w:rPr>
              <w:t>42.62</w:t>
            </w:r>
          </w:p>
        </w:tc>
        <w:tc>
          <w:tcPr>
            <w:tcW w:w="766" w:type="dxa"/>
          </w:tcPr>
          <w:p>
            <w:pPr>
              <w:pStyle w:val="TableParagraph"/>
              <w:spacing w:before="37"/>
              <w:ind w:left="92" w:right="92"/>
              <w:rPr>
                <w:sz w:val="24"/>
              </w:rPr>
            </w:pPr>
            <w:r>
              <w:rPr>
                <w:sz w:val="24"/>
              </w:rPr>
              <w:t>14.17</w:t>
            </w:r>
          </w:p>
        </w:tc>
        <w:tc>
          <w:tcPr>
            <w:tcW w:w="768" w:type="dxa"/>
          </w:tcPr>
          <w:p>
            <w:pPr>
              <w:pStyle w:val="TableParagraph"/>
              <w:spacing w:before="37"/>
              <w:ind w:left="94" w:right="94"/>
              <w:rPr>
                <w:sz w:val="24"/>
              </w:rPr>
            </w:pPr>
            <w:r>
              <w:rPr>
                <w:sz w:val="24"/>
              </w:rPr>
              <w:t>7.22</w:t>
            </w:r>
          </w:p>
        </w:tc>
      </w:tr>
      <w:tr>
        <w:trPr>
          <w:trHeight w:val="318" w:hRule="exact"/>
        </w:trPr>
        <w:tc>
          <w:tcPr>
            <w:tcW w:w="3341" w:type="dxa"/>
          </w:tcPr>
          <w:p>
            <w:pPr>
              <w:pStyle w:val="TableParagraph"/>
              <w:spacing w:before="8"/>
              <w:ind w:left="83"/>
              <w:jc w:val="left"/>
              <w:rPr>
                <w:sz w:val="16"/>
              </w:rPr>
            </w:pPr>
            <w:r>
              <w:rPr>
                <w:sz w:val="24"/>
              </w:rPr>
              <w:t>Ovinos (HampshirexSuffolk)</w:t>
            </w:r>
            <w:r>
              <w:rPr>
                <w:position w:val="9"/>
                <w:sz w:val="16"/>
              </w:rPr>
              <w:t>3</w:t>
            </w:r>
          </w:p>
        </w:tc>
        <w:tc>
          <w:tcPr>
            <w:tcW w:w="3289" w:type="dxa"/>
          </w:tcPr>
          <w:p>
            <w:pPr>
              <w:pStyle w:val="TableParagraph"/>
              <w:spacing w:before="23"/>
              <w:ind w:left="349" w:right="158"/>
              <w:rPr>
                <w:i/>
                <w:sz w:val="24"/>
              </w:rPr>
            </w:pPr>
            <w:r>
              <w:rPr>
                <w:i/>
                <w:sz w:val="24"/>
              </w:rPr>
              <w:t>Longissimus dorsi</w:t>
            </w:r>
          </w:p>
        </w:tc>
        <w:tc>
          <w:tcPr>
            <w:tcW w:w="831" w:type="dxa"/>
          </w:tcPr>
          <w:p>
            <w:pPr>
              <w:pStyle w:val="TableParagraph"/>
              <w:spacing w:before="23"/>
              <w:ind w:left="158" w:right="93"/>
              <w:rPr>
                <w:sz w:val="24"/>
              </w:rPr>
            </w:pPr>
            <w:r>
              <w:rPr>
                <w:sz w:val="24"/>
              </w:rPr>
              <w:t>41.39</w:t>
            </w:r>
          </w:p>
        </w:tc>
        <w:tc>
          <w:tcPr>
            <w:tcW w:w="766" w:type="dxa"/>
          </w:tcPr>
          <w:p>
            <w:pPr>
              <w:pStyle w:val="TableParagraph"/>
              <w:spacing w:before="23"/>
              <w:ind w:left="92" w:right="92"/>
              <w:rPr>
                <w:sz w:val="24"/>
              </w:rPr>
            </w:pPr>
            <w:r>
              <w:rPr>
                <w:sz w:val="24"/>
              </w:rPr>
              <w:t>16.55</w:t>
            </w:r>
          </w:p>
        </w:tc>
        <w:tc>
          <w:tcPr>
            <w:tcW w:w="768" w:type="dxa"/>
          </w:tcPr>
          <w:p>
            <w:pPr>
              <w:pStyle w:val="TableParagraph"/>
              <w:spacing w:before="23"/>
              <w:ind w:left="94" w:right="94"/>
              <w:rPr>
                <w:sz w:val="24"/>
              </w:rPr>
            </w:pPr>
            <w:r>
              <w:rPr>
                <w:sz w:val="24"/>
              </w:rPr>
              <w:t>8.6</w:t>
            </w:r>
          </w:p>
        </w:tc>
      </w:tr>
      <w:tr>
        <w:trPr>
          <w:trHeight w:val="322" w:hRule="exact"/>
        </w:trPr>
        <w:tc>
          <w:tcPr>
            <w:tcW w:w="3341" w:type="dxa"/>
          </w:tcPr>
          <w:p>
            <w:pPr>
              <w:pStyle w:val="TableParagraph"/>
              <w:spacing w:before="9"/>
              <w:ind w:left="83"/>
              <w:jc w:val="left"/>
              <w:rPr>
                <w:sz w:val="16"/>
              </w:rPr>
            </w:pPr>
            <w:r>
              <w:rPr>
                <w:sz w:val="24"/>
              </w:rPr>
              <w:t>Ovinos (Pelibuey)</w:t>
            </w:r>
            <w:r>
              <w:rPr>
                <w:position w:val="9"/>
                <w:sz w:val="16"/>
              </w:rPr>
              <w:t>3</w:t>
            </w:r>
          </w:p>
        </w:tc>
        <w:tc>
          <w:tcPr>
            <w:tcW w:w="3289" w:type="dxa"/>
          </w:tcPr>
          <w:p>
            <w:pPr>
              <w:pStyle w:val="TableParagraph"/>
              <w:spacing w:before="24"/>
              <w:ind w:left="349" w:right="157"/>
              <w:rPr>
                <w:i/>
                <w:sz w:val="24"/>
              </w:rPr>
            </w:pPr>
            <w:r>
              <w:rPr>
                <w:i/>
                <w:sz w:val="24"/>
              </w:rPr>
              <w:t>Longissimus dorsi</w:t>
            </w:r>
          </w:p>
        </w:tc>
        <w:tc>
          <w:tcPr>
            <w:tcW w:w="831" w:type="dxa"/>
          </w:tcPr>
          <w:p>
            <w:pPr>
              <w:pStyle w:val="TableParagraph"/>
              <w:spacing w:before="24"/>
              <w:ind w:left="158" w:right="93"/>
              <w:rPr>
                <w:sz w:val="24"/>
              </w:rPr>
            </w:pPr>
            <w:r>
              <w:rPr>
                <w:sz w:val="24"/>
              </w:rPr>
              <w:t>42.18</w:t>
            </w:r>
          </w:p>
        </w:tc>
        <w:tc>
          <w:tcPr>
            <w:tcW w:w="766" w:type="dxa"/>
          </w:tcPr>
          <w:p>
            <w:pPr>
              <w:pStyle w:val="TableParagraph"/>
              <w:spacing w:before="24"/>
              <w:ind w:left="92" w:right="92"/>
              <w:rPr>
                <w:sz w:val="24"/>
              </w:rPr>
            </w:pPr>
            <w:r>
              <w:rPr>
                <w:sz w:val="24"/>
              </w:rPr>
              <w:t>17.29</w:t>
            </w:r>
          </w:p>
        </w:tc>
        <w:tc>
          <w:tcPr>
            <w:tcW w:w="768" w:type="dxa"/>
          </w:tcPr>
          <w:p>
            <w:pPr>
              <w:pStyle w:val="TableParagraph"/>
              <w:spacing w:before="24"/>
              <w:ind w:left="94" w:right="94"/>
              <w:rPr>
                <w:sz w:val="24"/>
              </w:rPr>
            </w:pPr>
            <w:r>
              <w:rPr>
                <w:sz w:val="24"/>
              </w:rPr>
              <w:t>8.11</w:t>
            </w:r>
          </w:p>
        </w:tc>
      </w:tr>
      <w:tr>
        <w:trPr>
          <w:trHeight w:val="364" w:hRule="exact"/>
        </w:trPr>
        <w:tc>
          <w:tcPr>
            <w:tcW w:w="3341" w:type="dxa"/>
            <w:tcBorders>
              <w:bottom w:val="single" w:sz="8" w:space="0" w:color="000000"/>
            </w:tcBorders>
          </w:tcPr>
          <w:p>
            <w:pPr>
              <w:pStyle w:val="TableParagraph"/>
              <w:spacing w:before="11"/>
              <w:ind w:left="83"/>
              <w:jc w:val="left"/>
              <w:rPr>
                <w:sz w:val="16"/>
              </w:rPr>
            </w:pPr>
            <w:r>
              <w:rPr>
                <w:sz w:val="24"/>
              </w:rPr>
              <w:t>Ovinos (Pelibuey)</w:t>
            </w:r>
            <w:r>
              <w:rPr>
                <w:position w:val="9"/>
                <w:sz w:val="16"/>
              </w:rPr>
              <w:t>4</w:t>
            </w:r>
          </w:p>
        </w:tc>
        <w:tc>
          <w:tcPr>
            <w:tcW w:w="3289" w:type="dxa"/>
            <w:tcBorders>
              <w:bottom w:val="single" w:sz="8" w:space="0" w:color="000000"/>
            </w:tcBorders>
          </w:tcPr>
          <w:p>
            <w:pPr>
              <w:pStyle w:val="TableParagraph"/>
              <w:spacing w:before="31"/>
              <w:ind w:left="349" w:right="158"/>
              <w:rPr>
                <w:i/>
                <w:sz w:val="24"/>
              </w:rPr>
            </w:pPr>
            <w:r>
              <w:rPr>
                <w:i/>
                <w:sz w:val="24"/>
              </w:rPr>
              <w:t>Longissimus dorsi</w:t>
            </w:r>
          </w:p>
        </w:tc>
        <w:tc>
          <w:tcPr>
            <w:tcW w:w="831" w:type="dxa"/>
            <w:tcBorders>
              <w:bottom w:val="single" w:sz="8" w:space="0" w:color="000000"/>
            </w:tcBorders>
          </w:tcPr>
          <w:p>
            <w:pPr>
              <w:pStyle w:val="TableParagraph"/>
              <w:spacing w:before="31"/>
              <w:ind w:left="158" w:right="93"/>
              <w:rPr>
                <w:sz w:val="24"/>
              </w:rPr>
            </w:pPr>
            <w:r>
              <w:rPr>
                <w:sz w:val="24"/>
              </w:rPr>
              <w:t>36.77</w:t>
            </w:r>
          </w:p>
        </w:tc>
        <w:tc>
          <w:tcPr>
            <w:tcW w:w="766" w:type="dxa"/>
            <w:tcBorders>
              <w:bottom w:val="single" w:sz="8" w:space="0" w:color="000000"/>
            </w:tcBorders>
          </w:tcPr>
          <w:p>
            <w:pPr>
              <w:pStyle w:val="TableParagraph"/>
              <w:spacing w:before="31"/>
              <w:ind w:left="92" w:right="92"/>
              <w:rPr>
                <w:sz w:val="24"/>
              </w:rPr>
            </w:pPr>
            <w:r>
              <w:rPr>
                <w:sz w:val="24"/>
              </w:rPr>
              <w:t>12.76</w:t>
            </w:r>
          </w:p>
        </w:tc>
        <w:tc>
          <w:tcPr>
            <w:tcW w:w="768" w:type="dxa"/>
            <w:tcBorders>
              <w:bottom w:val="single" w:sz="8" w:space="0" w:color="000000"/>
            </w:tcBorders>
          </w:tcPr>
          <w:p>
            <w:pPr>
              <w:pStyle w:val="TableParagraph"/>
              <w:spacing w:before="31"/>
              <w:ind w:left="94" w:right="94"/>
              <w:rPr>
                <w:sz w:val="24"/>
              </w:rPr>
            </w:pPr>
            <w:r>
              <w:rPr>
                <w:sz w:val="24"/>
              </w:rPr>
              <w:t>11.65</w:t>
            </w:r>
          </w:p>
        </w:tc>
      </w:tr>
    </w:tbl>
    <w:p>
      <w:pPr>
        <w:spacing w:line="273" w:lineRule="exact" w:before="0"/>
        <w:ind w:left="192" w:right="237" w:firstLine="0"/>
        <w:jc w:val="left"/>
        <w:rPr>
          <w:sz w:val="24"/>
        </w:rPr>
      </w:pPr>
      <w:r>
        <w:rPr>
          <w:position w:val="9"/>
          <w:sz w:val="16"/>
        </w:rPr>
        <w:t>1 </w:t>
      </w:r>
      <w:r>
        <w:rPr>
          <w:sz w:val="24"/>
        </w:rPr>
        <w:t>Cano </w:t>
      </w:r>
      <w:r>
        <w:rPr>
          <w:i/>
          <w:sz w:val="24"/>
        </w:rPr>
        <w:t>et al. </w:t>
      </w:r>
      <w:r>
        <w:rPr>
          <w:sz w:val="24"/>
        </w:rPr>
        <w:t>(2003); </w:t>
      </w:r>
      <w:r>
        <w:rPr>
          <w:position w:val="9"/>
          <w:sz w:val="16"/>
        </w:rPr>
        <w:t>2 </w:t>
      </w:r>
      <w:r>
        <w:rPr>
          <w:sz w:val="24"/>
        </w:rPr>
        <w:t>Rodríguez </w:t>
      </w:r>
      <w:r>
        <w:rPr>
          <w:i/>
          <w:sz w:val="24"/>
        </w:rPr>
        <w:t>et al. </w:t>
      </w:r>
      <w:r>
        <w:rPr>
          <w:sz w:val="24"/>
        </w:rPr>
        <w:t>(2008); </w:t>
      </w:r>
      <w:r>
        <w:rPr>
          <w:position w:val="9"/>
          <w:sz w:val="16"/>
        </w:rPr>
        <w:t>3 </w:t>
      </w:r>
      <w:r>
        <w:rPr>
          <w:sz w:val="24"/>
        </w:rPr>
        <w:t>Torres, (2013); </w:t>
      </w:r>
      <w:r>
        <w:rPr>
          <w:position w:val="9"/>
          <w:sz w:val="16"/>
        </w:rPr>
        <w:t>4 </w:t>
      </w:r>
      <w:r>
        <w:rPr>
          <w:sz w:val="24"/>
        </w:rPr>
        <w:t>García </w:t>
      </w:r>
      <w:r>
        <w:rPr>
          <w:i/>
          <w:sz w:val="24"/>
        </w:rPr>
        <w:t>et al.  </w:t>
      </w:r>
      <w:r>
        <w:rPr>
          <w:sz w:val="24"/>
        </w:rPr>
        <w:t>(1998).</w:t>
      </w:r>
    </w:p>
    <w:p>
      <w:pPr>
        <w:pStyle w:val="BodyText"/>
        <w:rPr>
          <w:sz w:val="26"/>
        </w:rPr>
      </w:pPr>
    </w:p>
    <w:p>
      <w:pPr>
        <w:pStyle w:val="BodyText"/>
        <w:spacing w:before="4"/>
        <w:rPr>
          <w:sz w:val="22"/>
        </w:rPr>
      </w:pPr>
    </w:p>
    <w:p>
      <w:pPr>
        <w:pStyle w:val="ListParagraph"/>
        <w:numPr>
          <w:ilvl w:val="2"/>
          <w:numId w:val="10"/>
        </w:numPr>
        <w:tabs>
          <w:tab w:pos="690" w:val="left" w:leader="none"/>
        </w:tabs>
        <w:spacing w:line="240" w:lineRule="auto" w:before="0" w:after="0"/>
        <w:ind w:left="689" w:right="0" w:hanging="497"/>
        <w:jc w:val="left"/>
        <w:rPr>
          <w:b/>
          <w:i/>
          <w:sz w:val="22"/>
        </w:rPr>
      </w:pPr>
      <w:bookmarkStart w:name="_bookmark26" w:id="48"/>
      <w:bookmarkEnd w:id="48"/>
      <w:r>
        <w:rPr/>
      </w:r>
      <w:bookmarkStart w:name="_bookmark26" w:id="49"/>
      <w:bookmarkEnd w:id="49"/>
      <w:r>
        <w:rPr>
          <w:b/>
          <w:i/>
          <w:sz w:val="22"/>
        </w:rPr>
        <w:t>Te</w:t>
      </w:r>
      <w:r>
        <w:rPr>
          <w:b/>
          <w:i/>
          <w:sz w:val="22"/>
        </w:rPr>
        <w:t>xtura</w:t>
      </w:r>
    </w:p>
    <w:p>
      <w:pPr>
        <w:pStyle w:val="BodyText"/>
        <w:spacing w:line="360" w:lineRule="auto" w:before="122"/>
        <w:ind w:left="192" w:right="187" w:firstLine="707"/>
      </w:pPr>
      <w:r>
        <w:rPr/>
        <w:t>La mayoría de los consumidores consideran la </w:t>
      </w:r>
      <w:r>
        <w:rPr>
          <w:i/>
        </w:rPr>
        <w:t>dureza </w:t>
      </w:r>
      <w:r>
        <w:rPr/>
        <w:t>como el factor más importante</w:t>
      </w:r>
      <w:r>
        <w:rPr>
          <w:spacing w:val="27"/>
        </w:rPr>
        <w:t> </w:t>
      </w:r>
      <w:r>
        <w:rPr/>
        <w:t>que</w:t>
      </w:r>
      <w:r>
        <w:rPr>
          <w:spacing w:val="26"/>
        </w:rPr>
        <w:t> </w:t>
      </w:r>
      <w:r>
        <w:rPr/>
        <w:t>determina</w:t>
      </w:r>
      <w:r>
        <w:rPr>
          <w:spacing w:val="26"/>
        </w:rPr>
        <w:t> </w:t>
      </w:r>
      <w:r>
        <w:rPr/>
        <w:t>la</w:t>
      </w:r>
      <w:r>
        <w:rPr>
          <w:spacing w:val="27"/>
        </w:rPr>
        <w:t> </w:t>
      </w:r>
      <w:r>
        <w:rPr/>
        <w:t>calidad</w:t>
      </w:r>
      <w:r>
        <w:rPr>
          <w:spacing w:val="27"/>
        </w:rPr>
        <w:t> </w:t>
      </w:r>
      <w:r>
        <w:rPr/>
        <w:t>de</w:t>
      </w:r>
      <w:r>
        <w:rPr>
          <w:spacing w:val="26"/>
        </w:rPr>
        <w:t> </w:t>
      </w:r>
      <w:r>
        <w:rPr/>
        <w:t>la</w:t>
      </w:r>
      <w:r>
        <w:rPr>
          <w:spacing w:val="27"/>
        </w:rPr>
        <w:t> </w:t>
      </w:r>
      <w:r>
        <w:rPr/>
        <w:t>carne.</w:t>
      </w:r>
      <w:r>
        <w:rPr>
          <w:spacing w:val="29"/>
        </w:rPr>
        <w:t> </w:t>
      </w:r>
      <w:r>
        <w:rPr/>
        <w:t>Quizá</w:t>
      </w:r>
      <w:r>
        <w:rPr>
          <w:spacing w:val="26"/>
        </w:rPr>
        <w:t> </w:t>
      </w:r>
      <w:r>
        <w:rPr/>
        <w:t>sea</w:t>
      </w:r>
      <w:r>
        <w:rPr>
          <w:spacing w:val="26"/>
        </w:rPr>
        <w:t> </w:t>
      </w:r>
      <w:r>
        <w:rPr/>
        <w:t>debido</w:t>
      </w:r>
      <w:r>
        <w:rPr>
          <w:spacing w:val="28"/>
        </w:rPr>
        <w:t> </w:t>
      </w:r>
      <w:r>
        <w:rPr/>
        <w:t>esto</w:t>
      </w:r>
      <w:r>
        <w:rPr>
          <w:spacing w:val="25"/>
        </w:rPr>
        <w:t> </w:t>
      </w:r>
      <w:r>
        <w:rPr/>
        <w:t>a</w:t>
      </w:r>
      <w:r>
        <w:rPr>
          <w:spacing w:val="26"/>
        </w:rPr>
        <w:t> </w:t>
      </w:r>
      <w:r>
        <w:rPr/>
        <w:t>que,</w:t>
      </w:r>
      <w:r>
        <w:rPr>
          <w:spacing w:val="27"/>
        </w:rPr>
        <w:t> </w:t>
      </w:r>
      <w:r>
        <w:rPr/>
        <w:t>cuando</w:t>
      </w:r>
      <w:r>
        <w:rPr>
          <w:spacing w:val="27"/>
        </w:rPr>
        <w:t> </w:t>
      </w:r>
      <w:r>
        <w:rPr/>
        <w:t>se</w:t>
      </w:r>
    </w:p>
    <w:p>
      <w:pPr>
        <w:spacing w:after="0" w:line="360" w:lineRule="auto"/>
        <w:sectPr>
          <w:pgSz w:w="12240" w:h="15840"/>
          <w:pgMar w:header="1154" w:footer="1383" w:top="1400" w:bottom="1580" w:left="1680" w:right="1340"/>
        </w:sectPr>
      </w:pPr>
    </w:p>
    <w:p>
      <w:pPr>
        <w:pStyle w:val="BodyText"/>
        <w:spacing w:before="2"/>
        <w:rPr>
          <w:sz w:val="28"/>
        </w:rPr>
      </w:pPr>
    </w:p>
    <w:p>
      <w:pPr>
        <w:pStyle w:val="BodyText"/>
        <w:spacing w:line="360" w:lineRule="auto" w:before="69"/>
        <w:ind w:left="152" w:right="144"/>
        <w:jc w:val="both"/>
      </w:pPr>
      <w:r>
        <w:rPr/>
        <w:t>habla de carne, frecuentemente se utilizan indistintamente los términos </w:t>
      </w:r>
      <w:r>
        <w:rPr>
          <w:i/>
        </w:rPr>
        <w:t>textura </w:t>
      </w:r>
      <w:r>
        <w:rPr/>
        <w:t>y </w:t>
      </w:r>
      <w:r>
        <w:rPr>
          <w:i/>
        </w:rPr>
        <w:t>dureza, </w:t>
      </w:r>
      <w:r>
        <w:rPr/>
        <w:t>y conviene recordar que no son sinónimos. La </w:t>
      </w:r>
      <w:r>
        <w:rPr>
          <w:i/>
        </w:rPr>
        <w:t>textura </w:t>
      </w:r>
      <w:r>
        <w:rPr/>
        <w:t>es una propiedad sensorial, mientras que la dureza es un atributo de la </w:t>
      </w:r>
      <w:r>
        <w:rPr>
          <w:i/>
        </w:rPr>
        <w:t>textura </w:t>
      </w:r>
      <w:r>
        <w:rPr/>
        <w:t>(Chrystall, 1994). La textura de la carne se percibe como un conjunto de sensaciones táctiles resultado de la interacción de los sentidos con las propiedades físicas y químicas entre las que se incluyen la densidad, la dureza, la plasticidad, la elasticidad, la consistencia, la cantidad de grasa, la humedad y el tamaño de las partículas de la misma. De entre ellas el consumidor otorga una mayor importancia a la terneza la cual se considera antagónica, a la dureza, como principal atributo de la textura, siendo uno de los criterios determinantes de la calidad de la carne (Lawrie, 1998).</w:t>
      </w:r>
    </w:p>
    <w:p>
      <w:pPr>
        <w:pStyle w:val="BodyText"/>
        <w:spacing w:line="360" w:lineRule="auto" w:before="4"/>
        <w:ind w:left="152" w:right="146" w:firstLine="707"/>
        <w:jc w:val="both"/>
      </w:pPr>
      <w:r>
        <w:rPr/>
        <w:t>Dos fracciones proteicas determinan la terneza, por una parte están las proteínas del tejido conjuntivo y por otra las miofibrilares. Las primeras están constituidas por el colágeno, la elastina y la reticulina y constituyen un elemento negativo que limita la terneza. El colágeno es el principal componente del tejido conjuntivo, determina la dureza de base, </w:t>
      </w:r>
      <w:r>
        <w:rPr>
          <w:spacing w:val="-3"/>
        </w:rPr>
        <w:t>ya </w:t>
      </w:r>
      <w:r>
        <w:rPr/>
        <w:t>que cuanto mayor es su cantidad, más dura es la carne. No obstante, Hill, (1996) señala que es la solubilidad del colágeno el factor más importante a considerar al hablar de terneza. La segunda fracción proteica implicada en la terneza, son las proteínas miofibrilares cuyas transformaciones post-mortem son responsables de las variaciones de esta cualidad, existiendo estrecha relación entre esta y el grado de concentración de las miofibrillas. Herring </w:t>
      </w:r>
      <w:r>
        <w:rPr>
          <w:i/>
        </w:rPr>
        <w:t>et al. </w:t>
      </w:r>
      <w:r>
        <w:rPr/>
        <w:t>(1967) demostraron que la dureza de la carne está relacionada con la contracción de las fibras</w:t>
      </w:r>
      <w:r>
        <w:rPr>
          <w:spacing w:val="-6"/>
        </w:rPr>
        <w:t> </w:t>
      </w:r>
      <w:r>
        <w:rPr/>
        <w:t>musculares.</w:t>
      </w:r>
    </w:p>
    <w:p>
      <w:pPr>
        <w:pStyle w:val="BodyText"/>
        <w:spacing w:line="360" w:lineRule="auto" w:before="6"/>
        <w:ind w:left="152" w:right="148" w:firstLine="707"/>
        <w:jc w:val="both"/>
      </w:pPr>
      <w:r>
        <w:rPr/>
        <w:t>Sobre la terneza influyen tres componentes (Van Hoof, 1981). En primer lugar, está el tamaño de los paquetes de fibras contenidas en el músculo, ya que los diferentes tipos de fibras musculares presentan diferentes capacidades de contracción y de retención de agua y por tanto, reaccionan de distinta forma a las temperaturas que determinan la cocción y la refrigeración. En animales grandes, como el ganado vacuno, estos paquetes son mayores que en animales más pequeños como el cordero o el cerdo. En segundo lugar, inciden sobre la dureza la </w:t>
      </w:r>
      <w:r>
        <w:rPr>
          <w:i/>
        </w:rPr>
        <w:t>longitud del sarcómero </w:t>
      </w:r>
      <w:r>
        <w:rPr/>
        <w:t>y de las </w:t>
      </w:r>
      <w:r>
        <w:rPr>
          <w:i/>
        </w:rPr>
        <w:t>miofibrillas, </w:t>
      </w:r>
      <w:r>
        <w:rPr/>
        <w:t>de tal forma que cuanto mayor es su contracción mayor es la dureza. Por último, como se ha mencionado, influye la  cantidad</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56"/>
      </w:pPr>
      <w:r>
        <w:rPr/>
        <w:t>y naturaleza del tejido conjuntivo.Una mayor cantidad de colágeno implica mayor dureza, mucho más si está muy polimerizado, lo cual disminuye su solubilidad (Touraille, 1978).</w:t>
      </w:r>
    </w:p>
    <w:p>
      <w:pPr>
        <w:pStyle w:val="BodyText"/>
        <w:spacing w:line="360" w:lineRule="auto" w:before="6"/>
        <w:ind w:left="152" w:right="144" w:firstLine="707"/>
        <w:jc w:val="both"/>
      </w:pPr>
      <w:r>
        <w:rPr/>
        <w:t>Adicionalmente, la actividad enzimática es muy dependiente de la temperatura y a medida que la temperatura post mortem disminuye, la actividad de las enzimas implicadas en la degradación miofibrilar (calpaína y calpastatina), disminuyen también; por  lo tanto,  la degradación miofibrilar, la cual se ha relacionado con descensos en </w:t>
      </w:r>
      <w:r>
        <w:rPr>
          <w:spacing w:val="3"/>
        </w:rPr>
        <w:t>la </w:t>
      </w:r>
      <w:r>
        <w:rPr/>
        <w:t>dureza de la carne, se ve reducida (Miller, 1990). La extensión del ablandamiento es proporcional al nivel de calpáinas y de calpastatinas (Shackelford </w:t>
      </w:r>
      <w:r>
        <w:rPr>
          <w:i/>
        </w:rPr>
        <w:t>et al., </w:t>
      </w:r>
      <w:r>
        <w:rPr/>
        <w:t>1991; Koomaraie, 1992). Shackelford </w:t>
      </w:r>
      <w:r>
        <w:rPr>
          <w:i/>
        </w:rPr>
        <w:t>et al. </w:t>
      </w:r>
      <w:r>
        <w:rPr/>
        <w:t>(1991) observaron que el inhibidor de las calpainas (calpastatina) es el parámetro mejor correlacionado con la dureza tras 14 días de almacenamiento a 2º C, y especularon sobre su papel como regulador de la dureza. El pH influye, también sobre la dureza;  algunos estudios han demostrado que la dureza probablemente alcanza su valor más bajo si la glicolisis post mortem se verifica a una velocidad intermedia (correspondiente a un pH alrededor de 5.9 a las 3 horas post mortem) y es mayor con una velocidad más lenta o más rápida (Smulders </w:t>
      </w:r>
      <w:r>
        <w:rPr>
          <w:i/>
        </w:rPr>
        <w:t>et al.,</w:t>
      </w:r>
      <w:r>
        <w:rPr>
          <w:i/>
          <w:spacing w:val="-5"/>
        </w:rPr>
        <w:t> </w:t>
      </w:r>
      <w:r>
        <w:rPr/>
        <w:t>1990).</w:t>
      </w:r>
    </w:p>
    <w:p>
      <w:pPr>
        <w:pStyle w:val="BodyText"/>
        <w:spacing w:line="360" w:lineRule="auto" w:before="4"/>
        <w:ind w:left="152" w:right="146" w:firstLine="707"/>
        <w:jc w:val="both"/>
      </w:pPr>
      <w:r>
        <w:rPr/>
        <w:t>Dentro del mismo músculo la dureza también varía, por ejemplo, en el lomo, aumenta desde el centro hacia los extremos, debido sobre todo a la cantidad de tejido conjuntivo que contienen. Se ha establecido claramente que muchos de los puentes covalentes que unen las moléculas de tropocolágeno son relativamente lábiles en los animales jóvenes y se hacen más estables conforme aumenta la edad (Miller, 1990). Muchos estudios han mostrado el endurecimiento que causa el “acortamiento por frío” en vacuno. También parecen existir diferencias en cuanto a la dureza debida al factor raza (Sierra </w:t>
      </w:r>
      <w:r>
        <w:rPr>
          <w:i/>
        </w:rPr>
        <w:t>et al., </w:t>
      </w:r>
      <w:r>
        <w:rPr/>
        <w:t>1988) aunque estas son relativamente poco importantes, porque dentro de la misma raza se pueden dar variaciones mayores. El factor sexo tampoco parece tener efecto especialmente importante. En animales jóvenes Sañudo </w:t>
      </w:r>
      <w:r>
        <w:rPr>
          <w:i/>
        </w:rPr>
        <w:t>et al</w:t>
      </w:r>
      <w:r>
        <w:rPr/>
        <w:t>. (1986) no se encontraron diferencias entre machos y hembras y hembras y Dransfield </w:t>
      </w:r>
      <w:r>
        <w:rPr>
          <w:i/>
        </w:rPr>
        <w:t>et al. </w:t>
      </w:r>
      <w:r>
        <w:rPr/>
        <w:t>(1990) tampoco se encontraron diferencias en la dureza de la carne entre machos enteros y castrados, en contraste Alvi, (1980) detectó que los animales enteros eran algo más duros que los castrados.</w:t>
      </w:r>
      <w:r>
        <w:rPr>
          <w:spacing w:val="25"/>
        </w:rPr>
        <w:t> </w:t>
      </w:r>
      <w:r>
        <w:rPr/>
        <w:t>Dreyer</w:t>
      </w:r>
      <w:r>
        <w:rPr>
          <w:spacing w:val="26"/>
        </w:rPr>
        <w:t> </w:t>
      </w:r>
      <w:r>
        <w:rPr>
          <w:i/>
        </w:rPr>
        <w:t>et</w:t>
      </w:r>
      <w:r>
        <w:rPr>
          <w:i/>
          <w:spacing w:val="25"/>
        </w:rPr>
        <w:t> </w:t>
      </w:r>
      <w:r>
        <w:rPr>
          <w:i/>
        </w:rPr>
        <w:t>al.</w:t>
      </w:r>
      <w:r>
        <w:rPr>
          <w:i/>
          <w:spacing w:val="28"/>
        </w:rPr>
        <w:t> </w:t>
      </w:r>
      <w:r>
        <w:rPr/>
        <w:t>(1977)</w:t>
      </w:r>
      <w:r>
        <w:rPr>
          <w:spacing w:val="24"/>
        </w:rPr>
        <w:t> </w:t>
      </w:r>
      <w:r>
        <w:rPr/>
        <w:t>afirman</w:t>
      </w:r>
      <w:r>
        <w:rPr>
          <w:spacing w:val="25"/>
        </w:rPr>
        <w:t> </w:t>
      </w:r>
      <w:r>
        <w:rPr/>
        <w:t>que</w:t>
      </w:r>
      <w:r>
        <w:rPr>
          <w:spacing w:val="24"/>
        </w:rPr>
        <w:t> </w:t>
      </w:r>
      <w:r>
        <w:rPr/>
        <w:t>los</w:t>
      </w:r>
      <w:r>
        <w:rPr>
          <w:spacing w:val="28"/>
        </w:rPr>
        <w:t> </w:t>
      </w:r>
      <w:r>
        <w:rPr/>
        <w:t>machos</w:t>
      </w:r>
      <w:r>
        <w:rPr>
          <w:spacing w:val="25"/>
        </w:rPr>
        <w:t> </w:t>
      </w:r>
      <w:r>
        <w:rPr/>
        <w:t>tienen</w:t>
      </w:r>
      <w:r>
        <w:rPr>
          <w:spacing w:val="25"/>
        </w:rPr>
        <w:t> </w:t>
      </w:r>
      <w:r>
        <w:rPr/>
        <w:t>mayor</w:t>
      </w:r>
      <w:r>
        <w:rPr>
          <w:spacing w:val="24"/>
        </w:rPr>
        <w:t> </w:t>
      </w:r>
      <w:r>
        <w:rPr/>
        <w:t>dureza</w:t>
      </w:r>
      <w:r>
        <w:rPr>
          <w:spacing w:val="24"/>
        </w:rPr>
        <w:t> </w:t>
      </w:r>
      <w:r>
        <w:rPr/>
        <w:t>debido</w:t>
      </w:r>
      <w:r>
        <w:rPr>
          <w:spacing w:val="25"/>
        </w:rPr>
        <w:t> </w:t>
      </w:r>
      <w:r>
        <w:rPr/>
        <w:t>a</w:t>
      </w:r>
      <w:r>
        <w:rPr>
          <w:spacing w:val="24"/>
        </w:rPr>
        <w:t> </w:t>
      </w:r>
      <w:r>
        <w:rPr/>
        <w:t>un</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tabs>
          <w:tab w:pos="2064" w:val="left" w:leader="none"/>
        </w:tabs>
        <w:spacing w:line="360" w:lineRule="auto" w:before="69"/>
        <w:ind w:left="152" w:right="153"/>
      </w:pPr>
      <w:r>
        <w:rPr/>
        <w:t>mayor</w:t>
      </w:r>
      <w:r>
        <w:rPr>
          <w:spacing w:val="55"/>
        </w:rPr>
        <w:t> </w:t>
      </w:r>
      <w:r>
        <w:rPr/>
        <w:t>contenido</w:t>
        <w:tab/>
        <w:t>en  colágeno  y  una  menor  cantidad  de  grasa  de  infiltración</w:t>
      </w:r>
      <w:r>
        <w:rPr>
          <w:spacing w:val="28"/>
        </w:rPr>
        <w:t> </w:t>
      </w:r>
      <w:r>
        <w:rPr/>
        <w:t>que</w:t>
      </w:r>
      <w:r>
        <w:rPr>
          <w:spacing w:val="55"/>
        </w:rPr>
        <w:t> </w:t>
      </w:r>
      <w:r>
        <w:rPr/>
        <w:t>las</w:t>
      </w:r>
      <w:r>
        <w:rPr>
          <w:w w:val="99"/>
        </w:rPr>
        <w:t> </w:t>
      </w:r>
      <w:r>
        <w:rPr/>
        <w:t>hembras.</w:t>
      </w:r>
    </w:p>
    <w:p>
      <w:pPr>
        <w:pStyle w:val="BodyText"/>
        <w:spacing w:line="360" w:lineRule="auto" w:before="6"/>
        <w:ind w:left="152" w:right="145" w:firstLine="707"/>
        <w:jc w:val="both"/>
      </w:pPr>
      <w:r>
        <w:rPr/>
        <w:t>La textura de la carne puede ser evaluada por diferentes métodos, La textura de la carne puede ser evaluada por diferentes métodos, tales como </w:t>
      </w:r>
      <w:r>
        <w:rPr>
          <w:i/>
        </w:rPr>
        <w:t>subjetivos </w:t>
      </w:r>
      <w:r>
        <w:rPr/>
        <w:t>mediante test de consumidores y/o paneles de catadores, y </w:t>
      </w:r>
      <w:r>
        <w:rPr>
          <w:i/>
        </w:rPr>
        <w:t>objetivos </w:t>
      </w:r>
      <w:r>
        <w:rPr/>
        <w:t>los cuales pueden clasificarse en </w:t>
      </w:r>
      <w:r>
        <w:rPr>
          <w:i/>
        </w:rPr>
        <w:t>mecánicos </w:t>
      </w:r>
      <w:r>
        <w:rPr/>
        <w:t>(corte, compresión, penetración), </w:t>
      </w:r>
      <w:r>
        <w:rPr>
          <w:i/>
        </w:rPr>
        <w:t>estructurales</w:t>
      </w:r>
      <w:r>
        <w:rPr/>
        <w:t>, </w:t>
      </w:r>
      <w:r>
        <w:rPr>
          <w:i/>
        </w:rPr>
        <w:t>químicos </w:t>
      </w:r>
      <w:r>
        <w:rPr/>
        <w:t>y otros (ultrasonido, fluorescencia).</w:t>
      </w:r>
    </w:p>
    <w:p>
      <w:pPr>
        <w:pStyle w:val="BodyText"/>
        <w:spacing w:line="360" w:lineRule="auto" w:before="4"/>
        <w:ind w:left="152" w:right="145" w:firstLine="707"/>
        <w:jc w:val="both"/>
      </w:pPr>
      <w:r>
        <w:rPr/>
        <w:t>Las mediciones objetivas de la textura pretenden imitar las fuerzas necesarias producidas al morder y durante la masticación. Las mediciones se pueden realizar sobre la carne cruda y cocinada. En el caso de las muestras cocinadas, la temperatura y el tiempo de cocción influyen notablemente sobre la fuerza de deformación de la muestra. Por este motivo, la temperatura final de cocción en el centro de la muestra debe ser definida y medida con precisión, siendo 75º C la recomendación general. El grosor y peso de las muestras deben ser igualmente constante (Honikel, 1998). Todas las mediciones de la prueba deben ser siempre claramente definidas en la metodología.</w:t>
      </w:r>
    </w:p>
    <w:p>
      <w:pPr>
        <w:pStyle w:val="BodyText"/>
        <w:spacing w:line="360" w:lineRule="auto" w:before="4"/>
        <w:ind w:left="152" w:right="142" w:firstLine="707"/>
        <w:jc w:val="both"/>
      </w:pPr>
      <w:r>
        <w:rPr/>
        <w:t>El método más utilizado es el método mecánico de corte o cizalla mediante la cuchilla Warner-Bratzler (Warner-Bratzler Shear Test-WBST), la cual mide la fuerza necesaria para cortar una muestra de carne con un área de sección determinada mediante una cuchilla de borde romo. Cuanto mayor es la fuerza, más dura es la carne. Numerosos factores influyen en la medición (la temperatura de cocinado, uniformidad de la muestra a analizar, dirección de las fibras musculares, cantidad y distribución del tejido conjuntivo y materia grasa, temperatura de la muestra, y velocidad de la cuchilla Warner-Bratzler). A la hora de evaluar las medidas reflejadas en la curva de la fuerza de hay que tener en cuenta el pico máximo de fuerza aplicada (Peak Force) y la energía total o fuerza total aplicada (área total bajo la curva) el resultado se expresa en kg (Galián, 2007). En el Cuadro 8 se  muestran algunos resultados para la variable de fuerza de corte del </w:t>
      </w:r>
      <w:r>
        <w:rPr>
          <w:i/>
        </w:rPr>
        <w:t>Longissimus dorsi </w:t>
      </w:r>
      <w:r>
        <w:rPr/>
        <w:t>de diferentes razas de</w:t>
      </w:r>
      <w:r>
        <w:rPr>
          <w:spacing w:val="-3"/>
        </w:rPr>
        <w:t> </w:t>
      </w:r>
      <w:r>
        <w:rPr/>
        <w:t>ovinos.</w:t>
      </w:r>
    </w:p>
    <w:p>
      <w:pPr>
        <w:spacing w:after="0" w:line="360" w:lineRule="auto"/>
        <w:jc w:val="both"/>
        <w:sectPr>
          <w:pgSz w:w="12240" w:h="15840"/>
          <w:pgMar w:header="1154" w:footer="1383" w:top="1400" w:bottom="1580" w:left="1720" w:right="1380"/>
        </w:sectPr>
      </w:pPr>
    </w:p>
    <w:p>
      <w:pPr>
        <w:pStyle w:val="BodyText"/>
        <w:spacing w:before="2"/>
        <w:rPr>
          <w:sz w:val="28"/>
        </w:rPr>
      </w:pPr>
    </w:p>
    <w:p>
      <w:pPr>
        <w:spacing w:before="69"/>
        <w:ind w:left="1584" w:right="237" w:firstLine="0"/>
        <w:jc w:val="left"/>
        <w:rPr>
          <w:sz w:val="24"/>
        </w:rPr>
      </w:pPr>
      <w:r>
        <w:rPr>
          <w:b/>
          <w:sz w:val="24"/>
        </w:rPr>
        <w:t>Cuadro 8. </w:t>
      </w:r>
      <w:r>
        <w:rPr>
          <w:sz w:val="24"/>
        </w:rPr>
        <w:t>Fuerza de corte en el músculo </w:t>
      </w:r>
      <w:r>
        <w:rPr>
          <w:i/>
          <w:sz w:val="24"/>
        </w:rPr>
        <w:t>Longissimus dorsi </w:t>
      </w:r>
      <w:r>
        <w:rPr>
          <w:sz w:val="24"/>
        </w:rPr>
        <w:t>de ovinos</w:t>
      </w:r>
    </w:p>
    <w:p>
      <w:pPr>
        <w:pStyle w:val="BodyText"/>
        <w:spacing w:before="2"/>
        <w:rPr>
          <w:sz w:val="1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87"/>
        <w:gridCol w:w="3070"/>
        <w:gridCol w:w="3238"/>
      </w:tblGrid>
      <w:tr>
        <w:trPr>
          <w:trHeight w:val="406" w:hRule="exact"/>
        </w:trPr>
        <w:tc>
          <w:tcPr>
            <w:tcW w:w="2687" w:type="dxa"/>
            <w:tcBorders>
              <w:left w:val="nil"/>
              <w:bottom w:val="single" w:sz="8" w:space="0" w:color="000000"/>
              <w:right w:val="nil"/>
            </w:tcBorders>
          </w:tcPr>
          <w:p>
            <w:pPr>
              <w:pStyle w:val="TableParagraph"/>
              <w:spacing w:before="39"/>
              <w:ind w:left="1068" w:right="1058"/>
              <w:rPr>
                <w:b/>
                <w:sz w:val="24"/>
              </w:rPr>
            </w:pPr>
            <w:r>
              <w:rPr>
                <w:b/>
                <w:sz w:val="24"/>
              </w:rPr>
              <w:t>Raza</w:t>
            </w:r>
          </w:p>
        </w:tc>
        <w:tc>
          <w:tcPr>
            <w:tcW w:w="3070" w:type="dxa"/>
            <w:tcBorders>
              <w:left w:val="nil"/>
              <w:bottom w:val="single" w:sz="8" w:space="0" w:color="000000"/>
              <w:right w:val="nil"/>
            </w:tcBorders>
          </w:tcPr>
          <w:p>
            <w:pPr>
              <w:pStyle w:val="TableParagraph"/>
              <w:spacing w:before="39"/>
              <w:ind w:left="997"/>
              <w:jc w:val="left"/>
              <w:rPr>
                <w:b/>
                <w:sz w:val="24"/>
              </w:rPr>
            </w:pPr>
            <w:r>
              <w:rPr>
                <w:b/>
                <w:sz w:val="24"/>
              </w:rPr>
              <w:t>Músculo</w:t>
            </w:r>
          </w:p>
        </w:tc>
        <w:tc>
          <w:tcPr>
            <w:tcW w:w="3238" w:type="dxa"/>
            <w:tcBorders>
              <w:left w:val="nil"/>
              <w:bottom w:val="single" w:sz="8" w:space="0" w:color="000000"/>
              <w:right w:val="nil"/>
            </w:tcBorders>
          </w:tcPr>
          <w:p>
            <w:pPr>
              <w:pStyle w:val="TableParagraph"/>
              <w:spacing w:before="34"/>
              <w:ind w:left="242" w:right="430"/>
              <w:rPr>
                <w:b/>
                <w:sz w:val="24"/>
              </w:rPr>
            </w:pPr>
            <w:r>
              <w:rPr>
                <w:b/>
                <w:sz w:val="24"/>
              </w:rPr>
              <w:t>Fuerza de corte (kg/cm</w:t>
            </w:r>
            <w:r>
              <w:rPr>
                <w:b/>
                <w:position w:val="8"/>
                <w:sz w:val="16"/>
              </w:rPr>
              <w:t>2</w:t>
            </w:r>
            <w:r>
              <w:rPr>
                <w:b/>
                <w:sz w:val="24"/>
              </w:rPr>
              <w:t>)</w:t>
            </w:r>
          </w:p>
        </w:tc>
      </w:tr>
      <w:tr>
        <w:trPr>
          <w:trHeight w:val="387" w:hRule="exact"/>
        </w:trPr>
        <w:tc>
          <w:tcPr>
            <w:tcW w:w="2687" w:type="dxa"/>
            <w:tcBorders>
              <w:top w:val="single" w:sz="8" w:space="0" w:color="000000"/>
              <w:left w:val="nil"/>
              <w:bottom w:val="nil"/>
              <w:right w:val="nil"/>
            </w:tcBorders>
          </w:tcPr>
          <w:p>
            <w:pPr>
              <w:pStyle w:val="TableParagraph"/>
              <w:spacing w:before="39"/>
              <w:ind w:left="83"/>
              <w:jc w:val="left"/>
              <w:rPr>
                <w:sz w:val="16"/>
              </w:rPr>
            </w:pPr>
            <w:r>
              <w:rPr>
                <w:sz w:val="24"/>
              </w:rPr>
              <w:t>HampshirexSuffolk</w:t>
            </w:r>
            <w:r>
              <w:rPr>
                <w:position w:val="9"/>
                <w:sz w:val="16"/>
              </w:rPr>
              <w:t>1</w:t>
            </w:r>
          </w:p>
        </w:tc>
        <w:tc>
          <w:tcPr>
            <w:tcW w:w="3070" w:type="dxa"/>
            <w:tcBorders>
              <w:top w:val="single" w:sz="8" w:space="0" w:color="000000"/>
              <w:left w:val="nil"/>
              <w:bottom w:val="nil"/>
              <w:right w:val="nil"/>
            </w:tcBorders>
          </w:tcPr>
          <w:p>
            <w:pPr>
              <w:pStyle w:val="TableParagraph"/>
              <w:spacing w:before="54"/>
              <w:ind w:left="560"/>
              <w:jc w:val="left"/>
              <w:rPr>
                <w:i/>
                <w:sz w:val="24"/>
              </w:rPr>
            </w:pPr>
            <w:r>
              <w:rPr>
                <w:i/>
                <w:sz w:val="24"/>
              </w:rPr>
              <w:t>Longissimus dorsi</w:t>
            </w:r>
          </w:p>
        </w:tc>
        <w:tc>
          <w:tcPr>
            <w:tcW w:w="3238" w:type="dxa"/>
            <w:tcBorders>
              <w:top w:val="single" w:sz="8" w:space="0" w:color="000000"/>
              <w:left w:val="nil"/>
              <w:bottom w:val="nil"/>
              <w:right w:val="nil"/>
            </w:tcBorders>
          </w:tcPr>
          <w:p>
            <w:pPr>
              <w:pStyle w:val="TableParagraph"/>
              <w:spacing w:before="54"/>
              <w:ind w:left="240" w:right="430"/>
              <w:rPr>
                <w:sz w:val="24"/>
              </w:rPr>
            </w:pPr>
            <w:r>
              <w:rPr>
                <w:sz w:val="24"/>
              </w:rPr>
              <w:t>2.48</w:t>
            </w:r>
          </w:p>
        </w:tc>
      </w:tr>
      <w:tr>
        <w:trPr>
          <w:trHeight w:val="376" w:hRule="exact"/>
        </w:trPr>
        <w:tc>
          <w:tcPr>
            <w:tcW w:w="2687" w:type="dxa"/>
            <w:tcBorders>
              <w:top w:val="nil"/>
              <w:left w:val="nil"/>
              <w:bottom w:val="nil"/>
              <w:right w:val="nil"/>
            </w:tcBorders>
          </w:tcPr>
          <w:p>
            <w:pPr>
              <w:pStyle w:val="TableParagraph"/>
              <w:spacing w:before="38"/>
              <w:ind w:left="83"/>
              <w:jc w:val="left"/>
              <w:rPr>
                <w:sz w:val="16"/>
              </w:rPr>
            </w:pPr>
            <w:r>
              <w:rPr>
                <w:sz w:val="24"/>
              </w:rPr>
              <w:t>Pelibuey</w:t>
            </w:r>
            <w:r>
              <w:rPr>
                <w:position w:val="9"/>
                <w:sz w:val="16"/>
              </w:rPr>
              <w:t>1</w:t>
            </w:r>
          </w:p>
        </w:tc>
        <w:tc>
          <w:tcPr>
            <w:tcW w:w="3070" w:type="dxa"/>
            <w:tcBorders>
              <w:top w:val="nil"/>
              <w:left w:val="nil"/>
              <w:bottom w:val="nil"/>
              <w:right w:val="nil"/>
            </w:tcBorders>
          </w:tcPr>
          <w:p>
            <w:pPr>
              <w:pStyle w:val="TableParagraph"/>
              <w:spacing w:before="53"/>
              <w:ind w:left="560"/>
              <w:jc w:val="left"/>
              <w:rPr>
                <w:i/>
                <w:sz w:val="24"/>
              </w:rPr>
            </w:pPr>
            <w:r>
              <w:rPr>
                <w:i/>
                <w:sz w:val="24"/>
              </w:rPr>
              <w:t>Longissimus dorsi</w:t>
            </w:r>
          </w:p>
        </w:tc>
        <w:tc>
          <w:tcPr>
            <w:tcW w:w="3238" w:type="dxa"/>
            <w:tcBorders>
              <w:top w:val="nil"/>
              <w:left w:val="nil"/>
              <w:bottom w:val="nil"/>
              <w:right w:val="nil"/>
            </w:tcBorders>
          </w:tcPr>
          <w:p>
            <w:pPr>
              <w:pStyle w:val="TableParagraph"/>
              <w:spacing w:before="53"/>
              <w:ind w:left="240" w:right="430"/>
              <w:rPr>
                <w:sz w:val="24"/>
              </w:rPr>
            </w:pPr>
            <w:r>
              <w:rPr>
                <w:sz w:val="24"/>
              </w:rPr>
              <w:t>2.4</w:t>
            </w:r>
          </w:p>
        </w:tc>
      </w:tr>
      <w:tr>
        <w:trPr>
          <w:trHeight w:val="374" w:hRule="exact"/>
        </w:trPr>
        <w:tc>
          <w:tcPr>
            <w:tcW w:w="2687" w:type="dxa"/>
            <w:tcBorders>
              <w:top w:val="nil"/>
              <w:left w:val="nil"/>
              <w:bottom w:val="nil"/>
              <w:right w:val="nil"/>
            </w:tcBorders>
          </w:tcPr>
          <w:p>
            <w:pPr>
              <w:pStyle w:val="TableParagraph"/>
              <w:spacing w:before="37"/>
              <w:ind w:left="83"/>
              <w:jc w:val="left"/>
              <w:rPr>
                <w:sz w:val="16"/>
              </w:rPr>
            </w:pPr>
            <w:r>
              <w:rPr>
                <w:sz w:val="24"/>
              </w:rPr>
              <w:t>SuffolkxDorper</w:t>
            </w:r>
            <w:r>
              <w:rPr>
                <w:position w:val="9"/>
                <w:sz w:val="16"/>
              </w:rPr>
              <w:t>2</w:t>
            </w:r>
          </w:p>
        </w:tc>
        <w:tc>
          <w:tcPr>
            <w:tcW w:w="3070" w:type="dxa"/>
            <w:tcBorders>
              <w:top w:val="nil"/>
              <w:left w:val="nil"/>
              <w:bottom w:val="nil"/>
              <w:right w:val="nil"/>
            </w:tcBorders>
          </w:tcPr>
          <w:p>
            <w:pPr>
              <w:pStyle w:val="TableParagraph"/>
              <w:spacing w:before="52"/>
              <w:ind w:left="560"/>
              <w:jc w:val="left"/>
              <w:rPr>
                <w:i/>
                <w:sz w:val="24"/>
              </w:rPr>
            </w:pPr>
            <w:r>
              <w:rPr>
                <w:i/>
                <w:sz w:val="24"/>
              </w:rPr>
              <w:t>Longissimus dorsi</w:t>
            </w:r>
          </w:p>
        </w:tc>
        <w:tc>
          <w:tcPr>
            <w:tcW w:w="3238" w:type="dxa"/>
            <w:tcBorders>
              <w:top w:val="nil"/>
              <w:left w:val="nil"/>
              <w:bottom w:val="nil"/>
              <w:right w:val="nil"/>
            </w:tcBorders>
          </w:tcPr>
          <w:p>
            <w:pPr>
              <w:pStyle w:val="TableParagraph"/>
              <w:spacing w:before="52"/>
              <w:ind w:left="240" w:right="430"/>
              <w:rPr>
                <w:sz w:val="24"/>
              </w:rPr>
            </w:pPr>
            <w:r>
              <w:rPr>
                <w:sz w:val="24"/>
              </w:rPr>
              <w:t>2.39</w:t>
            </w:r>
          </w:p>
        </w:tc>
      </w:tr>
      <w:tr>
        <w:trPr>
          <w:trHeight w:val="383" w:hRule="exact"/>
        </w:trPr>
        <w:tc>
          <w:tcPr>
            <w:tcW w:w="2687" w:type="dxa"/>
            <w:tcBorders>
              <w:top w:val="nil"/>
              <w:left w:val="nil"/>
              <w:bottom w:val="nil"/>
              <w:right w:val="nil"/>
            </w:tcBorders>
          </w:tcPr>
          <w:p>
            <w:pPr>
              <w:pStyle w:val="TableParagraph"/>
              <w:spacing w:before="37"/>
              <w:ind w:left="83"/>
              <w:jc w:val="left"/>
              <w:rPr>
                <w:sz w:val="16"/>
              </w:rPr>
            </w:pPr>
            <w:r>
              <w:rPr>
                <w:sz w:val="24"/>
              </w:rPr>
              <w:t>Rambouillet</w:t>
            </w:r>
            <w:r>
              <w:rPr>
                <w:position w:val="9"/>
                <w:sz w:val="16"/>
              </w:rPr>
              <w:t>2</w:t>
            </w:r>
          </w:p>
        </w:tc>
        <w:tc>
          <w:tcPr>
            <w:tcW w:w="3070" w:type="dxa"/>
            <w:tcBorders>
              <w:top w:val="nil"/>
              <w:left w:val="nil"/>
              <w:bottom w:val="nil"/>
              <w:right w:val="nil"/>
            </w:tcBorders>
          </w:tcPr>
          <w:p>
            <w:pPr>
              <w:pStyle w:val="TableParagraph"/>
              <w:spacing w:before="52"/>
              <w:ind w:left="560"/>
              <w:jc w:val="left"/>
              <w:rPr>
                <w:i/>
                <w:sz w:val="24"/>
              </w:rPr>
            </w:pPr>
            <w:r>
              <w:rPr>
                <w:i/>
                <w:sz w:val="24"/>
              </w:rPr>
              <w:t>Longissimus dorsi</w:t>
            </w:r>
          </w:p>
        </w:tc>
        <w:tc>
          <w:tcPr>
            <w:tcW w:w="3238" w:type="dxa"/>
            <w:tcBorders>
              <w:top w:val="nil"/>
              <w:left w:val="nil"/>
              <w:bottom w:val="nil"/>
              <w:right w:val="nil"/>
            </w:tcBorders>
          </w:tcPr>
          <w:p>
            <w:pPr>
              <w:pStyle w:val="TableParagraph"/>
              <w:spacing w:before="52"/>
              <w:ind w:left="240" w:right="430"/>
              <w:rPr>
                <w:sz w:val="24"/>
              </w:rPr>
            </w:pPr>
            <w:r>
              <w:rPr>
                <w:sz w:val="24"/>
              </w:rPr>
              <w:t>2.77</w:t>
            </w:r>
          </w:p>
        </w:tc>
      </w:tr>
      <w:tr>
        <w:trPr>
          <w:trHeight w:val="372" w:hRule="exact"/>
        </w:trPr>
        <w:tc>
          <w:tcPr>
            <w:tcW w:w="2687" w:type="dxa"/>
            <w:tcBorders>
              <w:top w:val="nil"/>
              <w:left w:val="nil"/>
              <w:bottom w:val="nil"/>
              <w:right w:val="nil"/>
            </w:tcBorders>
          </w:tcPr>
          <w:p>
            <w:pPr>
              <w:pStyle w:val="TableParagraph"/>
              <w:spacing w:before="45"/>
              <w:ind w:left="83"/>
              <w:jc w:val="left"/>
              <w:rPr>
                <w:sz w:val="16"/>
              </w:rPr>
            </w:pPr>
            <w:r>
              <w:rPr>
                <w:sz w:val="24"/>
              </w:rPr>
              <w:t>Suffolk</w:t>
            </w:r>
            <w:r>
              <w:rPr>
                <w:position w:val="9"/>
                <w:sz w:val="16"/>
              </w:rPr>
              <w:t>3</w:t>
            </w:r>
          </w:p>
        </w:tc>
        <w:tc>
          <w:tcPr>
            <w:tcW w:w="3070" w:type="dxa"/>
            <w:tcBorders>
              <w:top w:val="nil"/>
              <w:left w:val="nil"/>
              <w:bottom w:val="nil"/>
              <w:right w:val="nil"/>
            </w:tcBorders>
          </w:tcPr>
          <w:p>
            <w:pPr>
              <w:pStyle w:val="TableParagraph"/>
              <w:spacing w:before="60"/>
              <w:ind w:left="560"/>
              <w:jc w:val="left"/>
              <w:rPr>
                <w:i/>
                <w:sz w:val="24"/>
              </w:rPr>
            </w:pPr>
            <w:r>
              <w:rPr>
                <w:i/>
                <w:sz w:val="24"/>
              </w:rPr>
              <w:t>Longissimus dorsi</w:t>
            </w:r>
          </w:p>
        </w:tc>
        <w:tc>
          <w:tcPr>
            <w:tcW w:w="3238" w:type="dxa"/>
            <w:tcBorders>
              <w:top w:val="nil"/>
              <w:left w:val="nil"/>
              <w:bottom w:val="nil"/>
              <w:right w:val="nil"/>
            </w:tcBorders>
          </w:tcPr>
          <w:p>
            <w:pPr>
              <w:pStyle w:val="TableParagraph"/>
              <w:spacing w:before="60"/>
              <w:ind w:left="240" w:right="430"/>
              <w:rPr>
                <w:sz w:val="24"/>
              </w:rPr>
            </w:pPr>
            <w:r>
              <w:rPr>
                <w:sz w:val="24"/>
              </w:rPr>
              <w:t>3.3</w:t>
            </w:r>
          </w:p>
        </w:tc>
      </w:tr>
      <w:tr>
        <w:trPr>
          <w:trHeight w:val="389" w:hRule="exact"/>
        </w:trPr>
        <w:tc>
          <w:tcPr>
            <w:tcW w:w="2687" w:type="dxa"/>
            <w:tcBorders>
              <w:top w:val="nil"/>
              <w:left w:val="nil"/>
              <w:bottom w:val="nil"/>
              <w:right w:val="nil"/>
            </w:tcBorders>
          </w:tcPr>
          <w:p>
            <w:pPr>
              <w:pStyle w:val="TableParagraph"/>
              <w:spacing w:before="26"/>
              <w:ind w:left="83"/>
              <w:jc w:val="left"/>
              <w:rPr>
                <w:sz w:val="16"/>
              </w:rPr>
            </w:pPr>
            <w:r>
              <w:rPr>
                <w:sz w:val="24"/>
              </w:rPr>
              <w:t>Corderos (raza Segureña)</w:t>
            </w:r>
            <w:r>
              <w:rPr>
                <w:position w:val="9"/>
                <w:sz w:val="16"/>
              </w:rPr>
              <w:t>4</w:t>
            </w:r>
          </w:p>
        </w:tc>
        <w:tc>
          <w:tcPr>
            <w:tcW w:w="3070" w:type="dxa"/>
            <w:tcBorders>
              <w:top w:val="nil"/>
              <w:left w:val="nil"/>
              <w:bottom w:val="nil"/>
              <w:right w:val="nil"/>
            </w:tcBorders>
          </w:tcPr>
          <w:p>
            <w:pPr>
              <w:pStyle w:val="TableParagraph"/>
              <w:spacing w:before="77"/>
              <w:ind w:left="114"/>
              <w:jc w:val="left"/>
              <w:rPr>
                <w:i/>
                <w:sz w:val="24"/>
              </w:rPr>
            </w:pPr>
            <w:r>
              <w:rPr>
                <w:i/>
                <w:sz w:val="24"/>
              </w:rPr>
              <w:t>Longissimus dorsi(machos)</w:t>
            </w:r>
          </w:p>
        </w:tc>
        <w:tc>
          <w:tcPr>
            <w:tcW w:w="3238" w:type="dxa"/>
            <w:tcBorders>
              <w:top w:val="nil"/>
              <w:left w:val="nil"/>
              <w:bottom w:val="nil"/>
              <w:right w:val="nil"/>
            </w:tcBorders>
          </w:tcPr>
          <w:p>
            <w:pPr>
              <w:pStyle w:val="TableParagraph"/>
              <w:spacing w:before="77"/>
              <w:ind w:left="240" w:right="430"/>
              <w:rPr>
                <w:sz w:val="24"/>
              </w:rPr>
            </w:pPr>
            <w:r>
              <w:rPr>
                <w:sz w:val="24"/>
              </w:rPr>
              <w:t>4.127</w:t>
            </w:r>
          </w:p>
        </w:tc>
      </w:tr>
      <w:tr>
        <w:trPr>
          <w:trHeight w:val="406" w:hRule="exact"/>
        </w:trPr>
        <w:tc>
          <w:tcPr>
            <w:tcW w:w="2687" w:type="dxa"/>
            <w:tcBorders>
              <w:top w:val="nil"/>
              <w:left w:val="nil"/>
              <w:bottom w:val="nil"/>
              <w:right w:val="nil"/>
            </w:tcBorders>
          </w:tcPr>
          <w:p>
            <w:pPr>
              <w:pStyle w:val="TableParagraph"/>
              <w:spacing w:before="26"/>
              <w:ind w:left="83"/>
              <w:jc w:val="left"/>
              <w:rPr>
                <w:sz w:val="16"/>
              </w:rPr>
            </w:pPr>
            <w:r>
              <w:rPr>
                <w:sz w:val="24"/>
              </w:rPr>
              <w:t>Corderos (raza Segureña)</w:t>
            </w:r>
            <w:r>
              <w:rPr>
                <w:position w:val="9"/>
                <w:sz w:val="16"/>
              </w:rPr>
              <w:t>4</w:t>
            </w:r>
          </w:p>
        </w:tc>
        <w:tc>
          <w:tcPr>
            <w:tcW w:w="3070" w:type="dxa"/>
            <w:tcBorders>
              <w:top w:val="nil"/>
              <w:left w:val="nil"/>
              <w:bottom w:val="nil"/>
              <w:right w:val="nil"/>
            </w:tcBorders>
          </w:tcPr>
          <w:p>
            <w:pPr>
              <w:pStyle w:val="TableParagraph"/>
              <w:spacing w:before="80"/>
              <w:ind w:left="68"/>
              <w:jc w:val="left"/>
              <w:rPr>
                <w:i/>
                <w:sz w:val="24"/>
              </w:rPr>
            </w:pPr>
            <w:r>
              <w:rPr>
                <w:i/>
                <w:sz w:val="24"/>
              </w:rPr>
              <w:t>Longissimus dorsi(hembras)</w:t>
            </w:r>
          </w:p>
        </w:tc>
        <w:tc>
          <w:tcPr>
            <w:tcW w:w="3238" w:type="dxa"/>
            <w:tcBorders>
              <w:top w:val="nil"/>
              <w:left w:val="nil"/>
              <w:bottom w:val="nil"/>
              <w:right w:val="nil"/>
            </w:tcBorders>
          </w:tcPr>
          <w:p>
            <w:pPr>
              <w:pStyle w:val="TableParagraph"/>
              <w:spacing w:before="80"/>
              <w:ind w:left="240" w:right="430"/>
              <w:rPr>
                <w:sz w:val="24"/>
              </w:rPr>
            </w:pPr>
            <w:r>
              <w:rPr>
                <w:sz w:val="24"/>
              </w:rPr>
              <w:t>3.596</w:t>
            </w:r>
          </w:p>
        </w:tc>
      </w:tr>
      <w:tr>
        <w:trPr>
          <w:trHeight w:val="389" w:hRule="exact"/>
        </w:trPr>
        <w:tc>
          <w:tcPr>
            <w:tcW w:w="2687" w:type="dxa"/>
            <w:tcBorders>
              <w:top w:val="nil"/>
              <w:left w:val="nil"/>
              <w:right w:val="nil"/>
            </w:tcBorders>
          </w:tcPr>
          <w:p>
            <w:pPr>
              <w:pStyle w:val="TableParagraph"/>
              <w:spacing w:before="27"/>
              <w:ind w:left="83"/>
              <w:jc w:val="left"/>
              <w:rPr>
                <w:sz w:val="24"/>
              </w:rPr>
            </w:pPr>
            <w:r>
              <w:rPr>
                <w:sz w:val="24"/>
              </w:rPr>
              <w:t>Promedio</w:t>
            </w:r>
          </w:p>
        </w:tc>
        <w:tc>
          <w:tcPr>
            <w:tcW w:w="3070" w:type="dxa"/>
            <w:tcBorders>
              <w:top w:val="nil"/>
              <w:left w:val="nil"/>
              <w:right w:val="nil"/>
            </w:tcBorders>
          </w:tcPr>
          <w:p>
            <w:pPr/>
          </w:p>
        </w:tc>
        <w:tc>
          <w:tcPr>
            <w:tcW w:w="3238" w:type="dxa"/>
            <w:tcBorders>
              <w:top w:val="nil"/>
              <w:left w:val="nil"/>
              <w:right w:val="nil"/>
            </w:tcBorders>
          </w:tcPr>
          <w:p>
            <w:pPr>
              <w:pStyle w:val="TableParagraph"/>
              <w:spacing w:before="63"/>
              <w:ind w:left="242" w:right="403"/>
              <w:rPr>
                <w:sz w:val="24"/>
              </w:rPr>
            </w:pPr>
            <w:r>
              <w:rPr>
                <w:sz w:val="24"/>
              </w:rPr>
              <w:t>3.00</w:t>
            </w:r>
          </w:p>
        </w:tc>
      </w:tr>
    </w:tbl>
    <w:p>
      <w:pPr>
        <w:spacing w:line="273" w:lineRule="exact" w:before="0"/>
        <w:ind w:left="192" w:right="237" w:firstLine="0"/>
        <w:jc w:val="left"/>
        <w:rPr>
          <w:sz w:val="24"/>
        </w:rPr>
      </w:pPr>
      <w:r>
        <w:rPr>
          <w:position w:val="9"/>
          <w:sz w:val="16"/>
        </w:rPr>
        <w:t>1 </w:t>
      </w:r>
      <w:r>
        <w:rPr>
          <w:sz w:val="24"/>
        </w:rPr>
        <w:t>Torres, (2013); </w:t>
      </w:r>
      <w:r>
        <w:rPr>
          <w:position w:val="9"/>
          <w:sz w:val="16"/>
        </w:rPr>
        <w:t>2 </w:t>
      </w:r>
      <w:r>
        <w:rPr>
          <w:sz w:val="24"/>
        </w:rPr>
        <w:t>Arvizu </w:t>
      </w:r>
      <w:r>
        <w:rPr>
          <w:i/>
          <w:sz w:val="24"/>
        </w:rPr>
        <w:t>et al. </w:t>
      </w:r>
      <w:r>
        <w:rPr>
          <w:sz w:val="24"/>
        </w:rPr>
        <w:t>(2011); </w:t>
      </w:r>
      <w:r>
        <w:rPr>
          <w:position w:val="9"/>
          <w:sz w:val="16"/>
        </w:rPr>
        <w:t>3 </w:t>
      </w:r>
      <w:r>
        <w:rPr>
          <w:sz w:val="24"/>
        </w:rPr>
        <w:t>Moreno </w:t>
      </w:r>
      <w:r>
        <w:rPr>
          <w:i/>
          <w:sz w:val="24"/>
        </w:rPr>
        <w:t>et al. </w:t>
      </w:r>
      <w:r>
        <w:rPr>
          <w:sz w:val="24"/>
        </w:rPr>
        <w:t>(2015); </w:t>
      </w:r>
      <w:r>
        <w:rPr>
          <w:position w:val="9"/>
          <w:sz w:val="16"/>
        </w:rPr>
        <w:t>4 </w:t>
      </w:r>
      <w:r>
        <w:rPr>
          <w:sz w:val="24"/>
        </w:rPr>
        <w:t>Cano </w:t>
      </w:r>
      <w:r>
        <w:rPr>
          <w:i/>
          <w:sz w:val="24"/>
        </w:rPr>
        <w:t>et al. </w:t>
      </w:r>
      <w:r>
        <w:rPr>
          <w:sz w:val="24"/>
        </w:rPr>
        <w:t>(2003).</w:t>
      </w:r>
    </w:p>
    <w:p>
      <w:pPr>
        <w:pStyle w:val="BodyText"/>
        <w:rPr>
          <w:sz w:val="26"/>
        </w:rPr>
      </w:pPr>
    </w:p>
    <w:p>
      <w:pPr>
        <w:pStyle w:val="BodyText"/>
        <w:spacing w:before="4"/>
        <w:rPr>
          <w:sz w:val="22"/>
        </w:rPr>
      </w:pPr>
    </w:p>
    <w:p>
      <w:pPr>
        <w:pStyle w:val="ListParagraph"/>
        <w:numPr>
          <w:ilvl w:val="2"/>
          <w:numId w:val="10"/>
        </w:numPr>
        <w:tabs>
          <w:tab w:pos="690" w:val="left" w:leader="none"/>
        </w:tabs>
        <w:spacing w:line="240" w:lineRule="auto" w:before="0" w:after="0"/>
        <w:ind w:left="689" w:right="0" w:hanging="497"/>
        <w:jc w:val="left"/>
        <w:rPr>
          <w:b/>
          <w:i/>
          <w:sz w:val="22"/>
        </w:rPr>
      </w:pPr>
      <w:bookmarkStart w:name="_bookmark27" w:id="50"/>
      <w:bookmarkEnd w:id="50"/>
      <w:r>
        <w:rPr/>
      </w:r>
      <w:bookmarkStart w:name="_bookmark27" w:id="51"/>
      <w:bookmarkEnd w:id="51"/>
      <w:r>
        <w:rPr>
          <w:b/>
          <w:i/>
          <w:sz w:val="22"/>
        </w:rPr>
        <w:t>C</w:t>
      </w:r>
      <w:r>
        <w:rPr>
          <w:b/>
          <w:i/>
          <w:sz w:val="22"/>
        </w:rPr>
        <w:t>olágeno</w:t>
      </w:r>
    </w:p>
    <w:p>
      <w:pPr>
        <w:pStyle w:val="BodyText"/>
        <w:spacing w:line="360" w:lineRule="auto" w:before="124"/>
        <w:ind w:left="192" w:right="184" w:firstLine="707"/>
        <w:jc w:val="both"/>
      </w:pPr>
      <w:r>
        <w:rPr/>
        <w:t>El colágeno es la proteína más abundante en el cuerpo de los mamíferos; constituye el 25% del total de la proteína del cuerpo y el 95% de los elementos fibrosos del tejido conectivo, aunque una gran cantidad está asociada con el esqueleto (Pearson y Young, 1989). Desde el punto de vista molecular el colágeno es una glucoproteína fibrosa, insoluble en medio neutro y con un menor contenido en aminoácidos esenciales que las proteínas intracelulares. No contiene Triptófano ni Cistina, por lo que es de bajo valor biológico, sin embargo, se le considera el principal responsable de la denominada “dureza base de la carne” </w:t>
      </w:r>
      <w:r>
        <w:rPr>
          <w:spacing w:val="-3"/>
        </w:rPr>
        <w:t>ya </w:t>
      </w:r>
      <w:r>
        <w:rPr/>
        <w:t>que casi no se ve afectado por la maduración. La unidad funcional del colágeno es el tropocolágeno, formado por tres cadenas polipeptídicas, portadoras de glúcidos (glucosa y galactosa) y enrolladas entre sí, constituyendo una hélice triple. Las cadenas polipeptídicas están unidas por fuertes enlaces, de ahí que sea una proteína difícilmente atacable por enzimas digestivas. La proporción de estas uniones incide en la textura de la carne y es diferente de un músculo a otro. Por ello, la textura de la carne depende del colágeno que contenga y en particular de su rigidez mecánica. Cuanto más grande sea, mayor número de enlaces, mayor resistencia al corte y por tanto, mayor será la dureza de la carne. Las cadenas polipétidícas que forman el tropocolágeno están constituidas por una secuencia conocida de aminoácidos, principalmente por </w:t>
      </w:r>
      <w:r>
        <w:rPr>
          <w:i/>
        </w:rPr>
        <w:t>glicocola</w:t>
      </w:r>
      <w:r>
        <w:rPr/>
        <w:t>,</w:t>
      </w:r>
      <w:r>
        <w:rPr>
          <w:spacing w:val="59"/>
        </w:rPr>
        <w:t> </w:t>
      </w:r>
      <w:r>
        <w:rPr/>
        <w:t>que</w:t>
      </w:r>
    </w:p>
    <w:p>
      <w:pPr>
        <w:spacing w:after="0" w:line="360" w:lineRule="auto"/>
        <w:jc w:val="both"/>
        <w:sectPr>
          <w:pgSz w:w="12240" w:h="15840"/>
          <w:pgMar w:header="1154" w:footer="1383" w:top="1400" w:bottom="1580" w:left="1680" w:right="1340"/>
        </w:sectPr>
      </w:pPr>
    </w:p>
    <w:p>
      <w:pPr>
        <w:pStyle w:val="BodyText"/>
        <w:spacing w:before="2"/>
        <w:rPr>
          <w:sz w:val="28"/>
        </w:rPr>
      </w:pPr>
    </w:p>
    <w:p>
      <w:pPr>
        <w:pStyle w:val="BodyText"/>
        <w:spacing w:line="360" w:lineRule="auto" w:before="69"/>
        <w:ind w:left="152" w:right="145"/>
        <w:jc w:val="both"/>
      </w:pPr>
      <w:r>
        <w:rPr/>
        <w:t>representa un tercio de los aminoácidos de la molécula, </w:t>
      </w:r>
      <w:r>
        <w:rPr>
          <w:i/>
        </w:rPr>
        <w:t>prolina, alanina, </w:t>
      </w:r>
      <w:r>
        <w:rPr/>
        <w:t>e </w:t>
      </w:r>
      <w:r>
        <w:rPr>
          <w:i/>
        </w:rPr>
        <w:t>hidroxiprolina, </w:t>
      </w:r>
      <w:r>
        <w:rPr/>
        <w:t>que representan otro tercio de la molécula y el último tercio que puede incluir casi todos los aminoácidos, dependiendo del tipo de colágeno de que se trate. La </w:t>
      </w:r>
      <w:r>
        <w:rPr>
          <w:i/>
        </w:rPr>
        <w:t>hidroxiprolina </w:t>
      </w:r>
      <w:r>
        <w:rPr/>
        <w:t>es el aminoácido característico del colágeno, y es muy poco frecuente en las proteínas, por lo  que su cuantificación se usa comúnmente para la determinación del contenido de colágeno en carne (Bonnet y Kopp, 1984). A la hidroxiprolina se fijan los glúcidos de la molécula de colágeno, y además juega un papel importante en la formación de entrecruzamientos en las fibras de colágeno y por tanto en la estabilidad de estas. Mediante la cuantificación específica de la hidroxiprolina, se puede calcular, con bastante aproximación, la cantidad de colágeno presente al multiplicar la hidroxiprolina por un coeficiente de transformación que oscila entre 7 y 8 según el tipo de colágeno</w:t>
      </w:r>
      <w:r>
        <w:rPr>
          <w:spacing w:val="-13"/>
        </w:rPr>
        <w:t> </w:t>
      </w:r>
      <w:r>
        <w:rPr/>
        <w:t>considerado.</w:t>
      </w:r>
    </w:p>
    <w:p>
      <w:pPr>
        <w:pStyle w:val="BodyText"/>
        <w:spacing w:line="360" w:lineRule="auto" w:before="4"/>
        <w:ind w:left="152" w:right="144" w:firstLine="707"/>
        <w:jc w:val="both"/>
      </w:pPr>
      <w:r>
        <w:rPr/>
        <w:t>El colágeno ha sido clasificado (bioquímicamente) de acuerdo a su estructura y composición de forma que se ha encontrado que cada clase de tejido contiene una composición característica de colágeno, existen 5 tipos de colágeno (además de otros minoritarios que se diferencian en la secuencia de aminoácidos como el tipo 7s, CF1, CF2, IX, HMV, LMV, VI, VII, VIII y X). El mayoritario se ha clasificado como: </w:t>
      </w:r>
      <w:r>
        <w:rPr>
          <w:b/>
        </w:rPr>
        <w:t>Colágeno I</w:t>
      </w:r>
      <w:r>
        <w:rPr/>
        <w:t>, el cual constituye el 90% del total, forma el epimisio y el perimisio (Bailey y Sims, 1977); </w:t>
      </w:r>
      <w:r>
        <w:rPr>
          <w:b/>
        </w:rPr>
        <w:t>Colágeno II</w:t>
      </w:r>
      <w:r>
        <w:rPr/>
        <w:t>, está presente en el músculo, además de otros tejidos (Swan </w:t>
      </w:r>
      <w:r>
        <w:rPr>
          <w:i/>
        </w:rPr>
        <w:t>et al., </w:t>
      </w:r>
      <w:r>
        <w:rPr/>
        <w:t>1976); </w:t>
      </w:r>
      <w:r>
        <w:rPr>
          <w:b/>
        </w:rPr>
        <w:t>Colágeno III</w:t>
      </w:r>
      <w:r>
        <w:rPr/>
        <w:t>, se encuentra en el epimisio y en menor proporción en el endomisio (Cannon y Davidson, 1978); </w:t>
      </w:r>
      <w:r>
        <w:rPr>
          <w:b/>
        </w:rPr>
        <w:t>Colágeno IV, </w:t>
      </w:r>
      <w:r>
        <w:rPr/>
        <w:t>presente en mayor proporción en el endomisio (Bateman </w:t>
      </w:r>
      <w:r>
        <w:rPr>
          <w:i/>
        </w:rPr>
        <w:t>et al., </w:t>
      </w:r>
      <w:r>
        <w:rPr/>
        <w:t>1996); y </w:t>
      </w:r>
      <w:r>
        <w:rPr>
          <w:b/>
        </w:rPr>
        <w:t>Colágeno V</w:t>
      </w:r>
      <w:r>
        <w:rPr/>
        <w:t>, aislado de diversos tejidos, incluyendo el muscular (Stenn </w:t>
      </w:r>
      <w:r>
        <w:rPr>
          <w:i/>
        </w:rPr>
        <w:t>et </w:t>
      </w:r>
      <w:r>
        <w:rPr>
          <w:i/>
        </w:rPr>
        <w:t>al., </w:t>
      </w:r>
      <w:r>
        <w:rPr/>
        <w:t>1979), se encuentra en forma de trazas en el perimisio (Bateman </w:t>
      </w:r>
      <w:r>
        <w:rPr>
          <w:i/>
        </w:rPr>
        <w:t>et al., </w:t>
      </w:r>
      <w:r>
        <w:rPr/>
        <w:t>1996).</w:t>
      </w:r>
    </w:p>
    <w:p>
      <w:pPr>
        <w:pStyle w:val="BodyText"/>
        <w:spacing w:line="360" w:lineRule="auto" w:before="6"/>
        <w:ind w:left="152" w:right="147" w:firstLine="707"/>
        <w:jc w:val="both"/>
      </w:pPr>
      <w:r>
        <w:rPr/>
        <w:t>El contenido de colágeno depende de diferentes factores. Dentro de la misma especie y raza, el contenido de colágeno se ve influido tanto por la edad como por el tipo de músculo, alcanzando a ser hasta tres veces superior en un músculo que en otro (Heinze </w:t>
      </w:r>
      <w:r>
        <w:rPr>
          <w:i/>
        </w:rPr>
        <w:t>et </w:t>
      </w:r>
      <w:r>
        <w:rPr>
          <w:i/>
        </w:rPr>
        <w:t>al., </w:t>
      </w:r>
      <w:r>
        <w:rPr/>
        <w:t>1986). Este contenido varía también en un mismo músculo desde la periferia a la parte más interna del mismo. Diversos estudios realizados en animales de abasto aportan informaciones contradictorias respecto a los cambios cuantitativos que se producen en función</w:t>
      </w:r>
      <w:r>
        <w:rPr>
          <w:spacing w:val="16"/>
        </w:rPr>
        <w:t> </w:t>
      </w:r>
      <w:r>
        <w:rPr/>
        <w:t>de</w:t>
      </w:r>
      <w:r>
        <w:rPr>
          <w:spacing w:val="14"/>
        </w:rPr>
        <w:t> </w:t>
      </w:r>
      <w:r>
        <w:rPr/>
        <w:t>la</w:t>
      </w:r>
      <w:r>
        <w:rPr>
          <w:spacing w:val="15"/>
        </w:rPr>
        <w:t> </w:t>
      </w:r>
      <w:r>
        <w:rPr/>
        <w:t>edad,</w:t>
      </w:r>
      <w:r>
        <w:rPr>
          <w:spacing w:val="15"/>
        </w:rPr>
        <w:t> </w:t>
      </w:r>
      <w:r>
        <w:rPr/>
        <w:t>al</w:t>
      </w:r>
      <w:r>
        <w:rPr>
          <w:spacing w:val="16"/>
        </w:rPr>
        <w:t> </w:t>
      </w:r>
      <w:r>
        <w:rPr/>
        <w:t>respecto,</w:t>
      </w:r>
      <w:r>
        <w:rPr>
          <w:spacing w:val="18"/>
        </w:rPr>
        <w:t> </w:t>
      </w:r>
      <w:r>
        <w:rPr/>
        <w:t>Wada</w:t>
      </w:r>
      <w:r>
        <w:rPr>
          <w:spacing w:val="15"/>
        </w:rPr>
        <w:t> </w:t>
      </w:r>
      <w:r>
        <w:rPr>
          <w:i/>
        </w:rPr>
        <w:t>et</w:t>
      </w:r>
      <w:r>
        <w:rPr>
          <w:i/>
          <w:spacing w:val="16"/>
        </w:rPr>
        <w:t> </w:t>
      </w:r>
      <w:r>
        <w:rPr>
          <w:i/>
        </w:rPr>
        <w:t>al.</w:t>
      </w:r>
      <w:r>
        <w:rPr>
          <w:i/>
          <w:spacing w:val="16"/>
        </w:rPr>
        <w:t> </w:t>
      </w:r>
      <w:r>
        <w:rPr/>
        <w:t>(1980)</w:t>
      </w:r>
      <w:r>
        <w:rPr>
          <w:spacing w:val="14"/>
        </w:rPr>
        <w:t> </w:t>
      </w:r>
      <w:r>
        <w:rPr/>
        <w:t>indicaron</w:t>
      </w:r>
      <w:r>
        <w:rPr>
          <w:spacing w:val="14"/>
        </w:rPr>
        <w:t> </w:t>
      </w:r>
      <w:r>
        <w:rPr/>
        <w:t>un</w:t>
      </w:r>
      <w:r>
        <w:rPr>
          <w:spacing w:val="15"/>
        </w:rPr>
        <w:t> </w:t>
      </w:r>
      <w:r>
        <w:rPr/>
        <w:t>incremento</w:t>
      </w:r>
      <w:r>
        <w:rPr>
          <w:spacing w:val="16"/>
        </w:rPr>
        <w:t> </w:t>
      </w:r>
      <w:r>
        <w:rPr/>
        <w:t>del</w:t>
      </w:r>
      <w:r>
        <w:rPr>
          <w:spacing w:val="16"/>
        </w:rPr>
        <w:t> </w:t>
      </w:r>
      <w:r>
        <w:rPr/>
        <w:t>contenido</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56"/>
      </w:pPr>
      <w:r>
        <w:rPr/>
        <w:t>de colágeno con la edad del animal, mientras que Reagan </w:t>
      </w:r>
      <w:r>
        <w:rPr>
          <w:i/>
        </w:rPr>
        <w:t>et al. </w:t>
      </w:r>
      <w:r>
        <w:rPr/>
        <w:t>(1976) no encontraron una relación significativa entre ambos factores.</w:t>
      </w:r>
    </w:p>
    <w:p>
      <w:pPr>
        <w:pStyle w:val="BodyText"/>
        <w:spacing w:line="360" w:lineRule="auto" w:before="6"/>
        <w:ind w:left="152" w:right="144" w:firstLine="707"/>
        <w:jc w:val="both"/>
      </w:pPr>
      <w:r>
        <w:rPr/>
        <w:t>Las propiedades físicas de las fibras de colágeno dependen del número y naturaleza de los enlaces que poseen. Los enlaces serán más o menos lábiles según la temperatura y condiciones del medio (presencia de agua, pH, etc.). El colágeno es una proteína insoluble en medio neutro, sin embargo, en medio ácido y/o altas temperaturas se produce la hidrólisis de las proteínas y por ello cuando la temperatura se eleva a aproximadamente a 70-80º C, el colágeno se transforma en gelatina, la cual está formada por moléculas hidrosolubles de fácil digestión, pero continúa siendo una proteína de bajo valor biológico. Esta desnaturalización térmica del colágeno es debida a la rotura de los enlaces lábiles, lo que se traduce en una contracción fibrilar, hasta alcanzar una temperatura máxima, en la que el número de enlaces rotos es mayoritario. Mediante la rotura de estas uniones las  fibras cambian más o menos profundamente su conformación, permitiendo a las moléculas de agua introducirse en el entramado fibrilar y las fibras comienzan a disociarse, produciéndose de esta forma la contracción y solubilidad del colágeno (formación de gelatina) (Díaz,</w:t>
      </w:r>
      <w:r>
        <w:rPr>
          <w:spacing w:val="-6"/>
        </w:rPr>
        <w:t> </w:t>
      </w:r>
      <w:r>
        <w:rPr/>
        <w:t>2001).</w:t>
      </w:r>
    </w:p>
    <w:p>
      <w:pPr>
        <w:pStyle w:val="BodyText"/>
        <w:spacing w:line="360" w:lineRule="auto" w:before="6"/>
        <w:ind w:left="152" w:right="145" w:firstLine="707"/>
        <w:jc w:val="both"/>
      </w:pPr>
      <w:r>
        <w:rPr/>
        <w:t>La solubilidad del colágeno muscular varía con el músculo, la raza y el  sexo (Heinze </w:t>
      </w:r>
      <w:r>
        <w:rPr>
          <w:i/>
        </w:rPr>
        <w:t>et al., </w:t>
      </w:r>
      <w:r>
        <w:rPr/>
        <w:t>1986) pero el factor esencial de variación es el resultado de la  polimerización que progresa con el envejecimiento y que explica una parte de las diferencias que se observa dentro de una misma raza. La cantidad de colágeno y sobre todo el estado de estructuración de los componentes del mismo, inciden sobre la dureza de la carne (Díaz, 2001). Con la edad del animal aumenta el estado de reticulación del colágeno (aumenta el número de cruzamientos covalentes), haciendo que las fibras colágenas sean más robustas y por lo tanto provocando una textura más dura de la carne. Los enlaces cruzados son termorresistentes, hecho al que se atribuye el que la cantidad de colágeno solubilizado mediante calentamiento sea superior en los animales más jóvenes, es decir, que la solubilidad del colágeno disminuya con la edad (Hill,</w:t>
      </w:r>
      <w:r>
        <w:rPr>
          <w:spacing w:val="-9"/>
        </w:rPr>
        <w:t> </w:t>
      </w:r>
      <w:r>
        <w:rPr/>
        <w:t>1966).</w:t>
      </w:r>
    </w:p>
    <w:p>
      <w:pPr>
        <w:spacing w:after="0" w:line="360" w:lineRule="auto"/>
        <w:jc w:val="both"/>
        <w:sectPr>
          <w:pgSz w:w="12240" w:h="15840"/>
          <w:pgMar w:header="1154" w:footer="1383" w:top="1400" w:bottom="1580" w:left="1720" w:right="1380"/>
        </w:sectPr>
      </w:pPr>
    </w:p>
    <w:p>
      <w:pPr>
        <w:pStyle w:val="BodyText"/>
        <w:spacing w:before="3"/>
        <w:rPr>
          <w:sz w:val="28"/>
        </w:rPr>
      </w:pPr>
    </w:p>
    <w:p>
      <w:pPr>
        <w:pStyle w:val="ListParagraph"/>
        <w:numPr>
          <w:ilvl w:val="2"/>
          <w:numId w:val="10"/>
        </w:numPr>
        <w:tabs>
          <w:tab w:pos="650" w:val="left" w:leader="none"/>
        </w:tabs>
        <w:spacing w:line="240" w:lineRule="auto" w:before="72" w:after="0"/>
        <w:ind w:left="649" w:right="0" w:hanging="497"/>
        <w:jc w:val="left"/>
        <w:rPr>
          <w:b/>
          <w:i/>
          <w:sz w:val="22"/>
        </w:rPr>
      </w:pPr>
      <w:bookmarkStart w:name="_bookmark28" w:id="52"/>
      <w:bookmarkEnd w:id="52"/>
      <w:r>
        <w:rPr/>
      </w:r>
      <w:bookmarkStart w:name="_bookmark28" w:id="53"/>
      <w:bookmarkEnd w:id="53"/>
      <w:r>
        <w:rPr>
          <w:b/>
          <w:i/>
          <w:sz w:val="22"/>
        </w:rPr>
        <w:t>Lí</w:t>
      </w:r>
      <w:r>
        <w:rPr>
          <w:b/>
          <w:i/>
          <w:sz w:val="22"/>
        </w:rPr>
        <w:t>pidos de la carne y</w:t>
      </w:r>
      <w:r>
        <w:rPr>
          <w:b/>
          <w:i/>
          <w:spacing w:val="-6"/>
          <w:sz w:val="22"/>
        </w:rPr>
        <w:t> </w:t>
      </w:r>
      <w:r>
        <w:rPr>
          <w:b/>
          <w:i/>
          <w:sz w:val="22"/>
        </w:rPr>
        <w:t>grasa</w:t>
      </w:r>
    </w:p>
    <w:p>
      <w:pPr>
        <w:pStyle w:val="BodyText"/>
        <w:spacing w:line="360" w:lineRule="auto" w:before="122"/>
        <w:ind w:left="152" w:right="145" w:firstLine="707"/>
        <w:jc w:val="both"/>
      </w:pPr>
      <w:r>
        <w:rPr/>
        <w:t>Las grasas se clasifican comúnmente como grasa de depósito o subcutánea (tejido adiposo intermuscular) y las que forman parte del tejido muscular. Las grasas de depósito se localizan en la capa subcutánea, pero en ocasiones también están presentes en cantidades considerables entre los músculos, como depósitos intermusculares, así como en la cavidad del cuerpo, alrededor de los riñones, pelvis y regiones del corazón (Ramírez, 2004). La cantidad de grasa de cada depósito difiere según la especie, (en el cerdo existe más grasa subcutánea que en el vacuno), incluso dentro de cada especie, observándose como en el ganado vacuno de aptitud lechera una acumulación predominantemente de grasa interna, mientras que los animales de aptitud cárnica acumulan mayor cantidad de grasa subcutánea, también denominada grasa de cobertura (Lister, 1980). Por otra parte, en todas las especies animales existe una relación positiva elevada entre la cantidad de grasa intramuscular o de infiltración y el de grasa total de la carne. La grasa intramuscular no influye tanto en la calidad de la canal sino en la calidad de la carne, </w:t>
      </w:r>
      <w:r>
        <w:rPr>
          <w:spacing w:val="-3"/>
        </w:rPr>
        <w:t>ya </w:t>
      </w:r>
      <w:r>
        <w:rPr/>
        <w:t>que tiene un alto valor por su supuesta contribución al incremento del flavor, habiéndose demostrado que el flavor de la carne per se reside en su fracción soluble en agua, mientras que las características del flavor y aroma de las especies reside en su fracción lipídica. Otra contribución de los lípidos musculares a la calidad de la carne es la estabilidad frente a la oxidación, influyendo de gran manera en  la formación de los sabores desagradables o también llamados “</w:t>
      </w:r>
      <w:r>
        <w:rPr>
          <w:i/>
        </w:rPr>
        <w:t>Warmed-over Flavor” </w:t>
      </w:r>
      <w:r>
        <w:rPr/>
        <w:t>(Pearson </w:t>
      </w:r>
      <w:r>
        <w:rPr>
          <w:i/>
        </w:rPr>
        <w:t>et al., </w:t>
      </w:r>
      <w:r>
        <w:rPr/>
        <w:t>1977). Los lípidos intramusculares también influyen en la jugosidad </w:t>
      </w:r>
      <w:r>
        <w:rPr>
          <w:spacing w:val="-3"/>
        </w:rPr>
        <w:t>y, </w:t>
      </w:r>
      <w:r>
        <w:rPr/>
        <w:t>por tanto, en la terneza de la carne (Pearson, 1966), así como en el color, puesto que el metabolismo más aeróbico de los músculos rojos u </w:t>
      </w:r>
      <w:r>
        <w:rPr>
          <w:i/>
        </w:rPr>
        <w:t>oscuros </w:t>
      </w:r>
      <w:r>
        <w:rPr/>
        <w:t>comparado con los músculos blancos o </w:t>
      </w:r>
      <w:r>
        <w:rPr>
          <w:i/>
        </w:rPr>
        <w:t>luminosos </w:t>
      </w:r>
      <w:r>
        <w:rPr/>
        <w:t>se asocia no sólo con mayores concentraciones de mioglobina, sino también con mayores proporciones de lípidos. Por otra parte, la fracción lipídica, desde el punto de vista nutricional, también contribuye como una fuente de energía, provee nutrientes esenciales (ácidos grasos linoleico, C18:2 y linolénico C18:3 y vitaminas A, D, E y K) y facilita la absorción de las vitaminas liposolubles (Linschneer y Vergroesen,</w:t>
      </w:r>
      <w:r>
        <w:rPr>
          <w:spacing w:val="-19"/>
        </w:rPr>
        <w:t> </w:t>
      </w:r>
      <w:r>
        <w:rPr/>
        <w:t>1981).</w:t>
      </w:r>
    </w:p>
    <w:p>
      <w:pPr>
        <w:spacing w:after="0" w:line="360" w:lineRule="auto"/>
        <w:jc w:val="both"/>
        <w:sectPr>
          <w:pgSz w:w="12240" w:h="15840"/>
          <w:pgMar w:header="1154" w:footer="1383" w:top="1400" w:bottom="1580" w:left="1720" w:right="1380"/>
        </w:sectPr>
      </w:pPr>
    </w:p>
    <w:p>
      <w:pPr>
        <w:pStyle w:val="BodyText"/>
        <w:spacing w:before="3"/>
        <w:rPr>
          <w:sz w:val="28"/>
        </w:rPr>
      </w:pPr>
    </w:p>
    <w:p>
      <w:pPr>
        <w:pStyle w:val="ListParagraph"/>
        <w:numPr>
          <w:ilvl w:val="2"/>
          <w:numId w:val="10"/>
        </w:numPr>
        <w:tabs>
          <w:tab w:pos="650" w:val="left" w:leader="none"/>
        </w:tabs>
        <w:spacing w:line="240" w:lineRule="auto" w:before="72" w:after="0"/>
        <w:ind w:left="649" w:right="0" w:hanging="497"/>
        <w:jc w:val="left"/>
        <w:rPr>
          <w:b/>
          <w:i/>
          <w:sz w:val="22"/>
        </w:rPr>
      </w:pPr>
      <w:bookmarkStart w:name="_bookmark29" w:id="54"/>
      <w:bookmarkEnd w:id="54"/>
      <w:r>
        <w:rPr/>
      </w:r>
      <w:bookmarkStart w:name="_bookmark29" w:id="55"/>
      <w:bookmarkEnd w:id="55"/>
      <w:r>
        <w:rPr>
          <w:b/>
          <w:i/>
          <w:sz w:val="22"/>
        </w:rPr>
        <w:t>Á</w:t>
      </w:r>
      <w:r>
        <w:rPr>
          <w:b/>
          <w:i/>
          <w:sz w:val="22"/>
        </w:rPr>
        <w:t>cidos</w:t>
      </w:r>
      <w:r>
        <w:rPr>
          <w:b/>
          <w:i/>
          <w:spacing w:val="-4"/>
          <w:sz w:val="22"/>
        </w:rPr>
        <w:t> </w:t>
      </w:r>
      <w:r>
        <w:rPr>
          <w:b/>
          <w:i/>
          <w:sz w:val="22"/>
        </w:rPr>
        <w:t>grasos</w:t>
      </w:r>
    </w:p>
    <w:p>
      <w:pPr>
        <w:pStyle w:val="BodyText"/>
        <w:spacing w:line="360" w:lineRule="auto" w:before="122"/>
        <w:ind w:left="152" w:right="149" w:firstLine="707"/>
        <w:jc w:val="both"/>
      </w:pPr>
      <w:r>
        <w:rPr/>
        <w:t>Los ácidos grasos encontrados en triglicéridos y fosfolípidos difieren principalmente en la longitud de la cadena y los tipos de enlaces de los átomos de carbono. </w:t>
      </w:r>
      <w:r>
        <w:rPr>
          <w:spacing w:val="-3"/>
        </w:rPr>
        <w:t>La </w:t>
      </w:r>
      <w:r>
        <w:rPr/>
        <w:t>mayoría de los ácidos graos de las grasas animales, contienen un número par de átomos de carbono (de 2 a 30), aunque en grasa de cordero y de bovino se han encontrado ácidos grasos de  cadenas impares y ramificadas además de ácidos grasos </w:t>
      </w:r>
      <w:r>
        <w:rPr>
          <w:i/>
        </w:rPr>
        <w:t>trans </w:t>
      </w:r>
      <w:r>
        <w:rPr/>
        <w:t>e isómeros posicionales del ácido oleico y linoleico (Enser </w:t>
      </w:r>
      <w:r>
        <w:rPr>
          <w:i/>
        </w:rPr>
        <w:t>et al.,</w:t>
      </w:r>
      <w:r>
        <w:rPr>
          <w:i/>
          <w:spacing w:val="-8"/>
        </w:rPr>
        <w:t> </w:t>
      </w:r>
      <w:r>
        <w:rPr/>
        <w:t>1996).</w:t>
      </w:r>
    </w:p>
    <w:p>
      <w:pPr>
        <w:pStyle w:val="BodyText"/>
        <w:spacing w:line="360" w:lineRule="auto" w:before="6"/>
        <w:ind w:left="152" w:right="144" w:firstLine="707"/>
        <w:jc w:val="both"/>
      </w:pPr>
      <w:r>
        <w:rPr/>
        <w:t>Los ácidos grasos saturados mayoritarios en la grasa de origen animal son laúrico (C12:0), mirístico (C14:0), palmítico (C16:0), esteárico (C18:0) y araquidónico (C20:0). Los ácidos grasos monoinsaturados más importantes cuantitativamente son los ácidos palmitoleico (C16:1) y oleico (C18:1); los poliinsaturados, como el ácido linoleico (C18:2), linoleico (C18:3) y araquidónico (C20:4). Los ácidos grasos con un número impar de átomos de carbono mayoritarios en la grasa animal son el pentadecanoico (C15:0) y el heptadecanoico (C17:0) (Body, 1988). En general, los ácidos grasos saturados y monoinsaturados son los mayoritarios en la carne de los animales domésticos, siendo el ácido oleico el mayoritario en la carne de cordero (Solomon </w:t>
      </w:r>
      <w:r>
        <w:rPr>
          <w:i/>
        </w:rPr>
        <w:t>et al., </w:t>
      </w:r>
      <w:r>
        <w:rPr/>
        <w:t>1992). Así, en el caso de los ovinos, se ha observado que cerca del 36% de la grasa total es saturada, y el resto es mono o poliinsaturada; menos de la mitad de los ácidos grasos son saturados, principalmente esteárico (C18:0), palmítico (C16) y mirístico (C14), relacionados los últimos dos con los niveles de colesterol (Tshabalala </w:t>
      </w:r>
      <w:r>
        <w:rPr>
          <w:i/>
        </w:rPr>
        <w:t>et al., </w:t>
      </w:r>
      <w:r>
        <w:rPr/>
        <w:t>2003). La grasa que va junto a  la carne de ovino, </w:t>
      </w:r>
      <w:r>
        <w:rPr>
          <w:spacing w:val="-3"/>
        </w:rPr>
        <w:t>ya </w:t>
      </w:r>
      <w:r>
        <w:rPr/>
        <w:t>sea superficial o intramuscular, presenta un contenido considerable de ácidos grasos insaturados (benéficos). Con gran impacto positivo en la salud humana se encuentra al ácido oleico (C18:1) como el ácido graso insaturado en mayor cantidad, además existen importantes contribuciones de grasas esenciales polinsaturadas como las que proporciona el linoleico (C18:2), linolénico (C18:3) y araquidónico (C20:2) (Velasco </w:t>
      </w:r>
      <w:r>
        <w:rPr>
          <w:i/>
        </w:rPr>
        <w:t>et </w:t>
      </w:r>
      <w:r>
        <w:rPr>
          <w:i/>
        </w:rPr>
        <w:t>al., </w:t>
      </w:r>
      <w:r>
        <w:rPr/>
        <w:t>2001). Existen también, otros poliinsaturados en pequeñas concentraciones pero de efectos muy benéficos para la salud, como lo son los ácidos grasos omega 3 (ácido eicosapentanoico (EPA)</w:t>
      </w:r>
      <w:r>
        <w:rPr>
          <w:i/>
        </w:rPr>
        <w:t>, </w:t>
      </w:r>
      <w:r>
        <w:rPr/>
        <w:t>el decosahexanoico (DHA) y el ácido linoleico conjugado (CLA), cuya</w:t>
      </w:r>
      <w:r>
        <w:rPr>
          <w:spacing w:val="18"/>
        </w:rPr>
        <w:t> </w:t>
      </w:r>
      <w:r>
        <w:rPr/>
        <w:t>síntesis</w:t>
      </w:r>
      <w:r>
        <w:rPr>
          <w:spacing w:val="18"/>
        </w:rPr>
        <w:t> </w:t>
      </w:r>
      <w:r>
        <w:rPr/>
        <w:t>solo</w:t>
      </w:r>
      <w:r>
        <w:rPr>
          <w:spacing w:val="17"/>
        </w:rPr>
        <w:t> </w:t>
      </w:r>
      <w:r>
        <w:rPr/>
        <w:t>se</w:t>
      </w:r>
      <w:r>
        <w:rPr>
          <w:spacing w:val="16"/>
        </w:rPr>
        <w:t> </w:t>
      </w:r>
      <w:r>
        <w:rPr/>
        <w:t>realiza</w:t>
      </w:r>
      <w:r>
        <w:rPr>
          <w:spacing w:val="16"/>
        </w:rPr>
        <w:t> </w:t>
      </w:r>
      <w:r>
        <w:rPr/>
        <w:t>en</w:t>
      </w:r>
      <w:r>
        <w:rPr>
          <w:spacing w:val="16"/>
        </w:rPr>
        <w:t> </w:t>
      </w:r>
      <w:r>
        <w:rPr/>
        <w:t>los</w:t>
      </w:r>
      <w:r>
        <w:rPr>
          <w:spacing w:val="17"/>
        </w:rPr>
        <w:t> </w:t>
      </w:r>
      <w:r>
        <w:rPr/>
        <w:t>rumiantes,</w:t>
      </w:r>
      <w:r>
        <w:rPr>
          <w:spacing w:val="16"/>
        </w:rPr>
        <w:t> </w:t>
      </w:r>
      <w:r>
        <w:rPr/>
        <w:t>siendo</w:t>
      </w:r>
      <w:r>
        <w:rPr>
          <w:spacing w:val="16"/>
        </w:rPr>
        <w:t> </w:t>
      </w:r>
      <w:r>
        <w:rPr/>
        <w:t>los</w:t>
      </w:r>
      <w:r>
        <w:rPr>
          <w:spacing w:val="17"/>
        </w:rPr>
        <w:t> </w:t>
      </w:r>
      <w:r>
        <w:rPr/>
        <w:t>ovinos</w:t>
      </w:r>
      <w:r>
        <w:rPr>
          <w:spacing w:val="17"/>
        </w:rPr>
        <w:t> </w:t>
      </w:r>
      <w:r>
        <w:rPr/>
        <w:t>los</w:t>
      </w:r>
      <w:r>
        <w:rPr>
          <w:spacing w:val="17"/>
        </w:rPr>
        <w:t> </w:t>
      </w:r>
      <w:r>
        <w:rPr/>
        <w:t>que</w:t>
      </w:r>
      <w:r>
        <w:rPr>
          <w:spacing w:val="21"/>
        </w:rPr>
        <w:t> </w:t>
      </w:r>
      <w:r>
        <w:rPr/>
        <w:t>presentan</w:t>
      </w:r>
      <w:r>
        <w:rPr>
          <w:spacing w:val="16"/>
        </w:rPr>
        <w:t> </w:t>
      </w:r>
      <w:r>
        <w:rPr/>
        <w:t>las</w:t>
      </w:r>
      <w:r>
        <w:rPr>
          <w:spacing w:val="16"/>
        </w:rPr>
        <w:t> </w:t>
      </w:r>
      <w:r>
        <w:rPr/>
        <w:t>más</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52"/>
        <w:jc w:val="both"/>
      </w:pPr>
      <w:r>
        <w:rPr/>
        <w:t>altas concentraciones (Cuadro 9). La importancia de estos ácidos grasos radica en sus efectos como protectores de enfermedades cardiovasculares y  propiedades anticancerígenas, necesarios para desarrollar funciones vitales en el hombre ya que estos no pueden ser sintetizados por el propio organismo. Por tanto deben ser aportados con la dieta (Santos, 2002).</w:t>
      </w:r>
    </w:p>
    <w:p>
      <w:pPr>
        <w:pStyle w:val="BodyText"/>
        <w:spacing w:line="360" w:lineRule="auto" w:before="4"/>
        <w:ind w:left="152" w:right="143" w:firstLine="707"/>
        <w:jc w:val="both"/>
      </w:pPr>
      <w:r>
        <w:rPr/>
        <w:t>Los animales monogástricos acumulan en los depósitos grasos importantes cantidades de los ácidos grasos esenciales linoleico (C18:2) y linolénico (C18:3) de la dieta. En el caso de los rumiantes, el origen de estos ácidos grasos también es exógeno, pero su hidrogenación por los microrganismos del rumen conduce a un incremento en el contenido de ácido esteárico (C18:0) (Smith, 1993). La presencia de los ácidos grasos insaturados cis- 14:1, cis-16:1, cis-17:1 y cis-18:1 está directamente relacionada con la actividad del complejo enzimático ∆-desaturasa (Thompson </w:t>
      </w:r>
      <w:r>
        <w:rPr>
          <w:i/>
        </w:rPr>
        <w:t>et al., </w:t>
      </w:r>
      <w:r>
        <w:rPr/>
        <w:t>1973), que sintetiza ácidos grasos insaturados a partir de las correspondientes cadenas carbonadas saturadas de igual número de átomos de carbono.</w:t>
      </w:r>
    </w:p>
    <w:p>
      <w:pPr>
        <w:pStyle w:val="BodyText"/>
        <w:spacing w:line="360" w:lineRule="auto" w:before="6"/>
        <w:ind w:left="152" w:right="145" w:firstLine="707"/>
        <w:jc w:val="both"/>
      </w:pPr>
      <w:r>
        <w:rPr/>
        <w:t>Los ácidos grasos participan en diferentes aspectos tecnológicos de la calidad de la carne. Puesto que poseen muy diferentes puntos de fusión, la variación en la composición en los ácidos grasos tiene un efecto importante en la firmeza o blandura de la carne, especialmente en la grasa subcutánea e intermuscular, pero también en la intramuscular. Dentro de los ácidos grasos de la serie de 18 átomos de carbono, el ácido esteárico (C18:0) funde a 69.6º C, ácido oleico (18:1) a 13.4º C, el ácido linoleico (18:2) a -5º C y el ácido linoleico (18:3) a -11º C, por ello al aumentar el nivel de instauración, disminuye el punto de fusión. Los grupos de adipocitos que contengan grasa solidificada con un elevado punto de fusión aparecen más blancos que aquella grasa líquida con un punto de fusión más bajo, de manera que el color de la grasa es otro aspecto de calidad afectado por los ácidos grasos. La habilidad para oxidarse rápidamente de los ácidos grasos insaturados, especialmente aquellos con más de dos dobles enlaces, es importante para regular el periodo de vida útil de la carne (enranciamiento y deterioro del color) (Wood </w:t>
      </w:r>
      <w:r>
        <w:rPr>
          <w:i/>
        </w:rPr>
        <w:t>et al.,</w:t>
      </w:r>
      <w:r>
        <w:rPr>
          <w:i/>
          <w:spacing w:val="-5"/>
        </w:rPr>
        <w:t> </w:t>
      </w:r>
      <w:r>
        <w:rPr/>
        <w:t>2004).</w:t>
      </w:r>
    </w:p>
    <w:p>
      <w:pPr>
        <w:spacing w:after="0" w:line="360" w:lineRule="auto"/>
        <w:jc w:val="both"/>
        <w:sectPr>
          <w:pgSz w:w="12240" w:h="15840"/>
          <w:pgMar w:header="1154" w:footer="1383" w:top="1400" w:bottom="1580" w:left="1720" w:right="1380"/>
        </w:sectPr>
      </w:pPr>
    </w:p>
    <w:p>
      <w:pPr>
        <w:pStyle w:val="BodyText"/>
        <w:spacing w:before="2"/>
        <w:rPr>
          <w:sz w:val="28"/>
        </w:rPr>
      </w:pPr>
    </w:p>
    <w:p>
      <w:pPr>
        <w:spacing w:before="69"/>
        <w:ind w:left="653" w:right="237" w:firstLine="0"/>
        <w:jc w:val="left"/>
        <w:rPr>
          <w:sz w:val="24"/>
        </w:rPr>
      </w:pPr>
      <w:r>
        <w:rPr>
          <w:b/>
          <w:sz w:val="24"/>
        </w:rPr>
        <w:t>Cuadro 9. </w:t>
      </w:r>
      <w:r>
        <w:rPr>
          <w:sz w:val="24"/>
        </w:rPr>
        <w:t>Contenido de ácidos grasos en el músculo </w:t>
      </w:r>
      <w:r>
        <w:rPr>
          <w:i/>
          <w:sz w:val="24"/>
        </w:rPr>
        <w:t>Longissimus dorsi </w:t>
      </w:r>
      <w:r>
        <w:rPr>
          <w:sz w:val="24"/>
        </w:rPr>
        <w:t>de ovinos</w:t>
      </w:r>
    </w:p>
    <w:p>
      <w:pPr>
        <w:pStyle w:val="BodyText"/>
        <w:spacing w:before="2"/>
        <w:rPr>
          <w:sz w:val="12"/>
        </w:r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95"/>
        <w:gridCol w:w="2293"/>
        <w:gridCol w:w="4606"/>
      </w:tblGrid>
      <w:tr>
        <w:trPr>
          <w:trHeight w:val="910" w:hRule="exact"/>
        </w:trPr>
        <w:tc>
          <w:tcPr>
            <w:tcW w:w="4389" w:type="dxa"/>
            <w:gridSpan w:val="2"/>
            <w:tcBorders>
              <w:left w:val="nil"/>
              <w:right w:val="nil"/>
            </w:tcBorders>
          </w:tcPr>
          <w:p>
            <w:pPr>
              <w:pStyle w:val="TableParagraph"/>
              <w:spacing w:before="1"/>
              <w:jc w:val="left"/>
              <w:rPr>
                <w:sz w:val="25"/>
              </w:rPr>
            </w:pPr>
          </w:p>
          <w:p>
            <w:pPr>
              <w:pStyle w:val="TableParagraph"/>
              <w:spacing w:before="1"/>
              <w:ind w:left="1747"/>
              <w:jc w:val="left"/>
              <w:rPr>
                <w:b/>
                <w:sz w:val="24"/>
              </w:rPr>
            </w:pPr>
            <w:r>
              <w:rPr>
                <w:b/>
                <w:sz w:val="24"/>
              </w:rPr>
              <w:t>Ácido Graso</w:t>
            </w:r>
          </w:p>
        </w:tc>
        <w:tc>
          <w:tcPr>
            <w:tcW w:w="4606" w:type="dxa"/>
            <w:tcBorders>
              <w:left w:val="nil"/>
              <w:right w:val="nil"/>
            </w:tcBorders>
          </w:tcPr>
          <w:p>
            <w:pPr>
              <w:pStyle w:val="TableParagraph"/>
              <w:spacing w:before="3"/>
              <w:jc w:val="left"/>
              <w:rPr>
                <w:sz w:val="24"/>
              </w:rPr>
            </w:pPr>
          </w:p>
          <w:p>
            <w:pPr>
              <w:pStyle w:val="TableParagraph"/>
              <w:ind w:left="450"/>
              <w:jc w:val="left"/>
              <w:rPr>
                <w:sz w:val="24"/>
              </w:rPr>
            </w:pPr>
            <w:r>
              <w:rPr>
                <w:b/>
                <w:sz w:val="24"/>
              </w:rPr>
              <w:t>Ovino</w:t>
            </w:r>
            <w:r>
              <w:rPr>
                <w:b/>
                <w:position w:val="8"/>
                <w:sz w:val="16"/>
              </w:rPr>
              <w:t>1 </w:t>
            </w:r>
            <w:r>
              <w:rPr>
                <w:sz w:val="24"/>
              </w:rPr>
              <w:t>(</w:t>
            </w:r>
            <w:r>
              <w:rPr>
                <w:i/>
                <w:sz w:val="24"/>
              </w:rPr>
              <w:t>Longissimus dorsi</w:t>
            </w:r>
            <w:r>
              <w:rPr>
                <w:sz w:val="24"/>
              </w:rPr>
              <w:t>)</w:t>
            </w:r>
          </w:p>
        </w:tc>
      </w:tr>
      <w:tr>
        <w:trPr>
          <w:trHeight w:val="314" w:hRule="exact"/>
        </w:trPr>
        <w:tc>
          <w:tcPr>
            <w:tcW w:w="2095" w:type="dxa"/>
            <w:tcBorders>
              <w:left w:val="nil"/>
              <w:bottom w:val="nil"/>
              <w:right w:val="nil"/>
            </w:tcBorders>
          </w:tcPr>
          <w:p>
            <w:pPr>
              <w:pStyle w:val="TableParagraph"/>
              <w:spacing w:line="275" w:lineRule="exact"/>
              <w:ind w:left="83"/>
              <w:jc w:val="left"/>
              <w:rPr>
                <w:sz w:val="24"/>
              </w:rPr>
            </w:pPr>
            <w:r>
              <w:rPr>
                <w:sz w:val="24"/>
              </w:rPr>
              <w:t>Cáprico</w:t>
            </w:r>
          </w:p>
        </w:tc>
        <w:tc>
          <w:tcPr>
            <w:tcW w:w="2293" w:type="dxa"/>
            <w:tcBorders>
              <w:left w:val="nil"/>
              <w:bottom w:val="nil"/>
              <w:right w:val="nil"/>
            </w:tcBorders>
          </w:tcPr>
          <w:p>
            <w:pPr>
              <w:pStyle w:val="TableParagraph"/>
              <w:spacing w:line="273" w:lineRule="exact"/>
              <w:ind w:left="489"/>
              <w:jc w:val="left"/>
              <w:rPr>
                <w:sz w:val="24"/>
              </w:rPr>
            </w:pPr>
            <w:r>
              <w:rPr>
                <w:sz w:val="24"/>
              </w:rPr>
              <w:t>C10:0</w:t>
            </w:r>
          </w:p>
        </w:tc>
        <w:tc>
          <w:tcPr>
            <w:tcW w:w="4606" w:type="dxa"/>
            <w:tcBorders>
              <w:left w:val="nil"/>
              <w:bottom w:val="nil"/>
              <w:right w:val="nil"/>
            </w:tcBorders>
          </w:tcPr>
          <w:p>
            <w:pPr>
              <w:pStyle w:val="TableParagraph"/>
              <w:spacing w:line="275" w:lineRule="exact"/>
              <w:ind w:left="2141" w:right="1763"/>
              <w:rPr>
                <w:sz w:val="24"/>
              </w:rPr>
            </w:pPr>
            <w:r>
              <w:rPr>
                <w:sz w:val="24"/>
              </w:rPr>
              <w:t>0.427</w:t>
            </w:r>
          </w:p>
        </w:tc>
      </w:tr>
      <w:tr>
        <w:trPr>
          <w:trHeight w:val="317" w:hRule="exact"/>
        </w:trPr>
        <w:tc>
          <w:tcPr>
            <w:tcW w:w="2095" w:type="dxa"/>
            <w:tcBorders>
              <w:top w:val="nil"/>
              <w:left w:val="nil"/>
              <w:bottom w:val="nil"/>
              <w:right w:val="nil"/>
            </w:tcBorders>
          </w:tcPr>
          <w:p>
            <w:pPr>
              <w:pStyle w:val="TableParagraph"/>
              <w:spacing w:before="11"/>
              <w:ind w:left="83"/>
              <w:jc w:val="left"/>
              <w:rPr>
                <w:sz w:val="24"/>
              </w:rPr>
            </w:pPr>
            <w:r>
              <w:rPr>
                <w:sz w:val="24"/>
              </w:rPr>
              <w:t>Laurico</w:t>
            </w:r>
          </w:p>
        </w:tc>
        <w:tc>
          <w:tcPr>
            <w:tcW w:w="2293" w:type="dxa"/>
            <w:tcBorders>
              <w:top w:val="nil"/>
              <w:left w:val="nil"/>
              <w:bottom w:val="nil"/>
              <w:right w:val="nil"/>
            </w:tcBorders>
          </w:tcPr>
          <w:p>
            <w:pPr>
              <w:pStyle w:val="TableParagraph"/>
              <w:spacing w:before="8"/>
              <w:ind w:left="549"/>
              <w:jc w:val="left"/>
              <w:rPr>
                <w:sz w:val="24"/>
              </w:rPr>
            </w:pPr>
            <w:r>
              <w:rPr>
                <w:sz w:val="24"/>
              </w:rPr>
              <w:t>C12:0</w:t>
            </w:r>
          </w:p>
        </w:tc>
        <w:tc>
          <w:tcPr>
            <w:tcW w:w="4606" w:type="dxa"/>
            <w:tcBorders>
              <w:top w:val="nil"/>
              <w:left w:val="nil"/>
              <w:bottom w:val="nil"/>
              <w:right w:val="nil"/>
            </w:tcBorders>
          </w:tcPr>
          <w:p>
            <w:pPr>
              <w:pStyle w:val="TableParagraph"/>
              <w:spacing w:before="11"/>
              <w:ind w:left="2141" w:right="1763"/>
              <w:rPr>
                <w:sz w:val="24"/>
              </w:rPr>
            </w:pPr>
            <w:r>
              <w:rPr>
                <w:sz w:val="24"/>
              </w:rPr>
              <w:t>1.487</w:t>
            </w:r>
          </w:p>
        </w:tc>
      </w:tr>
      <w:tr>
        <w:trPr>
          <w:trHeight w:val="318" w:hRule="exact"/>
        </w:trPr>
        <w:tc>
          <w:tcPr>
            <w:tcW w:w="2095" w:type="dxa"/>
            <w:tcBorders>
              <w:top w:val="nil"/>
              <w:left w:val="nil"/>
              <w:bottom w:val="nil"/>
              <w:right w:val="nil"/>
            </w:tcBorders>
          </w:tcPr>
          <w:p>
            <w:pPr>
              <w:pStyle w:val="TableParagraph"/>
              <w:spacing w:before="11"/>
              <w:ind w:left="83"/>
              <w:jc w:val="left"/>
              <w:rPr>
                <w:sz w:val="24"/>
              </w:rPr>
            </w:pPr>
            <w:r>
              <w:rPr>
                <w:sz w:val="24"/>
              </w:rPr>
              <w:t>Mirístico</w:t>
            </w:r>
          </w:p>
        </w:tc>
        <w:tc>
          <w:tcPr>
            <w:tcW w:w="2293" w:type="dxa"/>
            <w:tcBorders>
              <w:top w:val="nil"/>
              <w:left w:val="nil"/>
              <w:bottom w:val="nil"/>
              <w:right w:val="nil"/>
            </w:tcBorders>
          </w:tcPr>
          <w:p>
            <w:pPr>
              <w:pStyle w:val="TableParagraph"/>
              <w:spacing w:before="8"/>
              <w:ind w:left="489"/>
              <w:jc w:val="left"/>
              <w:rPr>
                <w:sz w:val="24"/>
              </w:rPr>
            </w:pPr>
            <w:r>
              <w:rPr>
                <w:sz w:val="24"/>
              </w:rPr>
              <w:t>C14:0</w:t>
            </w:r>
          </w:p>
        </w:tc>
        <w:tc>
          <w:tcPr>
            <w:tcW w:w="4606" w:type="dxa"/>
            <w:tcBorders>
              <w:top w:val="nil"/>
              <w:left w:val="nil"/>
              <w:bottom w:val="nil"/>
              <w:right w:val="nil"/>
            </w:tcBorders>
          </w:tcPr>
          <w:p>
            <w:pPr>
              <w:pStyle w:val="TableParagraph"/>
              <w:spacing w:before="11"/>
              <w:ind w:left="2141" w:right="1763"/>
              <w:rPr>
                <w:sz w:val="24"/>
              </w:rPr>
            </w:pPr>
            <w:r>
              <w:rPr>
                <w:sz w:val="24"/>
              </w:rPr>
              <w:t>2.451</w:t>
            </w:r>
          </w:p>
        </w:tc>
      </w:tr>
      <w:tr>
        <w:trPr>
          <w:trHeight w:val="318" w:hRule="exact"/>
        </w:trPr>
        <w:tc>
          <w:tcPr>
            <w:tcW w:w="2095" w:type="dxa"/>
            <w:tcBorders>
              <w:top w:val="nil"/>
              <w:left w:val="nil"/>
              <w:bottom w:val="nil"/>
              <w:right w:val="nil"/>
            </w:tcBorders>
          </w:tcPr>
          <w:p>
            <w:pPr>
              <w:pStyle w:val="TableParagraph"/>
              <w:spacing w:before="12"/>
              <w:ind w:left="83"/>
              <w:jc w:val="left"/>
              <w:rPr>
                <w:sz w:val="24"/>
              </w:rPr>
            </w:pPr>
            <w:r>
              <w:rPr>
                <w:sz w:val="24"/>
              </w:rPr>
              <w:t>Miristoleico</w:t>
            </w:r>
          </w:p>
        </w:tc>
        <w:tc>
          <w:tcPr>
            <w:tcW w:w="2293" w:type="dxa"/>
            <w:tcBorders>
              <w:top w:val="nil"/>
              <w:left w:val="nil"/>
              <w:bottom w:val="nil"/>
              <w:right w:val="nil"/>
            </w:tcBorders>
          </w:tcPr>
          <w:p>
            <w:pPr>
              <w:pStyle w:val="TableParagraph"/>
              <w:spacing w:before="9"/>
              <w:ind w:left="489"/>
              <w:jc w:val="left"/>
              <w:rPr>
                <w:sz w:val="24"/>
              </w:rPr>
            </w:pPr>
            <w:r>
              <w:rPr>
                <w:sz w:val="24"/>
              </w:rPr>
              <w:t>C15:0</w:t>
            </w:r>
          </w:p>
        </w:tc>
        <w:tc>
          <w:tcPr>
            <w:tcW w:w="4606" w:type="dxa"/>
            <w:tcBorders>
              <w:top w:val="nil"/>
              <w:left w:val="nil"/>
              <w:bottom w:val="nil"/>
              <w:right w:val="nil"/>
            </w:tcBorders>
          </w:tcPr>
          <w:p>
            <w:pPr>
              <w:pStyle w:val="TableParagraph"/>
              <w:spacing w:before="12"/>
              <w:ind w:left="2141" w:right="1763"/>
              <w:rPr>
                <w:sz w:val="24"/>
              </w:rPr>
            </w:pPr>
            <w:r>
              <w:rPr>
                <w:sz w:val="24"/>
              </w:rPr>
              <w:t>0.449</w:t>
            </w:r>
          </w:p>
        </w:tc>
      </w:tr>
      <w:tr>
        <w:trPr>
          <w:trHeight w:val="317" w:hRule="exact"/>
        </w:trPr>
        <w:tc>
          <w:tcPr>
            <w:tcW w:w="2095" w:type="dxa"/>
            <w:tcBorders>
              <w:top w:val="nil"/>
              <w:left w:val="nil"/>
              <w:bottom w:val="nil"/>
              <w:right w:val="nil"/>
            </w:tcBorders>
          </w:tcPr>
          <w:p>
            <w:pPr>
              <w:pStyle w:val="TableParagraph"/>
              <w:spacing w:before="11"/>
              <w:ind w:left="83"/>
              <w:jc w:val="left"/>
              <w:rPr>
                <w:sz w:val="24"/>
              </w:rPr>
            </w:pPr>
            <w:r>
              <w:rPr>
                <w:sz w:val="24"/>
              </w:rPr>
              <w:t>Palmítico</w:t>
            </w:r>
          </w:p>
        </w:tc>
        <w:tc>
          <w:tcPr>
            <w:tcW w:w="2293" w:type="dxa"/>
            <w:tcBorders>
              <w:top w:val="nil"/>
              <w:left w:val="nil"/>
              <w:bottom w:val="nil"/>
              <w:right w:val="nil"/>
            </w:tcBorders>
          </w:tcPr>
          <w:p>
            <w:pPr>
              <w:pStyle w:val="TableParagraph"/>
              <w:spacing w:before="8"/>
              <w:ind w:left="489"/>
              <w:jc w:val="left"/>
              <w:rPr>
                <w:sz w:val="24"/>
              </w:rPr>
            </w:pPr>
            <w:r>
              <w:rPr>
                <w:sz w:val="24"/>
              </w:rPr>
              <w:t>C16:0</w:t>
            </w:r>
          </w:p>
        </w:tc>
        <w:tc>
          <w:tcPr>
            <w:tcW w:w="4606" w:type="dxa"/>
            <w:tcBorders>
              <w:top w:val="nil"/>
              <w:left w:val="nil"/>
              <w:bottom w:val="nil"/>
              <w:right w:val="nil"/>
            </w:tcBorders>
          </w:tcPr>
          <w:p>
            <w:pPr>
              <w:pStyle w:val="TableParagraph"/>
              <w:spacing w:before="11"/>
              <w:ind w:left="2141" w:right="1763"/>
              <w:rPr>
                <w:sz w:val="24"/>
              </w:rPr>
            </w:pPr>
            <w:r>
              <w:rPr>
                <w:sz w:val="24"/>
              </w:rPr>
              <w:t>30.31</w:t>
            </w:r>
          </w:p>
        </w:tc>
      </w:tr>
      <w:tr>
        <w:trPr>
          <w:trHeight w:val="317" w:hRule="exact"/>
        </w:trPr>
        <w:tc>
          <w:tcPr>
            <w:tcW w:w="2095" w:type="dxa"/>
            <w:tcBorders>
              <w:top w:val="nil"/>
              <w:left w:val="nil"/>
              <w:bottom w:val="nil"/>
              <w:right w:val="nil"/>
            </w:tcBorders>
          </w:tcPr>
          <w:p>
            <w:pPr>
              <w:pStyle w:val="TableParagraph"/>
              <w:spacing w:before="11"/>
              <w:ind w:left="83"/>
              <w:jc w:val="left"/>
              <w:rPr>
                <w:sz w:val="24"/>
              </w:rPr>
            </w:pPr>
            <w:r>
              <w:rPr>
                <w:sz w:val="24"/>
              </w:rPr>
              <w:t>Palmitoleico</w:t>
            </w:r>
          </w:p>
        </w:tc>
        <w:tc>
          <w:tcPr>
            <w:tcW w:w="2293" w:type="dxa"/>
            <w:tcBorders>
              <w:top w:val="nil"/>
              <w:left w:val="nil"/>
              <w:bottom w:val="nil"/>
              <w:right w:val="nil"/>
            </w:tcBorders>
          </w:tcPr>
          <w:p>
            <w:pPr>
              <w:pStyle w:val="TableParagraph"/>
              <w:spacing w:before="8"/>
              <w:ind w:left="489"/>
              <w:jc w:val="left"/>
              <w:rPr>
                <w:sz w:val="24"/>
              </w:rPr>
            </w:pPr>
            <w:r>
              <w:rPr>
                <w:sz w:val="24"/>
              </w:rPr>
              <w:t>C16:1n7</w:t>
            </w:r>
          </w:p>
        </w:tc>
        <w:tc>
          <w:tcPr>
            <w:tcW w:w="4606" w:type="dxa"/>
            <w:tcBorders>
              <w:top w:val="nil"/>
              <w:left w:val="nil"/>
              <w:bottom w:val="nil"/>
              <w:right w:val="nil"/>
            </w:tcBorders>
          </w:tcPr>
          <w:p>
            <w:pPr>
              <w:pStyle w:val="TableParagraph"/>
              <w:spacing w:before="11"/>
              <w:ind w:left="2141" w:right="1763"/>
              <w:rPr>
                <w:sz w:val="24"/>
              </w:rPr>
            </w:pPr>
            <w:r>
              <w:rPr>
                <w:sz w:val="24"/>
              </w:rPr>
              <w:t>2.116</w:t>
            </w:r>
          </w:p>
        </w:tc>
      </w:tr>
      <w:tr>
        <w:trPr>
          <w:trHeight w:val="317" w:hRule="exact"/>
        </w:trPr>
        <w:tc>
          <w:tcPr>
            <w:tcW w:w="2095" w:type="dxa"/>
            <w:tcBorders>
              <w:top w:val="nil"/>
              <w:left w:val="nil"/>
              <w:bottom w:val="nil"/>
              <w:right w:val="nil"/>
            </w:tcBorders>
          </w:tcPr>
          <w:p>
            <w:pPr>
              <w:pStyle w:val="TableParagraph"/>
              <w:spacing w:before="11"/>
              <w:ind w:left="83"/>
              <w:jc w:val="left"/>
              <w:rPr>
                <w:sz w:val="24"/>
              </w:rPr>
            </w:pPr>
            <w:r>
              <w:rPr>
                <w:sz w:val="24"/>
              </w:rPr>
              <w:t>Metil-Palmítico</w:t>
            </w:r>
          </w:p>
        </w:tc>
        <w:tc>
          <w:tcPr>
            <w:tcW w:w="2293" w:type="dxa"/>
            <w:tcBorders>
              <w:top w:val="nil"/>
              <w:left w:val="nil"/>
              <w:bottom w:val="nil"/>
              <w:right w:val="nil"/>
            </w:tcBorders>
          </w:tcPr>
          <w:p>
            <w:pPr>
              <w:pStyle w:val="TableParagraph"/>
              <w:spacing w:before="8"/>
              <w:ind w:left="489"/>
              <w:jc w:val="left"/>
              <w:rPr>
                <w:sz w:val="24"/>
              </w:rPr>
            </w:pPr>
            <w:r>
              <w:rPr>
                <w:sz w:val="24"/>
              </w:rPr>
              <w:t>C17:0</w:t>
            </w:r>
          </w:p>
        </w:tc>
        <w:tc>
          <w:tcPr>
            <w:tcW w:w="4606" w:type="dxa"/>
            <w:tcBorders>
              <w:top w:val="nil"/>
              <w:left w:val="nil"/>
              <w:bottom w:val="nil"/>
              <w:right w:val="nil"/>
            </w:tcBorders>
          </w:tcPr>
          <w:p>
            <w:pPr>
              <w:pStyle w:val="TableParagraph"/>
              <w:spacing w:before="11"/>
              <w:ind w:left="2141" w:right="1763"/>
              <w:rPr>
                <w:sz w:val="24"/>
              </w:rPr>
            </w:pPr>
            <w:r>
              <w:rPr>
                <w:sz w:val="24"/>
              </w:rPr>
              <w:t>0.98</w:t>
            </w:r>
          </w:p>
        </w:tc>
      </w:tr>
      <w:tr>
        <w:trPr>
          <w:trHeight w:val="318" w:hRule="exact"/>
        </w:trPr>
        <w:tc>
          <w:tcPr>
            <w:tcW w:w="2095" w:type="dxa"/>
            <w:tcBorders>
              <w:top w:val="nil"/>
              <w:left w:val="nil"/>
              <w:bottom w:val="nil"/>
              <w:right w:val="nil"/>
            </w:tcBorders>
          </w:tcPr>
          <w:p>
            <w:pPr>
              <w:pStyle w:val="TableParagraph"/>
              <w:spacing w:before="11"/>
              <w:ind w:left="83"/>
              <w:jc w:val="left"/>
              <w:rPr>
                <w:sz w:val="24"/>
              </w:rPr>
            </w:pPr>
            <w:r>
              <w:rPr>
                <w:sz w:val="24"/>
              </w:rPr>
              <w:t>Esteárico</w:t>
            </w:r>
          </w:p>
        </w:tc>
        <w:tc>
          <w:tcPr>
            <w:tcW w:w="2293" w:type="dxa"/>
            <w:tcBorders>
              <w:top w:val="nil"/>
              <w:left w:val="nil"/>
              <w:bottom w:val="nil"/>
              <w:right w:val="nil"/>
            </w:tcBorders>
          </w:tcPr>
          <w:p>
            <w:pPr>
              <w:pStyle w:val="TableParagraph"/>
              <w:spacing w:before="8"/>
              <w:ind w:left="489"/>
              <w:jc w:val="left"/>
              <w:rPr>
                <w:sz w:val="24"/>
              </w:rPr>
            </w:pPr>
            <w:r>
              <w:rPr>
                <w:sz w:val="24"/>
              </w:rPr>
              <w:t>C18:0</w:t>
            </w:r>
          </w:p>
        </w:tc>
        <w:tc>
          <w:tcPr>
            <w:tcW w:w="4606" w:type="dxa"/>
            <w:tcBorders>
              <w:top w:val="nil"/>
              <w:left w:val="nil"/>
              <w:bottom w:val="nil"/>
              <w:right w:val="nil"/>
            </w:tcBorders>
          </w:tcPr>
          <w:p>
            <w:pPr>
              <w:pStyle w:val="TableParagraph"/>
              <w:spacing w:before="11"/>
              <w:ind w:left="2141" w:right="1763"/>
              <w:rPr>
                <w:sz w:val="24"/>
              </w:rPr>
            </w:pPr>
            <w:r>
              <w:rPr>
                <w:sz w:val="24"/>
              </w:rPr>
              <w:t>13.207</w:t>
            </w:r>
          </w:p>
        </w:tc>
      </w:tr>
      <w:tr>
        <w:trPr>
          <w:trHeight w:val="318" w:hRule="exact"/>
        </w:trPr>
        <w:tc>
          <w:tcPr>
            <w:tcW w:w="2095" w:type="dxa"/>
            <w:tcBorders>
              <w:top w:val="nil"/>
              <w:left w:val="nil"/>
              <w:bottom w:val="nil"/>
              <w:right w:val="nil"/>
            </w:tcBorders>
          </w:tcPr>
          <w:p>
            <w:pPr>
              <w:pStyle w:val="TableParagraph"/>
              <w:spacing w:before="12"/>
              <w:ind w:left="83"/>
              <w:jc w:val="left"/>
              <w:rPr>
                <w:sz w:val="24"/>
              </w:rPr>
            </w:pPr>
            <w:r>
              <w:rPr>
                <w:sz w:val="24"/>
              </w:rPr>
              <w:t>Elaidico</w:t>
            </w:r>
          </w:p>
        </w:tc>
        <w:tc>
          <w:tcPr>
            <w:tcW w:w="2293" w:type="dxa"/>
            <w:tcBorders>
              <w:top w:val="nil"/>
              <w:left w:val="nil"/>
              <w:bottom w:val="nil"/>
              <w:right w:val="nil"/>
            </w:tcBorders>
          </w:tcPr>
          <w:p>
            <w:pPr>
              <w:pStyle w:val="TableParagraph"/>
              <w:spacing w:before="9"/>
              <w:ind w:left="489"/>
              <w:jc w:val="left"/>
              <w:rPr>
                <w:sz w:val="24"/>
              </w:rPr>
            </w:pPr>
            <w:r>
              <w:rPr>
                <w:sz w:val="24"/>
              </w:rPr>
              <w:t>C18:1n9 trans</w:t>
            </w:r>
          </w:p>
        </w:tc>
        <w:tc>
          <w:tcPr>
            <w:tcW w:w="4606" w:type="dxa"/>
            <w:tcBorders>
              <w:top w:val="nil"/>
              <w:left w:val="nil"/>
              <w:bottom w:val="nil"/>
              <w:right w:val="nil"/>
            </w:tcBorders>
          </w:tcPr>
          <w:p>
            <w:pPr>
              <w:pStyle w:val="TableParagraph"/>
              <w:spacing w:before="12"/>
              <w:ind w:left="2141" w:right="1763"/>
              <w:rPr>
                <w:sz w:val="24"/>
              </w:rPr>
            </w:pPr>
            <w:r>
              <w:rPr>
                <w:sz w:val="24"/>
              </w:rPr>
              <w:t>1.529</w:t>
            </w:r>
          </w:p>
        </w:tc>
      </w:tr>
      <w:tr>
        <w:trPr>
          <w:trHeight w:val="317" w:hRule="exact"/>
        </w:trPr>
        <w:tc>
          <w:tcPr>
            <w:tcW w:w="2095" w:type="dxa"/>
            <w:tcBorders>
              <w:top w:val="nil"/>
              <w:left w:val="nil"/>
              <w:bottom w:val="nil"/>
              <w:right w:val="nil"/>
            </w:tcBorders>
          </w:tcPr>
          <w:p>
            <w:pPr>
              <w:pStyle w:val="TableParagraph"/>
              <w:spacing w:before="11"/>
              <w:ind w:left="83"/>
              <w:jc w:val="left"/>
              <w:rPr>
                <w:sz w:val="24"/>
              </w:rPr>
            </w:pPr>
            <w:r>
              <w:rPr>
                <w:sz w:val="24"/>
              </w:rPr>
              <w:t>Oleico</w:t>
            </w:r>
          </w:p>
        </w:tc>
        <w:tc>
          <w:tcPr>
            <w:tcW w:w="2293" w:type="dxa"/>
            <w:tcBorders>
              <w:top w:val="nil"/>
              <w:left w:val="nil"/>
              <w:bottom w:val="nil"/>
              <w:right w:val="nil"/>
            </w:tcBorders>
          </w:tcPr>
          <w:p>
            <w:pPr>
              <w:pStyle w:val="TableParagraph"/>
              <w:spacing w:before="8"/>
              <w:ind w:left="489"/>
              <w:jc w:val="left"/>
              <w:rPr>
                <w:sz w:val="24"/>
              </w:rPr>
            </w:pPr>
            <w:r>
              <w:rPr>
                <w:sz w:val="24"/>
              </w:rPr>
              <w:t>C18:1n9 cis</w:t>
            </w:r>
          </w:p>
        </w:tc>
        <w:tc>
          <w:tcPr>
            <w:tcW w:w="4606" w:type="dxa"/>
            <w:tcBorders>
              <w:top w:val="nil"/>
              <w:left w:val="nil"/>
              <w:bottom w:val="nil"/>
              <w:right w:val="nil"/>
            </w:tcBorders>
          </w:tcPr>
          <w:p>
            <w:pPr>
              <w:pStyle w:val="TableParagraph"/>
              <w:spacing w:before="11"/>
              <w:ind w:left="2141" w:right="1763"/>
              <w:rPr>
                <w:sz w:val="24"/>
              </w:rPr>
            </w:pPr>
            <w:r>
              <w:rPr>
                <w:sz w:val="24"/>
              </w:rPr>
              <w:t>34.295</w:t>
            </w:r>
          </w:p>
        </w:tc>
      </w:tr>
      <w:tr>
        <w:trPr>
          <w:trHeight w:val="317" w:hRule="exact"/>
        </w:trPr>
        <w:tc>
          <w:tcPr>
            <w:tcW w:w="2095" w:type="dxa"/>
            <w:tcBorders>
              <w:top w:val="nil"/>
              <w:left w:val="nil"/>
              <w:bottom w:val="nil"/>
              <w:right w:val="nil"/>
            </w:tcBorders>
          </w:tcPr>
          <w:p>
            <w:pPr>
              <w:pStyle w:val="TableParagraph"/>
              <w:spacing w:before="11"/>
              <w:ind w:left="83"/>
              <w:jc w:val="left"/>
              <w:rPr>
                <w:sz w:val="24"/>
              </w:rPr>
            </w:pPr>
            <w:r>
              <w:rPr>
                <w:sz w:val="24"/>
              </w:rPr>
              <w:t>Linoléico</w:t>
            </w:r>
          </w:p>
        </w:tc>
        <w:tc>
          <w:tcPr>
            <w:tcW w:w="2293" w:type="dxa"/>
            <w:tcBorders>
              <w:top w:val="nil"/>
              <w:left w:val="nil"/>
              <w:bottom w:val="nil"/>
              <w:right w:val="nil"/>
            </w:tcBorders>
          </w:tcPr>
          <w:p>
            <w:pPr>
              <w:pStyle w:val="TableParagraph"/>
              <w:spacing w:before="8"/>
              <w:ind w:left="489"/>
              <w:jc w:val="left"/>
              <w:rPr>
                <w:sz w:val="24"/>
              </w:rPr>
            </w:pPr>
            <w:r>
              <w:rPr>
                <w:sz w:val="24"/>
              </w:rPr>
              <w:t>C18:2n6</w:t>
            </w:r>
          </w:p>
        </w:tc>
        <w:tc>
          <w:tcPr>
            <w:tcW w:w="4606" w:type="dxa"/>
            <w:tcBorders>
              <w:top w:val="nil"/>
              <w:left w:val="nil"/>
              <w:bottom w:val="nil"/>
              <w:right w:val="nil"/>
            </w:tcBorders>
          </w:tcPr>
          <w:p>
            <w:pPr>
              <w:pStyle w:val="TableParagraph"/>
              <w:spacing w:before="11"/>
              <w:ind w:left="2141" w:right="1763"/>
              <w:rPr>
                <w:sz w:val="24"/>
              </w:rPr>
            </w:pPr>
            <w:r>
              <w:rPr>
                <w:sz w:val="24"/>
              </w:rPr>
              <w:t>10.549</w:t>
            </w:r>
          </w:p>
        </w:tc>
      </w:tr>
      <w:tr>
        <w:trPr>
          <w:trHeight w:val="318" w:hRule="exact"/>
        </w:trPr>
        <w:tc>
          <w:tcPr>
            <w:tcW w:w="2095" w:type="dxa"/>
            <w:tcBorders>
              <w:top w:val="nil"/>
              <w:left w:val="nil"/>
              <w:bottom w:val="nil"/>
              <w:right w:val="nil"/>
            </w:tcBorders>
          </w:tcPr>
          <w:p>
            <w:pPr>
              <w:pStyle w:val="TableParagraph"/>
              <w:spacing w:before="11"/>
              <w:ind w:left="83"/>
              <w:jc w:val="left"/>
              <w:rPr>
                <w:sz w:val="24"/>
              </w:rPr>
            </w:pPr>
            <w:r>
              <w:rPr>
                <w:sz w:val="24"/>
              </w:rPr>
              <w:t>Linolenico</w:t>
            </w:r>
          </w:p>
        </w:tc>
        <w:tc>
          <w:tcPr>
            <w:tcW w:w="2293" w:type="dxa"/>
            <w:tcBorders>
              <w:top w:val="nil"/>
              <w:left w:val="nil"/>
              <w:bottom w:val="nil"/>
              <w:right w:val="nil"/>
            </w:tcBorders>
          </w:tcPr>
          <w:p>
            <w:pPr>
              <w:pStyle w:val="TableParagraph"/>
              <w:spacing w:before="8"/>
              <w:ind w:left="489"/>
              <w:jc w:val="left"/>
              <w:rPr>
                <w:sz w:val="24"/>
              </w:rPr>
            </w:pPr>
            <w:r>
              <w:rPr>
                <w:sz w:val="24"/>
              </w:rPr>
              <w:t>C18:3n3</w:t>
            </w:r>
          </w:p>
        </w:tc>
        <w:tc>
          <w:tcPr>
            <w:tcW w:w="4606" w:type="dxa"/>
            <w:tcBorders>
              <w:top w:val="nil"/>
              <w:left w:val="nil"/>
              <w:bottom w:val="nil"/>
              <w:right w:val="nil"/>
            </w:tcBorders>
          </w:tcPr>
          <w:p>
            <w:pPr>
              <w:pStyle w:val="TableParagraph"/>
              <w:spacing w:before="11"/>
              <w:ind w:left="2141" w:right="1763"/>
              <w:rPr>
                <w:sz w:val="24"/>
              </w:rPr>
            </w:pPr>
            <w:r>
              <w:rPr>
                <w:sz w:val="24"/>
              </w:rPr>
              <w:t>0.614</w:t>
            </w:r>
          </w:p>
        </w:tc>
      </w:tr>
      <w:tr>
        <w:trPr>
          <w:trHeight w:val="356" w:hRule="exact"/>
        </w:trPr>
        <w:tc>
          <w:tcPr>
            <w:tcW w:w="2095" w:type="dxa"/>
            <w:tcBorders>
              <w:top w:val="nil"/>
              <w:left w:val="nil"/>
              <w:right w:val="nil"/>
            </w:tcBorders>
          </w:tcPr>
          <w:p>
            <w:pPr>
              <w:pStyle w:val="TableParagraph"/>
              <w:spacing w:before="17"/>
              <w:ind w:left="83"/>
              <w:jc w:val="left"/>
              <w:rPr>
                <w:sz w:val="24"/>
              </w:rPr>
            </w:pPr>
            <w:r>
              <w:rPr>
                <w:sz w:val="24"/>
              </w:rPr>
              <w:t>Araquidónico</w:t>
            </w:r>
          </w:p>
        </w:tc>
        <w:tc>
          <w:tcPr>
            <w:tcW w:w="2293" w:type="dxa"/>
            <w:tcBorders>
              <w:top w:val="nil"/>
              <w:left w:val="nil"/>
              <w:right w:val="nil"/>
            </w:tcBorders>
          </w:tcPr>
          <w:p>
            <w:pPr>
              <w:pStyle w:val="TableParagraph"/>
              <w:spacing w:before="9"/>
              <w:ind w:left="489"/>
              <w:jc w:val="left"/>
              <w:rPr>
                <w:sz w:val="24"/>
              </w:rPr>
            </w:pPr>
            <w:r>
              <w:rPr>
                <w:sz w:val="24"/>
              </w:rPr>
              <w:t>C20:4n6</w:t>
            </w:r>
          </w:p>
        </w:tc>
        <w:tc>
          <w:tcPr>
            <w:tcW w:w="4606" w:type="dxa"/>
            <w:tcBorders>
              <w:top w:val="nil"/>
              <w:left w:val="nil"/>
              <w:right w:val="nil"/>
            </w:tcBorders>
          </w:tcPr>
          <w:p>
            <w:pPr>
              <w:pStyle w:val="TableParagraph"/>
              <w:spacing w:before="17"/>
              <w:ind w:left="2141" w:right="1763"/>
              <w:rPr>
                <w:sz w:val="24"/>
              </w:rPr>
            </w:pPr>
            <w:r>
              <w:rPr>
                <w:sz w:val="24"/>
              </w:rPr>
              <w:t>3.533</w:t>
            </w:r>
          </w:p>
        </w:tc>
      </w:tr>
    </w:tbl>
    <w:p>
      <w:pPr>
        <w:spacing w:line="273" w:lineRule="exact" w:before="0"/>
        <w:ind w:left="192" w:right="237" w:firstLine="0"/>
        <w:jc w:val="left"/>
        <w:rPr>
          <w:sz w:val="24"/>
        </w:rPr>
      </w:pPr>
      <w:r>
        <w:rPr>
          <w:position w:val="9"/>
          <w:sz w:val="16"/>
        </w:rPr>
        <w:t>1 </w:t>
      </w:r>
      <w:r>
        <w:rPr>
          <w:sz w:val="24"/>
        </w:rPr>
        <w:t>Cruz </w:t>
      </w:r>
      <w:r>
        <w:rPr>
          <w:i/>
          <w:sz w:val="24"/>
        </w:rPr>
        <w:t>et al. </w:t>
      </w:r>
      <w:r>
        <w:rPr>
          <w:sz w:val="24"/>
        </w:rPr>
        <w:t>(2014).</w:t>
      </w:r>
    </w:p>
    <w:p>
      <w:pPr>
        <w:pStyle w:val="BodyText"/>
        <w:rPr>
          <w:sz w:val="26"/>
        </w:rPr>
      </w:pPr>
    </w:p>
    <w:p>
      <w:pPr>
        <w:pStyle w:val="BodyText"/>
        <w:spacing w:before="2"/>
        <w:rPr>
          <w:sz w:val="22"/>
        </w:rPr>
      </w:pPr>
    </w:p>
    <w:p>
      <w:pPr>
        <w:pStyle w:val="Heading1"/>
        <w:numPr>
          <w:ilvl w:val="1"/>
          <w:numId w:val="11"/>
        </w:numPr>
        <w:tabs>
          <w:tab w:pos="553" w:val="left" w:leader="none"/>
        </w:tabs>
        <w:spacing w:line="240" w:lineRule="auto" w:before="0" w:after="0"/>
        <w:ind w:left="552" w:right="0" w:hanging="360"/>
        <w:jc w:val="left"/>
      </w:pPr>
      <w:bookmarkStart w:name="_bookmark30" w:id="56"/>
      <w:bookmarkEnd w:id="56"/>
      <w:r>
        <w:rPr>
          <w:b w:val="0"/>
        </w:rPr>
      </w:r>
      <w:bookmarkStart w:name="_bookmark30" w:id="57"/>
      <w:bookmarkEnd w:id="57"/>
      <w:r>
        <w:rPr/>
        <w:t>F</w:t>
      </w:r>
      <w:r>
        <w:rPr/>
        <w:t>ibras musculares y su relación con la calidad de la</w:t>
      </w:r>
      <w:r>
        <w:rPr>
          <w:spacing w:val="-14"/>
        </w:rPr>
        <w:t> </w:t>
      </w:r>
      <w:r>
        <w:rPr/>
        <w:t>carne</w:t>
      </w:r>
    </w:p>
    <w:p>
      <w:pPr>
        <w:pStyle w:val="BodyText"/>
        <w:spacing w:line="360" w:lineRule="auto" w:before="135"/>
        <w:ind w:left="192" w:right="187" w:firstLine="707"/>
        <w:jc w:val="both"/>
      </w:pPr>
      <w:r>
        <w:rPr/>
        <w:t>La composición de las fibras musculares, entre otros, es un factor importante que influye en los procesos bioquímicos </w:t>
      </w:r>
      <w:r>
        <w:rPr>
          <w:i/>
        </w:rPr>
        <w:t>pre </w:t>
      </w:r>
      <w:r>
        <w:rPr/>
        <w:t>y </w:t>
      </w:r>
      <w:r>
        <w:rPr>
          <w:i/>
        </w:rPr>
        <w:t>posmortem, </w:t>
      </w:r>
      <w:r>
        <w:rPr/>
        <w:t>y por lo tanto, en la calidad de la carne. Una característica del músculo esquelético es su diversidad, es decir la existencia de diferentes tipos de fibras musculares. Existen diferencias marcadas en cuanto a la composición de los tipos de fibras, tanto dentro como entre individuos, lo cual puede influir en la calidad de la carne, y está en función de factores tales como la localización corporal,  la edad, el peso y la raza (Pette y Staron, 1990). Las características intrínsecas del músculo, el tipo fibrilar, el área de sección transversal de las fibras (AST) y el tipo de metabolismo que poseen, intervienen y son importantes fuente de variación en la  calidad de la carne  para su consumo fresco o industrializado (Maltin </w:t>
      </w:r>
      <w:r>
        <w:rPr>
          <w:i/>
        </w:rPr>
        <w:t>et al., </w:t>
      </w:r>
      <w:r>
        <w:rPr/>
        <w:t>1997); sin embargo, estas características musculares y su influencia real en la propiedades sensoriales de la carne no han sido totalmente estudiadas e identificadas y son actualmente motivo de investigación (Lebret </w:t>
      </w:r>
      <w:r>
        <w:rPr>
          <w:i/>
        </w:rPr>
        <w:t>et al.,</w:t>
      </w:r>
      <w:r>
        <w:rPr>
          <w:i/>
          <w:spacing w:val="-4"/>
        </w:rPr>
        <w:t> </w:t>
      </w:r>
      <w:r>
        <w:rPr/>
        <w:t>1999).</w:t>
      </w:r>
    </w:p>
    <w:p>
      <w:pPr>
        <w:spacing w:after="0" w:line="360" w:lineRule="auto"/>
        <w:jc w:val="both"/>
        <w:sectPr>
          <w:pgSz w:w="12240" w:h="15840"/>
          <w:pgMar w:header="1154" w:footer="1383" w:top="1400" w:bottom="1580" w:left="1680" w:right="1340"/>
        </w:sectPr>
      </w:pPr>
    </w:p>
    <w:p>
      <w:pPr>
        <w:pStyle w:val="BodyText"/>
        <w:spacing w:before="3"/>
        <w:rPr>
          <w:sz w:val="28"/>
        </w:rPr>
      </w:pPr>
    </w:p>
    <w:p>
      <w:pPr>
        <w:pStyle w:val="ListParagraph"/>
        <w:numPr>
          <w:ilvl w:val="2"/>
          <w:numId w:val="11"/>
        </w:numPr>
        <w:tabs>
          <w:tab w:pos="650" w:val="left" w:leader="none"/>
        </w:tabs>
        <w:spacing w:line="240" w:lineRule="auto" w:before="72" w:after="0"/>
        <w:ind w:left="649" w:right="0" w:hanging="497"/>
        <w:jc w:val="left"/>
        <w:rPr>
          <w:b/>
          <w:i/>
          <w:sz w:val="22"/>
        </w:rPr>
      </w:pPr>
      <w:bookmarkStart w:name="_bookmark31" w:id="58"/>
      <w:bookmarkEnd w:id="58"/>
      <w:r>
        <w:rPr/>
      </w:r>
      <w:bookmarkStart w:name="_bookmark31" w:id="59"/>
      <w:bookmarkEnd w:id="59"/>
      <w:r>
        <w:rPr>
          <w:b/>
          <w:i/>
          <w:sz w:val="22"/>
        </w:rPr>
        <w:t>M</w:t>
      </w:r>
      <w:r>
        <w:rPr>
          <w:b/>
          <w:i/>
          <w:sz w:val="22"/>
        </w:rPr>
        <w:t>orfología de la fibra</w:t>
      </w:r>
      <w:r>
        <w:rPr>
          <w:b/>
          <w:i/>
          <w:spacing w:val="-14"/>
          <w:sz w:val="22"/>
        </w:rPr>
        <w:t> </w:t>
      </w:r>
      <w:r>
        <w:rPr>
          <w:b/>
          <w:i/>
          <w:sz w:val="22"/>
        </w:rPr>
        <w:t>muscular</w:t>
      </w:r>
    </w:p>
    <w:p>
      <w:pPr>
        <w:pStyle w:val="BodyText"/>
        <w:spacing w:line="360" w:lineRule="auto" w:before="122"/>
        <w:ind w:left="152" w:right="145" w:firstLine="707"/>
        <w:jc w:val="both"/>
      </w:pPr>
      <w:r>
        <w:rPr/>
        <w:t>Morfológicamente la fibra muscular está representada por el número total de fibras (NTF), por el área de la sección transversal (AST) y el ancho de la fibra muscular. El diámetro y el número de fibras son factores que afectan el potencial de crecimiento del músculo y la calidad de la carne (Ryu y Kim, 2005). El NTF y el AST están inversamente correlacionadas una con otra, pero se correlacionan positivamente con la masa muscular. Para los músculos </w:t>
      </w:r>
      <w:r>
        <w:rPr>
          <w:i/>
        </w:rPr>
        <w:t>Longissimus dorsi </w:t>
      </w:r>
      <w:r>
        <w:rPr/>
        <w:t>y </w:t>
      </w:r>
      <w:r>
        <w:rPr>
          <w:i/>
        </w:rPr>
        <w:t>Semitendinoso, </w:t>
      </w:r>
      <w:r>
        <w:rPr/>
        <w:t>en cerdos de igual peso, se observa que los animales con rápido crecimiento tienen mayor número de fibras pero estas son más pequeñas que en canales de cerdos con baja tasa de crecimiento; en la masa  de  los músculos influyó más el número de fibras que el diámetro fibrilar. En cerdos se ha reportado que el NTF tiene una correlación positiva con la calidad de la carne (Ryu y Kim, 2005). El NTF se correlaciona positivamente con el pH medido a los 45 minutos post mortem y está negativamente correlacionado con el drip loss (Fielder </w:t>
      </w:r>
      <w:r>
        <w:rPr>
          <w:i/>
        </w:rPr>
        <w:t>et al., </w:t>
      </w:r>
      <w:r>
        <w:rPr/>
        <w:t>1994). En el caso del AST, estudios previos sugieren que un incremento en el tamaño de la fibra muscular influye negativamente en la calidad de la carne debido a que el tamaño de la fibra es uno de los factores más importantes que determina la dureza de la carne (Cassens y Cooper, 1971). Así mismo, Karlsson </w:t>
      </w:r>
      <w:r>
        <w:rPr>
          <w:i/>
        </w:rPr>
        <w:t>et al. </w:t>
      </w:r>
      <w:r>
        <w:rPr/>
        <w:t>(1993) indican que los músculos con fibras más grandes muestran más dureza de la carne que los músculos con fibras más pequeñas; Duckett </w:t>
      </w:r>
      <w:r>
        <w:rPr>
          <w:i/>
        </w:rPr>
        <w:t>et al. </w:t>
      </w:r>
      <w:r>
        <w:rPr/>
        <w:t>(2000) indicaron una correlación negativa entre el área de las fibras y la terneza de la carne. Actualmente, se sabe de la importancia del área de las  fibras musculares sobre su influencia en el metabolismo muscular en el periodo </w:t>
      </w:r>
      <w:r>
        <w:rPr>
          <w:i/>
        </w:rPr>
        <w:t>perimortem. </w:t>
      </w:r>
      <w:r>
        <w:rPr/>
        <w:t>El incremento del área es una característica negativa importante porque conduce a una disminución del número de capilares en contacto con las fibras, con la consecuente disminución en el transporte de oxígeno y substratos y una deficiente remoción de </w:t>
      </w:r>
      <w:r>
        <w:rPr>
          <w:position w:val="2"/>
        </w:rPr>
        <w:t>productos de degradación final como el CO</w:t>
      </w:r>
      <w:r>
        <w:rPr>
          <w:sz w:val="16"/>
        </w:rPr>
        <w:t>2 </w:t>
      </w:r>
      <w:r>
        <w:rPr>
          <w:position w:val="2"/>
        </w:rPr>
        <w:t>y el lactato que disminuyen la calidad de la </w:t>
      </w:r>
      <w:r>
        <w:rPr/>
        <w:t>carne (Karlsson </w:t>
      </w:r>
      <w:r>
        <w:rPr>
          <w:i/>
        </w:rPr>
        <w:t>et al.,</w:t>
      </w:r>
      <w:r>
        <w:rPr>
          <w:i/>
          <w:spacing w:val="-5"/>
        </w:rPr>
        <w:t> </w:t>
      </w:r>
      <w:r>
        <w:rPr/>
        <w:t>1999).</w:t>
      </w:r>
    </w:p>
    <w:p>
      <w:pPr>
        <w:spacing w:after="0" w:line="360" w:lineRule="auto"/>
        <w:jc w:val="both"/>
        <w:sectPr>
          <w:pgSz w:w="12240" w:h="15840"/>
          <w:pgMar w:header="1154" w:footer="1383" w:top="1400" w:bottom="1580" w:left="1720" w:right="1380"/>
        </w:sectPr>
      </w:pPr>
    </w:p>
    <w:p>
      <w:pPr>
        <w:pStyle w:val="BodyText"/>
        <w:spacing w:before="3"/>
        <w:rPr>
          <w:sz w:val="28"/>
        </w:rPr>
      </w:pPr>
    </w:p>
    <w:p>
      <w:pPr>
        <w:pStyle w:val="ListParagraph"/>
        <w:numPr>
          <w:ilvl w:val="2"/>
          <w:numId w:val="11"/>
        </w:numPr>
        <w:tabs>
          <w:tab w:pos="650" w:val="left" w:leader="none"/>
        </w:tabs>
        <w:spacing w:line="240" w:lineRule="auto" w:before="72" w:after="0"/>
        <w:ind w:left="649" w:right="0" w:hanging="497"/>
        <w:jc w:val="left"/>
        <w:rPr>
          <w:b/>
          <w:i/>
          <w:sz w:val="22"/>
        </w:rPr>
      </w:pPr>
      <w:bookmarkStart w:name="_bookmark32" w:id="60"/>
      <w:bookmarkEnd w:id="60"/>
      <w:r>
        <w:rPr/>
      </w:r>
      <w:bookmarkStart w:name="_bookmark32" w:id="61"/>
      <w:bookmarkEnd w:id="61"/>
      <w:r>
        <w:rPr>
          <w:b/>
          <w:i/>
          <w:sz w:val="22"/>
        </w:rPr>
        <w:t>p</w:t>
      </w:r>
      <w:r>
        <w:rPr>
          <w:b/>
          <w:i/>
          <w:sz w:val="22"/>
        </w:rPr>
        <w:t>H y las fibras</w:t>
      </w:r>
      <w:r>
        <w:rPr>
          <w:b/>
          <w:i/>
          <w:spacing w:val="-11"/>
          <w:sz w:val="22"/>
        </w:rPr>
        <w:t> </w:t>
      </w:r>
      <w:r>
        <w:rPr>
          <w:b/>
          <w:i/>
          <w:sz w:val="22"/>
        </w:rPr>
        <w:t>musculares</w:t>
      </w:r>
    </w:p>
    <w:p>
      <w:pPr>
        <w:pStyle w:val="BodyText"/>
        <w:spacing w:line="360" w:lineRule="auto" w:before="122"/>
        <w:ind w:left="152" w:right="147" w:firstLine="707"/>
        <w:jc w:val="both"/>
      </w:pPr>
      <w:r>
        <w:rPr/>
        <w:t>El descenso del pH dependerá del tipo de fibras predominantes y de la actividad muscular antes del sacrificio. Así; los músculos con predominio de fibras de contracción rápida (blancas) alcanzan valores finales de 5.5, mientras que si hay una mayor cantidad de fibras de contracción lenta (rojas) el pH no baja de 6.3. Los músculos del animal que más trabajo desarrollan en el periodo previo al sacrificio son los que presentan un pH más elevado post-mortem (Pearson y Young, 1989).</w:t>
      </w:r>
    </w:p>
    <w:p>
      <w:pPr>
        <w:pStyle w:val="BodyText"/>
        <w:spacing w:line="360" w:lineRule="auto" w:before="6"/>
        <w:ind w:left="152" w:right="145" w:firstLine="707"/>
        <w:jc w:val="both"/>
      </w:pPr>
      <w:r>
        <w:rPr/>
        <w:t>Ryu </w:t>
      </w:r>
      <w:r>
        <w:rPr>
          <w:i/>
        </w:rPr>
        <w:t>et al. </w:t>
      </w:r>
      <w:r>
        <w:rPr/>
        <w:t>(2006) indicaron que el porcentaje de fibras IIB está negativamente correlacionado con el pH muscular post mortem, Choe </w:t>
      </w:r>
      <w:r>
        <w:rPr>
          <w:i/>
        </w:rPr>
        <w:t>et al. </w:t>
      </w:r>
      <w:r>
        <w:rPr/>
        <w:t>(2008), indicaron que los músculos con elevado porcentaje de fibras IIB y bajo porcentaje de fibras I muestran mayores contenidos de glicógeno y lactato a los 45 minutos post mortem, y también muestran un color más pálido y un alto drip loss en el periodo post mortem. Poto </w:t>
      </w:r>
      <w:r>
        <w:rPr>
          <w:i/>
        </w:rPr>
        <w:t>et al. </w:t>
      </w:r>
      <w:r>
        <w:rPr/>
        <w:t>(2004) reportaron una correlación positiva del pH medido a los 45 minutos post mortem  con el porcentaje de fibras IIA, y una correlación negativa con su tamaño, área y diámetro mínimo, y con el de las fibras IIB; con respecto al pH medido a las 24 horas post mortem indicaron una correlación negativa entre el área y el diámetro mínimo de las fibras I, una correlación positiva con el porcentaje de fibras oxidativas (I y IIA) y una correlación negativa con el porcentaje de las fibras IIB; concluyendo que existe relación positiva entre el pH final y el porcentaje de las fibras oxidativas, por lo tanto el pH final se encuentra más relacionado con la capacidad oxidativa y el área de las fibras oxidativas lentas, presentando una mayor variación en los músculos con alta capacidad oxidativa (Maltin </w:t>
      </w:r>
      <w:r>
        <w:rPr>
          <w:i/>
        </w:rPr>
        <w:t>et al.,</w:t>
      </w:r>
      <w:r>
        <w:rPr>
          <w:i/>
          <w:spacing w:val="-15"/>
        </w:rPr>
        <w:t> </w:t>
      </w:r>
      <w:r>
        <w:rPr/>
        <w:t>1997).</w:t>
      </w:r>
    </w:p>
    <w:p>
      <w:pPr>
        <w:pStyle w:val="BodyText"/>
      </w:pPr>
    </w:p>
    <w:p>
      <w:pPr>
        <w:pStyle w:val="ListParagraph"/>
        <w:numPr>
          <w:ilvl w:val="2"/>
          <w:numId w:val="11"/>
        </w:numPr>
        <w:tabs>
          <w:tab w:pos="650" w:val="left" w:leader="none"/>
        </w:tabs>
        <w:spacing w:line="240" w:lineRule="auto" w:before="147" w:after="0"/>
        <w:ind w:left="649" w:right="0" w:hanging="497"/>
        <w:jc w:val="left"/>
        <w:rPr>
          <w:b/>
          <w:i/>
          <w:sz w:val="22"/>
        </w:rPr>
      </w:pPr>
      <w:bookmarkStart w:name="_bookmark33" w:id="62"/>
      <w:bookmarkEnd w:id="62"/>
      <w:r>
        <w:rPr/>
      </w:r>
      <w:bookmarkStart w:name="_bookmark33" w:id="63"/>
      <w:bookmarkEnd w:id="63"/>
      <w:r>
        <w:rPr>
          <w:b/>
          <w:i/>
          <w:sz w:val="22"/>
        </w:rPr>
        <w:t>G</w:t>
      </w:r>
      <w:r>
        <w:rPr>
          <w:b/>
          <w:i/>
          <w:sz w:val="22"/>
        </w:rPr>
        <w:t>rasa intramuscular y las fibras</w:t>
      </w:r>
      <w:r>
        <w:rPr>
          <w:b/>
          <w:i/>
          <w:spacing w:val="-12"/>
          <w:sz w:val="22"/>
        </w:rPr>
        <w:t> </w:t>
      </w:r>
      <w:r>
        <w:rPr>
          <w:b/>
          <w:i/>
          <w:sz w:val="22"/>
        </w:rPr>
        <w:t>musculares</w:t>
      </w:r>
    </w:p>
    <w:p>
      <w:pPr>
        <w:pStyle w:val="BodyText"/>
        <w:spacing w:line="360" w:lineRule="auto" w:before="122"/>
        <w:ind w:left="152" w:right="144" w:firstLine="707"/>
        <w:jc w:val="both"/>
      </w:pPr>
      <w:r>
        <w:rPr/>
        <w:t>Los lípidos se encuentran almacenados principalmente en las fibras musculares tipo I y en algunas del tipo IIA; también se ha encontrado una correlación positiva entre la grasa intramuscular y la frecuencia de fibras tipo IIB. Por lo tanto, la terneza de la carne está relacionada con el perfil metabólico del músculo, encontrándose gran variabilidad entre la capacidad oxidativa y el almacenamiento de glucógeno y lípidos en diversas razas animales estudiadas</w:t>
      </w:r>
      <w:r>
        <w:rPr>
          <w:spacing w:val="17"/>
        </w:rPr>
        <w:t> </w:t>
      </w:r>
      <w:r>
        <w:rPr/>
        <w:t>e</w:t>
      </w:r>
      <w:r>
        <w:rPr>
          <w:spacing w:val="16"/>
        </w:rPr>
        <w:t> </w:t>
      </w:r>
      <w:r>
        <w:rPr/>
        <w:t>incluso</w:t>
      </w:r>
      <w:r>
        <w:rPr>
          <w:spacing w:val="17"/>
        </w:rPr>
        <w:t> </w:t>
      </w:r>
      <w:r>
        <w:rPr/>
        <w:t>entre</w:t>
      </w:r>
      <w:r>
        <w:rPr>
          <w:spacing w:val="17"/>
        </w:rPr>
        <w:t> </w:t>
      </w:r>
      <w:r>
        <w:rPr/>
        <w:t>individuos</w:t>
      </w:r>
      <w:r>
        <w:rPr>
          <w:spacing w:val="17"/>
        </w:rPr>
        <w:t> </w:t>
      </w:r>
      <w:r>
        <w:rPr/>
        <w:t>de</w:t>
      </w:r>
      <w:r>
        <w:rPr>
          <w:spacing w:val="16"/>
        </w:rPr>
        <w:t> </w:t>
      </w:r>
      <w:r>
        <w:rPr/>
        <w:t>la</w:t>
      </w:r>
      <w:r>
        <w:rPr>
          <w:spacing w:val="14"/>
        </w:rPr>
        <w:t> </w:t>
      </w:r>
      <w:r>
        <w:rPr/>
        <w:t>misma</w:t>
      </w:r>
      <w:r>
        <w:rPr>
          <w:spacing w:val="16"/>
        </w:rPr>
        <w:t> </w:t>
      </w:r>
      <w:r>
        <w:rPr/>
        <w:t>especie.</w:t>
      </w:r>
      <w:r>
        <w:rPr>
          <w:spacing w:val="18"/>
        </w:rPr>
        <w:t> </w:t>
      </w:r>
      <w:r>
        <w:rPr/>
        <w:t>Serra</w:t>
      </w:r>
      <w:r>
        <w:rPr>
          <w:spacing w:val="17"/>
        </w:rPr>
        <w:t> </w:t>
      </w:r>
      <w:r>
        <w:rPr>
          <w:i/>
        </w:rPr>
        <w:t>et</w:t>
      </w:r>
      <w:r>
        <w:rPr>
          <w:i/>
          <w:spacing w:val="17"/>
        </w:rPr>
        <w:t> </w:t>
      </w:r>
      <w:r>
        <w:rPr>
          <w:i/>
        </w:rPr>
        <w:t>al.</w:t>
      </w:r>
      <w:r>
        <w:rPr>
          <w:i/>
          <w:spacing w:val="17"/>
        </w:rPr>
        <w:t> </w:t>
      </w:r>
      <w:r>
        <w:rPr/>
        <w:t>(1998)</w:t>
      </w:r>
      <w:r>
        <w:rPr>
          <w:spacing w:val="16"/>
        </w:rPr>
        <w:t> </w:t>
      </w:r>
      <w:r>
        <w:rPr/>
        <w:t>al</w:t>
      </w:r>
      <w:r>
        <w:rPr>
          <w:spacing w:val="17"/>
        </w:rPr>
        <w:t> </w:t>
      </w:r>
      <w:r>
        <w:rPr/>
        <w:t>comparar</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152" w:right="145"/>
        <w:jc w:val="both"/>
      </w:pPr>
      <w:r>
        <w:rPr/>
        <w:t>cerdos Landrace con cerdos Ibéricos, indicaron que el porcentaje y tamaño de las fibras musculares guarda relación con la calidad final del producto, destacando que en los cerdos Ibéricos el porcentaje de grasa intramuscular está más relacionado con el porcentaje de fibras tipo </w:t>
      </w:r>
      <w:r>
        <w:rPr>
          <w:spacing w:val="-3"/>
        </w:rPr>
        <w:t>I; </w:t>
      </w:r>
      <w:r>
        <w:rPr/>
        <w:t>Ruusunen (1996) indicó  que un porcentaje mayor de fibras lentas rojas tipo I  y IIA, de escaso diámetro y una disminución del tipo IIB, al menos para el músculo </w:t>
      </w:r>
      <w:r>
        <w:rPr>
          <w:i/>
        </w:rPr>
        <w:t>Longissimus dorsi </w:t>
      </w:r>
      <w:r>
        <w:rPr/>
        <w:t>en cerdos</w:t>
      </w:r>
      <w:r>
        <w:rPr>
          <w:i/>
        </w:rPr>
        <w:t>, </w:t>
      </w:r>
      <w:r>
        <w:rPr/>
        <w:t>parecen favorecer la calidad de la carne; para Lefaucher (1989) señala que la calidad de la carne puede disminuir por incremento de las fibras IIB, esto como consecuencia de una disminución de los lípidos intra e interfibrilares; otros autores indican que los músculos que tienen más de un 30 % de fibras IIB suelen tener características de carnes DFD (oscuras, firmes y secas) (Klont </w:t>
      </w:r>
      <w:r>
        <w:rPr>
          <w:i/>
        </w:rPr>
        <w:t>et al., </w:t>
      </w:r>
      <w:r>
        <w:rPr/>
        <w:t>1998). En el cerdo Chato Murciano, Poto </w:t>
      </w:r>
      <w:r>
        <w:rPr>
          <w:i/>
        </w:rPr>
        <w:t>et al</w:t>
      </w:r>
      <w:r>
        <w:rPr/>
        <w:t>. (2004) indicaron una correlación positiva entre el porcentaje de grasa intramuscular y el porcentaje de fibras I y IIA, y una correlación negativa con el porcentaje de fibras IIB; en contraste Larzul </w:t>
      </w:r>
      <w:r>
        <w:rPr>
          <w:i/>
        </w:rPr>
        <w:t>et al</w:t>
      </w:r>
      <w:r>
        <w:rPr/>
        <w:t>. (1997) hallaron que el contenido de grasa intramuscular no se correlacionó con los porcentajes fibrilares en el músculo </w:t>
      </w:r>
      <w:r>
        <w:rPr>
          <w:i/>
        </w:rPr>
        <w:t>Longissimus </w:t>
      </w:r>
      <w:r>
        <w:rPr>
          <w:i/>
        </w:rPr>
        <w:t>dorsi </w:t>
      </w:r>
      <w:r>
        <w:rPr/>
        <w:t>de</w:t>
      </w:r>
      <w:r>
        <w:rPr>
          <w:spacing w:val="-4"/>
        </w:rPr>
        <w:t> </w:t>
      </w:r>
      <w:r>
        <w:rPr/>
        <w:t>cerdos.</w:t>
      </w:r>
    </w:p>
    <w:p>
      <w:pPr>
        <w:pStyle w:val="BodyText"/>
      </w:pPr>
    </w:p>
    <w:p>
      <w:pPr>
        <w:pStyle w:val="ListParagraph"/>
        <w:numPr>
          <w:ilvl w:val="2"/>
          <w:numId w:val="11"/>
        </w:numPr>
        <w:tabs>
          <w:tab w:pos="705" w:val="left" w:leader="none"/>
        </w:tabs>
        <w:spacing w:line="240" w:lineRule="auto" w:before="147" w:after="0"/>
        <w:ind w:left="704" w:right="0" w:hanging="552"/>
        <w:jc w:val="both"/>
        <w:rPr>
          <w:b/>
          <w:i/>
          <w:sz w:val="22"/>
        </w:rPr>
      </w:pPr>
      <w:bookmarkStart w:name="_bookmark34" w:id="64"/>
      <w:bookmarkEnd w:id="64"/>
      <w:r>
        <w:rPr/>
      </w:r>
      <w:bookmarkStart w:name="_bookmark34" w:id="65"/>
      <w:bookmarkEnd w:id="65"/>
      <w:r>
        <w:rPr>
          <w:b/>
          <w:i/>
          <w:sz w:val="22"/>
        </w:rPr>
        <w:t>C</w:t>
      </w:r>
      <w:r>
        <w:rPr>
          <w:b/>
          <w:i/>
          <w:sz w:val="22"/>
        </w:rPr>
        <w:t>olor y las fibras</w:t>
      </w:r>
      <w:r>
        <w:rPr>
          <w:b/>
          <w:i/>
          <w:spacing w:val="-7"/>
          <w:sz w:val="22"/>
        </w:rPr>
        <w:t> </w:t>
      </w:r>
      <w:r>
        <w:rPr>
          <w:b/>
          <w:i/>
          <w:sz w:val="22"/>
        </w:rPr>
        <w:t>musculares</w:t>
      </w:r>
    </w:p>
    <w:p>
      <w:pPr>
        <w:pStyle w:val="BodyText"/>
        <w:spacing w:line="360" w:lineRule="auto" w:before="122"/>
        <w:ind w:left="152" w:right="146" w:firstLine="770"/>
        <w:jc w:val="both"/>
      </w:pPr>
      <w:r>
        <w:rPr/>
        <w:t>Las fibras tipo I y IIA presentan un mayor contendido de mioglobina que las fibras IIB (Essén-Gustavson </w:t>
      </w:r>
      <w:r>
        <w:rPr>
          <w:i/>
        </w:rPr>
        <w:t>et al., </w:t>
      </w:r>
      <w:r>
        <w:rPr/>
        <w:t>1992). Por lo tanto, los músculos con un mayor contenido de fibras de orientación oxidativa (I y IIA) presentan un color rojo intenso, mientras que los músculos con un mayor contenido de fibras con orientación glicolítica (IIB) presentan un color más blanco. Por otra parte, las fibras tipo I y IIA poseen una mayor concentración de mitocondrias comparadas con las fibras IIB, estas compiten con la mioglobina por el oxigeno, disminuyendo el color rojo brillante de la superficie y la estabilidad del color. Así, el color de los músculos glicolíticos podría ser más estable que el de los músculos oxidativos. Larzul </w:t>
      </w:r>
      <w:r>
        <w:rPr>
          <w:i/>
        </w:rPr>
        <w:t>et al. </w:t>
      </w:r>
      <w:r>
        <w:rPr/>
        <w:t>(1997), indican que no existe una relación clara entre la luminosidad y el área de la sección transversal de la fibra, sin embargo, en el cerdo Chato Murciano, según Poto </w:t>
      </w:r>
      <w:r>
        <w:rPr>
          <w:i/>
        </w:rPr>
        <w:t>et al. </w:t>
      </w:r>
      <w:r>
        <w:rPr/>
        <w:t>(2004) si existe una relación positiva con el área de las fibras IIB y en menor medida con las fibras IIA, así hay una correlación negativa con el área de</w:t>
      </w:r>
    </w:p>
    <w:p>
      <w:pPr>
        <w:spacing w:after="0" w:line="360" w:lineRule="auto"/>
        <w:jc w:val="both"/>
        <w:sectPr>
          <w:pgSz w:w="12240" w:h="15840"/>
          <w:pgMar w:header="1154" w:footer="1383" w:top="1400" w:bottom="1580" w:left="1720" w:right="1380"/>
        </w:sectPr>
      </w:pPr>
    </w:p>
    <w:p>
      <w:pPr>
        <w:pStyle w:val="BodyText"/>
        <w:spacing w:before="2"/>
        <w:rPr>
          <w:sz w:val="28"/>
        </w:rPr>
      </w:pPr>
    </w:p>
    <w:p>
      <w:pPr>
        <w:pStyle w:val="BodyText"/>
        <w:spacing w:line="360" w:lineRule="auto" w:before="69"/>
        <w:ind w:left="232" w:right="230"/>
        <w:jc w:val="both"/>
      </w:pPr>
      <w:r>
        <w:rPr/>
        <w:t>las fibras tipo I. Para Maltin </w:t>
      </w:r>
      <w:r>
        <w:rPr>
          <w:i/>
        </w:rPr>
        <w:t>et al</w:t>
      </w:r>
      <w:r>
        <w:rPr/>
        <w:t>. (1997) no hay correlaciones significativas entre las características del tipo de fibra y los valores de a* (índice de rojos), mientras en el cerdo Chato Murciano si se reportan correlaciones positivas entre la coordenada a* y el tamaño  de las fibras IIB, y correlaciones negativas con el tamaño de las fibras I y</w:t>
      </w:r>
      <w:r>
        <w:rPr>
          <w:spacing w:val="-16"/>
        </w:rPr>
        <w:t> </w:t>
      </w:r>
      <w:r>
        <w:rPr/>
        <w:t>IIB.</w:t>
      </w:r>
    </w:p>
    <w:p>
      <w:pPr>
        <w:pStyle w:val="BodyText"/>
      </w:pPr>
    </w:p>
    <w:p>
      <w:pPr>
        <w:pStyle w:val="ListParagraph"/>
        <w:numPr>
          <w:ilvl w:val="2"/>
          <w:numId w:val="11"/>
        </w:numPr>
        <w:tabs>
          <w:tab w:pos="730" w:val="left" w:leader="none"/>
        </w:tabs>
        <w:spacing w:line="240" w:lineRule="auto" w:before="147" w:after="0"/>
        <w:ind w:left="729" w:right="0" w:hanging="497"/>
        <w:jc w:val="both"/>
        <w:rPr>
          <w:b/>
          <w:i/>
          <w:sz w:val="22"/>
        </w:rPr>
      </w:pPr>
      <w:bookmarkStart w:name="_bookmark35" w:id="66"/>
      <w:bookmarkEnd w:id="66"/>
      <w:r>
        <w:rPr/>
      </w:r>
      <w:bookmarkStart w:name="_bookmark35" w:id="67"/>
      <w:bookmarkEnd w:id="67"/>
      <w:r>
        <w:rPr>
          <w:b/>
          <w:i/>
          <w:sz w:val="22"/>
        </w:rPr>
        <w:t>C</w:t>
      </w:r>
      <w:r>
        <w:rPr>
          <w:b/>
          <w:i/>
          <w:sz w:val="22"/>
        </w:rPr>
        <w:t>alidad sensorial de la carne y las fibras</w:t>
      </w:r>
      <w:r>
        <w:rPr>
          <w:b/>
          <w:i/>
          <w:spacing w:val="-14"/>
          <w:sz w:val="22"/>
        </w:rPr>
        <w:t> </w:t>
      </w:r>
      <w:r>
        <w:rPr>
          <w:b/>
          <w:i/>
          <w:sz w:val="22"/>
        </w:rPr>
        <w:t>musculares</w:t>
      </w:r>
    </w:p>
    <w:p>
      <w:pPr>
        <w:pStyle w:val="BodyText"/>
        <w:spacing w:line="360" w:lineRule="auto" w:before="122"/>
        <w:ind w:left="232" w:right="228" w:firstLine="705"/>
        <w:jc w:val="both"/>
      </w:pPr>
      <w:r>
        <w:rPr/>
        <w:t>La relación entre el tipo de fibras y la calidad sensorial de la carne no es clara; sin embargo, numerosos estudios, correlacionan la calidad sensorial de la carne con el tipo de fibra. Parece existir una importante correlación positiva entre un elevado contenido de  fibras tipo I con la jugosidad y sabor de la carne, esto como consecuencia de la gran cantidad de lípidos encontrados en las fibras tipo I, lo cual es muy importante para la percepción del sabor y jugosidad de la carne. Por otra parte existe, una correlación negativa entre los elevados contenidos de fibras tipo IIB con la terneza y la fuerza de corte; esto se relaciona a que las fibras tipo </w:t>
      </w:r>
      <w:r>
        <w:rPr>
          <w:spacing w:val="-3"/>
        </w:rPr>
        <w:t>IIB </w:t>
      </w:r>
      <w:r>
        <w:rPr/>
        <w:t>son más grandes y presentan mayor resistencia a la fuerza de corte (Cuadro</w:t>
      </w:r>
      <w:r>
        <w:rPr>
          <w:spacing w:val="-3"/>
        </w:rPr>
        <w:t> </w:t>
      </w:r>
      <w:r>
        <w:rPr/>
        <w:t>10).</w:t>
      </w:r>
    </w:p>
    <w:p>
      <w:pPr>
        <w:pStyle w:val="BodyText"/>
        <w:rPr>
          <w:sz w:val="20"/>
        </w:rPr>
      </w:pPr>
    </w:p>
    <w:p>
      <w:pPr>
        <w:pStyle w:val="BodyText"/>
        <w:spacing w:before="1"/>
        <w:rPr>
          <w:sz w:val="19"/>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9"/>
        <w:gridCol w:w="3656"/>
        <w:gridCol w:w="3567"/>
      </w:tblGrid>
      <w:tr>
        <w:trPr>
          <w:trHeight w:val="297" w:hRule="exact"/>
        </w:trPr>
        <w:tc>
          <w:tcPr>
            <w:tcW w:w="9072" w:type="dxa"/>
            <w:gridSpan w:val="3"/>
            <w:tcBorders>
              <w:bottom w:val="single" w:sz="4" w:space="0" w:color="000000"/>
            </w:tcBorders>
          </w:tcPr>
          <w:p>
            <w:pPr>
              <w:pStyle w:val="TableParagraph"/>
              <w:spacing w:line="245" w:lineRule="exact"/>
              <w:ind w:left="859"/>
              <w:jc w:val="left"/>
              <w:rPr>
                <w:sz w:val="24"/>
              </w:rPr>
            </w:pPr>
            <w:r>
              <w:rPr>
                <w:b/>
                <w:sz w:val="24"/>
              </w:rPr>
              <w:t>Cuadro 10. </w:t>
            </w:r>
            <w:r>
              <w:rPr>
                <w:sz w:val="24"/>
              </w:rPr>
              <w:t>Relación entre el tipo de fibras muscular y la calidad de la carne</w:t>
            </w:r>
          </w:p>
        </w:tc>
      </w:tr>
      <w:tr>
        <w:trPr>
          <w:trHeight w:val="329" w:hRule="exact"/>
        </w:trPr>
        <w:tc>
          <w:tcPr>
            <w:tcW w:w="1849" w:type="dxa"/>
            <w:tcBorders>
              <w:top w:val="single" w:sz="4" w:space="0" w:color="000000"/>
              <w:bottom w:val="single" w:sz="4" w:space="0" w:color="000000"/>
            </w:tcBorders>
          </w:tcPr>
          <w:p>
            <w:pPr>
              <w:pStyle w:val="TableParagraph"/>
              <w:spacing w:before="1"/>
              <w:ind w:left="282" w:right="179"/>
              <w:rPr>
                <w:b/>
                <w:sz w:val="24"/>
              </w:rPr>
            </w:pPr>
            <w:r>
              <w:rPr>
                <w:b/>
                <w:sz w:val="24"/>
              </w:rPr>
              <w:t>Tipo de fibra</w:t>
            </w:r>
          </w:p>
        </w:tc>
        <w:tc>
          <w:tcPr>
            <w:tcW w:w="3656" w:type="dxa"/>
            <w:tcBorders>
              <w:top w:val="single" w:sz="4" w:space="0" w:color="000000"/>
              <w:bottom w:val="single" w:sz="4" w:space="0" w:color="000000"/>
            </w:tcBorders>
          </w:tcPr>
          <w:p>
            <w:pPr>
              <w:pStyle w:val="TableParagraph"/>
              <w:spacing w:before="1"/>
              <w:ind w:left="1146" w:right="110"/>
              <w:jc w:val="left"/>
              <w:rPr>
                <w:b/>
                <w:sz w:val="24"/>
              </w:rPr>
            </w:pPr>
            <w:r>
              <w:rPr>
                <w:b/>
                <w:sz w:val="24"/>
              </w:rPr>
              <w:t>Característica</w:t>
            </w:r>
          </w:p>
        </w:tc>
        <w:tc>
          <w:tcPr>
            <w:tcW w:w="3567" w:type="dxa"/>
            <w:tcBorders>
              <w:top w:val="single" w:sz="4" w:space="0" w:color="000000"/>
              <w:bottom w:val="single" w:sz="4" w:space="0" w:color="000000"/>
            </w:tcBorders>
          </w:tcPr>
          <w:p>
            <w:pPr>
              <w:pStyle w:val="TableParagraph"/>
              <w:spacing w:before="1"/>
              <w:ind w:left="335"/>
              <w:jc w:val="left"/>
              <w:rPr>
                <w:b/>
                <w:sz w:val="24"/>
              </w:rPr>
            </w:pPr>
            <w:r>
              <w:rPr>
                <w:b/>
                <w:sz w:val="24"/>
              </w:rPr>
              <w:t>Rol en la calidad de la carne</w:t>
            </w:r>
          </w:p>
        </w:tc>
      </w:tr>
      <w:tr>
        <w:trPr>
          <w:trHeight w:val="1261" w:hRule="exact"/>
        </w:trPr>
        <w:tc>
          <w:tcPr>
            <w:tcW w:w="1849" w:type="dxa"/>
            <w:tcBorders>
              <w:top w:val="single" w:sz="4" w:space="0" w:color="000000"/>
            </w:tcBorders>
          </w:tcPr>
          <w:p>
            <w:pPr>
              <w:pStyle w:val="TableParagraph"/>
              <w:jc w:val="left"/>
              <w:rPr>
                <w:sz w:val="27"/>
              </w:rPr>
            </w:pPr>
          </w:p>
          <w:p>
            <w:pPr>
              <w:pStyle w:val="TableParagraph"/>
              <w:ind w:left="102"/>
              <w:rPr>
                <w:sz w:val="24"/>
              </w:rPr>
            </w:pPr>
            <w:r>
              <w:rPr>
                <w:w w:val="99"/>
                <w:sz w:val="24"/>
              </w:rPr>
              <w:t>I</w:t>
            </w:r>
          </w:p>
        </w:tc>
        <w:tc>
          <w:tcPr>
            <w:tcW w:w="3656" w:type="dxa"/>
            <w:tcBorders>
              <w:top w:val="single" w:sz="4" w:space="0" w:color="000000"/>
            </w:tcBorders>
          </w:tcPr>
          <w:p>
            <w:pPr>
              <w:pStyle w:val="TableParagraph"/>
              <w:jc w:val="left"/>
              <w:rPr>
                <w:sz w:val="27"/>
              </w:rPr>
            </w:pPr>
          </w:p>
          <w:p>
            <w:pPr>
              <w:pStyle w:val="TableParagraph"/>
              <w:spacing w:line="276" w:lineRule="auto"/>
              <w:ind w:left="198" w:right="105"/>
              <w:jc w:val="both"/>
              <w:rPr>
                <w:sz w:val="24"/>
              </w:rPr>
            </w:pPr>
            <w:r>
              <w:rPr>
                <w:sz w:val="24"/>
              </w:rPr>
              <w:t>Roja, oxidativa, contracción lenta, rica en mitocondrias, más mioglobina.</w:t>
            </w:r>
          </w:p>
        </w:tc>
        <w:tc>
          <w:tcPr>
            <w:tcW w:w="3567" w:type="dxa"/>
            <w:tcBorders>
              <w:top w:val="single" w:sz="4" w:space="0" w:color="000000"/>
            </w:tcBorders>
          </w:tcPr>
          <w:p>
            <w:pPr>
              <w:pStyle w:val="TableParagraph"/>
              <w:jc w:val="left"/>
              <w:rPr>
                <w:sz w:val="27"/>
              </w:rPr>
            </w:pPr>
          </w:p>
          <w:p>
            <w:pPr>
              <w:pStyle w:val="TableParagraph"/>
              <w:spacing w:line="276" w:lineRule="auto"/>
              <w:ind w:left="107" w:right="112"/>
              <w:jc w:val="both"/>
              <w:rPr>
                <w:sz w:val="24"/>
              </w:rPr>
            </w:pPr>
            <w:r>
              <w:rPr>
                <w:sz w:val="24"/>
              </w:rPr>
              <w:t>Alto contenido de grasa, diámetro pequeño, color rojo, bajo potencial glicolítico.</w:t>
            </w:r>
          </w:p>
        </w:tc>
      </w:tr>
      <w:tr>
        <w:trPr>
          <w:trHeight w:val="952" w:hRule="exact"/>
        </w:trPr>
        <w:tc>
          <w:tcPr>
            <w:tcW w:w="1849" w:type="dxa"/>
          </w:tcPr>
          <w:p>
            <w:pPr>
              <w:pStyle w:val="TableParagraph"/>
              <w:spacing w:before="7"/>
              <w:ind w:left="276" w:right="179"/>
              <w:rPr>
                <w:sz w:val="24"/>
              </w:rPr>
            </w:pPr>
            <w:r>
              <w:rPr>
                <w:sz w:val="24"/>
              </w:rPr>
              <w:t>IIA</w:t>
            </w:r>
          </w:p>
        </w:tc>
        <w:tc>
          <w:tcPr>
            <w:tcW w:w="3656" w:type="dxa"/>
          </w:tcPr>
          <w:p>
            <w:pPr>
              <w:pStyle w:val="TableParagraph"/>
              <w:tabs>
                <w:tab w:pos="1026" w:val="left" w:leader="none"/>
                <w:tab w:pos="2424" w:val="left" w:leader="none"/>
              </w:tabs>
              <w:spacing w:line="276" w:lineRule="auto" w:before="7"/>
              <w:ind w:left="198" w:right="110"/>
              <w:jc w:val="left"/>
              <w:rPr>
                <w:sz w:val="24"/>
              </w:rPr>
            </w:pPr>
            <w:r>
              <w:rPr>
                <w:sz w:val="24"/>
              </w:rPr>
              <w:t>Roja,</w:t>
              <w:tab/>
              <w:t>intermedia,</w:t>
              <w:tab/>
              <w:t>contracción rápida,</w:t>
            </w:r>
            <w:r>
              <w:rPr>
                <w:spacing w:val="-5"/>
                <w:sz w:val="24"/>
              </w:rPr>
              <w:t> </w:t>
            </w:r>
            <w:r>
              <w:rPr>
                <w:sz w:val="24"/>
              </w:rPr>
              <w:t>anaeróbica.</w:t>
            </w:r>
          </w:p>
        </w:tc>
        <w:tc>
          <w:tcPr>
            <w:tcW w:w="3567" w:type="dxa"/>
          </w:tcPr>
          <w:p>
            <w:pPr>
              <w:pStyle w:val="TableParagraph"/>
              <w:spacing w:line="276" w:lineRule="auto" w:before="7"/>
              <w:ind w:left="107" w:right="110"/>
              <w:jc w:val="both"/>
              <w:rPr>
                <w:sz w:val="24"/>
              </w:rPr>
            </w:pPr>
            <w:r>
              <w:rPr>
                <w:sz w:val="24"/>
              </w:rPr>
              <w:t>Intermedia, alcanzan rápidamente el </w:t>
            </w:r>
            <w:r>
              <w:rPr>
                <w:i/>
                <w:sz w:val="24"/>
              </w:rPr>
              <w:t>rigor </w:t>
            </w:r>
            <w:r>
              <w:rPr>
                <w:sz w:val="24"/>
              </w:rPr>
              <w:t>en comparación con las fibras tipo I.</w:t>
            </w:r>
          </w:p>
        </w:tc>
      </w:tr>
      <w:tr>
        <w:trPr>
          <w:trHeight w:val="1606" w:hRule="exact"/>
        </w:trPr>
        <w:tc>
          <w:tcPr>
            <w:tcW w:w="1849" w:type="dxa"/>
            <w:tcBorders>
              <w:bottom w:val="single" w:sz="4" w:space="0" w:color="000000"/>
            </w:tcBorders>
          </w:tcPr>
          <w:p>
            <w:pPr>
              <w:pStyle w:val="TableParagraph"/>
              <w:spacing w:before="8"/>
              <w:ind w:left="277" w:right="179"/>
              <w:rPr>
                <w:sz w:val="24"/>
              </w:rPr>
            </w:pPr>
            <w:r>
              <w:rPr>
                <w:sz w:val="24"/>
              </w:rPr>
              <w:t>IIB</w:t>
            </w:r>
          </w:p>
        </w:tc>
        <w:tc>
          <w:tcPr>
            <w:tcW w:w="3656" w:type="dxa"/>
            <w:tcBorders>
              <w:bottom w:val="single" w:sz="4" w:space="0" w:color="000000"/>
            </w:tcBorders>
          </w:tcPr>
          <w:p>
            <w:pPr>
              <w:pStyle w:val="TableParagraph"/>
              <w:spacing w:line="276" w:lineRule="auto" w:before="8"/>
              <w:ind w:left="198" w:right="110"/>
              <w:jc w:val="both"/>
              <w:rPr>
                <w:sz w:val="24"/>
              </w:rPr>
            </w:pPr>
            <w:r>
              <w:rPr>
                <w:sz w:val="24"/>
              </w:rPr>
              <w:t>Blancas, glicolíticas, contracción rápida, ricas en glicógeno, anaeróbicas, menos mitocondrias.</w:t>
            </w:r>
          </w:p>
        </w:tc>
        <w:tc>
          <w:tcPr>
            <w:tcW w:w="3567" w:type="dxa"/>
            <w:tcBorders>
              <w:bottom w:val="single" w:sz="4" w:space="0" w:color="000000"/>
            </w:tcBorders>
          </w:tcPr>
          <w:p>
            <w:pPr>
              <w:pStyle w:val="TableParagraph"/>
              <w:spacing w:line="276" w:lineRule="auto" w:before="8"/>
              <w:ind w:left="107" w:right="108"/>
              <w:jc w:val="both"/>
              <w:rPr>
                <w:sz w:val="24"/>
              </w:rPr>
            </w:pPr>
            <w:r>
              <w:rPr>
                <w:sz w:val="24"/>
              </w:rPr>
              <w:t>Fibras grandes, resistentes  al corte, color pálido, cambios en el tamaño con el ejercicio y edad, elevado potencial glicolítico, descenso del pH lento.</w:t>
            </w:r>
          </w:p>
        </w:tc>
      </w:tr>
    </w:tbl>
    <w:p>
      <w:pPr>
        <w:pStyle w:val="BodyText"/>
        <w:spacing w:line="270" w:lineRule="exact"/>
        <w:ind w:left="892"/>
      </w:pPr>
      <w:r>
        <w:rPr/>
        <w:t>Taylor (2004).</w:t>
      </w:r>
    </w:p>
    <w:p>
      <w:pPr>
        <w:spacing w:after="0" w:line="270" w:lineRule="exact"/>
        <w:sectPr>
          <w:pgSz w:w="12240" w:h="15840"/>
          <w:pgMar w:header="1154" w:footer="1383" w:top="1400" w:bottom="1580" w:left="1640" w:right="1300"/>
        </w:sectPr>
      </w:pPr>
    </w:p>
    <w:p>
      <w:pPr>
        <w:pStyle w:val="BodyText"/>
        <w:spacing w:before="7"/>
        <w:rPr>
          <w:sz w:val="9"/>
        </w:rPr>
      </w:pPr>
    </w:p>
    <w:p>
      <w:pPr>
        <w:pStyle w:val="Heading1"/>
        <w:numPr>
          <w:ilvl w:val="0"/>
          <w:numId w:val="5"/>
        </w:numPr>
        <w:tabs>
          <w:tab w:pos="3744" w:val="left" w:leader="none"/>
        </w:tabs>
        <w:spacing w:line="240" w:lineRule="auto" w:before="69" w:after="0"/>
        <w:ind w:left="3743" w:right="0" w:hanging="240"/>
        <w:jc w:val="left"/>
      </w:pPr>
      <w:bookmarkStart w:name="_bookmark36" w:id="68"/>
      <w:bookmarkEnd w:id="68"/>
      <w:r>
        <w:rPr>
          <w:b w:val="0"/>
        </w:rPr>
      </w:r>
      <w:bookmarkStart w:name="_bookmark36" w:id="69"/>
      <w:bookmarkEnd w:id="69"/>
      <w:r>
        <w:rPr/>
        <w:t>JUSTI</w:t>
      </w:r>
      <w:r>
        <w:rPr/>
        <w:t>FICACIÓN</w:t>
      </w:r>
    </w:p>
    <w:p>
      <w:pPr>
        <w:pStyle w:val="BodyText"/>
        <w:rPr>
          <w:b/>
        </w:rPr>
      </w:pPr>
    </w:p>
    <w:p>
      <w:pPr>
        <w:pStyle w:val="BodyText"/>
        <w:spacing w:before="6"/>
        <w:rPr>
          <w:b/>
          <w:sz w:val="23"/>
        </w:rPr>
      </w:pPr>
    </w:p>
    <w:p>
      <w:pPr>
        <w:pStyle w:val="BodyText"/>
        <w:spacing w:line="360" w:lineRule="auto"/>
        <w:ind w:left="152" w:right="110" w:firstLine="659"/>
        <w:jc w:val="both"/>
      </w:pPr>
      <w:r>
        <w:rPr/>
        <w:t>La producción de ovinos es una actividad mundial, se estima que durante 2013 se generaron 13.6 millones de toneladas métricas de carne de borrego que contribuyeron con casi 5% del total de carnes producidas en ese año a nivel mundial (FAO, 2013).</w:t>
      </w:r>
    </w:p>
    <w:p>
      <w:pPr>
        <w:pStyle w:val="BodyText"/>
        <w:spacing w:line="360" w:lineRule="auto" w:before="4"/>
        <w:ind w:left="152" w:right="106" w:firstLine="659"/>
        <w:jc w:val="both"/>
      </w:pPr>
      <w:r>
        <w:rPr/>
        <w:t>En México, el consumo per cápita de carne ovina es bajo, se estima una ingesta de alrededor de 1 kg por habitante al año; de acuerdo con la Secretaria de Agricultura, Ganadería, Desarrollo Rural, Pesca y Alimentación (SAGARPA), la producción nacional  no alcanza para satisfacer la demanda interna, </w:t>
      </w:r>
      <w:r>
        <w:rPr>
          <w:spacing w:val="-3"/>
        </w:rPr>
        <w:t>ya </w:t>
      </w:r>
      <w:r>
        <w:rPr/>
        <w:t>que en 2012 el consumo nacional aparente fue de 82,417 toneladas de carne en canal, de los cuales 70% fue de procedencia nacional (57 mil 692 toneladas) y 30%  de importación (24 mil 725 toneladas) (Partida,</w:t>
      </w:r>
      <w:r>
        <w:rPr>
          <w:spacing w:val="-13"/>
        </w:rPr>
        <w:t> </w:t>
      </w:r>
      <w:r>
        <w:rPr/>
        <w:t>2014).</w:t>
      </w:r>
    </w:p>
    <w:p>
      <w:pPr>
        <w:pStyle w:val="BodyText"/>
        <w:spacing w:line="360" w:lineRule="auto" w:before="4"/>
        <w:ind w:left="152" w:right="110" w:firstLine="659"/>
        <w:jc w:val="both"/>
      </w:pPr>
      <w:r>
        <w:rPr/>
        <w:t>Para estar en posibilidades de producir la carne ovina que se requiere para satisfacer la demanda interna e incluso exportar a otros países, es imprescindible elevar la productividad, y sobre todo, producir carne de mejor calidad, que pueda competir con los estándares que ofrece el mercado internacional, el cual ejerce una presión cada vez más fuerte por su alta competitividad y eficiencia (Partida, 2014).</w:t>
      </w:r>
    </w:p>
    <w:p>
      <w:pPr>
        <w:pStyle w:val="BodyText"/>
        <w:spacing w:line="360" w:lineRule="auto" w:before="6"/>
        <w:ind w:left="152" w:right="108" w:firstLine="659"/>
        <w:jc w:val="both"/>
      </w:pPr>
      <w:r>
        <w:rPr/>
        <w:t>Por otra parte, la preferencia actual del consumo de carne magra ha aumentado y ha disminuido considerablemente el consumo de grasa en productos de origen animal, por su asociación con enfermedades cardiovasculares; la carne de ovino no ha sido la excepción, por lo tanto, se han buscado nuevas técnicas de alimentación que mejoren el comportamiento productivo y las características de la canal, favoreciendo la deposición de proteína y la reducción de grasa.</w:t>
      </w:r>
    </w:p>
    <w:p>
      <w:pPr>
        <w:pStyle w:val="BodyText"/>
        <w:spacing w:line="360" w:lineRule="auto" w:before="6"/>
        <w:ind w:left="152" w:right="106" w:firstLine="659"/>
        <w:jc w:val="both"/>
      </w:pPr>
      <w:r>
        <w:rPr/>
        <w:t>El Cr es un micronutriente esencial (Vincent, 2000), necesario para el metabolismo de carbohidratos, lípidos y proteínas (Mertz, 1993); fue aceptado como elemento traza indispensable en animales de laboratorio desde 1959. Su función más importante es aumentar la adhesión de la insulina a la superficie de la membrana celular y la introducción de glucosa, ácidos grasos y aminoácidos a la célula (Mertz, 1969, Anderson, 1998, Vincent, 2000).</w:t>
      </w:r>
    </w:p>
    <w:p>
      <w:pPr>
        <w:spacing w:after="0" w:line="360" w:lineRule="auto"/>
        <w:jc w:val="both"/>
        <w:sectPr>
          <w:headerReference w:type="default" r:id="rId26"/>
          <w:pgSz w:w="12240" w:h="15840"/>
          <w:pgMar w:header="1154" w:footer="1383" w:top="1620" w:bottom="1580" w:left="1720" w:right="1420"/>
        </w:sectPr>
      </w:pPr>
    </w:p>
    <w:p>
      <w:pPr>
        <w:pStyle w:val="BodyText"/>
        <w:spacing w:before="2"/>
        <w:rPr>
          <w:sz w:val="9"/>
        </w:rPr>
      </w:pPr>
    </w:p>
    <w:p>
      <w:pPr>
        <w:pStyle w:val="BodyText"/>
        <w:spacing w:line="360" w:lineRule="auto" w:before="69"/>
        <w:ind w:left="152" w:right="105" w:firstLine="659"/>
        <w:jc w:val="both"/>
      </w:pPr>
      <w:r>
        <w:rPr/>
        <w:t>Diversas investigaciones sugieren que la suplementación con diferentes formas orgánicas de Cr en la nutrición de rumiantes promueve efectos significativos en el crecimiento (Kegley </w:t>
      </w:r>
      <w:r>
        <w:rPr>
          <w:i/>
        </w:rPr>
        <w:t>et al., </w:t>
      </w:r>
      <w:r>
        <w:rPr/>
        <w:t>2001; Domínguez </w:t>
      </w:r>
      <w:r>
        <w:rPr>
          <w:i/>
        </w:rPr>
        <w:t>et al., </w:t>
      </w:r>
      <w:r>
        <w:rPr/>
        <w:t>2009), en la reducción del nivel de triglicéridos y colesterol (Kitchalong </w:t>
      </w:r>
      <w:r>
        <w:rPr>
          <w:i/>
        </w:rPr>
        <w:t>et al., </w:t>
      </w:r>
      <w:r>
        <w:rPr/>
        <w:t>1995) y mejoras en las características de la canal (Domínguez </w:t>
      </w:r>
      <w:r>
        <w:rPr>
          <w:i/>
        </w:rPr>
        <w:t>et al., </w:t>
      </w:r>
      <w:r>
        <w:rPr/>
        <w:t>2009). Además, a través de la suplementación del Cr en la dieta de pollo de engorda y conejo, se han observado mejoras en algunos indicadores de la calidad de la carne (Amatya </w:t>
      </w:r>
      <w:r>
        <w:rPr>
          <w:i/>
        </w:rPr>
        <w:t>et al., </w:t>
      </w:r>
      <w:r>
        <w:rPr/>
        <w:t>2004, Lambertini </w:t>
      </w:r>
      <w:r>
        <w:rPr>
          <w:i/>
        </w:rPr>
        <w:t>et al., </w:t>
      </w:r>
      <w:r>
        <w:rPr/>
        <w:t>2004); no obstante, en ovinos los estudios al respecto son escasos. Al mismo tiempo, a pesar de que se ha investigado ampliamente el efecto de la suplementación del Cr sobre la cantidad de tejido magro en rumiantes (Kitchalong </w:t>
      </w:r>
      <w:r>
        <w:rPr>
          <w:i/>
        </w:rPr>
        <w:t>et al., </w:t>
      </w:r>
      <w:r>
        <w:rPr/>
        <w:t>1995, Uyanik, 2001), no se ha evaluado el efecto del Cr sobre la composición de la grasa almacenada, es decir sobre el perfil de ácidos grasos de la carne de</w:t>
      </w:r>
      <w:r>
        <w:rPr>
          <w:spacing w:val="-1"/>
        </w:rPr>
        <w:t> </w:t>
      </w:r>
      <w:r>
        <w:rPr/>
        <w:t>ovino.</w:t>
      </w:r>
    </w:p>
    <w:p>
      <w:pPr>
        <w:pStyle w:val="BodyText"/>
        <w:spacing w:line="360" w:lineRule="auto" w:before="6"/>
        <w:ind w:left="152" w:right="108" w:firstLine="659"/>
        <w:jc w:val="both"/>
      </w:pPr>
      <w:r>
        <w:rPr/>
        <w:t>Por otra parte, aunque se acepta el rol esencial del Cr en el organismo de los animales, aún no se definen los requerimientos de Cr en dietas de especies pecuarias con diferente etapa y nivel de producción; por lo tanto, aún no es posible determinar el nivel biológico óptimo en la producción de rumiantes.</w:t>
      </w:r>
    </w:p>
    <w:p>
      <w:pPr>
        <w:spacing w:after="0" w:line="360" w:lineRule="auto"/>
        <w:jc w:val="both"/>
        <w:sectPr>
          <w:pgSz w:w="12240" w:h="15840"/>
          <w:pgMar w:header="1154" w:footer="1383" w:top="1620" w:bottom="1580" w:left="1720" w:right="1420"/>
        </w:sectPr>
      </w:pPr>
    </w:p>
    <w:p>
      <w:pPr>
        <w:pStyle w:val="BodyText"/>
        <w:spacing w:before="7"/>
        <w:rPr>
          <w:sz w:val="9"/>
        </w:rPr>
      </w:pPr>
    </w:p>
    <w:p>
      <w:pPr>
        <w:pStyle w:val="Heading1"/>
        <w:numPr>
          <w:ilvl w:val="0"/>
          <w:numId w:val="5"/>
        </w:numPr>
        <w:tabs>
          <w:tab w:pos="4044" w:val="left" w:leader="none"/>
        </w:tabs>
        <w:spacing w:line="240" w:lineRule="auto" w:before="69" w:after="0"/>
        <w:ind w:left="4043" w:right="0" w:hanging="240"/>
        <w:jc w:val="left"/>
      </w:pPr>
      <w:bookmarkStart w:name="_bookmark37" w:id="70"/>
      <w:bookmarkEnd w:id="70"/>
      <w:r>
        <w:rPr>
          <w:b w:val="0"/>
        </w:rPr>
      </w:r>
      <w:bookmarkStart w:name="_bookmark37" w:id="71"/>
      <w:bookmarkEnd w:id="71"/>
      <w:r>
        <w:rPr/>
        <w:t>HI</w:t>
      </w:r>
      <w:r>
        <w:rPr/>
        <w:t>PÓTESIS</w:t>
      </w:r>
    </w:p>
    <w:p>
      <w:pPr>
        <w:pStyle w:val="BodyText"/>
        <w:rPr>
          <w:b/>
        </w:rPr>
      </w:pPr>
    </w:p>
    <w:p>
      <w:pPr>
        <w:pStyle w:val="BodyText"/>
        <w:spacing w:before="6"/>
        <w:rPr>
          <w:b/>
          <w:sz w:val="23"/>
        </w:rPr>
      </w:pPr>
    </w:p>
    <w:p>
      <w:pPr>
        <w:pStyle w:val="BodyText"/>
        <w:spacing w:line="360" w:lineRule="auto"/>
        <w:ind w:left="152" w:right="104"/>
        <w:jc w:val="both"/>
      </w:pPr>
      <w:r>
        <w:rPr/>
        <w:t>La inclusión de levadura enriquecida con altas concentraciones de cromo en la dieta mejora el crecimiento, influye en la concentración sérica de metabolitos (triglicéridos, glucosa y urea), metabolismo del Fe, Zn, Cu Ca, P, Mg, Na y K, mejora las características de la canal y los indicadores de la calidad de la carne de ovinos   Rambouillet        en engorda en corral</w:t>
      </w:r>
    </w:p>
    <w:p>
      <w:pPr>
        <w:spacing w:after="0" w:line="360" w:lineRule="auto"/>
        <w:jc w:val="both"/>
        <w:sectPr>
          <w:headerReference w:type="default" r:id="rId27"/>
          <w:pgSz w:w="12240" w:h="15840"/>
          <w:pgMar w:header="1154" w:footer="1383" w:top="1620" w:bottom="1580" w:left="1720" w:right="1420"/>
        </w:sectPr>
      </w:pPr>
    </w:p>
    <w:p>
      <w:pPr>
        <w:pStyle w:val="BodyText"/>
        <w:spacing w:before="7"/>
        <w:rPr>
          <w:sz w:val="9"/>
        </w:rPr>
      </w:pPr>
    </w:p>
    <w:p>
      <w:pPr>
        <w:pStyle w:val="Heading1"/>
        <w:numPr>
          <w:ilvl w:val="0"/>
          <w:numId w:val="5"/>
        </w:numPr>
        <w:tabs>
          <w:tab w:pos="4006" w:val="left" w:leader="none"/>
        </w:tabs>
        <w:spacing w:line="240" w:lineRule="auto" w:before="69" w:after="0"/>
        <w:ind w:left="4005" w:right="0" w:hanging="240"/>
        <w:jc w:val="left"/>
      </w:pPr>
      <w:bookmarkStart w:name="_bookmark38" w:id="72"/>
      <w:bookmarkEnd w:id="72"/>
      <w:r>
        <w:rPr>
          <w:b w:val="0"/>
        </w:rPr>
      </w:r>
      <w:bookmarkStart w:name="_bookmark38" w:id="73"/>
      <w:bookmarkEnd w:id="73"/>
      <w:r>
        <w:rPr/>
        <w:t>O</w:t>
      </w:r>
      <w:r>
        <w:rPr/>
        <w:t>BJETIVOS</w:t>
      </w:r>
    </w:p>
    <w:p>
      <w:pPr>
        <w:pStyle w:val="ListParagraph"/>
        <w:numPr>
          <w:ilvl w:val="1"/>
          <w:numId w:val="12"/>
        </w:numPr>
        <w:tabs>
          <w:tab w:pos="513" w:val="left" w:leader="none"/>
        </w:tabs>
        <w:spacing w:line="240" w:lineRule="auto" w:before="137" w:after="0"/>
        <w:ind w:left="512" w:right="0" w:hanging="360"/>
        <w:jc w:val="left"/>
        <w:rPr>
          <w:b/>
          <w:sz w:val="24"/>
        </w:rPr>
      </w:pPr>
      <w:bookmarkStart w:name="_bookmark39" w:id="74"/>
      <w:bookmarkEnd w:id="74"/>
      <w:r>
        <w:rPr/>
      </w:r>
      <w:bookmarkStart w:name="_bookmark39" w:id="75"/>
      <w:bookmarkEnd w:id="75"/>
      <w:r>
        <w:rPr>
          <w:b/>
          <w:sz w:val="24"/>
        </w:rPr>
        <w:t>O</w:t>
      </w:r>
      <w:r>
        <w:rPr>
          <w:b/>
          <w:sz w:val="24"/>
        </w:rPr>
        <w:t>BJETIVO</w:t>
      </w:r>
      <w:r>
        <w:rPr>
          <w:b/>
          <w:spacing w:val="-6"/>
          <w:sz w:val="24"/>
        </w:rPr>
        <w:t> </w:t>
      </w:r>
      <w:r>
        <w:rPr>
          <w:b/>
          <w:sz w:val="24"/>
        </w:rPr>
        <w:t>GENERAL</w:t>
      </w:r>
    </w:p>
    <w:p>
      <w:pPr>
        <w:pStyle w:val="BodyText"/>
        <w:spacing w:line="360" w:lineRule="auto" w:before="134"/>
        <w:ind w:left="152" w:right="114" w:firstLine="707"/>
        <w:jc w:val="both"/>
      </w:pPr>
      <w:r>
        <w:rPr/>
        <w:t>Evaluar el efecto de la inclusión de levadura enriquecida con altas concentraciones de cromo en la respuesta productiva, concentración de metabolitos u minerales, en las características de la canal y la calidad de la carne de ovinos Rambouillet en engorda en corral.</w:t>
      </w:r>
    </w:p>
    <w:p>
      <w:pPr>
        <w:pStyle w:val="BodyText"/>
      </w:pPr>
    </w:p>
    <w:p>
      <w:pPr>
        <w:pStyle w:val="Heading1"/>
        <w:numPr>
          <w:ilvl w:val="1"/>
          <w:numId w:val="12"/>
        </w:numPr>
        <w:tabs>
          <w:tab w:pos="573" w:val="left" w:leader="none"/>
        </w:tabs>
        <w:spacing w:line="240" w:lineRule="auto" w:before="148" w:after="0"/>
        <w:ind w:left="572" w:right="0" w:hanging="420"/>
        <w:jc w:val="left"/>
      </w:pPr>
      <w:bookmarkStart w:name="_bookmark40" w:id="76"/>
      <w:bookmarkEnd w:id="76"/>
      <w:r>
        <w:rPr>
          <w:b w:val="0"/>
        </w:rPr>
      </w:r>
      <w:bookmarkStart w:name="_bookmark40" w:id="77"/>
      <w:bookmarkEnd w:id="77"/>
      <w:r>
        <w:rPr/>
        <w:t>O</w:t>
      </w:r>
      <w:r>
        <w:rPr/>
        <w:t>BJETIVOS</w:t>
      </w:r>
      <w:r>
        <w:rPr>
          <w:spacing w:val="-9"/>
        </w:rPr>
        <w:t> </w:t>
      </w:r>
      <w:r>
        <w:rPr/>
        <w:t>ESPECÍFICOS</w:t>
      </w:r>
    </w:p>
    <w:p>
      <w:pPr>
        <w:pStyle w:val="ListParagraph"/>
        <w:numPr>
          <w:ilvl w:val="2"/>
          <w:numId w:val="12"/>
        </w:numPr>
        <w:tabs>
          <w:tab w:pos="861" w:val="left" w:leader="none"/>
        </w:tabs>
        <w:spacing w:line="360" w:lineRule="auto" w:before="135" w:after="0"/>
        <w:ind w:left="872" w:right="110" w:hanging="360"/>
        <w:jc w:val="both"/>
        <w:rPr>
          <w:sz w:val="24"/>
        </w:rPr>
      </w:pPr>
      <w:r>
        <w:rPr>
          <w:sz w:val="24"/>
        </w:rPr>
        <w:t>Evaluar el efecto del nivel de suplementación de Cr en la dieta de ovinos en engorda sobre la respuesta</w:t>
      </w:r>
      <w:r>
        <w:rPr>
          <w:spacing w:val="-4"/>
          <w:sz w:val="24"/>
        </w:rPr>
        <w:t> </w:t>
      </w:r>
      <w:r>
        <w:rPr>
          <w:sz w:val="24"/>
        </w:rPr>
        <w:t>productiva.</w:t>
      </w:r>
    </w:p>
    <w:p>
      <w:pPr>
        <w:pStyle w:val="ListParagraph"/>
        <w:numPr>
          <w:ilvl w:val="2"/>
          <w:numId w:val="12"/>
        </w:numPr>
        <w:tabs>
          <w:tab w:pos="861" w:val="left" w:leader="none"/>
        </w:tabs>
        <w:spacing w:line="360" w:lineRule="auto" w:before="6" w:after="0"/>
        <w:ind w:left="872" w:right="111" w:hanging="360"/>
        <w:jc w:val="both"/>
        <w:rPr>
          <w:sz w:val="24"/>
        </w:rPr>
      </w:pPr>
      <w:r>
        <w:rPr>
          <w:sz w:val="24"/>
        </w:rPr>
        <w:t>Medir el efecto de la suplementación de Cr en la dieta de ovinos en engorda en la concentración de metabolitos sanguíneos como urea, triglicéridos y</w:t>
      </w:r>
      <w:r>
        <w:rPr>
          <w:spacing w:val="-16"/>
          <w:sz w:val="24"/>
        </w:rPr>
        <w:t> </w:t>
      </w:r>
      <w:r>
        <w:rPr>
          <w:sz w:val="24"/>
        </w:rPr>
        <w:t>glucosa.</w:t>
      </w:r>
    </w:p>
    <w:p>
      <w:pPr>
        <w:pStyle w:val="ListParagraph"/>
        <w:numPr>
          <w:ilvl w:val="2"/>
          <w:numId w:val="12"/>
        </w:numPr>
        <w:tabs>
          <w:tab w:pos="861" w:val="left" w:leader="none"/>
        </w:tabs>
        <w:spacing w:line="360" w:lineRule="auto" w:before="6" w:after="0"/>
        <w:ind w:left="872" w:right="114" w:hanging="360"/>
        <w:jc w:val="both"/>
        <w:rPr>
          <w:sz w:val="24"/>
        </w:rPr>
      </w:pPr>
      <w:r>
        <w:rPr>
          <w:sz w:val="24"/>
        </w:rPr>
        <w:t>Determinar el efecto del nivel de suplementación de Cr en la dieta de ovinos en engorda sobre el metabolismo del Fe, Zn, Cu y Ca, P, Mg, Na y</w:t>
      </w:r>
      <w:r>
        <w:rPr>
          <w:spacing w:val="-9"/>
          <w:sz w:val="24"/>
        </w:rPr>
        <w:t> </w:t>
      </w:r>
      <w:r>
        <w:rPr>
          <w:sz w:val="24"/>
        </w:rPr>
        <w:t>K.</w:t>
      </w:r>
    </w:p>
    <w:p>
      <w:pPr>
        <w:pStyle w:val="ListParagraph"/>
        <w:numPr>
          <w:ilvl w:val="2"/>
          <w:numId w:val="12"/>
        </w:numPr>
        <w:tabs>
          <w:tab w:pos="861" w:val="left" w:leader="none"/>
        </w:tabs>
        <w:spacing w:line="360" w:lineRule="auto" w:before="6" w:after="0"/>
        <w:ind w:left="872" w:right="110" w:hanging="360"/>
        <w:jc w:val="both"/>
        <w:rPr>
          <w:sz w:val="24"/>
        </w:rPr>
      </w:pPr>
      <w:r>
        <w:rPr>
          <w:sz w:val="24"/>
        </w:rPr>
        <w:t>Analizar el efecto del nivel de suplementación de Cr en la dieta de ovinos en engorda sobre las características de la canal (peso en caliente y frío, rendimiento verdadero, rendimiento comercial, medidas lineales, grasa dorsal, área del ojo de chuleta, conformación, grado de engrasamiento, grasa</w:t>
      </w:r>
      <w:r>
        <w:rPr>
          <w:spacing w:val="-12"/>
          <w:sz w:val="24"/>
        </w:rPr>
        <w:t> </w:t>
      </w:r>
      <w:r>
        <w:rPr>
          <w:sz w:val="24"/>
        </w:rPr>
        <w:t>perirrenal).</w:t>
      </w:r>
    </w:p>
    <w:p>
      <w:pPr>
        <w:pStyle w:val="ListParagraph"/>
        <w:numPr>
          <w:ilvl w:val="2"/>
          <w:numId w:val="12"/>
        </w:numPr>
        <w:tabs>
          <w:tab w:pos="861" w:val="left" w:leader="none"/>
        </w:tabs>
        <w:spacing w:line="360" w:lineRule="auto" w:before="6" w:after="0"/>
        <w:ind w:left="872" w:right="113" w:hanging="360"/>
        <w:jc w:val="both"/>
        <w:rPr>
          <w:sz w:val="24"/>
        </w:rPr>
      </w:pPr>
      <w:r>
        <w:rPr>
          <w:sz w:val="24"/>
        </w:rPr>
        <w:t>Estudiar el efecto del nivel de suplementación de Cr en la dieta de ovinos en  engorda sobre los indicadores de la calidad de la carne (composición química, pH, color, textura, contenido de colágeno y perfil de ácidos</w:t>
      </w:r>
      <w:r>
        <w:rPr>
          <w:spacing w:val="-10"/>
          <w:sz w:val="24"/>
        </w:rPr>
        <w:t> </w:t>
      </w:r>
      <w:r>
        <w:rPr>
          <w:sz w:val="24"/>
        </w:rPr>
        <w:t>grasos).</w:t>
      </w:r>
    </w:p>
    <w:p>
      <w:pPr>
        <w:pStyle w:val="ListParagraph"/>
        <w:numPr>
          <w:ilvl w:val="2"/>
          <w:numId w:val="12"/>
        </w:numPr>
        <w:tabs>
          <w:tab w:pos="861" w:val="left" w:leader="none"/>
        </w:tabs>
        <w:spacing w:line="360" w:lineRule="auto" w:before="4" w:after="0"/>
        <w:ind w:left="872" w:right="109" w:hanging="360"/>
        <w:jc w:val="both"/>
        <w:rPr>
          <w:sz w:val="24"/>
        </w:rPr>
      </w:pPr>
      <w:r>
        <w:rPr>
          <w:sz w:val="24"/>
        </w:rPr>
        <w:t>Evaluar el efecto del nivel de suplementación de Cr en la dieta de ovinos en engorda en las caracteristicas histoquímicas y morfométricas de las fibras musculares (número, porcentaje, área y características metabólicas de las fibras musculares que componen el músculo </w:t>
      </w:r>
      <w:r>
        <w:rPr>
          <w:i/>
          <w:sz w:val="24"/>
        </w:rPr>
        <w:t>Longissimus</w:t>
      </w:r>
      <w:r>
        <w:rPr>
          <w:i/>
          <w:spacing w:val="-5"/>
          <w:sz w:val="24"/>
        </w:rPr>
        <w:t> </w:t>
      </w:r>
      <w:r>
        <w:rPr>
          <w:i/>
          <w:sz w:val="24"/>
        </w:rPr>
        <w:t>dorsi</w:t>
      </w:r>
      <w:r>
        <w:rPr>
          <w:sz w:val="24"/>
        </w:rPr>
        <w:t>).</w:t>
      </w:r>
    </w:p>
    <w:p>
      <w:pPr>
        <w:spacing w:after="0" w:line="360" w:lineRule="auto"/>
        <w:jc w:val="both"/>
        <w:rPr>
          <w:sz w:val="24"/>
        </w:rPr>
        <w:sectPr>
          <w:headerReference w:type="default" r:id="rId28"/>
          <w:pgSz w:w="12240" w:h="15840"/>
          <w:pgMar w:header="1154" w:footer="1383" w:top="1620" w:bottom="1580" w:left="1720" w:right="1420"/>
        </w:sectPr>
      </w:pPr>
    </w:p>
    <w:p>
      <w:pPr>
        <w:pStyle w:val="BodyText"/>
        <w:spacing w:before="7"/>
        <w:rPr>
          <w:sz w:val="9"/>
        </w:rPr>
      </w:pPr>
    </w:p>
    <w:p>
      <w:pPr>
        <w:pStyle w:val="Heading1"/>
        <w:numPr>
          <w:ilvl w:val="0"/>
          <w:numId w:val="5"/>
        </w:numPr>
        <w:tabs>
          <w:tab w:pos="3271" w:val="left" w:leader="none"/>
        </w:tabs>
        <w:spacing w:line="240" w:lineRule="auto" w:before="69" w:after="0"/>
        <w:ind w:left="3270" w:right="0" w:hanging="240"/>
        <w:jc w:val="left"/>
      </w:pPr>
      <w:bookmarkStart w:name="_bookmark41" w:id="78"/>
      <w:bookmarkEnd w:id="78"/>
      <w:r>
        <w:rPr>
          <w:b w:val="0"/>
        </w:rPr>
      </w:r>
      <w:bookmarkStart w:name="_bookmark41" w:id="79"/>
      <w:bookmarkEnd w:id="79"/>
      <w:r>
        <w:rPr/>
        <w:t>M</w:t>
      </w:r>
      <w:r>
        <w:rPr/>
        <w:t>ATERIAL Y</w:t>
      </w:r>
      <w:r>
        <w:rPr>
          <w:spacing w:val="-5"/>
        </w:rPr>
        <w:t> </w:t>
      </w:r>
      <w:r>
        <w:rPr/>
        <w:t>MÉTODOS</w:t>
      </w:r>
    </w:p>
    <w:p>
      <w:pPr>
        <w:pStyle w:val="BodyText"/>
        <w:rPr>
          <w:b/>
        </w:rPr>
      </w:pPr>
    </w:p>
    <w:p>
      <w:pPr>
        <w:pStyle w:val="BodyText"/>
        <w:rPr>
          <w:b/>
        </w:rPr>
      </w:pPr>
    </w:p>
    <w:p>
      <w:pPr>
        <w:pStyle w:val="ListParagraph"/>
        <w:numPr>
          <w:ilvl w:val="1"/>
          <w:numId w:val="13"/>
        </w:numPr>
        <w:tabs>
          <w:tab w:pos="513" w:val="left" w:leader="none"/>
        </w:tabs>
        <w:spacing w:line="240" w:lineRule="auto" w:before="0" w:after="0"/>
        <w:ind w:left="512" w:right="0" w:hanging="360"/>
        <w:jc w:val="left"/>
        <w:rPr>
          <w:b/>
          <w:sz w:val="24"/>
        </w:rPr>
      </w:pPr>
      <w:bookmarkStart w:name="_bookmark42" w:id="80"/>
      <w:bookmarkEnd w:id="80"/>
      <w:r>
        <w:rPr/>
      </w:r>
      <w:bookmarkStart w:name="_bookmark42" w:id="81"/>
      <w:bookmarkEnd w:id="81"/>
      <w:r>
        <w:rPr>
          <w:b/>
          <w:sz w:val="24"/>
        </w:rPr>
        <w:t>E</w:t>
      </w:r>
      <w:r>
        <w:rPr>
          <w:b/>
          <w:sz w:val="24"/>
        </w:rPr>
        <w:t>nsayo de</w:t>
      </w:r>
      <w:r>
        <w:rPr>
          <w:b/>
          <w:spacing w:val="-7"/>
          <w:sz w:val="24"/>
        </w:rPr>
        <w:t> </w:t>
      </w:r>
      <w:r>
        <w:rPr>
          <w:b/>
          <w:sz w:val="24"/>
        </w:rPr>
        <w:t>crecimiento</w:t>
      </w:r>
    </w:p>
    <w:p>
      <w:pPr>
        <w:pStyle w:val="BodyText"/>
        <w:spacing w:line="355" w:lineRule="auto" w:before="132"/>
        <w:ind w:left="152" w:right="103" w:firstLine="359"/>
        <w:jc w:val="both"/>
      </w:pPr>
      <w:r>
        <w:rPr/>
        <w:t>Se usaron 24 corderos machos enteros, de la raza Rambouillet con 29±1.5 Kg PV y 3.5 meses de edad. Los animales fueron asignados aleatoriamente a cuatro tratamientos: 1) Control (dieta basal, DB), 2) DB y 0.2 ppm de Cr, 3) DB y 0.4 ppm de Cr y 4) DB y 0.6 </w:t>
      </w:r>
      <w:r>
        <w:rPr>
          <w:position w:val="2"/>
        </w:rPr>
        <w:t>ppm de Cr, en forma de Bio-Chrome® (Co-Factor III Cr3</w:t>
      </w:r>
      <w:r>
        <w:rPr>
          <w:position w:val="11"/>
          <w:sz w:val="16"/>
        </w:rPr>
        <w:t>+</w:t>
      </w:r>
      <w:r>
        <w:rPr>
          <w:sz w:val="16"/>
        </w:rPr>
        <w:t>, </w:t>
      </w:r>
      <w:r>
        <w:rPr>
          <w:position w:val="2"/>
        </w:rPr>
        <w:t>Alltech, Nicolasville, KY, </w:t>
      </w:r>
      <w:r>
        <w:rPr/>
        <w:t>USA), la cual contiene 1000mg Cr kg</w:t>
      </w:r>
      <w:r>
        <w:rPr>
          <w:position w:val="9"/>
          <w:sz w:val="16"/>
        </w:rPr>
        <w:t>-1</w:t>
      </w:r>
      <w:r>
        <w:rPr/>
        <w:t>. La DB suministrada fue la misma para los cuatro tratamientos (Cuadro 11). El periodo de adaptación a los tratamientos fue de 15 días. La dieta basal (DB) fue suministrada a libre acceso (8:00 am y 4 pm), midiendo la cantidad asignada y rechazada para calcular el consumo por animal por día. Previo al experimento, los corderos fueron desparasitados (Ivermectina, 1 ml/50 kgPV), vacunados (bacterina triple) y vitaminados (ADE, Vigantol, 1 ml animal</w:t>
      </w:r>
      <w:r>
        <w:rPr>
          <w:position w:val="9"/>
          <w:sz w:val="16"/>
        </w:rPr>
        <w:t>-1</w:t>
      </w:r>
      <w:r>
        <w:rPr/>
        <w:t>).</w:t>
      </w:r>
    </w:p>
    <w:p>
      <w:pPr>
        <w:pStyle w:val="BodyText"/>
        <w:spacing w:line="355" w:lineRule="auto"/>
        <w:ind w:left="152" w:right="107" w:firstLine="359"/>
        <w:jc w:val="both"/>
      </w:pPr>
      <w:r>
        <w:rPr/>
        <w:t>La premezcla Bio-chrome con el Cr se suministró diariamente al momento de asignar el alimento matutino, se suministró (2.0, 4.0 y 6.0 g ovino</w:t>
      </w:r>
      <w:r>
        <w:rPr>
          <w:position w:val="9"/>
          <w:sz w:val="16"/>
        </w:rPr>
        <w:t>-1 </w:t>
      </w:r>
      <w:r>
        <w:rPr/>
        <w:t>día</w:t>
      </w:r>
      <w:r>
        <w:rPr>
          <w:position w:val="9"/>
          <w:sz w:val="16"/>
        </w:rPr>
        <w:t>-1</w:t>
      </w:r>
      <w:r>
        <w:rPr/>
        <w:t>). Los corderos fueron pesados al inicio y posteriormente cada 15 días, este pesaje se realizó con ayuno de 14 h para reducir el efecto de llenado del tubo</w:t>
      </w:r>
      <w:r>
        <w:rPr>
          <w:spacing w:val="-7"/>
        </w:rPr>
        <w:t> </w:t>
      </w:r>
      <w:r>
        <w:rPr/>
        <w:t>digestivo.</w:t>
      </w:r>
    </w:p>
    <w:p>
      <w:pPr>
        <w:pStyle w:val="BodyText"/>
        <w:spacing w:line="360" w:lineRule="auto" w:before="9"/>
        <w:ind w:left="152" w:right="106" w:firstLine="359"/>
        <w:jc w:val="both"/>
      </w:pPr>
      <w:r>
        <w:rPr/>
        <w:t>Se obtuvieron muestras de la dieta basal y se determinó el contenido de materia seca (MS), proteína cruda (PC) y cenizas de acuerdo a la AOAC (2005); fibra neutro detergente (FND) (Van Soest </w:t>
      </w:r>
      <w:r>
        <w:rPr>
          <w:i/>
        </w:rPr>
        <w:t>et al</w:t>
      </w:r>
      <w:r>
        <w:rPr/>
        <w:t>., 1991); el contenido de Cr fue analizado usando espectrofotómetro de absorción atómica Perkin Elmer 3110 (1982), según la técnica descrita por Fick </w:t>
      </w:r>
      <w:r>
        <w:rPr>
          <w:i/>
        </w:rPr>
        <w:t>et al</w:t>
      </w:r>
      <w:r>
        <w:rPr/>
        <w:t>. (1979).</w:t>
      </w:r>
    </w:p>
    <w:p>
      <w:pPr>
        <w:pStyle w:val="BodyText"/>
        <w:spacing w:before="6"/>
        <w:ind w:left="152"/>
      </w:pPr>
      <w:r>
        <w:rPr/>
        <w:t>Las variables evaluadas durante la primera fase del experimento fueron las siguientes:</w:t>
      </w:r>
    </w:p>
    <w:p>
      <w:pPr>
        <w:pStyle w:val="ListParagraph"/>
        <w:numPr>
          <w:ilvl w:val="0"/>
          <w:numId w:val="14"/>
        </w:numPr>
        <w:tabs>
          <w:tab w:pos="405" w:val="left" w:leader="none"/>
        </w:tabs>
        <w:spacing w:line="360" w:lineRule="auto" w:before="137" w:after="0"/>
        <w:ind w:left="152" w:right="105" w:firstLine="0"/>
        <w:jc w:val="left"/>
        <w:rPr>
          <w:sz w:val="24"/>
        </w:rPr>
      </w:pPr>
      <w:r>
        <w:rPr>
          <w:b/>
          <w:sz w:val="24"/>
        </w:rPr>
        <w:t>Consumo de materia seca por día y total. </w:t>
      </w:r>
      <w:r>
        <w:rPr>
          <w:sz w:val="24"/>
        </w:rPr>
        <w:t>Se obtuvo de la diferencia entre el alimento ofrecido y el</w:t>
      </w:r>
      <w:r>
        <w:rPr>
          <w:spacing w:val="-5"/>
          <w:sz w:val="24"/>
        </w:rPr>
        <w:t> </w:t>
      </w:r>
      <w:r>
        <w:rPr>
          <w:sz w:val="24"/>
        </w:rPr>
        <w:t>rechazado.</w:t>
      </w:r>
    </w:p>
    <w:p>
      <w:pPr>
        <w:pStyle w:val="ListParagraph"/>
        <w:numPr>
          <w:ilvl w:val="0"/>
          <w:numId w:val="14"/>
        </w:numPr>
        <w:tabs>
          <w:tab w:pos="400" w:val="left" w:leader="none"/>
        </w:tabs>
        <w:spacing w:line="360" w:lineRule="auto" w:before="7" w:after="0"/>
        <w:ind w:left="152" w:right="112" w:firstLine="0"/>
        <w:jc w:val="left"/>
        <w:rPr>
          <w:sz w:val="24"/>
        </w:rPr>
      </w:pPr>
      <w:r>
        <w:rPr>
          <w:b/>
          <w:sz w:val="24"/>
        </w:rPr>
        <w:t>Ganancia diaria de peso vivo. </w:t>
      </w:r>
      <w:r>
        <w:rPr>
          <w:sz w:val="24"/>
        </w:rPr>
        <w:t>Se determinó al obtener el peso de los animales al inicio y con intervalo de 15</w:t>
      </w:r>
      <w:r>
        <w:rPr>
          <w:spacing w:val="-5"/>
          <w:sz w:val="24"/>
        </w:rPr>
        <w:t> </w:t>
      </w:r>
      <w:r>
        <w:rPr>
          <w:sz w:val="24"/>
        </w:rPr>
        <w:t>días.</w:t>
      </w:r>
    </w:p>
    <w:p>
      <w:pPr>
        <w:pStyle w:val="ListParagraph"/>
        <w:numPr>
          <w:ilvl w:val="0"/>
          <w:numId w:val="14"/>
        </w:numPr>
        <w:tabs>
          <w:tab w:pos="460" w:val="left" w:leader="none"/>
        </w:tabs>
        <w:spacing w:line="360" w:lineRule="auto" w:before="6" w:after="0"/>
        <w:ind w:left="152" w:right="110" w:firstLine="0"/>
        <w:jc w:val="left"/>
        <w:rPr>
          <w:sz w:val="24"/>
        </w:rPr>
      </w:pPr>
      <w:r>
        <w:rPr>
          <w:b/>
          <w:sz w:val="24"/>
        </w:rPr>
        <w:t>Conversión alimenticia. </w:t>
      </w:r>
      <w:r>
        <w:rPr>
          <w:sz w:val="24"/>
        </w:rPr>
        <w:t>Se calculó dividiendo el consumo diaria de MS entre la ganancia diaria de</w:t>
      </w:r>
      <w:r>
        <w:rPr>
          <w:spacing w:val="-6"/>
          <w:sz w:val="24"/>
        </w:rPr>
        <w:t> </w:t>
      </w:r>
      <w:r>
        <w:rPr>
          <w:sz w:val="24"/>
        </w:rPr>
        <w:t>peso.</w:t>
      </w:r>
    </w:p>
    <w:p>
      <w:pPr>
        <w:spacing w:after="0" w:line="360" w:lineRule="auto"/>
        <w:jc w:val="left"/>
        <w:rPr>
          <w:sz w:val="24"/>
        </w:rPr>
        <w:sectPr>
          <w:headerReference w:type="default" r:id="rId29"/>
          <w:pgSz w:w="12240" w:h="15840"/>
          <w:pgMar w:header="1154" w:footer="1383" w:top="1620" w:bottom="1580" w:left="1720" w:right="1420"/>
        </w:sectPr>
      </w:pPr>
    </w:p>
    <w:p>
      <w:pPr>
        <w:pStyle w:val="BodyText"/>
        <w:spacing w:before="2"/>
        <w:rPr>
          <w:sz w:val="9"/>
        </w:rPr>
      </w:pPr>
    </w:p>
    <w:p>
      <w:pPr>
        <w:pStyle w:val="ListParagraph"/>
        <w:numPr>
          <w:ilvl w:val="0"/>
          <w:numId w:val="14"/>
        </w:numPr>
        <w:tabs>
          <w:tab w:pos="483" w:val="left" w:leader="none"/>
        </w:tabs>
        <w:spacing w:line="360" w:lineRule="auto" w:before="69" w:after="0"/>
        <w:ind w:left="192" w:right="190" w:firstLine="0"/>
        <w:jc w:val="left"/>
        <w:rPr>
          <w:sz w:val="24"/>
        </w:rPr>
      </w:pPr>
      <w:r>
        <w:rPr>
          <w:b/>
          <w:sz w:val="24"/>
        </w:rPr>
        <w:t>Eficiencia alimenticia. </w:t>
      </w:r>
      <w:r>
        <w:rPr>
          <w:sz w:val="24"/>
        </w:rPr>
        <w:t>Se calculó como el cociente entre la ganancia de peso y el consumo de MS x</w:t>
      </w:r>
      <w:r>
        <w:rPr>
          <w:spacing w:val="-1"/>
          <w:sz w:val="24"/>
        </w:rPr>
        <w:t> </w:t>
      </w:r>
      <w:r>
        <w:rPr>
          <w:sz w:val="24"/>
        </w:rPr>
        <w:t>100.</w:t>
      </w:r>
    </w:p>
    <w:p>
      <w:pPr>
        <w:pStyle w:val="ListParagraph"/>
        <w:numPr>
          <w:ilvl w:val="0"/>
          <w:numId w:val="14"/>
        </w:numPr>
        <w:tabs>
          <w:tab w:pos="462" w:val="left" w:leader="none"/>
        </w:tabs>
        <w:spacing w:line="360" w:lineRule="auto" w:before="6" w:after="0"/>
        <w:ind w:left="192" w:right="190" w:firstLine="0"/>
        <w:jc w:val="left"/>
        <w:rPr>
          <w:sz w:val="24"/>
        </w:rPr>
      </w:pPr>
      <w:r>
        <w:rPr>
          <w:b/>
          <w:sz w:val="24"/>
        </w:rPr>
        <w:t>Peso vivo inicial. </w:t>
      </w:r>
      <w:r>
        <w:rPr>
          <w:sz w:val="24"/>
        </w:rPr>
        <w:t>Se obtuvo el peso de los animales al inicio del experimento, previo ayuno de agua y alimento por</w:t>
      </w:r>
      <w:r>
        <w:rPr>
          <w:spacing w:val="-5"/>
          <w:sz w:val="24"/>
        </w:rPr>
        <w:t> </w:t>
      </w:r>
      <w:r>
        <w:rPr>
          <w:sz w:val="24"/>
        </w:rPr>
        <w:t>14h.</w:t>
      </w:r>
    </w:p>
    <w:p>
      <w:pPr>
        <w:pStyle w:val="ListParagraph"/>
        <w:numPr>
          <w:ilvl w:val="0"/>
          <w:numId w:val="14"/>
        </w:numPr>
        <w:tabs>
          <w:tab w:pos="435" w:val="left" w:leader="none"/>
        </w:tabs>
        <w:spacing w:line="360" w:lineRule="auto" w:before="6" w:after="0"/>
        <w:ind w:left="192" w:right="191" w:firstLine="0"/>
        <w:jc w:val="left"/>
        <w:rPr>
          <w:sz w:val="24"/>
        </w:rPr>
      </w:pPr>
      <w:r>
        <w:rPr>
          <w:b/>
          <w:sz w:val="24"/>
        </w:rPr>
        <w:t>Peso vivo final. </w:t>
      </w:r>
      <w:r>
        <w:rPr>
          <w:sz w:val="24"/>
        </w:rPr>
        <w:t>Se obtuvo el peso de los animales al final del experimento, previo ayuno de agua y alimento por 14</w:t>
      </w:r>
      <w:r>
        <w:rPr>
          <w:spacing w:val="-6"/>
          <w:sz w:val="24"/>
        </w:rPr>
        <w:t> </w:t>
      </w:r>
      <w:r>
        <w:rPr>
          <w:sz w:val="24"/>
        </w:rPr>
        <w:t>h.</w:t>
      </w:r>
    </w:p>
    <w:p>
      <w:pPr>
        <w:pStyle w:val="BodyText"/>
      </w:pPr>
    </w:p>
    <w:p>
      <w:pPr>
        <w:pStyle w:val="BodyText"/>
        <w:spacing w:before="143"/>
        <w:ind w:left="1289" w:right="237"/>
      </w:pPr>
      <w:r>
        <w:rPr>
          <w:b/>
        </w:rPr>
        <w:t>Cuadro 11. </w:t>
      </w:r>
      <w:r>
        <w:rPr/>
        <w:t>Composición y análisis calculado de la dieta basal (DB).</w:t>
      </w:r>
    </w:p>
    <w:p>
      <w:pPr>
        <w:pStyle w:val="BodyText"/>
        <w:spacing w:before="6" w:after="1"/>
        <w:rPr>
          <w:sz w:val="12"/>
        </w:r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77"/>
        <w:gridCol w:w="4717"/>
      </w:tblGrid>
      <w:tr>
        <w:trPr>
          <w:trHeight w:val="615" w:hRule="exact"/>
        </w:trPr>
        <w:tc>
          <w:tcPr>
            <w:tcW w:w="4277" w:type="dxa"/>
            <w:tcBorders>
              <w:left w:val="nil"/>
              <w:bottom w:val="single" w:sz="4" w:space="0" w:color="000000"/>
              <w:right w:val="nil"/>
            </w:tcBorders>
          </w:tcPr>
          <w:p>
            <w:pPr>
              <w:pStyle w:val="TableParagraph"/>
              <w:spacing w:before="155"/>
              <w:ind w:left="83"/>
              <w:jc w:val="left"/>
              <w:rPr>
                <w:sz w:val="24"/>
              </w:rPr>
            </w:pPr>
            <w:r>
              <w:rPr>
                <w:sz w:val="24"/>
              </w:rPr>
              <w:t>Ingrediente</w:t>
            </w:r>
          </w:p>
        </w:tc>
        <w:tc>
          <w:tcPr>
            <w:tcW w:w="4717" w:type="dxa"/>
            <w:tcBorders>
              <w:left w:val="nil"/>
              <w:bottom w:val="single" w:sz="4" w:space="0" w:color="000000"/>
              <w:right w:val="nil"/>
            </w:tcBorders>
          </w:tcPr>
          <w:p>
            <w:pPr>
              <w:pStyle w:val="TableParagraph"/>
              <w:spacing w:before="155"/>
              <w:ind w:left="1960" w:right="1424"/>
              <w:rPr>
                <w:sz w:val="24"/>
              </w:rPr>
            </w:pPr>
            <w:r>
              <w:rPr>
                <w:sz w:val="24"/>
              </w:rPr>
              <w:t>(g/100 g MS)</w:t>
            </w:r>
          </w:p>
        </w:tc>
      </w:tr>
      <w:tr>
        <w:trPr>
          <w:trHeight w:val="326" w:hRule="exact"/>
        </w:trPr>
        <w:tc>
          <w:tcPr>
            <w:tcW w:w="4277" w:type="dxa"/>
            <w:tcBorders>
              <w:top w:val="single" w:sz="4" w:space="0" w:color="000000"/>
              <w:left w:val="nil"/>
              <w:bottom w:val="nil"/>
              <w:right w:val="nil"/>
            </w:tcBorders>
          </w:tcPr>
          <w:p>
            <w:pPr>
              <w:pStyle w:val="TableParagraph"/>
              <w:spacing w:before="13"/>
              <w:ind w:left="83"/>
              <w:jc w:val="left"/>
              <w:rPr>
                <w:sz w:val="24"/>
              </w:rPr>
            </w:pPr>
            <w:r>
              <w:rPr>
                <w:sz w:val="24"/>
              </w:rPr>
              <w:t>Rastrojo de maíz</w:t>
            </w:r>
          </w:p>
        </w:tc>
        <w:tc>
          <w:tcPr>
            <w:tcW w:w="4717" w:type="dxa"/>
            <w:tcBorders>
              <w:top w:val="single" w:sz="4" w:space="0" w:color="000000"/>
              <w:left w:val="nil"/>
              <w:bottom w:val="nil"/>
              <w:right w:val="nil"/>
            </w:tcBorders>
          </w:tcPr>
          <w:p>
            <w:pPr>
              <w:pStyle w:val="TableParagraph"/>
              <w:spacing w:before="13"/>
              <w:ind w:left="1960" w:right="1420"/>
              <w:rPr>
                <w:sz w:val="24"/>
              </w:rPr>
            </w:pPr>
            <w:r>
              <w:rPr>
                <w:sz w:val="24"/>
              </w:rPr>
              <w:t>15</w:t>
            </w:r>
          </w:p>
        </w:tc>
      </w:tr>
      <w:tr>
        <w:trPr>
          <w:trHeight w:val="314" w:hRule="exact"/>
        </w:trPr>
        <w:tc>
          <w:tcPr>
            <w:tcW w:w="4277" w:type="dxa"/>
            <w:tcBorders>
              <w:top w:val="nil"/>
              <w:left w:val="nil"/>
              <w:bottom w:val="nil"/>
              <w:right w:val="nil"/>
            </w:tcBorders>
          </w:tcPr>
          <w:p>
            <w:pPr>
              <w:pStyle w:val="TableParagraph"/>
              <w:spacing w:before="6"/>
              <w:ind w:left="83"/>
              <w:jc w:val="left"/>
              <w:rPr>
                <w:sz w:val="24"/>
              </w:rPr>
            </w:pPr>
            <w:r>
              <w:rPr>
                <w:sz w:val="24"/>
              </w:rPr>
              <w:t>Sorgo</w:t>
            </w:r>
          </w:p>
        </w:tc>
        <w:tc>
          <w:tcPr>
            <w:tcW w:w="4717" w:type="dxa"/>
            <w:tcBorders>
              <w:top w:val="nil"/>
              <w:left w:val="nil"/>
              <w:bottom w:val="nil"/>
              <w:right w:val="nil"/>
            </w:tcBorders>
          </w:tcPr>
          <w:p>
            <w:pPr>
              <w:pStyle w:val="TableParagraph"/>
              <w:spacing w:before="6"/>
              <w:ind w:left="1960" w:right="1420"/>
              <w:rPr>
                <w:sz w:val="24"/>
              </w:rPr>
            </w:pPr>
            <w:r>
              <w:rPr>
                <w:sz w:val="24"/>
              </w:rPr>
              <w:t>57</w:t>
            </w:r>
          </w:p>
        </w:tc>
      </w:tr>
      <w:tr>
        <w:trPr>
          <w:trHeight w:val="316" w:hRule="exact"/>
        </w:trPr>
        <w:tc>
          <w:tcPr>
            <w:tcW w:w="4277" w:type="dxa"/>
            <w:tcBorders>
              <w:top w:val="nil"/>
              <w:left w:val="nil"/>
              <w:bottom w:val="nil"/>
              <w:right w:val="nil"/>
            </w:tcBorders>
          </w:tcPr>
          <w:p>
            <w:pPr>
              <w:pStyle w:val="TableParagraph"/>
              <w:spacing w:before="6"/>
              <w:ind w:left="83"/>
              <w:jc w:val="left"/>
              <w:rPr>
                <w:sz w:val="24"/>
              </w:rPr>
            </w:pPr>
            <w:r>
              <w:rPr>
                <w:sz w:val="24"/>
              </w:rPr>
              <w:t>Harina de soya</w:t>
            </w:r>
          </w:p>
        </w:tc>
        <w:tc>
          <w:tcPr>
            <w:tcW w:w="4717" w:type="dxa"/>
            <w:tcBorders>
              <w:top w:val="nil"/>
              <w:left w:val="nil"/>
              <w:bottom w:val="nil"/>
              <w:right w:val="nil"/>
            </w:tcBorders>
          </w:tcPr>
          <w:p>
            <w:pPr>
              <w:pStyle w:val="TableParagraph"/>
              <w:spacing w:before="6"/>
              <w:ind w:left="1960" w:right="1420"/>
              <w:rPr>
                <w:sz w:val="24"/>
              </w:rPr>
            </w:pPr>
            <w:r>
              <w:rPr>
                <w:sz w:val="24"/>
              </w:rPr>
              <w:t>14</w:t>
            </w:r>
          </w:p>
        </w:tc>
      </w:tr>
      <w:tr>
        <w:trPr>
          <w:trHeight w:val="316" w:hRule="exact"/>
        </w:trPr>
        <w:tc>
          <w:tcPr>
            <w:tcW w:w="4277" w:type="dxa"/>
            <w:tcBorders>
              <w:top w:val="nil"/>
              <w:left w:val="nil"/>
              <w:bottom w:val="nil"/>
              <w:right w:val="nil"/>
            </w:tcBorders>
          </w:tcPr>
          <w:p>
            <w:pPr>
              <w:pStyle w:val="TableParagraph"/>
              <w:spacing w:before="7"/>
              <w:ind w:left="83"/>
              <w:jc w:val="left"/>
              <w:rPr>
                <w:sz w:val="24"/>
              </w:rPr>
            </w:pPr>
            <w:r>
              <w:rPr>
                <w:sz w:val="24"/>
              </w:rPr>
              <w:t>Harina de canola</w:t>
            </w:r>
          </w:p>
        </w:tc>
        <w:tc>
          <w:tcPr>
            <w:tcW w:w="4717" w:type="dxa"/>
            <w:tcBorders>
              <w:top w:val="nil"/>
              <w:left w:val="nil"/>
              <w:bottom w:val="nil"/>
              <w:right w:val="nil"/>
            </w:tcBorders>
          </w:tcPr>
          <w:p>
            <w:pPr>
              <w:pStyle w:val="TableParagraph"/>
              <w:spacing w:before="7"/>
              <w:ind w:left="540"/>
              <w:rPr>
                <w:sz w:val="24"/>
              </w:rPr>
            </w:pPr>
            <w:r>
              <w:rPr>
                <w:sz w:val="24"/>
              </w:rPr>
              <w:t>5</w:t>
            </w:r>
          </w:p>
        </w:tc>
      </w:tr>
      <w:tr>
        <w:trPr>
          <w:trHeight w:val="327" w:hRule="exact"/>
        </w:trPr>
        <w:tc>
          <w:tcPr>
            <w:tcW w:w="4277" w:type="dxa"/>
            <w:tcBorders>
              <w:top w:val="nil"/>
              <w:left w:val="nil"/>
              <w:bottom w:val="nil"/>
              <w:right w:val="nil"/>
            </w:tcBorders>
          </w:tcPr>
          <w:p>
            <w:pPr>
              <w:pStyle w:val="TableParagraph"/>
              <w:spacing w:before="6"/>
              <w:ind w:left="83"/>
              <w:jc w:val="left"/>
              <w:rPr>
                <w:sz w:val="24"/>
              </w:rPr>
            </w:pPr>
            <w:r>
              <w:rPr>
                <w:sz w:val="24"/>
              </w:rPr>
              <w:t>Salvado de trigo</w:t>
            </w:r>
          </w:p>
        </w:tc>
        <w:tc>
          <w:tcPr>
            <w:tcW w:w="4717" w:type="dxa"/>
            <w:tcBorders>
              <w:top w:val="nil"/>
              <w:left w:val="nil"/>
              <w:bottom w:val="nil"/>
              <w:right w:val="nil"/>
            </w:tcBorders>
          </w:tcPr>
          <w:p>
            <w:pPr>
              <w:pStyle w:val="TableParagraph"/>
              <w:spacing w:before="6"/>
              <w:ind w:left="540"/>
              <w:rPr>
                <w:sz w:val="24"/>
              </w:rPr>
            </w:pPr>
            <w:r>
              <w:rPr>
                <w:sz w:val="24"/>
              </w:rPr>
              <w:t>5</w:t>
            </w:r>
          </w:p>
        </w:tc>
      </w:tr>
      <w:tr>
        <w:trPr>
          <w:trHeight w:val="381" w:hRule="exact"/>
        </w:trPr>
        <w:tc>
          <w:tcPr>
            <w:tcW w:w="4277" w:type="dxa"/>
            <w:tcBorders>
              <w:top w:val="nil"/>
              <w:left w:val="nil"/>
              <w:bottom w:val="nil"/>
              <w:right w:val="nil"/>
            </w:tcBorders>
          </w:tcPr>
          <w:p>
            <w:pPr>
              <w:pStyle w:val="TableParagraph"/>
              <w:spacing w:before="31"/>
              <w:ind w:left="83"/>
              <w:jc w:val="left"/>
              <w:rPr>
                <w:sz w:val="16"/>
              </w:rPr>
            </w:pPr>
            <w:r>
              <w:rPr>
                <w:sz w:val="24"/>
              </w:rPr>
              <w:t>Minerales y vitaminas</w:t>
            </w:r>
            <w:r>
              <w:rPr>
                <w:position w:val="9"/>
                <w:sz w:val="16"/>
              </w:rPr>
              <w:t>1</w:t>
            </w:r>
          </w:p>
        </w:tc>
        <w:tc>
          <w:tcPr>
            <w:tcW w:w="4717" w:type="dxa"/>
            <w:tcBorders>
              <w:top w:val="nil"/>
              <w:left w:val="nil"/>
              <w:bottom w:val="nil"/>
              <w:right w:val="nil"/>
            </w:tcBorders>
          </w:tcPr>
          <w:p>
            <w:pPr>
              <w:pStyle w:val="TableParagraph"/>
              <w:spacing w:before="46"/>
              <w:ind w:left="1960" w:right="1422"/>
              <w:rPr>
                <w:sz w:val="24"/>
              </w:rPr>
            </w:pPr>
            <w:r>
              <w:rPr>
                <w:sz w:val="24"/>
              </w:rPr>
              <w:t>2.5</w:t>
            </w:r>
          </w:p>
        </w:tc>
      </w:tr>
      <w:tr>
        <w:trPr>
          <w:trHeight w:val="344" w:hRule="exact"/>
        </w:trPr>
        <w:tc>
          <w:tcPr>
            <w:tcW w:w="4277" w:type="dxa"/>
            <w:tcBorders>
              <w:top w:val="nil"/>
              <w:left w:val="nil"/>
              <w:bottom w:val="nil"/>
              <w:right w:val="nil"/>
            </w:tcBorders>
          </w:tcPr>
          <w:p>
            <w:pPr>
              <w:pStyle w:val="TableParagraph"/>
              <w:spacing w:before="32"/>
              <w:ind w:left="83"/>
              <w:jc w:val="left"/>
              <w:rPr>
                <w:sz w:val="24"/>
              </w:rPr>
            </w:pPr>
            <w:r>
              <w:rPr>
                <w:sz w:val="24"/>
              </w:rPr>
              <w:t>Bicarbonato de Sodio</w:t>
            </w:r>
          </w:p>
        </w:tc>
        <w:tc>
          <w:tcPr>
            <w:tcW w:w="4717" w:type="dxa"/>
            <w:tcBorders>
              <w:top w:val="nil"/>
              <w:left w:val="nil"/>
              <w:bottom w:val="nil"/>
              <w:right w:val="nil"/>
            </w:tcBorders>
          </w:tcPr>
          <w:p>
            <w:pPr>
              <w:pStyle w:val="TableParagraph"/>
              <w:spacing w:before="32"/>
              <w:ind w:left="1960" w:right="1422"/>
              <w:rPr>
                <w:sz w:val="24"/>
              </w:rPr>
            </w:pPr>
            <w:r>
              <w:rPr>
                <w:sz w:val="24"/>
              </w:rPr>
              <w:t>1.5</w:t>
            </w:r>
          </w:p>
        </w:tc>
      </w:tr>
      <w:tr>
        <w:trPr>
          <w:trHeight w:val="332" w:hRule="exact"/>
        </w:trPr>
        <w:tc>
          <w:tcPr>
            <w:tcW w:w="4277" w:type="dxa"/>
            <w:tcBorders>
              <w:top w:val="nil"/>
              <w:left w:val="nil"/>
              <w:right w:val="nil"/>
            </w:tcBorders>
          </w:tcPr>
          <w:p>
            <w:pPr>
              <w:pStyle w:val="TableParagraph"/>
              <w:spacing w:before="10"/>
              <w:ind w:left="83"/>
              <w:jc w:val="left"/>
              <w:rPr>
                <w:sz w:val="24"/>
              </w:rPr>
            </w:pPr>
            <w:r>
              <w:rPr>
                <w:sz w:val="24"/>
              </w:rPr>
              <w:t>Total</w:t>
            </w:r>
          </w:p>
        </w:tc>
        <w:tc>
          <w:tcPr>
            <w:tcW w:w="4717" w:type="dxa"/>
            <w:tcBorders>
              <w:top w:val="nil"/>
              <w:left w:val="nil"/>
              <w:right w:val="nil"/>
            </w:tcBorders>
          </w:tcPr>
          <w:p>
            <w:pPr>
              <w:pStyle w:val="TableParagraph"/>
              <w:spacing w:before="10"/>
              <w:ind w:left="1960" w:right="1420"/>
              <w:rPr>
                <w:sz w:val="24"/>
              </w:rPr>
            </w:pPr>
            <w:r>
              <w:rPr>
                <w:sz w:val="24"/>
              </w:rPr>
              <w:t>100</w:t>
            </w:r>
          </w:p>
        </w:tc>
      </w:tr>
      <w:tr>
        <w:trPr>
          <w:trHeight w:val="348" w:hRule="exact"/>
        </w:trPr>
        <w:tc>
          <w:tcPr>
            <w:tcW w:w="4277" w:type="dxa"/>
            <w:tcBorders>
              <w:left w:val="nil"/>
              <w:right w:val="nil"/>
            </w:tcBorders>
          </w:tcPr>
          <w:p>
            <w:pPr>
              <w:pStyle w:val="TableParagraph"/>
              <w:spacing w:before="23"/>
              <w:ind w:left="83"/>
              <w:jc w:val="left"/>
              <w:rPr>
                <w:b/>
                <w:sz w:val="24"/>
              </w:rPr>
            </w:pPr>
            <w:r>
              <w:rPr>
                <w:b/>
                <w:sz w:val="24"/>
              </w:rPr>
              <w:t>Análisis calculado</w:t>
            </w:r>
          </w:p>
        </w:tc>
        <w:tc>
          <w:tcPr>
            <w:tcW w:w="4717" w:type="dxa"/>
            <w:tcBorders>
              <w:left w:val="nil"/>
              <w:right w:val="nil"/>
            </w:tcBorders>
          </w:tcPr>
          <w:p>
            <w:pPr/>
          </w:p>
        </w:tc>
      </w:tr>
      <w:tr>
        <w:trPr>
          <w:trHeight w:val="376" w:hRule="exact"/>
        </w:trPr>
        <w:tc>
          <w:tcPr>
            <w:tcW w:w="4277" w:type="dxa"/>
            <w:tcBorders>
              <w:left w:val="nil"/>
              <w:bottom w:val="nil"/>
              <w:right w:val="nil"/>
            </w:tcBorders>
          </w:tcPr>
          <w:p>
            <w:pPr>
              <w:pStyle w:val="TableParagraph"/>
              <w:spacing w:before="27"/>
              <w:ind w:left="83"/>
              <w:jc w:val="left"/>
              <w:rPr>
                <w:sz w:val="24"/>
              </w:rPr>
            </w:pPr>
            <w:r>
              <w:rPr>
                <w:sz w:val="24"/>
              </w:rPr>
              <w:t>EM (Mcal/kg</w:t>
            </w:r>
            <w:r>
              <w:rPr>
                <w:position w:val="9"/>
                <w:sz w:val="16"/>
              </w:rPr>
              <w:t>-1 </w:t>
            </w:r>
            <w:r>
              <w:rPr>
                <w:sz w:val="24"/>
              </w:rPr>
              <w:t>MS)</w:t>
            </w:r>
          </w:p>
        </w:tc>
        <w:tc>
          <w:tcPr>
            <w:tcW w:w="4717" w:type="dxa"/>
            <w:tcBorders>
              <w:left w:val="nil"/>
              <w:bottom w:val="nil"/>
              <w:right w:val="nil"/>
            </w:tcBorders>
          </w:tcPr>
          <w:p>
            <w:pPr>
              <w:pStyle w:val="TableParagraph"/>
              <w:spacing w:before="42"/>
              <w:ind w:left="1960" w:right="1422"/>
              <w:rPr>
                <w:sz w:val="24"/>
              </w:rPr>
            </w:pPr>
            <w:r>
              <w:rPr>
                <w:sz w:val="24"/>
              </w:rPr>
              <w:t>2.66</w:t>
            </w:r>
          </w:p>
        </w:tc>
      </w:tr>
      <w:tr>
        <w:trPr>
          <w:trHeight w:val="330" w:hRule="exact"/>
        </w:trPr>
        <w:tc>
          <w:tcPr>
            <w:tcW w:w="4277" w:type="dxa"/>
            <w:tcBorders>
              <w:top w:val="nil"/>
              <w:left w:val="nil"/>
              <w:bottom w:val="nil"/>
              <w:right w:val="nil"/>
            </w:tcBorders>
          </w:tcPr>
          <w:p>
            <w:pPr>
              <w:pStyle w:val="TableParagraph"/>
              <w:spacing w:before="22"/>
              <w:ind w:left="83"/>
              <w:jc w:val="left"/>
              <w:rPr>
                <w:sz w:val="24"/>
              </w:rPr>
            </w:pPr>
            <w:r>
              <w:rPr>
                <w:sz w:val="24"/>
              </w:rPr>
              <w:t>Proteína cruda (g/kg)</w:t>
            </w:r>
          </w:p>
        </w:tc>
        <w:tc>
          <w:tcPr>
            <w:tcW w:w="4717" w:type="dxa"/>
            <w:tcBorders>
              <w:top w:val="nil"/>
              <w:left w:val="nil"/>
              <w:bottom w:val="nil"/>
              <w:right w:val="nil"/>
            </w:tcBorders>
          </w:tcPr>
          <w:p>
            <w:pPr>
              <w:pStyle w:val="TableParagraph"/>
              <w:spacing w:before="22"/>
              <w:ind w:left="1960" w:right="1420"/>
              <w:rPr>
                <w:sz w:val="24"/>
              </w:rPr>
            </w:pPr>
            <w:r>
              <w:rPr>
                <w:sz w:val="24"/>
              </w:rPr>
              <w:t>144</w:t>
            </w:r>
          </w:p>
        </w:tc>
      </w:tr>
      <w:tr>
        <w:trPr>
          <w:trHeight w:val="319" w:hRule="exact"/>
        </w:trPr>
        <w:tc>
          <w:tcPr>
            <w:tcW w:w="4277" w:type="dxa"/>
            <w:tcBorders>
              <w:top w:val="nil"/>
              <w:left w:val="nil"/>
              <w:bottom w:val="nil"/>
              <w:right w:val="nil"/>
            </w:tcBorders>
          </w:tcPr>
          <w:p>
            <w:pPr>
              <w:pStyle w:val="TableParagraph"/>
              <w:spacing w:before="6"/>
              <w:ind w:left="83"/>
              <w:jc w:val="left"/>
              <w:rPr>
                <w:sz w:val="24"/>
              </w:rPr>
            </w:pPr>
            <w:r>
              <w:rPr>
                <w:sz w:val="24"/>
              </w:rPr>
              <w:t>Fósforo</w:t>
            </w:r>
          </w:p>
        </w:tc>
        <w:tc>
          <w:tcPr>
            <w:tcW w:w="4717" w:type="dxa"/>
            <w:tcBorders>
              <w:top w:val="nil"/>
              <w:left w:val="nil"/>
              <w:bottom w:val="nil"/>
              <w:right w:val="nil"/>
            </w:tcBorders>
          </w:tcPr>
          <w:p>
            <w:pPr>
              <w:pStyle w:val="TableParagraph"/>
              <w:spacing w:before="6"/>
              <w:ind w:left="1960" w:right="1422"/>
              <w:rPr>
                <w:sz w:val="24"/>
              </w:rPr>
            </w:pPr>
            <w:r>
              <w:rPr>
                <w:sz w:val="24"/>
              </w:rPr>
              <w:t>0.37</w:t>
            </w:r>
          </w:p>
        </w:tc>
      </w:tr>
      <w:tr>
        <w:trPr>
          <w:trHeight w:val="326" w:hRule="exact"/>
        </w:trPr>
        <w:tc>
          <w:tcPr>
            <w:tcW w:w="4277" w:type="dxa"/>
            <w:tcBorders>
              <w:top w:val="nil"/>
              <w:left w:val="nil"/>
              <w:bottom w:val="nil"/>
              <w:right w:val="nil"/>
            </w:tcBorders>
          </w:tcPr>
          <w:p>
            <w:pPr>
              <w:pStyle w:val="TableParagraph"/>
              <w:spacing w:before="11"/>
              <w:ind w:left="83"/>
              <w:jc w:val="left"/>
              <w:rPr>
                <w:sz w:val="24"/>
              </w:rPr>
            </w:pPr>
            <w:r>
              <w:rPr>
                <w:sz w:val="24"/>
              </w:rPr>
              <w:t>Calcio</w:t>
            </w:r>
          </w:p>
        </w:tc>
        <w:tc>
          <w:tcPr>
            <w:tcW w:w="4717" w:type="dxa"/>
            <w:tcBorders>
              <w:top w:val="nil"/>
              <w:left w:val="nil"/>
              <w:bottom w:val="nil"/>
              <w:right w:val="nil"/>
            </w:tcBorders>
          </w:tcPr>
          <w:p>
            <w:pPr>
              <w:pStyle w:val="TableParagraph"/>
              <w:spacing w:before="11"/>
              <w:ind w:left="1960" w:right="1422"/>
              <w:rPr>
                <w:sz w:val="24"/>
              </w:rPr>
            </w:pPr>
            <w:r>
              <w:rPr>
                <w:sz w:val="24"/>
              </w:rPr>
              <w:t>0.6</w:t>
            </w:r>
          </w:p>
        </w:tc>
      </w:tr>
      <w:tr>
        <w:trPr>
          <w:trHeight w:val="336" w:hRule="exact"/>
        </w:trPr>
        <w:tc>
          <w:tcPr>
            <w:tcW w:w="4277" w:type="dxa"/>
            <w:tcBorders>
              <w:top w:val="nil"/>
              <w:left w:val="nil"/>
              <w:right w:val="nil"/>
            </w:tcBorders>
          </w:tcPr>
          <w:p>
            <w:pPr>
              <w:pStyle w:val="TableParagraph"/>
              <w:spacing w:before="13"/>
              <w:ind w:left="83"/>
              <w:jc w:val="left"/>
              <w:rPr>
                <w:sz w:val="24"/>
              </w:rPr>
            </w:pPr>
            <w:r>
              <w:rPr>
                <w:sz w:val="24"/>
              </w:rPr>
              <w:t>Cromo</w:t>
            </w:r>
          </w:p>
        </w:tc>
        <w:tc>
          <w:tcPr>
            <w:tcW w:w="4717" w:type="dxa"/>
            <w:tcBorders>
              <w:top w:val="nil"/>
              <w:left w:val="nil"/>
              <w:right w:val="nil"/>
            </w:tcBorders>
          </w:tcPr>
          <w:p>
            <w:pPr>
              <w:pStyle w:val="TableParagraph"/>
              <w:spacing w:before="13"/>
              <w:ind w:left="1960" w:right="1422"/>
              <w:rPr>
                <w:sz w:val="24"/>
              </w:rPr>
            </w:pPr>
            <w:r>
              <w:rPr>
                <w:sz w:val="24"/>
              </w:rPr>
              <w:t>0.05</w:t>
            </w:r>
          </w:p>
        </w:tc>
      </w:tr>
    </w:tbl>
    <w:p>
      <w:pPr>
        <w:spacing w:line="240" w:lineRule="auto" w:before="0"/>
        <w:ind w:left="192" w:right="186" w:firstLine="0"/>
        <w:jc w:val="both"/>
        <w:rPr>
          <w:sz w:val="23"/>
        </w:rPr>
      </w:pPr>
      <w:r>
        <w:rPr>
          <w:w w:val="100"/>
          <w:position w:val="6"/>
          <w:sz w:val="10"/>
        </w:rPr>
        <w:t>1</w:t>
      </w:r>
      <w:r>
        <w:rPr>
          <w:spacing w:val="-1"/>
          <w:w w:val="100"/>
          <w:sz w:val="23"/>
        </w:rPr>
        <w:t>P</w:t>
      </w:r>
      <w:r>
        <w:rPr>
          <w:w w:val="100"/>
          <w:sz w:val="23"/>
        </w:rPr>
        <w:t>reme</w:t>
      </w:r>
      <w:r>
        <w:rPr>
          <w:spacing w:val="-2"/>
          <w:w w:val="100"/>
          <w:sz w:val="23"/>
        </w:rPr>
        <w:t>zc</w:t>
      </w:r>
      <w:r>
        <w:rPr>
          <w:w w:val="100"/>
          <w:sz w:val="23"/>
        </w:rPr>
        <w:t>la</w:t>
      </w:r>
      <w:r>
        <w:rPr>
          <w:spacing w:val="17"/>
          <w:sz w:val="23"/>
        </w:rPr>
        <w:t> </w:t>
      </w:r>
      <w:r>
        <w:rPr>
          <w:w w:val="100"/>
          <w:sz w:val="23"/>
        </w:rPr>
        <w:t>de</w:t>
      </w:r>
      <w:r>
        <w:rPr>
          <w:spacing w:val="17"/>
          <w:sz w:val="23"/>
        </w:rPr>
        <w:t> </w:t>
      </w:r>
      <w:r>
        <w:rPr>
          <w:w w:val="100"/>
          <w:sz w:val="23"/>
        </w:rPr>
        <w:t>mi</w:t>
      </w:r>
      <w:r>
        <w:rPr>
          <w:spacing w:val="-3"/>
          <w:w w:val="100"/>
          <w:sz w:val="23"/>
        </w:rPr>
        <w:t>n</w:t>
      </w:r>
      <w:r>
        <w:rPr>
          <w:w w:val="100"/>
          <w:sz w:val="23"/>
        </w:rPr>
        <w:t>er</w:t>
      </w:r>
      <w:r>
        <w:rPr>
          <w:spacing w:val="-2"/>
          <w:w w:val="100"/>
          <w:sz w:val="23"/>
        </w:rPr>
        <w:t>a</w:t>
      </w:r>
      <w:r>
        <w:rPr>
          <w:w w:val="100"/>
          <w:sz w:val="23"/>
        </w:rPr>
        <w:t>le</w:t>
      </w:r>
      <w:r>
        <w:rPr>
          <w:w w:val="100"/>
          <w:sz w:val="23"/>
        </w:rPr>
        <w:t>s</w:t>
      </w:r>
      <w:r>
        <w:rPr>
          <w:spacing w:val="15"/>
          <w:sz w:val="23"/>
        </w:rPr>
        <w:t> </w:t>
      </w:r>
      <w:r>
        <w:rPr>
          <w:w w:val="100"/>
          <w:sz w:val="23"/>
        </w:rPr>
        <w:t>y</w:t>
      </w:r>
      <w:r>
        <w:rPr>
          <w:spacing w:val="16"/>
          <w:sz w:val="23"/>
        </w:rPr>
        <w:t> </w:t>
      </w:r>
      <w:r>
        <w:rPr>
          <w:spacing w:val="-3"/>
          <w:w w:val="100"/>
          <w:sz w:val="23"/>
        </w:rPr>
        <w:t>v</w:t>
      </w:r>
      <w:r>
        <w:rPr>
          <w:w w:val="100"/>
          <w:sz w:val="23"/>
        </w:rPr>
        <w:t>itam</w:t>
      </w:r>
      <w:r>
        <w:rPr>
          <w:spacing w:val="5"/>
          <w:w w:val="100"/>
          <w:sz w:val="23"/>
        </w:rPr>
        <w:t>i</w:t>
      </w:r>
      <w:r>
        <w:rPr>
          <w:w w:val="100"/>
          <w:sz w:val="23"/>
        </w:rPr>
        <w:t>na</w:t>
      </w:r>
      <w:r>
        <w:rPr>
          <w:w w:val="100"/>
          <w:sz w:val="23"/>
        </w:rPr>
        <w:t>s</w:t>
      </w:r>
      <w:r>
        <w:rPr>
          <w:spacing w:val="18"/>
          <w:sz w:val="23"/>
        </w:rPr>
        <w:t> </w:t>
      </w:r>
      <w:r>
        <w:rPr>
          <w:w w:val="100"/>
          <w:sz w:val="23"/>
        </w:rPr>
        <w:t>(</w:t>
      </w:r>
      <w:r>
        <w:rPr>
          <w:spacing w:val="-1"/>
          <w:w w:val="100"/>
          <w:sz w:val="23"/>
        </w:rPr>
        <w:t>P</w:t>
      </w:r>
      <w:r>
        <w:rPr>
          <w:spacing w:val="-3"/>
          <w:w w:val="100"/>
          <w:sz w:val="23"/>
        </w:rPr>
        <w:t>r</w:t>
      </w:r>
      <w:r>
        <w:rPr>
          <w:w w:val="100"/>
          <w:sz w:val="23"/>
        </w:rPr>
        <w:t>emix</w:t>
      </w:r>
      <w:r>
        <w:rPr>
          <w:spacing w:val="16"/>
          <w:sz w:val="23"/>
        </w:rPr>
        <w:t> </w:t>
      </w:r>
      <w:r>
        <w:rPr>
          <w:w w:val="100"/>
          <w:sz w:val="23"/>
        </w:rPr>
        <w:t>bor</w:t>
      </w:r>
      <w:r>
        <w:rPr>
          <w:spacing w:val="-3"/>
          <w:w w:val="100"/>
          <w:sz w:val="23"/>
        </w:rPr>
        <w:t>r</w:t>
      </w:r>
      <w:r>
        <w:rPr>
          <w:w w:val="100"/>
          <w:sz w:val="23"/>
        </w:rPr>
        <w:t>e</w:t>
      </w:r>
      <w:r>
        <w:rPr>
          <w:spacing w:val="-3"/>
          <w:w w:val="100"/>
          <w:sz w:val="23"/>
        </w:rPr>
        <w:t>g</w:t>
      </w:r>
      <w:r>
        <w:rPr>
          <w:w w:val="100"/>
          <w:sz w:val="23"/>
        </w:rPr>
        <w:t>o</w:t>
      </w:r>
      <w:r>
        <w:rPr>
          <w:spacing w:val="-1"/>
          <w:w w:val="100"/>
          <w:sz w:val="23"/>
        </w:rPr>
        <w:t>s</w:t>
      </w:r>
      <w:r>
        <w:rPr>
          <w:w w:val="100"/>
          <w:sz w:val="23"/>
        </w:rPr>
        <w:t>,</w:t>
      </w:r>
      <w:r>
        <w:rPr>
          <w:spacing w:val="19"/>
          <w:sz w:val="23"/>
        </w:rPr>
        <w:t> </w:t>
      </w:r>
      <w:r>
        <w:rPr>
          <w:spacing w:val="-1"/>
          <w:w w:val="100"/>
          <w:sz w:val="23"/>
        </w:rPr>
        <w:t>M</w:t>
      </w:r>
      <w:r>
        <w:rPr>
          <w:w w:val="100"/>
          <w:sz w:val="23"/>
        </w:rPr>
        <w:t>ulti</w:t>
      </w:r>
      <w:r>
        <w:rPr>
          <w:spacing w:val="-2"/>
          <w:w w:val="100"/>
          <w:sz w:val="23"/>
        </w:rPr>
        <w:t>t</w:t>
      </w:r>
      <w:r>
        <w:rPr>
          <w:w w:val="100"/>
          <w:sz w:val="23"/>
        </w:rPr>
        <w:t>ec</w:t>
      </w:r>
      <w:r>
        <w:rPr>
          <w:spacing w:val="4"/>
          <w:w w:val="100"/>
          <w:sz w:val="23"/>
        </w:rPr>
        <w:t>®</w:t>
      </w:r>
      <w:r>
        <w:rPr>
          <w:w w:val="100"/>
          <w:sz w:val="23"/>
        </w:rPr>
        <w:t>,</w:t>
      </w:r>
      <w:r>
        <w:rPr>
          <w:spacing w:val="16"/>
          <w:sz w:val="23"/>
        </w:rPr>
        <w:t> </w:t>
      </w:r>
      <w:r>
        <w:rPr>
          <w:spacing w:val="-1"/>
          <w:w w:val="100"/>
          <w:sz w:val="23"/>
        </w:rPr>
        <w:t>M</w:t>
      </w:r>
      <w:r>
        <w:rPr>
          <w:w w:val="100"/>
          <w:sz w:val="23"/>
        </w:rPr>
        <w:t>éx</w:t>
      </w:r>
      <w:r>
        <w:rPr>
          <w:spacing w:val="-2"/>
          <w:w w:val="100"/>
          <w:sz w:val="23"/>
        </w:rPr>
        <w:t>i</w:t>
      </w:r>
      <w:r>
        <w:rPr>
          <w:w w:val="100"/>
          <w:sz w:val="23"/>
        </w:rPr>
        <w:t>co</w:t>
      </w:r>
      <w:r>
        <w:rPr>
          <w:spacing w:val="-3"/>
          <w:w w:val="100"/>
          <w:sz w:val="23"/>
        </w:rPr>
        <w:t>)</w:t>
      </w:r>
      <w:r>
        <w:rPr>
          <w:w w:val="100"/>
          <w:sz w:val="23"/>
        </w:rPr>
        <w:t>:</w:t>
      </w:r>
      <w:r>
        <w:rPr>
          <w:spacing w:val="19"/>
          <w:sz w:val="23"/>
        </w:rPr>
        <w:t> </w:t>
      </w:r>
      <w:r>
        <w:rPr>
          <w:w w:val="100"/>
          <w:sz w:val="23"/>
        </w:rPr>
        <w:t>Ca,</w:t>
      </w:r>
      <w:r>
        <w:rPr>
          <w:spacing w:val="16"/>
          <w:sz w:val="23"/>
        </w:rPr>
        <w:t> </w:t>
      </w:r>
      <w:r>
        <w:rPr>
          <w:w w:val="100"/>
          <w:sz w:val="23"/>
        </w:rPr>
        <w:t>4500</w:t>
      </w:r>
      <w:r>
        <w:rPr>
          <w:spacing w:val="19"/>
          <w:sz w:val="23"/>
        </w:rPr>
        <w:t> </w:t>
      </w:r>
      <w:r>
        <w:rPr>
          <w:spacing w:val="-3"/>
          <w:w w:val="100"/>
          <w:sz w:val="23"/>
        </w:rPr>
        <w:t>g</w:t>
      </w:r>
      <w:r>
        <w:rPr>
          <w:w w:val="100"/>
          <w:sz w:val="23"/>
        </w:rPr>
        <w:t>r;</w:t>
      </w:r>
      <w:r>
        <w:rPr>
          <w:spacing w:val="19"/>
          <w:sz w:val="23"/>
        </w:rPr>
        <w:t> </w:t>
      </w:r>
      <w:r>
        <w:rPr>
          <w:spacing w:val="-4"/>
          <w:w w:val="100"/>
          <w:sz w:val="23"/>
        </w:rPr>
        <w:t>Z</w:t>
      </w:r>
      <w:r>
        <w:rPr>
          <w:w w:val="100"/>
          <w:sz w:val="23"/>
        </w:rPr>
        <w:t>n, </w:t>
      </w:r>
      <w:r>
        <w:rPr>
          <w:sz w:val="23"/>
        </w:rPr>
        <w:t>1.5 g; Cu, 20 g; Fe, 140 g; K, 90 mg; Co, 500 g; Mg, 36 g; I, 500 mg; Se, 90 mg; Na, 125 g;  Vit. A, 3000 UI/Kg; Vit. D3, 750 UI/Kg; Vit. E, 25</w:t>
      </w:r>
      <w:r>
        <w:rPr>
          <w:spacing w:val="-20"/>
          <w:sz w:val="23"/>
        </w:rPr>
        <w:t> </w:t>
      </w:r>
      <w:r>
        <w:rPr>
          <w:sz w:val="23"/>
        </w:rPr>
        <w:t>UI/Kg.</w:t>
      </w:r>
    </w:p>
    <w:p>
      <w:pPr>
        <w:pStyle w:val="BodyText"/>
        <w:spacing w:before="4"/>
      </w:pPr>
    </w:p>
    <w:p>
      <w:pPr>
        <w:pStyle w:val="Heading1"/>
        <w:numPr>
          <w:ilvl w:val="1"/>
          <w:numId w:val="13"/>
        </w:numPr>
        <w:tabs>
          <w:tab w:pos="553" w:val="left" w:leader="none"/>
        </w:tabs>
        <w:spacing w:line="240" w:lineRule="auto" w:before="0" w:after="0"/>
        <w:ind w:left="552" w:right="0" w:hanging="360"/>
        <w:jc w:val="both"/>
      </w:pPr>
      <w:bookmarkStart w:name="_bookmark43" w:id="82"/>
      <w:bookmarkEnd w:id="82"/>
      <w:r>
        <w:rPr>
          <w:b w:val="0"/>
        </w:rPr>
      </w:r>
      <w:bookmarkStart w:name="_bookmark43" w:id="83"/>
      <w:bookmarkEnd w:id="83"/>
      <w:r>
        <w:rPr/>
        <w:t>E</w:t>
      </w:r>
      <w:r>
        <w:rPr/>
        <w:t>nsayo</w:t>
      </w:r>
      <w:r>
        <w:rPr>
          <w:spacing w:val="-5"/>
        </w:rPr>
        <w:t> </w:t>
      </w:r>
      <w:r>
        <w:rPr/>
        <w:t>metabólico</w:t>
      </w:r>
    </w:p>
    <w:p>
      <w:pPr>
        <w:pStyle w:val="BodyText"/>
        <w:spacing w:line="360" w:lineRule="auto" w:before="134"/>
        <w:ind w:left="192" w:right="184" w:firstLine="427"/>
        <w:jc w:val="both"/>
      </w:pPr>
      <w:r>
        <w:rPr/>
        <w:t>Los ovinos fueron sangrados, por punción en la vena yugular, a la hora cero (ayuno) y  3 horas posteriores a la alimentación tras un periodo de ayuno de 16 horas en las semanas 2 y 7 del experimento (Kitchalong </w:t>
      </w:r>
      <w:r>
        <w:rPr>
          <w:i/>
        </w:rPr>
        <w:t>et al., </w:t>
      </w:r>
      <w:r>
        <w:rPr/>
        <w:t>1995). Se usarán tubos vacutainer de 7 ml con fluoruro de sodio y oxalato de potasio. Inmediatamente después de la colección de sangre, las</w:t>
      </w:r>
      <w:r>
        <w:rPr>
          <w:spacing w:val="19"/>
        </w:rPr>
        <w:t> </w:t>
      </w:r>
      <w:r>
        <w:rPr/>
        <w:t>muestras</w:t>
      </w:r>
      <w:r>
        <w:rPr>
          <w:spacing w:val="20"/>
        </w:rPr>
        <w:t> </w:t>
      </w:r>
      <w:r>
        <w:rPr/>
        <w:t>fueron</w:t>
      </w:r>
      <w:r>
        <w:rPr>
          <w:spacing w:val="19"/>
        </w:rPr>
        <w:t> </w:t>
      </w:r>
      <w:r>
        <w:rPr/>
        <w:t>colocadas</w:t>
      </w:r>
      <w:r>
        <w:rPr>
          <w:spacing w:val="19"/>
        </w:rPr>
        <w:t> </w:t>
      </w:r>
      <w:r>
        <w:rPr/>
        <w:t>en</w:t>
      </w:r>
      <w:r>
        <w:rPr>
          <w:spacing w:val="19"/>
        </w:rPr>
        <w:t> </w:t>
      </w:r>
      <w:r>
        <w:rPr/>
        <w:t>hielo</w:t>
      </w:r>
      <w:r>
        <w:rPr>
          <w:spacing w:val="24"/>
        </w:rPr>
        <w:t> </w:t>
      </w:r>
      <w:r>
        <w:rPr/>
        <w:t>y</w:t>
      </w:r>
      <w:r>
        <w:rPr>
          <w:spacing w:val="16"/>
        </w:rPr>
        <w:t> </w:t>
      </w:r>
      <w:r>
        <w:rPr/>
        <w:t>transportadas</w:t>
      </w:r>
      <w:r>
        <w:rPr>
          <w:spacing w:val="20"/>
        </w:rPr>
        <w:t> </w:t>
      </w:r>
      <w:r>
        <w:rPr/>
        <w:t>al</w:t>
      </w:r>
      <w:r>
        <w:rPr>
          <w:spacing w:val="19"/>
        </w:rPr>
        <w:t> </w:t>
      </w:r>
      <w:r>
        <w:rPr/>
        <w:t>laboratorio</w:t>
      </w:r>
      <w:r>
        <w:rPr>
          <w:spacing w:val="20"/>
        </w:rPr>
        <w:t> </w:t>
      </w:r>
      <w:r>
        <w:rPr/>
        <w:t>de</w:t>
      </w:r>
      <w:r>
        <w:rPr>
          <w:spacing w:val="18"/>
        </w:rPr>
        <w:t> </w:t>
      </w:r>
      <w:r>
        <w:rPr/>
        <w:t>Bromatología</w:t>
      </w:r>
      <w:r>
        <w:rPr>
          <w:spacing w:val="18"/>
        </w:rPr>
        <w:t> </w:t>
      </w:r>
      <w:r>
        <w:rPr/>
        <w:t>del</w:t>
      </w:r>
    </w:p>
    <w:p>
      <w:pPr>
        <w:spacing w:after="0" w:line="360" w:lineRule="auto"/>
        <w:jc w:val="both"/>
        <w:sectPr>
          <w:pgSz w:w="12240" w:h="15840"/>
          <w:pgMar w:header="1154" w:footer="1383" w:top="1620" w:bottom="1580" w:left="1680" w:right="1340"/>
        </w:sectPr>
      </w:pPr>
    </w:p>
    <w:p>
      <w:pPr>
        <w:pStyle w:val="BodyText"/>
        <w:spacing w:before="2"/>
        <w:rPr>
          <w:sz w:val="9"/>
        </w:rPr>
      </w:pPr>
    </w:p>
    <w:p>
      <w:pPr>
        <w:pStyle w:val="BodyText"/>
        <w:spacing w:line="360" w:lineRule="auto" w:before="69"/>
        <w:ind w:left="152" w:right="109"/>
        <w:jc w:val="both"/>
      </w:pPr>
      <w:r>
        <w:rPr/>
        <w:t>Departamento de Nutrición Animal de la FMVZ-UAEM, para ser centrifugadas a 2000 rpm/15 min., el plasma o suero colectado se almacenó a -20º C hasta su análisis correspondiente.</w:t>
      </w:r>
    </w:p>
    <w:p>
      <w:pPr>
        <w:pStyle w:val="BodyText"/>
        <w:spacing w:line="360" w:lineRule="auto" w:before="4"/>
        <w:ind w:left="152" w:right="109" w:firstLine="707"/>
        <w:jc w:val="both"/>
      </w:pPr>
      <w:r>
        <w:rPr/>
        <w:t>Los metabolitos plasmáticos determinados fueron: glucosa, urea y triglicéridos (Kitchalong </w:t>
      </w:r>
      <w:r>
        <w:rPr>
          <w:i/>
        </w:rPr>
        <w:t>et al., </w:t>
      </w:r>
      <w:r>
        <w:rPr/>
        <w:t>1995). Los metabolitos plasmáticos fueron determinados empleando química seca (Equipo Vitros DT60 II de sistema semi-automatizado) mediante el método  de fotometría por reflexión, utilizando los siguientes reactivos SLIDE (Johnson and Jonhnson): Película seca, de múltiples capas; Slide Kodak Ektachem DT (GLU), Slide kodak Ektachem DT (BUN/UREA); Slide Kodak Ektachem DT (COL), Slide Kodak Ektachem DT</w:t>
      </w:r>
      <w:r>
        <w:rPr>
          <w:spacing w:val="-7"/>
        </w:rPr>
        <w:t> </w:t>
      </w:r>
      <w:r>
        <w:rPr/>
        <w:t>(TRIG).</w:t>
      </w:r>
    </w:p>
    <w:p>
      <w:pPr>
        <w:pStyle w:val="BodyText"/>
      </w:pPr>
    </w:p>
    <w:p>
      <w:pPr>
        <w:pStyle w:val="ListParagraph"/>
        <w:numPr>
          <w:ilvl w:val="2"/>
          <w:numId w:val="13"/>
        </w:numPr>
        <w:tabs>
          <w:tab w:pos="650" w:val="left" w:leader="none"/>
        </w:tabs>
        <w:spacing w:line="240" w:lineRule="auto" w:before="147" w:after="0"/>
        <w:ind w:left="649" w:right="0" w:hanging="497"/>
        <w:jc w:val="both"/>
        <w:rPr>
          <w:b/>
          <w:i/>
          <w:sz w:val="22"/>
        </w:rPr>
      </w:pPr>
      <w:bookmarkStart w:name="_bookmark44" w:id="84"/>
      <w:bookmarkEnd w:id="84"/>
      <w:r>
        <w:rPr/>
      </w:r>
      <w:bookmarkStart w:name="_bookmark44" w:id="85"/>
      <w:bookmarkEnd w:id="85"/>
      <w:r>
        <w:rPr>
          <w:b/>
          <w:i/>
          <w:sz w:val="22"/>
        </w:rPr>
        <w:t>M</w:t>
      </w:r>
      <w:r>
        <w:rPr>
          <w:b/>
          <w:i/>
          <w:sz w:val="22"/>
        </w:rPr>
        <w:t>uestreo de tejidos para determinación de</w:t>
      </w:r>
      <w:r>
        <w:rPr>
          <w:b/>
          <w:i/>
          <w:spacing w:val="-17"/>
          <w:sz w:val="22"/>
        </w:rPr>
        <w:t> </w:t>
      </w:r>
      <w:r>
        <w:rPr>
          <w:b/>
          <w:i/>
          <w:sz w:val="22"/>
        </w:rPr>
        <w:t>minerales</w:t>
      </w:r>
    </w:p>
    <w:p>
      <w:pPr>
        <w:spacing w:line="360" w:lineRule="auto" w:before="122"/>
        <w:ind w:left="152" w:right="107" w:firstLine="0"/>
        <w:jc w:val="both"/>
        <w:rPr>
          <w:sz w:val="22"/>
        </w:rPr>
      </w:pPr>
      <w:r>
        <w:rPr>
          <w:sz w:val="24"/>
        </w:rPr>
        <w:t>Post-sacrificio y evisceración de los ovinos se obtuvieron muestras de hígado y hueso, las cuales fueron identificados y conservadas a -20º C para análisis del contenido de Ca, Mg, Fe, Cu, Zn y Cr, por espectrofotometría de absorción atómica de flama (Perking Elmer, 3110; Fick </w:t>
      </w:r>
      <w:r>
        <w:rPr>
          <w:i/>
          <w:sz w:val="24"/>
        </w:rPr>
        <w:t>et al., </w:t>
      </w:r>
      <w:r>
        <w:rPr>
          <w:sz w:val="24"/>
        </w:rPr>
        <w:t>1979), </w:t>
      </w:r>
      <w:r>
        <w:rPr>
          <w:sz w:val="22"/>
        </w:rPr>
        <w:t>el Na y K por flamómetro (Corning, 410), el P se determinó por colorimetría en espectrofotómetro de luz ultravioleta (Perkin Elmer, modelo Génesis 20).</w:t>
      </w:r>
    </w:p>
    <w:p>
      <w:pPr>
        <w:pStyle w:val="BodyText"/>
        <w:rPr>
          <w:sz w:val="22"/>
        </w:rPr>
      </w:pPr>
    </w:p>
    <w:p>
      <w:pPr>
        <w:pStyle w:val="ListParagraph"/>
        <w:numPr>
          <w:ilvl w:val="2"/>
          <w:numId w:val="13"/>
        </w:numPr>
        <w:tabs>
          <w:tab w:pos="650" w:val="left" w:leader="none"/>
        </w:tabs>
        <w:spacing w:line="240" w:lineRule="auto" w:before="136" w:after="0"/>
        <w:ind w:left="649" w:right="0" w:hanging="497"/>
        <w:jc w:val="both"/>
        <w:rPr>
          <w:b/>
          <w:i/>
          <w:sz w:val="22"/>
        </w:rPr>
      </w:pPr>
      <w:bookmarkStart w:name="_bookmark45" w:id="86"/>
      <w:bookmarkEnd w:id="86"/>
      <w:r>
        <w:rPr/>
      </w:r>
      <w:bookmarkStart w:name="_bookmark45" w:id="87"/>
      <w:bookmarkEnd w:id="87"/>
      <w:r>
        <w:rPr>
          <w:b/>
          <w:i/>
          <w:sz w:val="22"/>
        </w:rPr>
        <w:t>D</w:t>
      </w:r>
      <w:r>
        <w:rPr>
          <w:b/>
          <w:i/>
          <w:sz w:val="22"/>
        </w:rPr>
        <w:t>eterminación de ácidos grasos en grasa</w:t>
      </w:r>
      <w:r>
        <w:rPr>
          <w:b/>
          <w:i/>
          <w:spacing w:val="-15"/>
          <w:sz w:val="22"/>
        </w:rPr>
        <w:t> </w:t>
      </w:r>
      <w:r>
        <w:rPr>
          <w:b/>
          <w:i/>
          <w:sz w:val="22"/>
        </w:rPr>
        <w:t>intramuscular</w:t>
      </w:r>
    </w:p>
    <w:p>
      <w:pPr>
        <w:pStyle w:val="BodyText"/>
        <w:spacing w:line="360" w:lineRule="auto" w:before="124"/>
        <w:ind w:left="152" w:right="105" w:firstLine="359"/>
        <w:jc w:val="both"/>
      </w:pPr>
      <w:r>
        <w:rPr/>
        <w:t>El análisis químico proximal de la GIM del </w:t>
      </w:r>
      <w:r>
        <w:rPr>
          <w:i/>
        </w:rPr>
        <w:t>Longissimus dorsi </w:t>
      </w:r>
      <w:r>
        <w:rPr/>
        <w:t>se hizo en duplicado, basado en el método oficial 991.36 AOAC (2005); para determinación de grasa. La cuantificación de los AG se realizó según el procedimiento convencional propuesto por (Bligh y Dyer, 1959), con modificaciones de (Soto </w:t>
      </w:r>
      <w:r>
        <w:rPr>
          <w:i/>
        </w:rPr>
        <w:t>et al., </w:t>
      </w:r>
      <w:r>
        <w:rPr/>
        <w:t>2014). Se usó una mezcla cloroformo/metanol (2:1) para suspender 10g de carne (relación cloroformo/metanol: carne, 10:1). </w:t>
      </w:r>
      <w:r>
        <w:rPr>
          <w:spacing w:val="-3"/>
        </w:rPr>
        <w:t>La </w:t>
      </w:r>
      <w:r>
        <w:rPr/>
        <w:t>suspensión fue sometida durante 60 min a irradiación ultrasónica, con un procesador ultrasónico de alta eficiencia modelo UP200S, Hielscher Ultrasonics, y potencia de salida nominal de 200 W, cuyas vibraciones mecánicas se generan por excitación electrónica a una frecuencia de 24 kHz. Para transmitir la potencia acústica al medio se utilizó un sonotrodo modelo S14, variándose la amplitud (relacionada directamente con la densidad y potencia acústica). Posteriormente, se filtró con vacío y la fase líquida </w:t>
      </w:r>
      <w:r>
        <w:rPr>
          <w:spacing w:val="53"/>
        </w:rPr>
        <w:t> </w:t>
      </w:r>
      <w:r>
        <w:rPr/>
        <w:t>obtenida</w:t>
      </w:r>
    </w:p>
    <w:p>
      <w:pPr>
        <w:spacing w:after="0" w:line="360" w:lineRule="auto"/>
        <w:jc w:val="both"/>
        <w:sectPr>
          <w:pgSz w:w="12240" w:h="15840"/>
          <w:pgMar w:header="1154" w:footer="1383" w:top="1620" w:bottom="1580" w:left="1720" w:right="1420"/>
        </w:sectPr>
      </w:pPr>
    </w:p>
    <w:p>
      <w:pPr>
        <w:pStyle w:val="BodyText"/>
        <w:spacing w:before="2"/>
        <w:rPr>
          <w:sz w:val="9"/>
        </w:rPr>
      </w:pPr>
    </w:p>
    <w:p>
      <w:pPr>
        <w:pStyle w:val="BodyText"/>
        <w:spacing w:line="360" w:lineRule="auto" w:before="69"/>
        <w:ind w:left="152" w:right="111"/>
        <w:jc w:val="both"/>
      </w:pPr>
      <w:r>
        <w:rPr/>
        <w:t>se ajustó a una proporción cloroformo/metanol/agua (2:2:1.8) y fue transferida a un  embudo de separación, recuperando la fase no acuosa después de 24 h. En seguida se retiró la fase inferior (grasa-cloroformo) formada y se extrajo el exceso de cloroformo con evaporador rotatorio al vacío, Yamato, modelo RE300, a temperatura de 45 °C. Posteriormente se agregó 300 μl KOH y 10 ml de metanol y se expuso al ultrasonido por 60 seg. Se eliminó el metanol con evaporador rotatorio al vacío, a temperatura de 50 °C, se agregó 10 ml de hexano y se filtró con papel Whatman de 0.22</w:t>
      </w:r>
      <w:r>
        <w:rPr>
          <w:spacing w:val="-6"/>
        </w:rPr>
        <w:t> </w:t>
      </w:r>
      <w:r>
        <w:rPr/>
        <w:t>μm.</w:t>
      </w:r>
    </w:p>
    <w:p>
      <w:pPr>
        <w:pStyle w:val="BodyText"/>
        <w:spacing w:line="357" w:lineRule="auto" w:before="4"/>
        <w:ind w:left="152" w:right="106" w:firstLine="179"/>
        <w:jc w:val="both"/>
      </w:pPr>
      <w:r>
        <w:rPr/>
        <w:t>El extracto de lípidos fue convertido a ésteres metílicos de ácidos grasos (FAME), separados y cuantificados mediante un cromatógrafo de gases Agilent 6890N con espectrómetro de masas Agilent 5973, columna Omega Wax 250, Helio como gas acarreador e inyector automático serie 7683. Las condiciones de operación fueron: volumen de inyección, 1 μL; flujo, 1 mL min</w:t>
      </w:r>
      <w:r>
        <w:rPr>
          <w:position w:val="9"/>
          <w:sz w:val="16"/>
        </w:rPr>
        <w:t>-1</w:t>
      </w:r>
      <w:r>
        <w:rPr/>
        <w:t>; temperatura de columna, de 50 a 270 °C (10 min) con una tasa de calentamiento de 5 °C min</w:t>
      </w:r>
      <w:r>
        <w:rPr>
          <w:position w:val="9"/>
          <w:sz w:val="16"/>
        </w:rPr>
        <w:t>-1</w:t>
      </w:r>
      <w:r>
        <w:rPr/>
        <w:t>. Los ácidos grasos individuales fueron identificados por comparación de sus tiempos de retención con los estándares de la mezcla de ácidos grasos Sulpeco 37 (Sigma Chemical, UK), utilizados como estándares internos. Los ácidos grasos se expresaron como g por 100g del total de ácidos grasos identificados, y fueron agrupados como ácidos grasos saturados (AGS) e insaturados</w:t>
      </w:r>
      <w:r>
        <w:rPr>
          <w:spacing w:val="-12"/>
        </w:rPr>
        <w:t> </w:t>
      </w:r>
      <w:r>
        <w:rPr/>
        <w:t>(AGI).</w:t>
      </w:r>
    </w:p>
    <w:p>
      <w:pPr>
        <w:pStyle w:val="BodyText"/>
        <w:spacing w:before="11"/>
        <w:rPr>
          <w:sz w:val="33"/>
        </w:rPr>
      </w:pPr>
    </w:p>
    <w:p>
      <w:pPr>
        <w:pStyle w:val="Heading1"/>
        <w:numPr>
          <w:ilvl w:val="1"/>
          <w:numId w:val="13"/>
        </w:numPr>
        <w:tabs>
          <w:tab w:pos="513" w:val="left" w:leader="none"/>
        </w:tabs>
        <w:spacing w:line="240" w:lineRule="auto" w:before="0" w:after="0"/>
        <w:ind w:left="512" w:right="0" w:hanging="360"/>
        <w:jc w:val="both"/>
      </w:pPr>
      <w:bookmarkStart w:name="_bookmark46" w:id="88"/>
      <w:bookmarkEnd w:id="88"/>
      <w:r>
        <w:rPr>
          <w:b w:val="0"/>
        </w:rPr>
      </w:r>
      <w:bookmarkStart w:name="_bookmark46" w:id="89"/>
      <w:bookmarkEnd w:id="89"/>
      <w:r>
        <w:rPr/>
        <w:t>Ca</w:t>
      </w:r>
      <w:r>
        <w:rPr/>
        <w:t>racterísticas de la</w:t>
      </w:r>
      <w:r>
        <w:rPr>
          <w:spacing w:val="-5"/>
        </w:rPr>
        <w:t> </w:t>
      </w:r>
      <w:r>
        <w:rPr/>
        <w:t>canal</w:t>
      </w:r>
    </w:p>
    <w:p>
      <w:pPr>
        <w:pStyle w:val="BodyText"/>
        <w:rPr>
          <w:b/>
        </w:rPr>
      </w:pPr>
    </w:p>
    <w:p>
      <w:pPr>
        <w:pStyle w:val="BodyText"/>
        <w:spacing w:before="11"/>
        <w:rPr>
          <w:b/>
          <w:sz w:val="23"/>
        </w:rPr>
      </w:pPr>
    </w:p>
    <w:p>
      <w:pPr>
        <w:pStyle w:val="ListParagraph"/>
        <w:numPr>
          <w:ilvl w:val="2"/>
          <w:numId w:val="13"/>
        </w:numPr>
        <w:tabs>
          <w:tab w:pos="650" w:val="left" w:leader="none"/>
        </w:tabs>
        <w:spacing w:line="240" w:lineRule="auto" w:before="0" w:after="0"/>
        <w:ind w:left="649" w:right="0" w:hanging="497"/>
        <w:jc w:val="both"/>
        <w:rPr>
          <w:b/>
          <w:i/>
          <w:sz w:val="22"/>
        </w:rPr>
      </w:pPr>
      <w:bookmarkStart w:name="_bookmark47" w:id="90"/>
      <w:bookmarkEnd w:id="90"/>
      <w:r>
        <w:rPr/>
      </w:r>
      <w:bookmarkStart w:name="_bookmark47" w:id="91"/>
      <w:bookmarkEnd w:id="91"/>
      <w:r>
        <w:rPr>
          <w:b/>
          <w:i/>
          <w:sz w:val="22"/>
        </w:rPr>
        <w:t>Sa</w:t>
      </w:r>
      <w:r>
        <w:rPr>
          <w:b/>
          <w:i/>
          <w:sz w:val="22"/>
        </w:rPr>
        <w:t>crificio de los</w:t>
      </w:r>
      <w:r>
        <w:rPr>
          <w:b/>
          <w:i/>
          <w:spacing w:val="-11"/>
          <w:sz w:val="22"/>
        </w:rPr>
        <w:t> </w:t>
      </w:r>
      <w:r>
        <w:rPr>
          <w:b/>
          <w:i/>
          <w:sz w:val="22"/>
        </w:rPr>
        <w:t>animales</w:t>
      </w:r>
    </w:p>
    <w:p>
      <w:pPr>
        <w:pStyle w:val="BodyText"/>
        <w:spacing w:line="360" w:lineRule="auto" w:before="122"/>
        <w:ind w:left="152" w:right="104" w:firstLine="359"/>
        <w:jc w:val="both"/>
      </w:pPr>
      <w:r>
        <w:rPr/>
        <w:t>Todos los procedimientos del estudio que involucraron el manejo de los ovinos se llevaron a cabo dentro de los lineamientos aprobados por técnicas oficiales locales para el cuidado de los animales en México (NOM-051-ZOO-1995: cuidado humanitario de los animales durante la movilización; NOM-033-ZOO-1995: sacrificio humanitario  de animales silvestres y domésticos).</w:t>
      </w:r>
    </w:p>
    <w:p>
      <w:pPr>
        <w:pStyle w:val="BodyText"/>
        <w:spacing w:line="360" w:lineRule="auto" w:before="6"/>
        <w:ind w:left="152" w:right="106" w:firstLine="359"/>
        <w:jc w:val="both"/>
      </w:pPr>
      <w:r>
        <w:rPr/>
        <w:t>Al concluir la fase de crecimiento, los corderos luego de un período de ayuno de 24 horas fueron pesados. Posteriormente fueron transportados a un taller de matanza en el Municipio de Capulhuac, Estado de México; donde permanecieron en reposo por 12 h. El</w:t>
      </w:r>
    </w:p>
    <w:p>
      <w:pPr>
        <w:spacing w:after="0" w:line="360" w:lineRule="auto"/>
        <w:jc w:val="both"/>
        <w:sectPr>
          <w:pgSz w:w="12240" w:h="15840"/>
          <w:pgMar w:header="1154" w:footer="1383" w:top="1620" w:bottom="1580" w:left="1720" w:right="1420"/>
        </w:sectPr>
      </w:pPr>
    </w:p>
    <w:p>
      <w:pPr>
        <w:pStyle w:val="BodyText"/>
        <w:spacing w:before="2"/>
        <w:rPr>
          <w:sz w:val="9"/>
        </w:rPr>
      </w:pPr>
    </w:p>
    <w:p>
      <w:pPr>
        <w:pStyle w:val="BodyText"/>
        <w:spacing w:line="360" w:lineRule="auto" w:before="69"/>
        <w:ind w:left="152" w:right="104"/>
        <w:jc w:val="both"/>
      </w:pPr>
      <w:r>
        <w:rPr/>
        <w:t>peso vivo fue registrado nuevamente inmediatamente antes de proceder al sacrificio. Finalmente los corderos fueron sacrificados.</w:t>
      </w:r>
    </w:p>
    <w:p>
      <w:pPr>
        <w:pStyle w:val="BodyText"/>
        <w:spacing w:line="360" w:lineRule="auto" w:before="6"/>
        <w:ind w:left="152" w:right="106" w:firstLine="359"/>
        <w:jc w:val="both"/>
      </w:pPr>
      <w:r>
        <w:rPr/>
        <w:t>Los ovinos fueron sometidos a una revisión ante mortem para verificar su estado de salud, no observándose síntomas de morbilidad. Se siguieron todas las normas y procedimientos de un taller de carnes para la transformación de la materia prima en productos elaborados, que comprende el proceso de preparación de la canal y vísceras usadas en la producción de barbacoa (NOM-009-Z00-1994). El sacrificio se realizó por sangrado haciendo una incisión en la yugular a nivel del tercio superior del cuello. Una vez que el animal estuvo inconsciente, se sujetó a la altura del ligamento suspensorio y se elevó para proceder al degüelle, procediéndose a separar la cabeza a nivel de la articulación occipitoalantoidea. La piel fue separada haciendo una incisión en la línea media, e inmediatamente se procedió al registro de su peso. Se realizó amarre del recto con el fin de evitar la contaminación de la canal; posteriormente, se hizo una incisión sobre la línea media para abrir la cavidad abdominal y exponer las vísceras verdes (vísceras del tubo gastrointestinal), enseguida se retiró el diafragma para extraer las vísceras rojas.</w:t>
      </w:r>
    </w:p>
    <w:p>
      <w:pPr>
        <w:pStyle w:val="BodyText"/>
        <w:spacing w:line="360" w:lineRule="auto" w:before="4"/>
        <w:ind w:left="152" w:right="107"/>
        <w:jc w:val="both"/>
      </w:pPr>
      <w:r>
        <w:rPr/>
        <w:t>El peso de la canal caliente (PCC) fue obtenido inmediatamente después de haber  terminado la evisceración. La canal se mantuvo a temperatura ambiente durante 12 horas para su maduración; posteriormente fue pesada para obtener el valor del peso de la canal fría (PCF). Las variables a evaluar durante esta fase del experimento fueron las</w:t>
      </w:r>
      <w:r>
        <w:rPr>
          <w:spacing w:val="-16"/>
        </w:rPr>
        <w:t> </w:t>
      </w:r>
      <w:r>
        <w:rPr/>
        <w:t>siguientes:</w:t>
      </w:r>
    </w:p>
    <w:p>
      <w:pPr>
        <w:pStyle w:val="BodyText"/>
      </w:pPr>
    </w:p>
    <w:p>
      <w:pPr>
        <w:pStyle w:val="ListParagraph"/>
        <w:numPr>
          <w:ilvl w:val="0"/>
          <w:numId w:val="15"/>
        </w:numPr>
        <w:tabs>
          <w:tab w:pos="393" w:val="left" w:leader="none"/>
        </w:tabs>
        <w:spacing w:line="240" w:lineRule="auto" w:before="143" w:after="0"/>
        <w:ind w:left="152" w:right="0" w:firstLine="0"/>
        <w:jc w:val="both"/>
        <w:rPr>
          <w:sz w:val="24"/>
        </w:rPr>
      </w:pPr>
      <w:r>
        <w:rPr>
          <w:b/>
          <w:sz w:val="24"/>
        </w:rPr>
        <w:t>Peso vivo al sacrificio. </w:t>
      </w:r>
      <w:r>
        <w:rPr>
          <w:sz w:val="24"/>
        </w:rPr>
        <w:t>Expresado en</w:t>
      </w:r>
      <w:r>
        <w:rPr>
          <w:spacing w:val="-7"/>
          <w:sz w:val="24"/>
        </w:rPr>
        <w:t> </w:t>
      </w:r>
      <w:r>
        <w:rPr>
          <w:sz w:val="24"/>
        </w:rPr>
        <w:t>kilogramos.</w:t>
      </w:r>
    </w:p>
    <w:p>
      <w:pPr>
        <w:pStyle w:val="ListParagraph"/>
        <w:numPr>
          <w:ilvl w:val="0"/>
          <w:numId w:val="15"/>
        </w:numPr>
        <w:tabs>
          <w:tab w:pos="446" w:val="left" w:leader="none"/>
        </w:tabs>
        <w:spacing w:line="360" w:lineRule="auto" w:before="137" w:after="0"/>
        <w:ind w:left="152" w:right="109" w:firstLine="0"/>
        <w:jc w:val="both"/>
        <w:rPr>
          <w:sz w:val="24"/>
        </w:rPr>
      </w:pPr>
      <w:r>
        <w:rPr>
          <w:b/>
          <w:sz w:val="24"/>
        </w:rPr>
        <w:t>Peso de la canal caliente (PCC). </w:t>
      </w:r>
      <w:r>
        <w:rPr>
          <w:sz w:val="24"/>
        </w:rPr>
        <w:t>Obtenido inmediatamente después de concluir la evisceración.</w:t>
      </w:r>
    </w:p>
    <w:p>
      <w:pPr>
        <w:pStyle w:val="ListParagraph"/>
        <w:numPr>
          <w:ilvl w:val="0"/>
          <w:numId w:val="15"/>
        </w:numPr>
        <w:tabs>
          <w:tab w:pos="486" w:val="left" w:leader="none"/>
        </w:tabs>
        <w:spacing w:line="360" w:lineRule="auto" w:before="4" w:after="0"/>
        <w:ind w:left="152" w:right="111" w:firstLine="0"/>
        <w:jc w:val="both"/>
        <w:rPr>
          <w:sz w:val="24"/>
        </w:rPr>
      </w:pPr>
      <w:r>
        <w:rPr>
          <w:b/>
          <w:sz w:val="24"/>
        </w:rPr>
        <w:t>Peso de la canal fría (PCF). </w:t>
      </w:r>
      <w:r>
        <w:rPr>
          <w:sz w:val="24"/>
        </w:rPr>
        <w:t>Debido al despiece rápido de la canal para su procesamiento en barbacoa y por las condiciones del taller la canal se mantiene únicamente a temperatura ambiente durante 12 horas para su maduración; posteriormente es pesada  para obtener el valor de peso de la canal</w:t>
      </w:r>
      <w:r>
        <w:rPr>
          <w:spacing w:val="-9"/>
          <w:sz w:val="24"/>
        </w:rPr>
        <w:t> </w:t>
      </w:r>
      <w:r>
        <w:rPr>
          <w:sz w:val="24"/>
        </w:rPr>
        <w:t>fría.</w:t>
      </w:r>
    </w:p>
    <w:p>
      <w:pPr>
        <w:pStyle w:val="ListParagraph"/>
        <w:numPr>
          <w:ilvl w:val="0"/>
          <w:numId w:val="15"/>
        </w:numPr>
        <w:tabs>
          <w:tab w:pos="426" w:val="left" w:leader="none"/>
        </w:tabs>
        <w:spacing w:line="360" w:lineRule="auto" w:before="6" w:after="0"/>
        <w:ind w:left="152" w:right="108" w:firstLine="0"/>
        <w:jc w:val="both"/>
        <w:rPr>
          <w:sz w:val="24"/>
        </w:rPr>
      </w:pPr>
      <w:r>
        <w:rPr>
          <w:b/>
          <w:sz w:val="24"/>
        </w:rPr>
        <w:t>Rendimiento comercial de la canal (RCC) </w:t>
      </w:r>
      <w:r>
        <w:rPr>
          <w:sz w:val="24"/>
        </w:rPr>
        <w:t>Se obtiene al dividir el peso de la canal fría/peso vivo al sacrificio x</w:t>
      </w:r>
      <w:r>
        <w:rPr>
          <w:spacing w:val="-2"/>
          <w:sz w:val="24"/>
        </w:rPr>
        <w:t> </w:t>
      </w:r>
      <w:r>
        <w:rPr>
          <w:sz w:val="24"/>
        </w:rPr>
        <w:t>100.</w:t>
      </w:r>
    </w:p>
    <w:p>
      <w:pPr>
        <w:spacing w:after="0" w:line="360" w:lineRule="auto"/>
        <w:jc w:val="both"/>
        <w:rPr>
          <w:sz w:val="24"/>
        </w:rPr>
        <w:sectPr>
          <w:pgSz w:w="12240" w:h="15840"/>
          <w:pgMar w:header="1154" w:footer="1383" w:top="1620" w:bottom="1580" w:left="1720" w:right="1420"/>
        </w:sectPr>
      </w:pPr>
    </w:p>
    <w:p>
      <w:pPr>
        <w:pStyle w:val="BodyText"/>
        <w:spacing w:before="2"/>
        <w:rPr>
          <w:sz w:val="9"/>
        </w:rPr>
      </w:pPr>
    </w:p>
    <w:p>
      <w:pPr>
        <w:pStyle w:val="ListParagraph"/>
        <w:numPr>
          <w:ilvl w:val="0"/>
          <w:numId w:val="15"/>
        </w:numPr>
        <w:tabs>
          <w:tab w:pos="414" w:val="left" w:leader="none"/>
        </w:tabs>
        <w:spacing w:line="360" w:lineRule="auto" w:before="69" w:after="0"/>
        <w:ind w:left="152" w:right="108" w:firstLine="0"/>
        <w:jc w:val="both"/>
        <w:rPr>
          <w:sz w:val="24"/>
        </w:rPr>
      </w:pPr>
      <w:r>
        <w:rPr>
          <w:b/>
          <w:sz w:val="24"/>
        </w:rPr>
        <w:t>Depósito de grasa dorsal (DGD). </w:t>
      </w:r>
      <w:r>
        <w:rPr>
          <w:sz w:val="24"/>
        </w:rPr>
        <w:t>A la altura de la 12ª costilla se realizó una incisión para medir el espesor de la grasa dorsal con una regla graduada colocada en forma perpendicular a la superficie externa de la canal a 6 cm de distancia de la apófisis dorsal de la vértebra (Colomer-Rocher </w:t>
      </w:r>
      <w:r>
        <w:rPr>
          <w:i/>
          <w:sz w:val="24"/>
        </w:rPr>
        <w:t>et al., </w:t>
      </w:r>
      <w:r>
        <w:rPr>
          <w:sz w:val="24"/>
        </w:rPr>
        <w:t>1984; Delfa </w:t>
      </w:r>
      <w:r>
        <w:rPr>
          <w:i/>
          <w:sz w:val="24"/>
        </w:rPr>
        <w:t>et al</w:t>
      </w:r>
      <w:r>
        <w:rPr>
          <w:sz w:val="24"/>
        </w:rPr>
        <w:t>.,</w:t>
      </w:r>
      <w:r>
        <w:rPr>
          <w:spacing w:val="-8"/>
          <w:sz w:val="24"/>
        </w:rPr>
        <w:t> </w:t>
      </w:r>
      <w:r>
        <w:rPr>
          <w:sz w:val="24"/>
        </w:rPr>
        <w:t>1995).</w:t>
      </w:r>
    </w:p>
    <w:p>
      <w:pPr>
        <w:pStyle w:val="ListParagraph"/>
        <w:numPr>
          <w:ilvl w:val="0"/>
          <w:numId w:val="15"/>
        </w:numPr>
        <w:tabs>
          <w:tab w:pos="414" w:val="left" w:leader="none"/>
        </w:tabs>
        <w:spacing w:line="360" w:lineRule="auto" w:before="116" w:after="0"/>
        <w:ind w:left="152" w:right="107" w:firstLine="0"/>
        <w:jc w:val="both"/>
        <w:rPr>
          <w:sz w:val="24"/>
        </w:rPr>
      </w:pPr>
      <w:r>
        <w:rPr>
          <w:b/>
          <w:sz w:val="24"/>
        </w:rPr>
        <w:t>Área del ojo de chuleta (</w:t>
      </w:r>
      <w:r>
        <w:rPr>
          <w:b/>
          <w:i/>
          <w:sz w:val="24"/>
        </w:rPr>
        <w:t>Longissimus dorsi) </w:t>
      </w:r>
      <w:r>
        <w:rPr>
          <w:b/>
          <w:sz w:val="24"/>
        </w:rPr>
        <w:t>(AOCH)</w:t>
      </w:r>
      <w:r>
        <w:rPr>
          <w:b/>
          <w:i/>
          <w:sz w:val="24"/>
        </w:rPr>
        <w:t>. </w:t>
      </w:r>
      <w:r>
        <w:rPr>
          <w:sz w:val="24"/>
        </w:rPr>
        <w:t>Fue medida en la 13a costilla, usando una plantilla cuadriculada propuesta por la Ames, Iowa Cooperative Extension Service, Iowa State University of Science and Technology, November, 1998. As-235. Tras realizar una incisión a nivel de la 13ª costilla, se colocó la plantilla sobre la chuleta, cada 20 puntos equivalen a una pulgada cuadrada; se calcula la raíz cuadrada y el valor resultante se multiplica por 2.54, que son los centímetros que comprende una pulgada lineal; finalmente el resultado se elevó al cuadrado para obtener los</w:t>
      </w:r>
      <w:r>
        <w:rPr>
          <w:spacing w:val="-8"/>
          <w:sz w:val="24"/>
        </w:rPr>
        <w:t> </w:t>
      </w:r>
      <w:r>
        <w:rPr>
          <w:sz w:val="24"/>
        </w:rPr>
        <w:t>cm2.</w:t>
      </w:r>
    </w:p>
    <w:p>
      <w:pPr>
        <w:pStyle w:val="BodyText"/>
      </w:pPr>
    </w:p>
    <w:p>
      <w:pPr>
        <w:pStyle w:val="ListParagraph"/>
        <w:numPr>
          <w:ilvl w:val="2"/>
          <w:numId w:val="13"/>
        </w:numPr>
        <w:tabs>
          <w:tab w:pos="650" w:val="left" w:leader="none"/>
        </w:tabs>
        <w:spacing w:line="240" w:lineRule="auto" w:before="147" w:after="0"/>
        <w:ind w:left="649" w:right="0" w:hanging="497"/>
        <w:jc w:val="both"/>
        <w:rPr>
          <w:b/>
          <w:i/>
          <w:sz w:val="22"/>
        </w:rPr>
      </w:pPr>
      <w:bookmarkStart w:name="_bookmark48" w:id="92"/>
      <w:bookmarkEnd w:id="92"/>
      <w:r>
        <w:rPr/>
      </w:r>
      <w:bookmarkStart w:name="_bookmark48" w:id="93"/>
      <w:bookmarkEnd w:id="93"/>
      <w:r>
        <w:rPr>
          <w:b/>
          <w:i/>
          <w:sz w:val="22"/>
        </w:rPr>
        <w:t>A</w:t>
      </w:r>
      <w:r>
        <w:rPr>
          <w:b/>
          <w:i/>
          <w:sz w:val="22"/>
        </w:rPr>
        <w:t>nálisis morfométrico de las</w:t>
      </w:r>
      <w:r>
        <w:rPr>
          <w:b/>
          <w:i/>
          <w:spacing w:val="-11"/>
          <w:sz w:val="22"/>
        </w:rPr>
        <w:t> </w:t>
      </w:r>
      <w:r>
        <w:rPr>
          <w:b/>
          <w:i/>
          <w:sz w:val="22"/>
        </w:rPr>
        <w:t>canales.</w:t>
      </w:r>
    </w:p>
    <w:p>
      <w:pPr>
        <w:pStyle w:val="BodyText"/>
        <w:spacing w:before="122"/>
        <w:ind w:left="152"/>
        <w:jc w:val="both"/>
      </w:pPr>
      <w:r>
        <w:rPr/>
        <w:t>Las medidas lineales fueron obtenidas con cinta métrica sobre la canal colgada (Figura 2).</w:t>
      </w:r>
    </w:p>
    <w:p>
      <w:pPr>
        <w:pStyle w:val="BodyText"/>
      </w:pPr>
    </w:p>
    <w:p>
      <w:pPr>
        <w:pStyle w:val="BodyText"/>
      </w:pPr>
    </w:p>
    <w:p>
      <w:pPr>
        <w:pStyle w:val="ListParagraph"/>
        <w:numPr>
          <w:ilvl w:val="0"/>
          <w:numId w:val="16"/>
        </w:numPr>
        <w:tabs>
          <w:tab w:pos="438" w:val="left" w:leader="none"/>
        </w:tabs>
        <w:spacing w:line="362" w:lineRule="auto" w:before="0" w:after="0"/>
        <w:ind w:left="152" w:right="109" w:firstLine="0"/>
        <w:jc w:val="both"/>
        <w:rPr>
          <w:sz w:val="24"/>
        </w:rPr>
      </w:pPr>
      <w:r>
        <w:rPr>
          <w:b/>
          <w:sz w:val="24"/>
        </w:rPr>
        <w:t>Longitud de la canal (LC). </w:t>
      </w:r>
      <w:r>
        <w:rPr>
          <w:sz w:val="24"/>
        </w:rPr>
        <w:t>Distancia máxima entre el borde anterior de la sínfisis isquiopubiana y el borde anterior de la primera costilla en su punto</w:t>
      </w:r>
      <w:r>
        <w:rPr>
          <w:spacing w:val="-12"/>
          <w:sz w:val="24"/>
        </w:rPr>
        <w:t> </w:t>
      </w:r>
      <w:r>
        <w:rPr>
          <w:sz w:val="24"/>
        </w:rPr>
        <w:t>medio.</w:t>
      </w:r>
    </w:p>
    <w:p>
      <w:pPr>
        <w:pStyle w:val="ListParagraph"/>
        <w:numPr>
          <w:ilvl w:val="0"/>
          <w:numId w:val="16"/>
        </w:numPr>
        <w:tabs>
          <w:tab w:pos="402" w:val="left" w:leader="none"/>
        </w:tabs>
        <w:spacing w:line="360" w:lineRule="auto" w:before="167" w:after="0"/>
        <w:ind w:left="152" w:right="110" w:firstLine="0"/>
        <w:jc w:val="both"/>
        <w:rPr>
          <w:sz w:val="24"/>
        </w:rPr>
      </w:pPr>
      <w:r>
        <w:rPr>
          <w:b/>
          <w:sz w:val="24"/>
        </w:rPr>
        <w:t>Longitud de la pierna (LP). </w:t>
      </w:r>
      <w:r>
        <w:rPr>
          <w:sz w:val="24"/>
        </w:rPr>
        <w:t>Distancia entre el punto más caudal del perineo y el punto más distal del borde medial de la superficie articular</w:t>
      </w:r>
      <w:r>
        <w:rPr>
          <w:spacing w:val="-11"/>
          <w:sz w:val="24"/>
        </w:rPr>
        <w:t> </w:t>
      </w:r>
      <w:r>
        <w:rPr>
          <w:sz w:val="24"/>
        </w:rPr>
        <w:t>tarso-metatarsiana.</w:t>
      </w:r>
    </w:p>
    <w:p>
      <w:pPr>
        <w:pStyle w:val="ListParagraph"/>
        <w:numPr>
          <w:ilvl w:val="0"/>
          <w:numId w:val="16"/>
        </w:numPr>
        <w:tabs>
          <w:tab w:pos="393" w:val="left" w:leader="none"/>
        </w:tabs>
        <w:spacing w:line="240" w:lineRule="auto" w:before="6" w:after="0"/>
        <w:ind w:left="392" w:right="0" w:hanging="240"/>
        <w:jc w:val="both"/>
        <w:rPr>
          <w:sz w:val="24"/>
        </w:rPr>
      </w:pPr>
      <w:r>
        <w:rPr>
          <w:b/>
          <w:sz w:val="24"/>
        </w:rPr>
        <w:t>Ancho de la grupa (AG)</w:t>
      </w:r>
      <w:r>
        <w:rPr>
          <w:sz w:val="24"/>
        </w:rPr>
        <w:t>. Anchura máxima entre los trocánteres de ambos</w:t>
      </w:r>
      <w:r>
        <w:rPr>
          <w:spacing w:val="-13"/>
          <w:sz w:val="24"/>
        </w:rPr>
        <w:t> </w:t>
      </w:r>
      <w:r>
        <w:rPr>
          <w:sz w:val="24"/>
        </w:rPr>
        <w:t>fémures.</w:t>
      </w:r>
    </w:p>
    <w:p>
      <w:pPr>
        <w:pStyle w:val="BodyText"/>
        <w:spacing w:before="1"/>
        <w:rPr>
          <w:sz w:val="26"/>
        </w:rPr>
      </w:pPr>
    </w:p>
    <w:p>
      <w:pPr>
        <w:pStyle w:val="ListParagraph"/>
        <w:numPr>
          <w:ilvl w:val="0"/>
          <w:numId w:val="16"/>
        </w:numPr>
        <w:tabs>
          <w:tab w:pos="436" w:val="left" w:leader="none"/>
        </w:tabs>
        <w:spacing w:line="360" w:lineRule="auto" w:before="0" w:after="0"/>
        <w:ind w:left="152" w:right="109" w:firstLine="0"/>
        <w:jc w:val="both"/>
        <w:rPr>
          <w:sz w:val="24"/>
        </w:rPr>
      </w:pPr>
      <w:r>
        <w:rPr>
          <w:b/>
          <w:sz w:val="24"/>
        </w:rPr>
        <w:t>Ancho mayor de tórax (AMAT)</w:t>
      </w:r>
      <w:r>
        <w:rPr>
          <w:sz w:val="24"/>
        </w:rPr>
        <w:t>. Anchura máxima de la curvatura de las costillas, aproximadamente entre la 5ª y 7ª</w:t>
      </w:r>
      <w:r>
        <w:rPr>
          <w:spacing w:val="-10"/>
          <w:sz w:val="24"/>
        </w:rPr>
        <w:t> </w:t>
      </w:r>
      <w:r>
        <w:rPr>
          <w:sz w:val="24"/>
        </w:rPr>
        <w:t>costilla.</w:t>
      </w:r>
    </w:p>
    <w:p>
      <w:pPr>
        <w:pStyle w:val="ListParagraph"/>
        <w:numPr>
          <w:ilvl w:val="0"/>
          <w:numId w:val="16"/>
        </w:numPr>
        <w:tabs>
          <w:tab w:pos="402" w:val="left" w:leader="none"/>
        </w:tabs>
        <w:spacing w:line="360" w:lineRule="auto" w:before="4" w:after="0"/>
        <w:ind w:left="152" w:right="111" w:firstLine="0"/>
        <w:jc w:val="both"/>
        <w:rPr>
          <w:sz w:val="24"/>
        </w:rPr>
      </w:pPr>
      <w:r>
        <w:rPr>
          <w:b/>
          <w:sz w:val="24"/>
        </w:rPr>
        <w:t>Ancho menor de tórax (AMET). </w:t>
      </w:r>
      <w:r>
        <w:rPr>
          <w:sz w:val="24"/>
        </w:rPr>
        <w:t>Distancia entre la superficie externa del esternón y la superficie externa de la 6ª vértebra</w:t>
      </w:r>
      <w:r>
        <w:rPr>
          <w:spacing w:val="-10"/>
          <w:sz w:val="24"/>
        </w:rPr>
        <w:t> </w:t>
      </w:r>
      <w:r>
        <w:rPr>
          <w:sz w:val="24"/>
        </w:rPr>
        <w:t>torácica.</w:t>
      </w:r>
    </w:p>
    <w:p>
      <w:pPr>
        <w:pStyle w:val="ListParagraph"/>
        <w:numPr>
          <w:ilvl w:val="0"/>
          <w:numId w:val="16"/>
        </w:numPr>
        <w:tabs>
          <w:tab w:pos="393" w:val="left" w:leader="none"/>
        </w:tabs>
        <w:spacing w:line="240" w:lineRule="auto" w:before="4" w:after="0"/>
        <w:ind w:left="392" w:right="0" w:hanging="240"/>
        <w:jc w:val="both"/>
        <w:rPr>
          <w:sz w:val="24"/>
        </w:rPr>
      </w:pPr>
      <w:r>
        <w:rPr>
          <w:b/>
          <w:sz w:val="24"/>
        </w:rPr>
        <w:t>Índice de compacidad (IC). </w:t>
      </w:r>
      <w:r>
        <w:rPr>
          <w:sz w:val="24"/>
        </w:rPr>
        <w:t>Peso canal fría (kg)/Longitud de la canal</w:t>
      </w:r>
      <w:r>
        <w:rPr>
          <w:spacing w:val="-17"/>
          <w:sz w:val="24"/>
        </w:rPr>
        <w:t> </w:t>
      </w:r>
      <w:r>
        <w:rPr>
          <w:sz w:val="24"/>
        </w:rPr>
        <w:t>(cm).</w:t>
      </w:r>
    </w:p>
    <w:p>
      <w:pPr>
        <w:spacing w:after="0" w:line="240" w:lineRule="auto"/>
        <w:jc w:val="both"/>
        <w:rPr>
          <w:sz w:val="24"/>
        </w:rPr>
        <w:sectPr>
          <w:pgSz w:w="12240" w:h="15840"/>
          <w:pgMar w:header="1154" w:footer="1383" w:top="1620" w:bottom="1580" w:left="1720" w:right="1420"/>
        </w:sectPr>
      </w:pPr>
    </w:p>
    <w:p>
      <w:pPr>
        <w:pStyle w:val="BodyText"/>
        <w:spacing w:before="7"/>
        <w:rPr>
          <w:sz w:val="15"/>
        </w:rPr>
      </w:pPr>
    </w:p>
    <w:p>
      <w:pPr>
        <w:pStyle w:val="BodyText"/>
        <w:ind w:left="390"/>
        <w:rPr>
          <w:sz w:val="20"/>
        </w:rPr>
      </w:pPr>
      <w:r>
        <w:rPr>
          <w:sz w:val="20"/>
        </w:rPr>
        <w:pict>
          <v:group style="width:417.95pt;height:227.55pt;mso-position-horizontal-relative:char;mso-position-vertical-relative:line" coordorigin="0,0" coordsize="8359,4551">
            <v:shape style="position:absolute;left:0;top:24;width:1848;height:4527" type="#_x0000_t75" stroked="false">
              <v:imagedata r:id="rId30" o:title=""/>
            </v:shape>
            <v:shape style="position:absolute;left:1908;top:15;width:1509;height:4536" type="#_x0000_t75" stroked="false">
              <v:imagedata r:id="rId31" o:title=""/>
            </v:shape>
            <v:shape style="position:absolute;left:3477;top:0;width:1570;height:4551" type="#_x0000_t75" stroked="false">
              <v:imagedata r:id="rId32" o:title=""/>
            </v:shape>
            <v:shape style="position:absolute;left:5107;top:20;width:3252;height:4531" type="#_x0000_t75" stroked="false">
              <v:imagedata r:id="rId33" o:title=""/>
            </v:shape>
          </v:group>
        </w:pict>
      </w:r>
      <w:r>
        <w:rPr>
          <w:sz w:val="20"/>
        </w:rPr>
      </w:r>
    </w:p>
    <w:p>
      <w:pPr>
        <w:pStyle w:val="BodyText"/>
        <w:spacing w:before="122"/>
        <w:ind w:left="1299"/>
      </w:pPr>
      <w:r>
        <w:rPr>
          <w:b/>
        </w:rPr>
        <w:t>FIGURA 2. </w:t>
      </w:r>
      <w:r>
        <w:rPr/>
        <w:t>Toma de medidas morfométricas en la canal de ovinos.</w:t>
      </w:r>
    </w:p>
    <w:p>
      <w:pPr>
        <w:pStyle w:val="BodyText"/>
      </w:pPr>
    </w:p>
    <w:p>
      <w:pPr>
        <w:pStyle w:val="BodyText"/>
        <w:spacing w:before="4"/>
      </w:pPr>
    </w:p>
    <w:p>
      <w:pPr>
        <w:pStyle w:val="ListParagraph"/>
        <w:numPr>
          <w:ilvl w:val="2"/>
          <w:numId w:val="13"/>
        </w:numPr>
        <w:tabs>
          <w:tab w:pos="650" w:val="left" w:leader="none"/>
        </w:tabs>
        <w:spacing w:line="240" w:lineRule="auto" w:before="0" w:after="0"/>
        <w:ind w:left="649" w:right="0" w:hanging="497"/>
        <w:jc w:val="both"/>
        <w:rPr>
          <w:b/>
          <w:i/>
          <w:sz w:val="22"/>
        </w:rPr>
      </w:pPr>
      <w:bookmarkStart w:name="_bookmark49" w:id="94"/>
      <w:bookmarkEnd w:id="94"/>
      <w:r>
        <w:rPr/>
      </w:r>
      <w:bookmarkStart w:name="_bookmark49" w:id="95"/>
      <w:bookmarkEnd w:id="95"/>
      <w:r>
        <w:rPr>
          <w:b/>
          <w:i/>
          <w:sz w:val="22"/>
        </w:rPr>
        <w:t>V</w:t>
      </w:r>
      <w:r>
        <w:rPr>
          <w:b/>
          <w:i/>
          <w:sz w:val="22"/>
        </w:rPr>
        <w:t>aloración subjetiva de la</w:t>
      </w:r>
      <w:r>
        <w:rPr>
          <w:b/>
          <w:i/>
          <w:spacing w:val="-11"/>
          <w:sz w:val="22"/>
        </w:rPr>
        <w:t> </w:t>
      </w:r>
      <w:r>
        <w:rPr>
          <w:b/>
          <w:i/>
          <w:sz w:val="22"/>
        </w:rPr>
        <w:t>conformación.</w:t>
      </w:r>
    </w:p>
    <w:p>
      <w:pPr>
        <w:pStyle w:val="BodyText"/>
        <w:spacing w:line="360" w:lineRule="auto" w:before="124"/>
        <w:ind w:left="152" w:right="107"/>
        <w:jc w:val="both"/>
      </w:pPr>
      <w:r>
        <w:rPr/>
        <w:t>Se realizó mediante la apreciación visual de la forma de las canales, evaluando el desarrollo de los perfiles de la canal y en particular de las partes esenciales de la misma mediante esquemas de patrones fotográficos según la Norma Oficial Española para Ovinos (Colomer-Rocher </w:t>
      </w:r>
      <w:r>
        <w:rPr>
          <w:i/>
        </w:rPr>
        <w:t>et al., </w:t>
      </w:r>
      <w:r>
        <w:rPr/>
        <w:t>1984; Delfa </w:t>
      </w:r>
      <w:r>
        <w:rPr>
          <w:i/>
        </w:rPr>
        <w:t>et al</w:t>
      </w:r>
      <w:r>
        <w:rPr/>
        <w:t>., 1995).</w:t>
      </w:r>
    </w:p>
    <w:p>
      <w:pPr>
        <w:pStyle w:val="BodyText"/>
      </w:pPr>
    </w:p>
    <w:p>
      <w:pPr>
        <w:pStyle w:val="Heading1"/>
        <w:spacing w:before="148"/>
        <w:ind w:left="152"/>
        <w:jc w:val="both"/>
      </w:pPr>
      <w:r>
        <w:rPr/>
        <w:t>Conformación muscular de la canal (escala de 1 a 5)</w:t>
      </w:r>
    </w:p>
    <w:p>
      <w:pPr>
        <w:pStyle w:val="ListParagraph"/>
        <w:numPr>
          <w:ilvl w:val="0"/>
          <w:numId w:val="17"/>
        </w:numPr>
        <w:tabs>
          <w:tab w:pos="405" w:val="left" w:leader="none"/>
        </w:tabs>
        <w:spacing w:line="360" w:lineRule="auto" w:before="132" w:after="0"/>
        <w:ind w:left="152" w:right="107" w:firstLine="0"/>
        <w:jc w:val="both"/>
        <w:rPr>
          <w:sz w:val="24"/>
        </w:rPr>
      </w:pPr>
      <w:r>
        <w:rPr>
          <w:sz w:val="24"/>
        </w:rPr>
        <w:t>Conformación pobre. Canales con desarrollo muscular netamente deficiente. El tronco y las extremidades anteriores y posteriores son relativamente largos con relación a la longitud de la</w:t>
      </w:r>
      <w:r>
        <w:rPr>
          <w:spacing w:val="-3"/>
          <w:sz w:val="24"/>
        </w:rPr>
        <w:t> </w:t>
      </w:r>
      <w:r>
        <w:rPr>
          <w:sz w:val="24"/>
        </w:rPr>
        <w:t>canal.</w:t>
      </w:r>
    </w:p>
    <w:p>
      <w:pPr>
        <w:pStyle w:val="ListParagraph"/>
        <w:numPr>
          <w:ilvl w:val="0"/>
          <w:numId w:val="17"/>
        </w:numPr>
        <w:tabs>
          <w:tab w:pos="431" w:val="left" w:leader="none"/>
        </w:tabs>
        <w:spacing w:line="360" w:lineRule="auto" w:before="6" w:after="0"/>
        <w:ind w:left="152" w:right="110" w:firstLine="0"/>
        <w:jc w:val="both"/>
        <w:rPr>
          <w:sz w:val="24"/>
        </w:rPr>
      </w:pPr>
      <w:r>
        <w:rPr>
          <w:sz w:val="24"/>
        </w:rPr>
        <w:t>Conformación normal. Desarrollo muscular aceptable. La canal parece medianamente compacta, las superficies corporales aunque llenas están bien delimitadas por contornos débilmente redondeados. Estas canales aunque longilíneas tienen armonía en la proporción de sus regiones</w:t>
      </w:r>
      <w:r>
        <w:rPr>
          <w:spacing w:val="-6"/>
          <w:sz w:val="24"/>
        </w:rPr>
        <w:t> </w:t>
      </w:r>
      <w:r>
        <w:rPr>
          <w:sz w:val="24"/>
        </w:rPr>
        <w:t>anatómicas.</w:t>
      </w:r>
    </w:p>
    <w:p>
      <w:pPr>
        <w:spacing w:after="0" w:line="360" w:lineRule="auto"/>
        <w:jc w:val="both"/>
        <w:rPr>
          <w:sz w:val="24"/>
        </w:rPr>
        <w:sectPr>
          <w:pgSz w:w="12240" w:h="15840"/>
          <w:pgMar w:header="1154" w:footer="1383" w:top="1620" w:bottom="1580" w:left="1720" w:right="1420"/>
        </w:sectPr>
      </w:pPr>
    </w:p>
    <w:p>
      <w:pPr>
        <w:pStyle w:val="BodyText"/>
        <w:spacing w:before="2"/>
        <w:rPr>
          <w:sz w:val="9"/>
        </w:rPr>
      </w:pPr>
    </w:p>
    <w:p>
      <w:pPr>
        <w:pStyle w:val="ListParagraph"/>
        <w:numPr>
          <w:ilvl w:val="0"/>
          <w:numId w:val="17"/>
        </w:numPr>
        <w:tabs>
          <w:tab w:pos="460" w:val="left" w:leader="none"/>
        </w:tabs>
        <w:spacing w:line="360" w:lineRule="auto" w:before="69" w:after="0"/>
        <w:ind w:left="152" w:right="110" w:firstLine="0"/>
        <w:jc w:val="both"/>
        <w:rPr>
          <w:sz w:val="24"/>
        </w:rPr>
      </w:pPr>
      <w:r>
        <w:rPr>
          <w:sz w:val="24"/>
        </w:rPr>
        <w:t>Conformación buena. Canales con desarrollo muscular manifiesto. En las regiones pelviana y torácica, las masas musculares aunque desarrolladas no alcanzan su máxima expresión. </w:t>
      </w:r>
      <w:r>
        <w:rPr>
          <w:spacing w:val="-3"/>
          <w:sz w:val="24"/>
        </w:rPr>
        <w:t>La </w:t>
      </w:r>
      <w:r>
        <w:rPr>
          <w:sz w:val="24"/>
        </w:rPr>
        <w:t>armonía general de sus regiones anatómicas es</w:t>
      </w:r>
      <w:r>
        <w:rPr>
          <w:spacing w:val="-3"/>
          <w:sz w:val="24"/>
        </w:rPr>
        <w:t> </w:t>
      </w:r>
      <w:r>
        <w:rPr>
          <w:sz w:val="24"/>
        </w:rPr>
        <w:t>buena.</w:t>
      </w:r>
    </w:p>
    <w:p>
      <w:pPr>
        <w:pStyle w:val="ListParagraph"/>
        <w:numPr>
          <w:ilvl w:val="0"/>
          <w:numId w:val="17"/>
        </w:numPr>
        <w:tabs>
          <w:tab w:pos="450" w:val="left" w:leader="none"/>
        </w:tabs>
        <w:spacing w:line="360" w:lineRule="auto" w:before="4" w:after="0"/>
        <w:ind w:left="152" w:right="113" w:firstLine="0"/>
        <w:jc w:val="both"/>
        <w:rPr>
          <w:sz w:val="24"/>
        </w:rPr>
      </w:pPr>
      <w:r>
        <w:rPr>
          <w:sz w:val="24"/>
        </w:rPr>
        <w:t>Conformación muy buena. Canales muy armoniosas en proporción de sus regiones anatómicas. Presentan un desarrollo muscular importante en cada una de ellas; las canales aparecen cortas, anchas y</w:t>
      </w:r>
      <w:r>
        <w:rPr>
          <w:spacing w:val="-9"/>
          <w:sz w:val="24"/>
        </w:rPr>
        <w:t> </w:t>
      </w:r>
      <w:r>
        <w:rPr>
          <w:sz w:val="24"/>
        </w:rPr>
        <w:t>redondas.</w:t>
      </w:r>
    </w:p>
    <w:p>
      <w:pPr>
        <w:pStyle w:val="ListParagraph"/>
        <w:numPr>
          <w:ilvl w:val="0"/>
          <w:numId w:val="17"/>
        </w:numPr>
        <w:tabs>
          <w:tab w:pos="414" w:val="left" w:leader="none"/>
        </w:tabs>
        <w:spacing w:line="360" w:lineRule="auto" w:before="6" w:after="0"/>
        <w:ind w:left="152" w:right="110" w:firstLine="0"/>
        <w:jc w:val="both"/>
        <w:rPr>
          <w:sz w:val="24"/>
        </w:rPr>
      </w:pPr>
      <w:r>
        <w:rPr>
          <w:sz w:val="24"/>
        </w:rPr>
        <w:t>Conformación excelente. Este tipo de canales es excepcional. Las canales a nivel de la cintura pelviana y torácica presentan una hipertrofia muscular marcada; las masas musculares son muy prominentes y</w:t>
      </w:r>
      <w:r>
        <w:rPr>
          <w:spacing w:val="-9"/>
          <w:sz w:val="24"/>
        </w:rPr>
        <w:t> </w:t>
      </w:r>
      <w:r>
        <w:rPr>
          <w:sz w:val="24"/>
        </w:rPr>
        <w:t>redondeadas.</w:t>
      </w:r>
    </w:p>
    <w:p>
      <w:pPr>
        <w:pStyle w:val="BodyText"/>
      </w:pPr>
    </w:p>
    <w:p>
      <w:pPr>
        <w:pStyle w:val="Heading1"/>
        <w:spacing w:before="148"/>
        <w:ind w:left="152"/>
        <w:jc w:val="both"/>
      </w:pPr>
      <w:r>
        <w:rPr/>
        <w:t>Grado de engrasamiento (escala de 1 a 5)</w:t>
      </w:r>
    </w:p>
    <w:p>
      <w:pPr>
        <w:pStyle w:val="ListParagraph"/>
        <w:numPr>
          <w:ilvl w:val="0"/>
          <w:numId w:val="18"/>
        </w:numPr>
        <w:tabs>
          <w:tab w:pos="498" w:val="left" w:leader="none"/>
        </w:tabs>
        <w:spacing w:line="360" w:lineRule="auto" w:before="132" w:after="0"/>
        <w:ind w:left="152" w:right="108" w:firstLine="0"/>
        <w:jc w:val="both"/>
        <w:rPr>
          <w:sz w:val="24"/>
        </w:rPr>
      </w:pPr>
      <w:r>
        <w:rPr>
          <w:sz w:val="24"/>
        </w:rPr>
        <w:t>Canal muy magra. Los músculos de esta canal son muy visibles; los límites intermusculares externos presentan vetas finas de grasa que los</w:t>
      </w:r>
      <w:r>
        <w:rPr>
          <w:spacing w:val="-14"/>
          <w:sz w:val="24"/>
        </w:rPr>
        <w:t> </w:t>
      </w:r>
      <w:r>
        <w:rPr>
          <w:sz w:val="24"/>
        </w:rPr>
        <w:t>delimitan.</w:t>
      </w:r>
    </w:p>
    <w:p>
      <w:pPr>
        <w:pStyle w:val="ListParagraph"/>
        <w:numPr>
          <w:ilvl w:val="0"/>
          <w:numId w:val="18"/>
        </w:numPr>
        <w:tabs>
          <w:tab w:pos="429" w:val="left" w:leader="none"/>
        </w:tabs>
        <w:spacing w:line="360" w:lineRule="auto" w:before="4" w:after="0"/>
        <w:ind w:left="152" w:right="112" w:firstLine="0"/>
        <w:jc w:val="both"/>
        <w:rPr>
          <w:sz w:val="24"/>
        </w:rPr>
      </w:pPr>
      <w:r>
        <w:rPr>
          <w:sz w:val="24"/>
        </w:rPr>
        <w:t>Canal magra. La canal está cubierta por una película de grasa fina que deja aparecer parcialmente los músculos</w:t>
      </w:r>
      <w:r>
        <w:rPr>
          <w:spacing w:val="-8"/>
          <w:sz w:val="24"/>
        </w:rPr>
        <w:t> </w:t>
      </w:r>
      <w:r>
        <w:rPr>
          <w:sz w:val="24"/>
        </w:rPr>
        <w:t>subyacentes.</w:t>
      </w:r>
    </w:p>
    <w:p>
      <w:pPr>
        <w:pStyle w:val="ListParagraph"/>
        <w:numPr>
          <w:ilvl w:val="0"/>
          <w:numId w:val="18"/>
        </w:numPr>
        <w:tabs>
          <w:tab w:pos="422" w:val="left" w:leader="none"/>
        </w:tabs>
        <w:spacing w:line="362" w:lineRule="auto" w:before="4" w:after="0"/>
        <w:ind w:left="152" w:right="113" w:firstLine="0"/>
        <w:jc w:val="both"/>
        <w:rPr>
          <w:sz w:val="24"/>
        </w:rPr>
      </w:pPr>
      <w:r>
        <w:rPr>
          <w:sz w:val="24"/>
        </w:rPr>
        <w:t>Canal medianamente grasa. La cobertura grasa de la canal se acentúa de modo que la canal presenta cúmulos grasos en algunas regiones</w:t>
      </w:r>
      <w:r>
        <w:rPr>
          <w:spacing w:val="-15"/>
          <w:sz w:val="24"/>
        </w:rPr>
        <w:t> </w:t>
      </w:r>
      <w:r>
        <w:rPr>
          <w:sz w:val="24"/>
        </w:rPr>
        <w:t>anatómicas.</w:t>
      </w:r>
    </w:p>
    <w:p>
      <w:pPr>
        <w:pStyle w:val="ListParagraph"/>
        <w:numPr>
          <w:ilvl w:val="0"/>
          <w:numId w:val="18"/>
        </w:numPr>
        <w:tabs>
          <w:tab w:pos="402" w:val="left" w:leader="none"/>
        </w:tabs>
        <w:spacing w:line="360" w:lineRule="auto" w:before="1" w:after="0"/>
        <w:ind w:left="152" w:right="114" w:firstLine="0"/>
        <w:jc w:val="both"/>
        <w:rPr>
          <w:sz w:val="24"/>
        </w:rPr>
      </w:pPr>
      <w:r>
        <w:rPr>
          <w:sz w:val="24"/>
        </w:rPr>
        <w:t>Canal grasa. Una capa de grasa cubre la canal pero es menos espesa sobre los miembros posteriores, dónde algunos músculos son visibles hacia la parte distal de las</w:t>
      </w:r>
      <w:r>
        <w:rPr>
          <w:spacing w:val="-14"/>
          <w:sz w:val="24"/>
        </w:rPr>
        <w:t> </w:t>
      </w:r>
      <w:r>
        <w:rPr>
          <w:sz w:val="24"/>
        </w:rPr>
        <w:t>extremidades.</w:t>
      </w:r>
    </w:p>
    <w:p>
      <w:pPr>
        <w:pStyle w:val="ListParagraph"/>
        <w:numPr>
          <w:ilvl w:val="0"/>
          <w:numId w:val="18"/>
        </w:numPr>
        <w:tabs>
          <w:tab w:pos="438" w:val="left" w:leader="none"/>
        </w:tabs>
        <w:spacing w:line="360" w:lineRule="auto" w:before="4" w:after="0"/>
        <w:ind w:left="152" w:right="114" w:firstLine="0"/>
        <w:jc w:val="both"/>
        <w:rPr>
          <w:sz w:val="24"/>
        </w:rPr>
      </w:pPr>
      <w:r>
        <w:rPr>
          <w:sz w:val="24"/>
        </w:rPr>
        <w:t>Canal muy grasa. Un manto de grasa espeso envuelve a la canal y forma acúmulos importantes en diferentes niveles de las regiones</w:t>
      </w:r>
      <w:r>
        <w:rPr>
          <w:spacing w:val="-11"/>
          <w:sz w:val="24"/>
        </w:rPr>
        <w:t> </w:t>
      </w:r>
      <w:r>
        <w:rPr>
          <w:sz w:val="24"/>
        </w:rPr>
        <w:t>anatómicas.</w:t>
      </w:r>
    </w:p>
    <w:p>
      <w:pPr>
        <w:pStyle w:val="BodyText"/>
      </w:pPr>
    </w:p>
    <w:p>
      <w:pPr>
        <w:spacing w:before="143"/>
        <w:ind w:left="152" w:right="0" w:firstLine="0"/>
        <w:jc w:val="both"/>
        <w:rPr>
          <w:sz w:val="24"/>
        </w:rPr>
      </w:pPr>
      <w:r>
        <w:rPr>
          <w:b/>
          <w:sz w:val="24"/>
        </w:rPr>
        <w:t>Contenido de grasa interna (grasa perirrenal) (escala de 1 a 4) </w:t>
      </w:r>
      <w:r>
        <w:rPr>
          <w:sz w:val="24"/>
        </w:rPr>
        <w:t>(Delfa </w:t>
      </w:r>
      <w:r>
        <w:rPr>
          <w:i/>
          <w:sz w:val="24"/>
        </w:rPr>
        <w:t>et al</w:t>
      </w:r>
      <w:r>
        <w:rPr>
          <w:sz w:val="24"/>
        </w:rPr>
        <w:t>., 1995).</w:t>
      </w:r>
    </w:p>
    <w:p>
      <w:pPr>
        <w:pStyle w:val="ListParagraph"/>
        <w:numPr>
          <w:ilvl w:val="0"/>
          <w:numId w:val="19"/>
        </w:numPr>
        <w:tabs>
          <w:tab w:pos="393" w:val="left" w:leader="none"/>
        </w:tabs>
        <w:spacing w:line="240" w:lineRule="auto" w:before="137" w:after="0"/>
        <w:ind w:left="392" w:right="0" w:hanging="240"/>
        <w:jc w:val="both"/>
        <w:rPr>
          <w:sz w:val="24"/>
        </w:rPr>
      </w:pPr>
      <w:r>
        <w:rPr>
          <w:sz w:val="24"/>
        </w:rPr>
        <w:t>Riñones</w:t>
      </w:r>
      <w:r>
        <w:rPr>
          <w:spacing w:val="-7"/>
          <w:sz w:val="24"/>
        </w:rPr>
        <w:t> </w:t>
      </w:r>
      <w:r>
        <w:rPr>
          <w:sz w:val="24"/>
        </w:rPr>
        <w:t>descubiertos</w:t>
      </w:r>
    </w:p>
    <w:p>
      <w:pPr>
        <w:pStyle w:val="ListParagraph"/>
        <w:numPr>
          <w:ilvl w:val="0"/>
          <w:numId w:val="19"/>
        </w:numPr>
        <w:tabs>
          <w:tab w:pos="393" w:val="left" w:leader="none"/>
        </w:tabs>
        <w:spacing w:line="240" w:lineRule="auto" w:before="137" w:after="0"/>
        <w:ind w:left="392" w:right="0" w:hanging="240"/>
        <w:jc w:val="both"/>
        <w:rPr>
          <w:sz w:val="24"/>
        </w:rPr>
      </w:pPr>
      <w:r>
        <w:rPr>
          <w:sz w:val="24"/>
        </w:rPr>
        <w:t>Riñones con gran</w:t>
      </w:r>
      <w:r>
        <w:rPr>
          <w:spacing w:val="-5"/>
          <w:sz w:val="24"/>
        </w:rPr>
        <w:t> </w:t>
      </w:r>
      <w:r>
        <w:rPr>
          <w:sz w:val="24"/>
        </w:rPr>
        <w:t>ventana</w:t>
      </w:r>
    </w:p>
    <w:p>
      <w:pPr>
        <w:pStyle w:val="ListParagraph"/>
        <w:numPr>
          <w:ilvl w:val="0"/>
          <w:numId w:val="19"/>
        </w:numPr>
        <w:tabs>
          <w:tab w:pos="393" w:val="left" w:leader="none"/>
        </w:tabs>
        <w:spacing w:line="240" w:lineRule="auto" w:before="140" w:after="0"/>
        <w:ind w:left="392" w:right="0" w:hanging="240"/>
        <w:jc w:val="both"/>
        <w:rPr>
          <w:sz w:val="24"/>
        </w:rPr>
      </w:pPr>
      <w:r>
        <w:rPr>
          <w:sz w:val="24"/>
        </w:rPr>
        <w:t>Riñones con pequeña</w:t>
      </w:r>
      <w:r>
        <w:rPr>
          <w:spacing w:val="-5"/>
          <w:sz w:val="24"/>
        </w:rPr>
        <w:t> </w:t>
      </w:r>
      <w:r>
        <w:rPr>
          <w:sz w:val="24"/>
        </w:rPr>
        <w:t>ventana</w:t>
      </w:r>
    </w:p>
    <w:p>
      <w:pPr>
        <w:pStyle w:val="ListParagraph"/>
        <w:numPr>
          <w:ilvl w:val="0"/>
          <w:numId w:val="19"/>
        </w:numPr>
        <w:tabs>
          <w:tab w:pos="393" w:val="left" w:leader="none"/>
        </w:tabs>
        <w:spacing w:line="240" w:lineRule="auto" w:before="137" w:after="0"/>
        <w:ind w:left="392" w:right="0" w:hanging="240"/>
        <w:jc w:val="both"/>
        <w:rPr>
          <w:sz w:val="24"/>
        </w:rPr>
      </w:pPr>
      <w:r>
        <w:rPr>
          <w:sz w:val="24"/>
        </w:rPr>
        <w:t>Riñones cubiertos</w:t>
      </w:r>
      <w:r>
        <w:rPr>
          <w:spacing w:val="-6"/>
          <w:sz w:val="24"/>
        </w:rPr>
        <w:t> </w:t>
      </w:r>
      <w:r>
        <w:rPr>
          <w:sz w:val="24"/>
        </w:rPr>
        <w:t>totalmente.</w:t>
      </w:r>
    </w:p>
    <w:p>
      <w:pPr>
        <w:spacing w:after="0" w:line="240" w:lineRule="auto"/>
        <w:jc w:val="both"/>
        <w:rPr>
          <w:sz w:val="24"/>
        </w:rPr>
        <w:sectPr>
          <w:pgSz w:w="12240" w:h="15840"/>
          <w:pgMar w:header="1154" w:footer="1383" w:top="1620" w:bottom="1580" w:left="1720" w:right="1420"/>
        </w:sectPr>
      </w:pPr>
    </w:p>
    <w:p>
      <w:pPr>
        <w:pStyle w:val="BodyText"/>
        <w:spacing w:before="7"/>
        <w:rPr>
          <w:sz w:val="9"/>
        </w:rPr>
      </w:pPr>
    </w:p>
    <w:p>
      <w:pPr>
        <w:pStyle w:val="Heading1"/>
        <w:numPr>
          <w:ilvl w:val="1"/>
          <w:numId w:val="13"/>
        </w:numPr>
        <w:tabs>
          <w:tab w:pos="573" w:val="left" w:leader="none"/>
        </w:tabs>
        <w:spacing w:line="240" w:lineRule="auto" w:before="69" w:after="0"/>
        <w:ind w:left="572" w:right="0" w:hanging="420"/>
        <w:jc w:val="both"/>
      </w:pPr>
      <w:bookmarkStart w:name="_bookmark50" w:id="96"/>
      <w:bookmarkEnd w:id="96"/>
      <w:r>
        <w:rPr>
          <w:b w:val="0"/>
        </w:rPr>
      </w:r>
      <w:bookmarkStart w:name="_bookmark50" w:id="97"/>
      <w:bookmarkEnd w:id="97"/>
      <w:r>
        <w:rPr/>
        <w:t>C</w:t>
      </w:r>
      <w:r>
        <w:rPr/>
        <w:t>alidad de la</w:t>
      </w:r>
      <w:r>
        <w:rPr>
          <w:spacing w:val="-5"/>
        </w:rPr>
        <w:t> </w:t>
      </w:r>
      <w:r>
        <w:rPr/>
        <w:t>carne</w:t>
      </w:r>
    </w:p>
    <w:p>
      <w:pPr>
        <w:pStyle w:val="BodyText"/>
        <w:spacing w:line="360" w:lineRule="auto" w:before="132"/>
        <w:ind w:left="152" w:right="105" w:firstLine="359"/>
        <w:jc w:val="both"/>
      </w:pPr>
      <w:r>
        <w:rPr/>
        <w:t>Se obtuvieron muestras del músculo </w:t>
      </w:r>
      <w:r>
        <w:rPr>
          <w:i/>
        </w:rPr>
        <w:t>Longissimus Dorsi </w:t>
      </w:r>
      <w:r>
        <w:rPr/>
        <w:t>(LD) (entre la 10ª y 13ª costillas), las cuales fueron empacadas al vacío y refrigeradas por 2 horas (4º) para posteriormente ser congeladas (-20º C) hasta su posterior análisis. La toma de muestras sobre este músculo se realizó por ser una pieza de alto valor cárnico. Se determianron las siguientes variables:</w:t>
      </w:r>
    </w:p>
    <w:p>
      <w:pPr>
        <w:pStyle w:val="ListParagraph"/>
        <w:numPr>
          <w:ilvl w:val="0"/>
          <w:numId w:val="20"/>
        </w:numPr>
        <w:tabs>
          <w:tab w:pos="402" w:val="left" w:leader="none"/>
        </w:tabs>
        <w:spacing w:line="360" w:lineRule="auto" w:before="6" w:after="0"/>
        <w:ind w:left="152" w:right="108" w:firstLine="0"/>
        <w:jc w:val="both"/>
        <w:rPr>
          <w:sz w:val="24"/>
        </w:rPr>
      </w:pPr>
      <w:r>
        <w:rPr>
          <w:b/>
          <w:sz w:val="24"/>
        </w:rPr>
        <w:t>pH. </w:t>
      </w:r>
      <w:r>
        <w:rPr>
          <w:sz w:val="24"/>
        </w:rPr>
        <w:t>Se determinó el pH a los 45 minutos y a las 24 horas post-mortem en el LD usando un potenciómetro con electrodo de penetración (Oakton, Vernon Hills, IL, USA) según la metodología descrita por Honikel</w:t>
      </w:r>
      <w:r>
        <w:rPr>
          <w:spacing w:val="-5"/>
          <w:sz w:val="24"/>
        </w:rPr>
        <w:t> </w:t>
      </w:r>
      <w:r>
        <w:rPr>
          <w:sz w:val="24"/>
        </w:rPr>
        <w:t>(1997).</w:t>
      </w:r>
    </w:p>
    <w:p>
      <w:pPr>
        <w:pStyle w:val="ListParagraph"/>
        <w:numPr>
          <w:ilvl w:val="0"/>
          <w:numId w:val="20"/>
        </w:numPr>
        <w:tabs>
          <w:tab w:pos="431" w:val="left" w:leader="none"/>
        </w:tabs>
        <w:spacing w:line="360" w:lineRule="auto" w:before="4" w:after="0"/>
        <w:ind w:left="152" w:right="107" w:firstLine="0"/>
        <w:jc w:val="both"/>
        <w:rPr>
          <w:sz w:val="24"/>
        </w:rPr>
      </w:pPr>
      <w:r>
        <w:rPr>
          <w:b/>
          <w:sz w:val="24"/>
        </w:rPr>
        <w:t>Color. </w:t>
      </w:r>
      <w:r>
        <w:rPr>
          <w:sz w:val="24"/>
        </w:rPr>
        <w:t>El color se determinó usando un colorímetro Minolta Chromameter CR-200, utilizando el espacio de color CIELAB (Comisión Internationale de I’Eclairage). Para la medición se usaron muestras de LD (24 horas post-mortem) y se registraron tres lecturas. Las mediciones se realizaron en tres zonas homogéneas y representativas, libres de grasa intramuscular y de manchas de sangre, las muestras se almacenaron en refrigeración a  (4ºC) y se repitió la medición a las 24 horas del corte, realizando otras tres  lecturas (AMSA,</w:t>
      </w:r>
      <w:r>
        <w:rPr>
          <w:spacing w:val="-2"/>
          <w:sz w:val="24"/>
        </w:rPr>
        <w:t> </w:t>
      </w:r>
      <w:r>
        <w:rPr>
          <w:sz w:val="24"/>
        </w:rPr>
        <w:t>1992).</w:t>
      </w:r>
    </w:p>
    <w:p>
      <w:pPr>
        <w:pStyle w:val="ListParagraph"/>
        <w:numPr>
          <w:ilvl w:val="0"/>
          <w:numId w:val="20"/>
        </w:numPr>
        <w:tabs>
          <w:tab w:pos="400" w:val="left" w:leader="none"/>
        </w:tabs>
        <w:spacing w:line="357" w:lineRule="auto" w:before="6" w:after="0"/>
        <w:ind w:left="152" w:right="106" w:firstLine="0"/>
        <w:jc w:val="both"/>
        <w:rPr>
          <w:sz w:val="24"/>
        </w:rPr>
      </w:pPr>
      <w:r>
        <w:rPr>
          <w:b/>
          <w:sz w:val="24"/>
        </w:rPr>
        <w:t>Fuerza de corte. </w:t>
      </w:r>
      <w:r>
        <w:rPr>
          <w:sz w:val="24"/>
        </w:rPr>
        <w:t>La terneza, se midió mediante la técnica de resistencia al corte, usando la cuchilla Warner Bratzler. Las muestras fueron descongeladas y se determinó la fuerza de corte usando un Texturómetro modelo TAXT2 (Stable Microsytems Corp. N.Y), según la metodología descrita por Beltrán y Roncalés (2000), la cual consistió en cocer la carne dentro de bolsas de plástico en baño María (70 °C) durante una hora, posteriormente se  dejó enfriar a temperatura ambiente durante media hora y enseguida se realizan cortes de 1 cm</w:t>
      </w:r>
      <w:r>
        <w:rPr>
          <w:position w:val="9"/>
          <w:sz w:val="16"/>
        </w:rPr>
        <w:t>2  </w:t>
      </w:r>
      <w:r>
        <w:rPr>
          <w:sz w:val="24"/>
        </w:rPr>
        <w:t>que se usaron para  la</w:t>
      </w:r>
      <w:r>
        <w:rPr>
          <w:spacing w:val="-25"/>
          <w:sz w:val="24"/>
        </w:rPr>
        <w:t> </w:t>
      </w:r>
      <w:r>
        <w:rPr>
          <w:sz w:val="24"/>
        </w:rPr>
        <w:t>medición.</w:t>
      </w:r>
    </w:p>
    <w:p>
      <w:pPr>
        <w:pStyle w:val="ListParagraph"/>
        <w:numPr>
          <w:ilvl w:val="0"/>
          <w:numId w:val="20"/>
        </w:numPr>
        <w:tabs>
          <w:tab w:pos="438" w:val="left" w:leader="none"/>
        </w:tabs>
        <w:spacing w:line="360" w:lineRule="auto" w:before="0" w:after="0"/>
        <w:ind w:left="152" w:right="114" w:firstLine="0"/>
        <w:jc w:val="both"/>
        <w:rPr>
          <w:sz w:val="24"/>
        </w:rPr>
      </w:pPr>
      <w:r>
        <w:rPr>
          <w:b/>
          <w:sz w:val="24"/>
        </w:rPr>
        <w:t>Composición química. </w:t>
      </w:r>
      <w:r>
        <w:rPr>
          <w:sz w:val="24"/>
        </w:rPr>
        <w:t>Se determinaron los contenidos de humedad, proteína cruda, extracto etéreo y cenizas, según la AOAC</w:t>
      </w:r>
      <w:r>
        <w:rPr>
          <w:spacing w:val="-10"/>
          <w:sz w:val="24"/>
        </w:rPr>
        <w:t> </w:t>
      </w:r>
      <w:r>
        <w:rPr>
          <w:sz w:val="24"/>
        </w:rPr>
        <w:t>(2005).</w:t>
      </w:r>
    </w:p>
    <w:p>
      <w:pPr>
        <w:pStyle w:val="ListParagraph"/>
        <w:numPr>
          <w:ilvl w:val="0"/>
          <w:numId w:val="20"/>
        </w:numPr>
        <w:tabs>
          <w:tab w:pos="527" w:val="left" w:leader="none"/>
        </w:tabs>
        <w:spacing w:line="360" w:lineRule="auto" w:before="7" w:after="0"/>
        <w:ind w:left="152" w:right="110" w:firstLine="0"/>
        <w:jc w:val="both"/>
        <w:rPr>
          <w:sz w:val="24"/>
        </w:rPr>
      </w:pPr>
      <w:r>
        <w:rPr>
          <w:b/>
          <w:sz w:val="24"/>
        </w:rPr>
        <w:t>Determinación del colágeno total. </w:t>
      </w:r>
      <w:r>
        <w:rPr>
          <w:sz w:val="24"/>
        </w:rPr>
        <w:t>La técnica consiste en la determinación colorimétrica de la hidroxiprolina (Hyp), que es un aminoácido característico del colágeno, que no se encuentra en ninguna otra proteína de los animales superiores. Para ello se hidrolizan</w:t>
      </w:r>
      <w:r>
        <w:rPr>
          <w:spacing w:val="22"/>
          <w:sz w:val="24"/>
        </w:rPr>
        <w:t> </w:t>
      </w:r>
      <w:r>
        <w:rPr>
          <w:sz w:val="24"/>
        </w:rPr>
        <w:t>en</w:t>
      </w:r>
      <w:r>
        <w:rPr>
          <w:spacing w:val="22"/>
          <w:sz w:val="24"/>
        </w:rPr>
        <w:t> </w:t>
      </w:r>
      <w:r>
        <w:rPr>
          <w:sz w:val="24"/>
        </w:rPr>
        <w:t>medio</w:t>
      </w:r>
      <w:r>
        <w:rPr>
          <w:spacing w:val="22"/>
          <w:sz w:val="24"/>
        </w:rPr>
        <w:t> </w:t>
      </w:r>
      <w:r>
        <w:rPr>
          <w:sz w:val="24"/>
        </w:rPr>
        <w:t>ácido</w:t>
      </w:r>
      <w:r>
        <w:rPr>
          <w:spacing w:val="22"/>
          <w:sz w:val="24"/>
        </w:rPr>
        <w:t> </w:t>
      </w:r>
      <w:r>
        <w:rPr>
          <w:sz w:val="24"/>
        </w:rPr>
        <w:t>(ácido</w:t>
      </w:r>
      <w:r>
        <w:rPr>
          <w:spacing w:val="23"/>
          <w:sz w:val="24"/>
        </w:rPr>
        <w:t> </w:t>
      </w:r>
      <w:r>
        <w:rPr>
          <w:sz w:val="24"/>
        </w:rPr>
        <w:t>sulfúrico)</w:t>
      </w:r>
      <w:r>
        <w:rPr>
          <w:spacing w:val="22"/>
          <w:sz w:val="24"/>
        </w:rPr>
        <w:t> </w:t>
      </w:r>
      <w:r>
        <w:rPr>
          <w:sz w:val="24"/>
        </w:rPr>
        <w:t>las</w:t>
      </w:r>
      <w:r>
        <w:rPr>
          <w:spacing w:val="22"/>
          <w:sz w:val="24"/>
        </w:rPr>
        <w:t> </w:t>
      </w:r>
      <w:r>
        <w:rPr>
          <w:sz w:val="24"/>
        </w:rPr>
        <w:t>proteínas</w:t>
      </w:r>
      <w:r>
        <w:rPr>
          <w:spacing w:val="22"/>
          <w:sz w:val="24"/>
        </w:rPr>
        <w:t> </w:t>
      </w:r>
      <w:r>
        <w:rPr>
          <w:sz w:val="24"/>
        </w:rPr>
        <w:t>de</w:t>
      </w:r>
      <w:r>
        <w:rPr>
          <w:spacing w:val="21"/>
          <w:sz w:val="24"/>
        </w:rPr>
        <w:t> </w:t>
      </w:r>
      <w:r>
        <w:rPr>
          <w:sz w:val="24"/>
        </w:rPr>
        <w:t>la</w:t>
      </w:r>
      <w:r>
        <w:rPr>
          <w:spacing w:val="24"/>
          <w:sz w:val="24"/>
        </w:rPr>
        <w:t> </w:t>
      </w:r>
      <w:r>
        <w:rPr>
          <w:sz w:val="24"/>
        </w:rPr>
        <w:t>carne.</w:t>
      </w:r>
      <w:r>
        <w:rPr>
          <w:spacing w:val="25"/>
          <w:sz w:val="24"/>
        </w:rPr>
        <w:t> </w:t>
      </w:r>
      <w:r>
        <w:rPr>
          <w:sz w:val="24"/>
        </w:rPr>
        <w:t>Una</w:t>
      </w:r>
      <w:r>
        <w:rPr>
          <w:spacing w:val="21"/>
          <w:sz w:val="24"/>
        </w:rPr>
        <w:t> </w:t>
      </w:r>
      <w:r>
        <w:rPr>
          <w:sz w:val="24"/>
        </w:rPr>
        <w:t>vez</w:t>
      </w:r>
      <w:r>
        <w:rPr>
          <w:spacing w:val="24"/>
          <w:sz w:val="24"/>
        </w:rPr>
        <w:t> </w:t>
      </w:r>
      <w:r>
        <w:rPr>
          <w:sz w:val="24"/>
        </w:rPr>
        <w:t>liberada</w:t>
      </w:r>
      <w:r>
        <w:rPr>
          <w:spacing w:val="21"/>
          <w:sz w:val="24"/>
        </w:rPr>
        <w:t> </w:t>
      </w:r>
      <w:r>
        <w:rPr>
          <w:sz w:val="24"/>
        </w:rPr>
        <w:t>la</w:t>
      </w:r>
    </w:p>
    <w:p>
      <w:pPr>
        <w:spacing w:after="0" w:line="360" w:lineRule="auto"/>
        <w:jc w:val="both"/>
        <w:rPr>
          <w:sz w:val="24"/>
        </w:rPr>
        <w:sectPr>
          <w:pgSz w:w="12240" w:h="15840"/>
          <w:pgMar w:header="1154" w:footer="1383" w:top="1620" w:bottom="1580" w:left="1720" w:right="1420"/>
        </w:sectPr>
      </w:pPr>
    </w:p>
    <w:p>
      <w:pPr>
        <w:pStyle w:val="BodyText"/>
        <w:spacing w:before="2"/>
        <w:rPr>
          <w:sz w:val="9"/>
        </w:rPr>
      </w:pPr>
    </w:p>
    <w:p>
      <w:pPr>
        <w:pStyle w:val="BodyText"/>
        <w:spacing w:line="360" w:lineRule="auto" w:before="69"/>
        <w:ind w:left="152" w:right="103"/>
        <w:jc w:val="both"/>
      </w:pPr>
      <w:r>
        <w:rPr/>
        <w:t>Hyp, se oxida con cloramina T, y tras la adicción de p-dimetilaminobenzaldehido, se forma un derivado coloreado que se valora colorimetricamente con un espectrofotómetro. Se siguió la metodología de la AOAC (1996), con algunas modificaciones descritas posteriormente. La valoración se realizó por duplicado en una muestra músculo </w:t>
      </w:r>
      <w:r>
        <w:rPr>
          <w:i/>
        </w:rPr>
        <w:t>Longissimus dorsi</w:t>
      </w:r>
      <w:r>
        <w:rPr/>
        <w:t>, anteriormente descongelada a temperatura ambiente. Esta previamente se limpia de grasa, fascias y tejido conjuntivo visible, utilizándose para el análisis la parte central interna. Después de picar la carne, se pesan 5 g en un matraz erlenmeyer y se  añaden 30ml de ácido sulfúrico (H2SO4) 7N, permaneciendo durante toda la noche (mínimo 16 horas), tapados en la estufa a 105ºC. Una vez sacados de la estufa se transvasan a un matraz aforado de 200 ml y se enrasan con agua destilada. La solución se filtra para retener las posibles partículas que pudieran interferir en la colorimetría. De cada filtrado se toman 25 ml, ajustándose el pH entre 6.5-7 con una solución de hidróxido sódico (NaOH), transvasándose posteriormente a matraces aforados de 100 ml. Para la lectura es necesaria  la preparación de una curva patrón. Para ello se realiza una solución madre con 100 μg/ml de </w:t>
      </w:r>
      <w:r>
        <w:rPr>
          <w:spacing w:val="-3"/>
        </w:rPr>
        <w:t>L- </w:t>
      </w:r>
      <w:r>
        <w:rPr/>
        <w:t>Hidroxiprolina, a partir de la cual se obtienen soluciones patrón que contienen 3, 5, 8 y 10 μg/ml. A continuación se preparan una serie de tubos de ensayo con enrase a12 ml, y  se añade 1 ml de agua destilada en uno de los tubos (tubo blanco), en los siguientes 1 ml de las soluciones que contienen 3, 5, 8 y 10 μg/ml (patrones), y en los restantes 1 ml de cada una de las disoluciones de las muestras problema. A cada tubo se le añaden: 2 ml de alcohol isopropílico y 1 ml de solución oxidante (contiene un volumen de solución de cloramina T al 10.5% y 4 volúmenes de solución tampón pH 6). Esta última se obtiene disolviendo 34g de acetato sódico anhidro, 36.5g de citrato sódico monohidratado y 5.5g de ácido cítrico en 385 ml de alcohol isopropílico puro y enrasar con agua destilada hasta 1000 ml). Esta solución debe prepararse en el momento. Se agita y deja reposar durante 10 minutos. Después a cada tubo se le añaden 3 ml de ácido perclórico al 17.5% para detener la oxidación y 2 ml de p-dimetilaminobenzaldehido al 5% en alcohol isopropílico, se homogeneizan y se introducen en un baño maría a 60ºC durante 20 minutos. Transcurrido este tiempo se enfrían en un baño de agua fría, se enrasan a 12 ml con alcohol  </w:t>
      </w:r>
      <w:r>
        <w:rPr>
          <w:spacing w:val="20"/>
        </w:rPr>
        <w:t> </w:t>
      </w:r>
      <w:r>
        <w:rPr/>
        <w:t>isopropílico</w:t>
      </w:r>
    </w:p>
    <w:p>
      <w:pPr>
        <w:spacing w:after="0" w:line="360" w:lineRule="auto"/>
        <w:jc w:val="both"/>
        <w:sectPr>
          <w:pgSz w:w="12240" w:h="15840"/>
          <w:pgMar w:header="1154" w:footer="1383" w:top="1620" w:bottom="1580" w:left="1720" w:right="1420"/>
        </w:sectPr>
      </w:pPr>
    </w:p>
    <w:p>
      <w:pPr>
        <w:pStyle w:val="BodyText"/>
        <w:spacing w:before="2"/>
        <w:rPr>
          <w:sz w:val="9"/>
        </w:rPr>
      </w:pPr>
    </w:p>
    <w:p>
      <w:pPr>
        <w:pStyle w:val="BodyText"/>
        <w:spacing w:line="360" w:lineRule="auto" w:before="69"/>
        <w:ind w:left="152" w:right="109"/>
        <w:jc w:val="both"/>
      </w:pPr>
      <w:r>
        <w:rPr/>
        <w:t>y se procede a la lectura de las absorbancias en un espectrofotómetro a una longitud de  onda de 560nm. Para la realización de los cálculos se utiliza la siguiente</w:t>
      </w:r>
      <w:r>
        <w:rPr>
          <w:spacing w:val="-14"/>
        </w:rPr>
        <w:t> </w:t>
      </w:r>
      <w:r>
        <w:rPr/>
        <w:t>fórmula:</w:t>
      </w:r>
    </w:p>
    <w:p>
      <w:pPr>
        <w:pStyle w:val="BodyText"/>
        <w:spacing w:before="6"/>
        <w:ind w:left="152"/>
        <w:jc w:val="both"/>
      </w:pPr>
      <w:r>
        <w:rPr/>
        <w:t>Hyp = [Hyp]*0.8/Peso de la muestra (mg/g)</w:t>
      </w:r>
    </w:p>
    <w:p>
      <w:pPr>
        <w:pStyle w:val="BodyText"/>
        <w:spacing w:before="137"/>
        <w:ind w:left="152"/>
        <w:jc w:val="both"/>
      </w:pPr>
      <w:r>
        <w:rPr/>
        <w:t>Para obtener la cantidad de colágeno se multiplica esta cantidad por 8.</w:t>
      </w:r>
    </w:p>
    <w:p>
      <w:pPr>
        <w:pStyle w:val="BodyText"/>
      </w:pPr>
    </w:p>
    <w:p>
      <w:pPr>
        <w:pStyle w:val="BodyText"/>
        <w:spacing w:before="4"/>
      </w:pPr>
    </w:p>
    <w:p>
      <w:pPr>
        <w:pStyle w:val="Heading1"/>
        <w:numPr>
          <w:ilvl w:val="1"/>
          <w:numId w:val="13"/>
        </w:numPr>
        <w:tabs>
          <w:tab w:pos="513" w:val="left" w:leader="none"/>
        </w:tabs>
        <w:spacing w:line="240" w:lineRule="auto" w:before="1" w:after="0"/>
        <w:ind w:left="512" w:right="0" w:hanging="360"/>
        <w:jc w:val="both"/>
      </w:pPr>
      <w:bookmarkStart w:name="_bookmark51" w:id="98"/>
      <w:bookmarkEnd w:id="98"/>
      <w:r>
        <w:rPr>
          <w:b w:val="0"/>
        </w:rPr>
      </w:r>
      <w:bookmarkStart w:name="_bookmark51" w:id="99"/>
      <w:bookmarkEnd w:id="99"/>
      <w:r>
        <w:rPr/>
        <w:t>A</w:t>
      </w:r>
      <w:r>
        <w:rPr/>
        <w:t>nálisis de fibras</w:t>
      </w:r>
      <w:r>
        <w:rPr>
          <w:spacing w:val="-10"/>
        </w:rPr>
        <w:t> </w:t>
      </w:r>
      <w:r>
        <w:rPr/>
        <w:t>musculares</w:t>
      </w:r>
    </w:p>
    <w:p>
      <w:pPr>
        <w:pStyle w:val="BodyText"/>
        <w:rPr>
          <w:b/>
        </w:rPr>
      </w:pPr>
    </w:p>
    <w:p>
      <w:pPr>
        <w:pStyle w:val="BodyText"/>
        <w:spacing w:before="6"/>
        <w:rPr>
          <w:b/>
          <w:sz w:val="23"/>
        </w:rPr>
      </w:pPr>
    </w:p>
    <w:p>
      <w:pPr>
        <w:pStyle w:val="ListParagraph"/>
        <w:numPr>
          <w:ilvl w:val="0"/>
          <w:numId w:val="21"/>
        </w:numPr>
        <w:tabs>
          <w:tab w:pos="443" w:val="left" w:leader="none"/>
        </w:tabs>
        <w:spacing w:line="360" w:lineRule="auto" w:before="0" w:after="0"/>
        <w:ind w:left="152" w:right="106" w:firstLine="0"/>
        <w:jc w:val="both"/>
        <w:rPr>
          <w:sz w:val="24"/>
        </w:rPr>
      </w:pPr>
      <w:r>
        <w:rPr>
          <w:b/>
          <w:sz w:val="24"/>
        </w:rPr>
        <w:t>Entidad muscular seleccionada y toma de muestras: </w:t>
      </w:r>
      <w:r>
        <w:rPr>
          <w:sz w:val="24"/>
        </w:rPr>
        <w:t>El </w:t>
      </w:r>
      <w:r>
        <w:rPr>
          <w:i/>
          <w:sz w:val="24"/>
        </w:rPr>
        <w:t>Longissimus dorsi, </w:t>
      </w:r>
      <w:r>
        <w:rPr>
          <w:sz w:val="24"/>
        </w:rPr>
        <w:t>pieza cárnica de alto valor comercial en la canal de ovino.La toma de muestras se realizará dentro de la media hora que sigue al sacrificio de los animales, con el objetivo de evitar posibles alteraciones morfológicas y morfométricas en las fibras musculares. Se retirará de los músculos la grasa y fascias de recubrimiento, se obtuvieronfragmentos de músculo de 4 cm de longitud x 2 cm de grosor y anchura, siguiendo la dirección de las fibras, tras ser recubiertas con material de embebimiento (O.C.T-Compoud Tissue Teck®) se procede a su congelación. La congelación se realiza dentro de un vaso de precipitado de vidrio con aproximadamente 100 ml de 2-metilbutano, enfriado con anterioridad sobre nitrógeno líquido a -190º C, almacenado en un termo. En primer lugar, se introduce con lentitud el vaso de precipitado en el termo y se mantiene en él hasta que el 2-metilbutano alcance - 160º C (temperatura óptima), este hecho se constata al formar dicho compuesto una fina capa de color  blanco adherida a las paredes y fondo del</w:t>
      </w:r>
      <w:r>
        <w:rPr>
          <w:spacing w:val="-9"/>
          <w:sz w:val="24"/>
        </w:rPr>
        <w:t> </w:t>
      </w:r>
      <w:r>
        <w:rPr>
          <w:sz w:val="24"/>
        </w:rPr>
        <w:t>vaso.</w:t>
      </w:r>
    </w:p>
    <w:p>
      <w:pPr>
        <w:pStyle w:val="BodyText"/>
        <w:spacing w:line="360" w:lineRule="auto" w:before="6"/>
        <w:ind w:left="152" w:right="105" w:firstLine="707"/>
        <w:jc w:val="both"/>
      </w:pPr>
      <w:r>
        <w:rPr/>
        <w:t>Posteriormente, se sumergen en 2-metilbutano durante 10-15 segundos, lo cual produce una congelación rápida y atraumática, idónea para la conservación íntegra de las estructuras enzimáticas e histológicas musculares. Tras la congelación de las muestras y después de envolverlas para su protección con papel aluminio, previamente refrigerado, se almacenan a -65º C en arcón congelador, dentro de recipientes plásticos que estarán a la misma temperatura, hasta el momento de proceder a su corte (Peinado </w:t>
      </w:r>
      <w:r>
        <w:rPr>
          <w:i/>
        </w:rPr>
        <w:t>et al., </w:t>
      </w:r>
      <w:r>
        <w:rPr/>
        <w:t>2008).</w:t>
      </w:r>
    </w:p>
    <w:p>
      <w:pPr>
        <w:pStyle w:val="ListParagraph"/>
        <w:numPr>
          <w:ilvl w:val="0"/>
          <w:numId w:val="21"/>
        </w:numPr>
        <w:tabs>
          <w:tab w:pos="422" w:val="left" w:leader="none"/>
        </w:tabs>
        <w:spacing w:line="360" w:lineRule="auto" w:before="4" w:after="0"/>
        <w:ind w:left="152" w:right="107" w:firstLine="0"/>
        <w:jc w:val="both"/>
        <w:rPr>
          <w:sz w:val="24"/>
        </w:rPr>
      </w:pPr>
      <w:r>
        <w:rPr>
          <w:b/>
          <w:sz w:val="24"/>
        </w:rPr>
        <w:t>Cortes. </w:t>
      </w:r>
      <w:r>
        <w:rPr>
          <w:sz w:val="24"/>
        </w:rPr>
        <w:t>Se realizan cortes de 10 μm de grosor a -20º C con un criostato Leica®, los cortes son recogidos sobre portaobjetos limpios y secos, por contacto de estos con la cuchilla</w:t>
      </w:r>
      <w:r>
        <w:rPr>
          <w:spacing w:val="52"/>
          <w:sz w:val="24"/>
        </w:rPr>
        <w:t> </w:t>
      </w:r>
      <w:r>
        <w:rPr>
          <w:sz w:val="24"/>
        </w:rPr>
        <w:t>del</w:t>
      </w:r>
      <w:r>
        <w:rPr>
          <w:spacing w:val="55"/>
          <w:sz w:val="24"/>
        </w:rPr>
        <w:t> </w:t>
      </w:r>
      <w:r>
        <w:rPr>
          <w:sz w:val="24"/>
        </w:rPr>
        <w:t>criostato.</w:t>
      </w:r>
      <w:r>
        <w:rPr>
          <w:spacing w:val="54"/>
          <w:sz w:val="24"/>
        </w:rPr>
        <w:t> </w:t>
      </w:r>
      <w:r>
        <w:rPr>
          <w:sz w:val="24"/>
        </w:rPr>
        <w:t>De</w:t>
      </w:r>
      <w:r>
        <w:rPr>
          <w:spacing w:val="51"/>
          <w:sz w:val="24"/>
        </w:rPr>
        <w:t> </w:t>
      </w:r>
      <w:r>
        <w:rPr>
          <w:sz w:val="24"/>
        </w:rPr>
        <w:t>cada</w:t>
      </w:r>
      <w:r>
        <w:rPr>
          <w:spacing w:val="51"/>
          <w:sz w:val="24"/>
        </w:rPr>
        <w:t> </w:t>
      </w:r>
      <w:r>
        <w:rPr>
          <w:sz w:val="24"/>
        </w:rPr>
        <w:t>uno</w:t>
      </w:r>
      <w:r>
        <w:rPr>
          <w:spacing w:val="52"/>
          <w:sz w:val="24"/>
        </w:rPr>
        <w:t> </w:t>
      </w:r>
      <w:r>
        <w:rPr>
          <w:sz w:val="24"/>
        </w:rPr>
        <w:t>de</w:t>
      </w:r>
      <w:r>
        <w:rPr>
          <w:spacing w:val="51"/>
          <w:sz w:val="24"/>
        </w:rPr>
        <w:t> </w:t>
      </w:r>
      <w:r>
        <w:rPr>
          <w:sz w:val="24"/>
        </w:rPr>
        <w:t>los</w:t>
      </w:r>
      <w:r>
        <w:rPr>
          <w:spacing w:val="53"/>
          <w:sz w:val="24"/>
        </w:rPr>
        <w:t> </w:t>
      </w:r>
      <w:r>
        <w:rPr>
          <w:sz w:val="24"/>
        </w:rPr>
        <w:t>fragmentos</w:t>
      </w:r>
      <w:r>
        <w:rPr>
          <w:spacing w:val="52"/>
          <w:sz w:val="24"/>
        </w:rPr>
        <w:t> </w:t>
      </w:r>
      <w:r>
        <w:rPr>
          <w:sz w:val="24"/>
        </w:rPr>
        <w:t>de</w:t>
      </w:r>
      <w:r>
        <w:rPr>
          <w:spacing w:val="51"/>
          <w:sz w:val="24"/>
        </w:rPr>
        <w:t> </w:t>
      </w:r>
      <w:r>
        <w:rPr>
          <w:sz w:val="24"/>
        </w:rPr>
        <w:t>músculo</w:t>
      </w:r>
      <w:r>
        <w:rPr>
          <w:spacing w:val="52"/>
          <w:sz w:val="24"/>
        </w:rPr>
        <w:t> </w:t>
      </w:r>
      <w:r>
        <w:rPr>
          <w:sz w:val="24"/>
        </w:rPr>
        <w:t>se</w:t>
      </w:r>
      <w:r>
        <w:rPr>
          <w:spacing w:val="54"/>
          <w:sz w:val="24"/>
        </w:rPr>
        <w:t> </w:t>
      </w:r>
      <w:r>
        <w:rPr>
          <w:sz w:val="24"/>
        </w:rPr>
        <w:t>obtendrán</w:t>
      </w:r>
      <w:r>
        <w:rPr>
          <w:spacing w:val="52"/>
          <w:sz w:val="24"/>
        </w:rPr>
        <w:t> </w:t>
      </w:r>
      <w:r>
        <w:rPr>
          <w:sz w:val="24"/>
        </w:rPr>
        <w:t>40-60</w:t>
      </w:r>
    </w:p>
    <w:p>
      <w:pPr>
        <w:spacing w:after="0" w:line="360" w:lineRule="auto"/>
        <w:jc w:val="both"/>
        <w:rPr>
          <w:sz w:val="24"/>
        </w:rPr>
        <w:sectPr>
          <w:pgSz w:w="12240" w:h="15840"/>
          <w:pgMar w:header="1154" w:footer="1383" w:top="1620" w:bottom="1580" w:left="1720" w:right="1420"/>
        </w:sectPr>
      </w:pPr>
    </w:p>
    <w:p>
      <w:pPr>
        <w:pStyle w:val="BodyText"/>
        <w:spacing w:before="2"/>
        <w:rPr>
          <w:sz w:val="9"/>
        </w:rPr>
      </w:pPr>
    </w:p>
    <w:p>
      <w:pPr>
        <w:pStyle w:val="BodyText"/>
        <w:spacing w:line="360" w:lineRule="auto" w:before="69"/>
        <w:ind w:left="152" w:right="91"/>
      </w:pPr>
      <w:r>
        <w:rPr/>
        <w:t>secciones transversales seriadas. Los portaobjetos se almacenan en arcones congeladores a - 40º C, hasta su tinción histoquímica (Peinado </w:t>
      </w:r>
      <w:r>
        <w:rPr>
          <w:i/>
        </w:rPr>
        <w:t>et al., </w:t>
      </w:r>
      <w:r>
        <w:rPr/>
        <w:t>2008).</w:t>
      </w:r>
    </w:p>
    <w:p>
      <w:pPr>
        <w:pStyle w:val="BodyText"/>
      </w:pPr>
    </w:p>
    <w:p>
      <w:pPr>
        <w:pStyle w:val="Heading1"/>
        <w:numPr>
          <w:ilvl w:val="1"/>
          <w:numId w:val="13"/>
        </w:numPr>
        <w:tabs>
          <w:tab w:pos="513" w:val="left" w:leader="none"/>
        </w:tabs>
        <w:spacing w:line="240" w:lineRule="auto" w:before="148" w:after="0"/>
        <w:ind w:left="512" w:right="0" w:hanging="360"/>
        <w:jc w:val="left"/>
      </w:pPr>
      <w:r>
        <w:rPr/>
        <w:t>Tinciones y Técnicas</w:t>
      </w:r>
      <w:r>
        <w:rPr>
          <w:spacing w:val="-5"/>
        </w:rPr>
        <w:t> </w:t>
      </w:r>
      <w:r>
        <w:rPr/>
        <w:t>empleadas</w:t>
      </w:r>
    </w:p>
    <w:p>
      <w:pPr>
        <w:pStyle w:val="ListParagraph"/>
        <w:numPr>
          <w:ilvl w:val="2"/>
          <w:numId w:val="13"/>
        </w:numPr>
        <w:tabs>
          <w:tab w:pos="693" w:val="left" w:leader="none"/>
        </w:tabs>
        <w:spacing w:line="240" w:lineRule="auto" w:before="139" w:after="0"/>
        <w:ind w:left="692" w:right="0" w:hanging="540"/>
        <w:jc w:val="left"/>
        <w:rPr>
          <w:b/>
          <w:sz w:val="24"/>
        </w:rPr>
      </w:pPr>
      <w:bookmarkStart w:name="_bookmark52" w:id="100"/>
      <w:bookmarkEnd w:id="100"/>
      <w:r>
        <w:rPr/>
      </w:r>
      <w:bookmarkStart w:name="_bookmark52" w:id="101"/>
      <w:bookmarkEnd w:id="101"/>
      <w:r>
        <w:rPr>
          <w:b/>
          <w:sz w:val="24"/>
        </w:rPr>
        <w:t>T</w:t>
      </w:r>
      <w:r>
        <w:rPr>
          <w:b/>
          <w:sz w:val="24"/>
        </w:rPr>
        <w:t>écnicas histológicas (no</w:t>
      </w:r>
      <w:r>
        <w:rPr>
          <w:b/>
          <w:spacing w:val="-11"/>
          <w:sz w:val="24"/>
        </w:rPr>
        <w:t> </w:t>
      </w:r>
      <w:r>
        <w:rPr>
          <w:b/>
          <w:sz w:val="24"/>
        </w:rPr>
        <w:t>enzimáticas)</w:t>
      </w:r>
    </w:p>
    <w:p>
      <w:pPr>
        <w:pStyle w:val="ListParagraph"/>
        <w:numPr>
          <w:ilvl w:val="3"/>
          <w:numId w:val="13"/>
        </w:numPr>
        <w:tabs>
          <w:tab w:pos="813" w:val="left" w:leader="none"/>
        </w:tabs>
        <w:spacing w:line="240" w:lineRule="auto" w:before="136" w:after="0"/>
        <w:ind w:left="812" w:right="0" w:hanging="660"/>
        <w:jc w:val="left"/>
        <w:rPr>
          <w:b/>
          <w:i/>
          <w:sz w:val="22"/>
        </w:rPr>
      </w:pPr>
      <w:bookmarkStart w:name="_bookmark53" w:id="102"/>
      <w:bookmarkEnd w:id="102"/>
      <w:r>
        <w:rPr/>
      </w:r>
      <w:bookmarkStart w:name="_bookmark53" w:id="103"/>
      <w:bookmarkEnd w:id="103"/>
      <w:r>
        <w:rPr>
          <w:b/>
          <w:i/>
          <w:sz w:val="22"/>
        </w:rPr>
        <w:t>H</w:t>
      </w:r>
      <w:r>
        <w:rPr>
          <w:b/>
          <w:i/>
          <w:sz w:val="22"/>
        </w:rPr>
        <w:t>ematoxilina-Eosina (Dubowitz y Brooke,</w:t>
      </w:r>
      <w:r>
        <w:rPr>
          <w:b/>
          <w:i/>
          <w:spacing w:val="-9"/>
          <w:sz w:val="22"/>
        </w:rPr>
        <w:t> </w:t>
      </w:r>
      <w:r>
        <w:rPr>
          <w:b/>
          <w:i/>
          <w:sz w:val="22"/>
        </w:rPr>
        <w:t>1973)</w:t>
      </w:r>
    </w:p>
    <w:p>
      <w:pPr>
        <w:pStyle w:val="BodyText"/>
        <w:spacing w:line="360" w:lineRule="auto" w:before="122"/>
        <w:ind w:left="152" w:right="106" w:firstLine="707"/>
        <w:jc w:val="both"/>
      </w:pPr>
      <w:r>
        <w:rPr/>
        <w:t>Se aplicó a los primeros cortes histológicos para verificar la correcta disposición transversal de las fibras, se comprobó la ausencia de artefactos durante la congelación y se analizó la morfología de los miocitos. Con dicha técnica se observan los núcleos teñidos de azul, las fibras de rosa y el tejido conectivo de color rosa claro.</w:t>
      </w:r>
    </w:p>
    <w:p>
      <w:pPr>
        <w:pStyle w:val="BodyText"/>
        <w:rPr>
          <w:sz w:val="20"/>
        </w:rPr>
      </w:pPr>
    </w:p>
    <w:p>
      <w:pPr>
        <w:pStyle w:val="BodyText"/>
        <w:spacing w:before="11"/>
        <w:rPr>
          <w:sz w:val="19"/>
        </w:rPr>
      </w:pPr>
    </w:p>
    <w:tbl>
      <w:tblPr>
        <w:tblW w:w="0" w:type="auto"/>
        <w:jc w:val="left"/>
        <w:tblInd w:w="6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35"/>
        <w:gridCol w:w="3968"/>
      </w:tblGrid>
      <w:tr>
        <w:trPr>
          <w:trHeight w:val="283" w:hRule="exact"/>
        </w:trPr>
        <w:tc>
          <w:tcPr>
            <w:tcW w:w="3935" w:type="dxa"/>
          </w:tcPr>
          <w:p>
            <w:pPr>
              <w:pStyle w:val="TableParagraph"/>
              <w:spacing w:line="245" w:lineRule="exact"/>
              <w:ind w:left="200"/>
              <w:jc w:val="left"/>
              <w:rPr>
                <w:sz w:val="24"/>
              </w:rPr>
            </w:pPr>
            <w:r>
              <w:rPr>
                <w:sz w:val="24"/>
              </w:rPr>
              <w:t>1.   Hematoxilina de Harris</w:t>
            </w:r>
          </w:p>
        </w:tc>
        <w:tc>
          <w:tcPr>
            <w:tcW w:w="3968" w:type="dxa"/>
          </w:tcPr>
          <w:p>
            <w:pPr>
              <w:pStyle w:val="TableParagraph"/>
              <w:spacing w:line="245" w:lineRule="exact"/>
              <w:ind w:left="882" w:right="176"/>
              <w:rPr>
                <w:sz w:val="24"/>
              </w:rPr>
            </w:pPr>
            <w:r>
              <w:rPr>
                <w:sz w:val="24"/>
              </w:rPr>
              <w:t>3-6 minutos</w:t>
            </w:r>
          </w:p>
        </w:tc>
      </w:tr>
      <w:tr>
        <w:trPr>
          <w:trHeight w:val="328" w:hRule="exact"/>
        </w:trPr>
        <w:tc>
          <w:tcPr>
            <w:tcW w:w="3935" w:type="dxa"/>
          </w:tcPr>
          <w:p>
            <w:pPr>
              <w:pStyle w:val="TableParagraph"/>
              <w:spacing w:before="12"/>
              <w:ind w:left="200"/>
              <w:jc w:val="left"/>
              <w:rPr>
                <w:sz w:val="24"/>
              </w:rPr>
            </w:pPr>
            <w:r>
              <w:rPr>
                <w:sz w:val="24"/>
              </w:rPr>
              <w:t>2.   Lavar 2 veces con agua destilada</w:t>
            </w:r>
          </w:p>
        </w:tc>
        <w:tc>
          <w:tcPr>
            <w:tcW w:w="3968" w:type="dxa"/>
          </w:tcPr>
          <w:p>
            <w:pPr/>
          </w:p>
        </w:tc>
      </w:tr>
      <w:tr>
        <w:trPr>
          <w:trHeight w:val="328" w:hRule="exact"/>
        </w:trPr>
        <w:tc>
          <w:tcPr>
            <w:tcW w:w="3935" w:type="dxa"/>
          </w:tcPr>
          <w:p>
            <w:pPr>
              <w:pStyle w:val="TableParagraph"/>
              <w:spacing w:before="13"/>
              <w:ind w:left="200"/>
              <w:jc w:val="left"/>
              <w:rPr>
                <w:sz w:val="24"/>
              </w:rPr>
            </w:pPr>
            <w:r>
              <w:rPr>
                <w:sz w:val="24"/>
              </w:rPr>
              <w:t>3.   Eosina al 1%</w:t>
            </w:r>
          </w:p>
        </w:tc>
        <w:tc>
          <w:tcPr>
            <w:tcW w:w="3968" w:type="dxa"/>
          </w:tcPr>
          <w:p>
            <w:pPr>
              <w:pStyle w:val="TableParagraph"/>
              <w:spacing w:before="13"/>
              <w:ind w:left="882" w:right="179"/>
              <w:rPr>
                <w:sz w:val="24"/>
              </w:rPr>
            </w:pPr>
            <w:r>
              <w:rPr>
                <w:sz w:val="24"/>
              </w:rPr>
              <w:t>30-60 segundos</w:t>
            </w:r>
          </w:p>
        </w:tc>
      </w:tr>
      <w:tr>
        <w:trPr>
          <w:trHeight w:val="1598" w:hRule="exact"/>
        </w:trPr>
        <w:tc>
          <w:tcPr>
            <w:tcW w:w="3935" w:type="dxa"/>
          </w:tcPr>
          <w:p>
            <w:pPr>
              <w:pStyle w:val="TableParagraph"/>
              <w:spacing w:before="12"/>
              <w:ind w:left="200"/>
              <w:jc w:val="left"/>
              <w:rPr>
                <w:sz w:val="24"/>
              </w:rPr>
            </w:pPr>
            <w:r>
              <w:rPr>
                <w:sz w:val="24"/>
              </w:rPr>
              <w:t>4.   Deshidratar en alcoholes</w:t>
            </w:r>
          </w:p>
          <w:p>
            <w:pPr>
              <w:pStyle w:val="TableParagraph"/>
              <w:spacing w:before="41"/>
              <w:ind w:left="2047" w:right="1412"/>
              <w:rPr>
                <w:sz w:val="24"/>
              </w:rPr>
            </w:pPr>
            <w:r>
              <w:rPr>
                <w:sz w:val="24"/>
              </w:rPr>
              <w:t>70º</w:t>
            </w:r>
          </w:p>
          <w:p>
            <w:pPr>
              <w:pStyle w:val="TableParagraph"/>
              <w:spacing w:before="43"/>
              <w:ind w:left="2047" w:right="1412"/>
              <w:rPr>
                <w:sz w:val="24"/>
              </w:rPr>
            </w:pPr>
            <w:r>
              <w:rPr>
                <w:sz w:val="24"/>
              </w:rPr>
              <w:t>90º</w:t>
            </w:r>
          </w:p>
          <w:p>
            <w:pPr>
              <w:pStyle w:val="TableParagraph"/>
              <w:spacing w:before="41"/>
              <w:ind w:left="2047" w:right="1412"/>
              <w:rPr>
                <w:sz w:val="24"/>
              </w:rPr>
            </w:pPr>
            <w:r>
              <w:rPr>
                <w:sz w:val="24"/>
              </w:rPr>
              <w:t>100º</w:t>
            </w:r>
          </w:p>
          <w:p>
            <w:pPr>
              <w:pStyle w:val="TableParagraph"/>
              <w:spacing w:before="41"/>
              <w:ind w:left="2047" w:right="1412"/>
              <w:rPr>
                <w:sz w:val="24"/>
              </w:rPr>
            </w:pPr>
            <w:r>
              <w:rPr>
                <w:sz w:val="24"/>
              </w:rPr>
              <w:t>100º</w:t>
            </w:r>
          </w:p>
        </w:tc>
        <w:tc>
          <w:tcPr>
            <w:tcW w:w="3968" w:type="dxa"/>
          </w:tcPr>
          <w:p>
            <w:pPr>
              <w:pStyle w:val="TableParagraph"/>
              <w:spacing w:before="7"/>
              <w:jc w:val="left"/>
              <w:rPr>
                <w:sz w:val="28"/>
              </w:rPr>
            </w:pPr>
          </w:p>
          <w:p>
            <w:pPr>
              <w:pStyle w:val="TableParagraph"/>
              <w:ind w:left="1906"/>
              <w:jc w:val="left"/>
              <w:rPr>
                <w:sz w:val="24"/>
              </w:rPr>
            </w:pPr>
            <w:r>
              <w:rPr>
                <w:sz w:val="24"/>
              </w:rPr>
              <w:t>1 minuto</w:t>
            </w:r>
          </w:p>
          <w:p>
            <w:pPr>
              <w:pStyle w:val="TableParagraph"/>
              <w:spacing w:before="43"/>
              <w:ind w:left="1906"/>
              <w:jc w:val="left"/>
              <w:rPr>
                <w:sz w:val="24"/>
              </w:rPr>
            </w:pPr>
            <w:r>
              <w:rPr>
                <w:sz w:val="24"/>
              </w:rPr>
              <w:t>1 minuto</w:t>
            </w:r>
          </w:p>
          <w:p>
            <w:pPr>
              <w:pStyle w:val="TableParagraph"/>
              <w:spacing w:before="41"/>
              <w:ind w:left="1906"/>
              <w:jc w:val="left"/>
              <w:rPr>
                <w:sz w:val="24"/>
              </w:rPr>
            </w:pPr>
            <w:r>
              <w:rPr>
                <w:sz w:val="24"/>
              </w:rPr>
              <w:t>1 minuto</w:t>
            </w:r>
          </w:p>
          <w:p>
            <w:pPr>
              <w:pStyle w:val="TableParagraph"/>
              <w:spacing w:before="41"/>
              <w:ind w:left="1906"/>
              <w:jc w:val="left"/>
              <w:rPr>
                <w:sz w:val="24"/>
              </w:rPr>
            </w:pPr>
            <w:r>
              <w:rPr>
                <w:sz w:val="24"/>
              </w:rPr>
              <w:t>1 minuto</w:t>
            </w:r>
          </w:p>
        </w:tc>
      </w:tr>
      <w:tr>
        <w:trPr>
          <w:trHeight w:val="328" w:hRule="exact"/>
        </w:trPr>
        <w:tc>
          <w:tcPr>
            <w:tcW w:w="3935" w:type="dxa"/>
          </w:tcPr>
          <w:p>
            <w:pPr>
              <w:pStyle w:val="TableParagraph"/>
              <w:spacing w:before="13"/>
              <w:ind w:left="200"/>
              <w:jc w:val="left"/>
              <w:rPr>
                <w:sz w:val="24"/>
              </w:rPr>
            </w:pPr>
            <w:r>
              <w:rPr>
                <w:sz w:val="24"/>
              </w:rPr>
              <w:t>5.   Aclarar con isoparafina H</w:t>
            </w:r>
          </w:p>
        </w:tc>
        <w:tc>
          <w:tcPr>
            <w:tcW w:w="3968" w:type="dxa"/>
          </w:tcPr>
          <w:p>
            <w:pPr>
              <w:pStyle w:val="TableParagraph"/>
              <w:spacing w:before="13"/>
              <w:ind w:left="882" w:right="179"/>
              <w:rPr>
                <w:sz w:val="24"/>
              </w:rPr>
            </w:pPr>
            <w:r>
              <w:rPr>
                <w:sz w:val="24"/>
              </w:rPr>
              <w:t>2 baños de 1 minuto cada uno</w:t>
            </w:r>
          </w:p>
        </w:tc>
      </w:tr>
      <w:tr>
        <w:trPr>
          <w:trHeight w:val="600" w:hRule="exact"/>
        </w:trPr>
        <w:tc>
          <w:tcPr>
            <w:tcW w:w="3935" w:type="dxa"/>
          </w:tcPr>
          <w:p>
            <w:pPr>
              <w:pStyle w:val="TableParagraph"/>
              <w:spacing w:line="276" w:lineRule="auto" w:before="12"/>
              <w:ind w:left="560" w:hanging="360"/>
              <w:jc w:val="left"/>
              <w:rPr>
                <w:sz w:val="24"/>
              </w:rPr>
            </w:pPr>
            <w:r>
              <w:rPr>
                <w:sz w:val="24"/>
              </w:rPr>
              <w:t>6. Montar con medio sintético apropiado</w:t>
            </w:r>
          </w:p>
        </w:tc>
        <w:tc>
          <w:tcPr>
            <w:tcW w:w="3968" w:type="dxa"/>
          </w:tcPr>
          <w:p>
            <w:pPr/>
          </w:p>
        </w:tc>
      </w:tr>
    </w:tbl>
    <w:p>
      <w:pPr>
        <w:pStyle w:val="BodyText"/>
        <w:spacing w:before="11"/>
        <w:rPr>
          <w:sz w:val="26"/>
        </w:rPr>
      </w:pPr>
    </w:p>
    <w:p>
      <w:pPr>
        <w:pStyle w:val="Heading1"/>
        <w:numPr>
          <w:ilvl w:val="2"/>
          <w:numId w:val="13"/>
        </w:numPr>
        <w:tabs>
          <w:tab w:pos="693" w:val="left" w:leader="none"/>
        </w:tabs>
        <w:spacing w:line="240" w:lineRule="auto" w:before="69" w:after="0"/>
        <w:ind w:left="692" w:right="0" w:hanging="540"/>
        <w:jc w:val="left"/>
      </w:pPr>
      <w:bookmarkStart w:name="_bookmark54" w:id="104"/>
      <w:bookmarkEnd w:id="104"/>
      <w:r>
        <w:rPr>
          <w:b w:val="0"/>
        </w:rPr>
      </w:r>
      <w:bookmarkStart w:name="_bookmark54" w:id="105"/>
      <w:bookmarkEnd w:id="105"/>
      <w:r>
        <w:rPr/>
        <w:t>T</w:t>
      </w:r>
      <w:r>
        <w:rPr/>
        <w:t>écnicas</w:t>
      </w:r>
      <w:r>
        <w:rPr>
          <w:spacing w:val="-10"/>
        </w:rPr>
        <w:t> </w:t>
      </w:r>
      <w:r>
        <w:rPr/>
        <w:t>histoquímicas</w:t>
      </w:r>
    </w:p>
    <w:p>
      <w:pPr>
        <w:pStyle w:val="BodyText"/>
        <w:spacing w:line="360" w:lineRule="auto" w:before="132"/>
        <w:ind w:left="152" w:right="110" w:firstLine="707"/>
        <w:jc w:val="both"/>
      </w:pPr>
      <w:r>
        <w:rPr/>
        <w:t>Se empleó la técnica de la detección de la ATPasa miosínica, con preincubaciones alcalinas, para valorar las características contráctiles de los miocitos. Por otro, la técnica de la NADH-TR, a fin de determinar el potencial oxidativo; es decir, las características metabólicas de las fibras musculares.</w:t>
      </w:r>
    </w:p>
    <w:p>
      <w:pPr>
        <w:pStyle w:val="ListParagraph"/>
        <w:numPr>
          <w:ilvl w:val="3"/>
          <w:numId w:val="13"/>
        </w:numPr>
        <w:tabs>
          <w:tab w:pos="815" w:val="left" w:leader="none"/>
        </w:tabs>
        <w:spacing w:line="240" w:lineRule="auto" w:before="9" w:after="0"/>
        <w:ind w:left="814" w:right="0" w:hanging="662"/>
        <w:jc w:val="left"/>
        <w:rPr>
          <w:b/>
          <w:i/>
          <w:sz w:val="22"/>
        </w:rPr>
      </w:pPr>
      <w:bookmarkStart w:name="_bookmark55" w:id="106"/>
      <w:bookmarkEnd w:id="106"/>
      <w:r>
        <w:rPr/>
      </w:r>
      <w:bookmarkStart w:name="_bookmark55" w:id="107"/>
      <w:bookmarkEnd w:id="107"/>
      <w:r>
        <w:rPr>
          <w:b/>
          <w:i/>
          <w:sz w:val="22"/>
        </w:rPr>
        <w:t>T</w:t>
      </w:r>
      <w:r>
        <w:rPr>
          <w:b/>
          <w:i/>
          <w:sz w:val="22"/>
        </w:rPr>
        <w:t>écnicas de ATPasa</w:t>
      </w:r>
      <w:r>
        <w:rPr>
          <w:b/>
          <w:i/>
          <w:spacing w:val="-7"/>
          <w:sz w:val="22"/>
        </w:rPr>
        <w:t> </w:t>
      </w:r>
      <w:r>
        <w:rPr>
          <w:b/>
          <w:i/>
          <w:sz w:val="22"/>
        </w:rPr>
        <w:t>miosínicas.</w:t>
      </w:r>
    </w:p>
    <w:p>
      <w:pPr>
        <w:pStyle w:val="BodyText"/>
        <w:spacing w:line="360" w:lineRule="auto" w:before="122"/>
        <w:ind w:left="152" w:right="109" w:firstLine="1132"/>
        <w:jc w:val="both"/>
      </w:pPr>
      <w:r>
        <w:rPr/>
        <w:t>Con este tipo de técnicas se detecta, mediante microscopía óptica, la actividad ATPasa (presencia o ausencia) de la miosina contenida en los miocitos. Para ello, las preparaciones son incubadas en una solución con ATP y calcio a pH 9.45. </w:t>
      </w:r>
      <w:r>
        <w:rPr>
          <w:spacing w:val="-3"/>
        </w:rPr>
        <w:t>La</w:t>
      </w:r>
      <w:r>
        <w:rPr>
          <w:spacing w:val="48"/>
        </w:rPr>
        <w:t> </w:t>
      </w:r>
      <w:r>
        <w:rPr/>
        <w:t>enzima</w:t>
      </w:r>
    </w:p>
    <w:p>
      <w:pPr>
        <w:spacing w:after="0" w:line="360" w:lineRule="auto"/>
        <w:jc w:val="both"/>
        <w:sectPr>
          <w:pgSz w:w="12240" w:h="15840"/>
          <w:pgMar w:header="1154" w:footer="1383" w:top="1620" w:bottom="1580" w:left="1720" w:right="1420"/>
        </w:sectPr>
      </w:pPr>
    </w:p>
    <w:p>
      <w:pPr>
        <w:pStyle w:val="BodyText"/>
        <w:spacing w:before="2"/>
        <w:rPr>
          <w:sz w:val="9"/>
        </w:rPr>
      </w:pPr>
    </w:p>
    <w:p>
      <w:pPr>
        <w:pStyle w:val="BodyText"/>
        <w:spacing w:line="360" w:lineRule="auto" w:before="69"/>
        <w:ind w:left="152" w:right="106"/>
        <w:jc w:val="both"/>
      </w:pPr>
      <w:r>
        <w:rPr/>
        <w:t>ATPasa, en este rango de pH, libera el fosfato terminal que se combina con el calcio formando fosfato cálcico, insoluble a pH alcalino, que precipita en los lugares donde se produce la reacción enzimática. Posteriormente las preparaciones son trasladadas a una cubeta con una solución de cloruro de cobalto. El cobalto sustituye al calcio en el fosfato formado anteriormente, transformándose éste en un fosfato de cobalto que precipita en los mismos sitios que el fosfato cálcico. Por último transformamos el fosfato de cobalto en sulfuro de cobalto, que también es insoluble, sometiendo las preparaciones musculares a una solución de sulfuro de amonio. El sulfuro de cobalto además de insoluble es de color negro, por lo que se puede demostrar con microscopio óptico la actividad mATPásica en las fibras musculares (Dubowitz y Brooke, 1973). Cuando en la técnica descrita, se somete previamente a las preparaciones a medios más ácidos (pH 4.6-4.3) o alcalinos (pH 10.2- 10.6); es decir, se realiza un proceso de preincubado, se logra evidenciar un mayor número de tipos fibrilares debido a la diferente labilidad de las distintas isoformas de las fibras musculares. De este modo, se puede apreciar la coloración de las miofibrillas separadas por el espacio intermiofibrilar, que no llega a teñirse. En cortes longitudinales de las muestras  se observaría que la tinción se aprecia sobre las bandas A, región ocupada por miosina. Dicha característica es la que confiere la denominación de ATPasa miosínica a este tipo de técnicas (Dubowitz,</w:t>
      </w:r>
      <w:r>
        <w:rPr>
          <w:spacing w:val="-5"/>
        </w:rPr>
        <w:t> </w:t>
      </w:r>
      <w:r>
        <w:rPr/>
        <w:t>1985).</w:t>
      </w:r>
    </w:p>
    <w:p>
      <w:pPr>
        <w:pStyle w:val="BodyText"/>
        <w:spacing w:before="6"/>
        <w:ind w:left="860"/>
      </w:pPr>
      <w:r>
        <w:rPr/>
        <w:t>Las técnicas que se usó, la ATPasa miosínica se corresponde a la referida por  Snow</w:t>
      </w:r>
    </w:p>
    <w:p>
      <w:pPr>
        <w:pStyle w:val="BodyText"/>
        <w:spacing w:before="137"/>
        <w:ind w:left="152"/>
        <w:jc w:val="both"/>
      </w:pPr>
      <w:r>
        <w:rPr>
          <w:i/>
        </w:rPr>
        <w:t>et al. </w:t>
      </w:r>
      <w:r>
        <w:rPr/>
        <w:t>(1982) para preincubaciones alcalinas, modificadas por Latorre </w:t>
      </w:r>
      <w:r>
        <w:rPr>
          <w:i/>
        </w:rPr>
        <w:t>et al. </w:t>
      </w:r>
      <w:r>
        <w:rPr/>
        <w:t>(1993).</w:t>
      </w:r>
    </w:p>
    <w:p>
      <w:pPr>
        <w:pStyle w:val="BodyText"/>
      </w:pPr>
    </w:p>
    <w:p>
      <w:pPr>
        <w:pStyle w:val="BodyText"/>
        <w:spacing w:before="4"/>
      </w:pPr>
    </w:p>
    <w:p>
      <w:pPr>
        <w:pStyle w:val="ListParagraph"/>
        <w:numPr>
          <w:ilvl w:val="3"/>
          <w:numId w:val="13"/>
        </w:numPr>
        <w:tabs>
          <w:tab w:pos="815" w:val="left" w:leader="none"/>
        </w:tabs>
        <w:spacing w:line="240" w:lineRule="auto" w:before="0" w:after="0"/>
        <w:ind w:left="814" w:right="0" w:hanging="662"/>
        <w:jc w:val="both"/>
        <w:rPr>
          <w:b/>
          <w:i/>
          <w:sz w:val="22"/>
        </w:rPr>
      </w:pPr>
      <w:bookmarkStart w:name="_bookmark56" w:id="108"/>
      <w:bookmarkEnd w:id="108"/>
      <w:r>
        <w:rPr/>
      </w:r>
      <w:bookmarkStart w:name="_bookmark56" w:id="109"/>
      <w:bookmarkEnd w:id="109"/>
      <w:r>
        <w:rPr>
          <w:b/>
          <w:i/>
          <w:sz w:val="22"/>
        </w:rPr>
        <w:t>T</w:t>
      </w:r>
      <w:r>
        <w:rPr>
          <w:b/>
          <w:i/>
          <w:sz w:val="22"/>
        </w:rPr>
        <w:t>écnica de ATPasa miosínica con preincubación</w:t>
      </w:r>
      <w:r>
        <w:rPr>
          <w:b/>
          <w:i/>
          <w:spacing w:val="-15"/>
          <w:sz w:val="22"/>
        </w:rPr>
        <w:t> </w:t>
      </w:r>
      <w:r>
        <w:rPr>
          <w:b/>
          <w:i/>
          <w:sz w:val="22"/>
        </w:rPr>
        <w:t>alcalina</w:t>
      </w:r>
    </w:p>
    <w:p>
      <w:pPr>
        <w:spacing w:before="122"/>
        <w:ind w:left="152" w:right="0" w:firstLine="0"/>
        <w:jc w:val="both"/>
        <w:rPr>
          <w:sz w:val="24"/>
        </w:rPr>
      </w:pPr>
      <w:r>
        <w:rPr>
          <w:sz w:val="24"/>
        </w:rPr>
        <w:t>(Método de Snow </w:t>
      </w:r>
      <w:r>
        <w:rPr>
          <w:i/>
          <w:sz w:val="24"/>
        </w:rPr>
        <w:t>et al., </w:t>
      </w:r>
      <w:r>
        <w:rPr>
          <w:sz w:val="24"/>
        </w:rPr>
        <w:t>1982; modificado por Latorre </w:t>
      </w:r>
      <w:r>
        <w:rPr>
          <w:i/>
          <w:sz w:val="24"/>
        </w:rPr>
        <w:t>et al., </w:t>
      </w:r>
      <w:r>
        <w:rPr>
          <w:sz w:val="24"/>
        </w:rPr>
        <w:t>1993).</w:t>
      </w:r>
    </w:p>
    <w:p>
      <w:pPr>
        <w:spacing w:after="0"/>
        <w:jc w:val="both"/>
        <w:rPr>
          <w:sz w:val="24"/>
        </w:rPr>
        <w:sectPr>
          <w:pgSz w:w="12240" w:h="15840"/>
          <w:pgMar w:header="1154" w:footer="1383" w:top="1620" w:bottom="1580" w:left="1720" w:right="1420"/>
        </w:sectPr>
      </w:pPr>
    </w:p>
    <w:p>
      <w:pPr>
        <w:pStyle w:val="BodyText"/>
        <w:spacing w:before="8"/>
        <w:rPr>
          <w:sz w:val="21"/>
        </w:rPr>
      </w:pPr>
    </w:p>
    <w:tbl>
      <w:tblPr>
        <w:tblW w:w="0" w:type="auto"/>
        <w:jc w:val="left"/>
        <w:tblInd w:w="1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44"/>
        <w:gridCol w:w="4059"/>
      </w:tblGrid>
      <w:tr>
        <w:trPr>
          <w:trHeight w:val="503" w:hRule="exact"/>
        </w:trPr>
        <w:tc>
          <w:tcPr>
            <w:tcW w:w="8802" w:type="dxa"/>
            <w:gridSpan w:val="2"/>
            <w:tcBorders>
              <w:left w:val="nil"/>
              <w:bottom w:val="nil"/>
              <w:right w:val="nil"/>
            </w:tcBorders>
          </w:tcPr>
          <w:p>
            <w:pPr>
              <w:pStyle w:val="TableParagraph"/>
              <w:spacing w:before="184"/>
              <w:ind w:left="681"/>
              <w:jc w:val="left"/>
              <w:rPr>
                <w:sz w:val="24"/>
              </w:rPr>
            </w:pPr>
            <w:r>
              <w:rPr>
                <w:sz w:val="24"/>
              </w:rPr>
              <w:t>1.   Preincubar durante 15 minutos en la solución:</w:t>
            </w:r>
          </w:p>
        </w:tc>
      </w:tr>
      <w:tr>
        <w:trPr>
          <w:trHeight w:val="1280" w:hRule="exact"/>
        </w:trPr>
        <w:tc>
          <w:tcPr>
            <w:tcW w:w="4744" w:type="dxa"/>
            <w:tcBorders>
              <w:top w:val="nil"/>
              <w:left w:val="nil"/>
              <w:bottom w:val="nil"/>
              <w:right w:val="nil"/>
            </w:tcBorders>
          </w:tcPr>
          <w:p>
            <w:pPr>
              <w:pStyle w:val="TableParagraph"/>
              <w:spacing w:before="11"/>
              <w:ind w:left="321" w:right="2789"/>
              <w:jc w:val="left"/>
              <w:rPr>
                <w:sz w:val="24"/>
              </w:rPr>
            </w:pPr>
            <w:r>
              <w:rPr>
                <w:position w:val="2"/>
                <w:sz w:val="24"/>
              </w:rPr>
              <w:t>Cl</w:t>
            </w:r>
            <w:r>
              <w:rPr>
                <w:sz w:val="16"/>
              </w:rPr>
              <w:t>2</w:t>
            </w:r>
            <w:r>
              <w:rPr>
                <w:position w:val="2"/>
                <w:sz w:val="24"/>
              </w:rPr>
              <w:t>Ca</w:t>
            </w:r>
          </w:p>
          <w:p>
            <w:pPr>
              <w:pStyle w:val="TableParagraph"/>
              <w:spacing w:line="276" w:lineRule="auto" w:before="41"/>
              <w:ind w:left="321" w:right="2789"/>
              <w:jc w:val="left"/>
              <w:rPr>
                <w:sz w:val="24"/>
              </w:rPr>
            </w:pPr>
            <w:r>
              <w:rPr>
                <w:sz w:val="24"/>
              </w:rPr>
              <w:t>Acetato de sodio Barbital sódico</w:t>
            </w:r>
          </w:p>
          <w:p>
            <w:pPr>
              <w:pStyle w:val="TableParagraph"/>
              <w:spacing w:before="1"/>
              <w:ind w:left="321" w:right="1143"/>
              <w:jc w:val="left"/>
              <w:rPr>
                <w:sz w:val="24"/>
              </w:rPr>
            </w:pPr>
            <w:r>
              <w:rPr>
                <w:sz w:val="24"/>
              </w:rPr>
              <w:t>pH: 10,2 10,3 10,4 y 10,5</w:t>
            </w:r>
          </w:p>
        </w:tc>
        <w:tc>
          <w:tcPr>
            <w:tcW w:w="4059" w:type="dxa"/>
            <w:tcBorders>
              <w:top w:val="nil"/>
              <w:left w:val="nil"/>
              <w:bottom w:val="nil"/>
              <w:right w:val="nil"/>
            </w:tcBorders>
          </w:tcPr>
          <w:p>
            <w:pPr>
              <w:pStyle w:val="TableParagraph"/>
              <w:spacing w:before="12"/>
              <w:ind w:left="310" w:right="353"/>
              <w:rPr>
                <w:sz w:val="24"/>
              </w:rPr>
            </w:pPr>
            <w:r>
              <w:rPr>
                <w:sz w:val="24"/>
              </w:rPr>
              <w:t>0,1M</w:t>
            </w:r>
          </w:p>
          <w:p>
            <w:pPr>
              <w:pStyle w:val="TableParagraph"/>
              <w:spacing w:before="43"/>
              <w:ind w:left="310" w:right="353"/>
              <w:rPr>
                <w:sz w:val="24"/>
              </w:rPr>
            </w:pPr>
            <w:r>
              <w:rPr>
                <w:sz w:val="24"/>
              </w:rPr>
              <w:t>0,07M</w:t>
            </w:r>
          </w:p>
          <w:p>
            <w:pPr>
              <w:pStyle w:val="TableParagraph"/>
              <w:spacing w:before="41"/>
              <w:ind w:left="310" w:right="353"/>
              <w:rPr>
                <w:sz w:val="24"/>
              </w:rPr>
            </w:pPr>
            <w:r>
              <w:rPr>
                <w:sz w:val="24"/>
              </w:rPr>
              <w:t>0,075M</w:t>
            </w:r>
          </w:p>
          <w:p>
            <w:pPr>
              <w:pStyle w:val="TableParagraph"/>
              <w:spacing w:before="41"/>
              <w:ind w:left="310" w:right="354"/>
              <w:rPr>
                <w:sz w:val="24"/>
              </w:rPr>
            </w:pPr>
            <w:r>
              <w:rPr>
                <w:sz w:val="24"/>
              </w:rPr>
              <w:t>(ajustados con NaOH 1M y 0,1 M)</w:t>
            </w:r>
          </w:p>
        </w:tc>
      </w:tr>
      <w:tr>
        <w:trPr>
          <w:trHeight w:val="328" w:hRule="exact"/>
        </w:trPr>
        <w:tc>
          <w:tcPr>
            <w:tcW w:w="4744" w:type="dxa"/>
            <w:tcBorders>
              <w:top w:val="nil"/>
              <w:left w:val="nil"/>
              <w:bottom w:val="nil"/>
              <w:right w:val="nil"/>
            </w:tcBorders>
          </w:tcPr>
          <w:p>
            <w:pPr>
              <w:pStyle w:val="TableParagraph"/>
              <w:spacing w:before="13"/>
              <w:ind w:left="681" w:right="1143"/>
              <w:jc w:val="left"/>
              <w:rPr>
                <w:sz w:val="24"/>
              </w:rPr>
            </w:pPr>
            <w:r>
              <w:rPr>
                <w:sz w:val="24"/>
              </w:rPr>
              <w:t>2.   Lavar con agua destilada</w:t>
            </w:r>
          </w:p>
        </w:tc>
        <w:tc>
          <w:tcPr>
            <w:tcW w:w="4059" w:type="dxa"/>
            <w:tcBorders>
              <w:top w:val="nil"/>
              <w:left w:val="nil"/>
              <w:bottom w:val="nil"/>
              <w:right w:val="nil"/>
            </w:tcBorders>
          </w:tcPr>
          <w:p>
            <w:pPr>
              <w:pStyle w:val="TableParagraph"/>
              <w:spacing w:before="13"/>
              <w:ind w:left="310" w:right="354"/>
              <w:rPr>
                <w:sz w:val="24"/>
              </w:rPr>
            </w:pPr>
            <w:r>
              <w:rPr>
                <w:sz w:val="24"/>
              </w:rPr>
              <w:t>Durante 5 minutos</w:t>
            </w:r>
          </w:p>
        </w:tc>
      </w:tr>
      <w:tr>
        <w:trPr>
          <w:trHeight w:val="2073" w:hRule="exact"/>
        </w:trPr>
        <w:tc>
          <w:tcPr>
            <w:tcW w:w="4744" w:type="dxa"/>
            <w:tcBorders>
              <w:top w:val="nil"/>
              <w:left w:val="nil"/>
              <w:bottom w:val="nil"/>
              <w:right w:val="nil"/>
            </w:tcBorders>
          </w:tcPr>
          <w:p>
            <w:pPr>
              <w:pStyle w:val="TableParagraph"/>
              <w:spacing w:line="276" w:lineRule="auto" w:before="12"/>
              <w:ind w:left="321" w:right="1143" w:firstLine="360"/>
              <w:jc w:val="left"/>
              <w:rPr>
                <w:sz w:val="24"/>
              </w:rPr>
            </w:pPr>
            <w:r>
              <w:rPr>
                <w:sz w:val="24"/>
              </w:rPr>
              <w:t>3. Incubar en la solución </w:t>
            </w:r>
            <w:r>
              <w:rPr>
                <w:position w:val="2"/>
                <w:sz w:val="24"/>
              </w:rPr>
              <w:t>Cl</w:t>
            </w:r>
            <w:r>
              <w:rPr>
                <w:sz w:val="16"/>
              </w:rPr>
              <w:t>2</w:t>
            </w:r>
            <w:r>
              <w:rPr>
                <w:position w:val="2"/>
                <w:sz w:val="24"/>
              </w:rPr>
              <w:t>Ca</w:t>
            </w:r>
          </w:p>
          <w:p>
            <w:pPr>
              <w:pStyle w:val="TableParagraph"/>
              <w:spacing w:line="276" w:lineRule="auto"/>
              <w:ind w:left="321" w:right="2789"/>
              <w:jc w:val="left"/>
              <w:rPr>
                <w:sz w:val="24"/>
              </w:rPr>
            </w:pPr>
            <w:r>
              <w:rPr>
                <w:sz w:val="24"/>
              </w:rPr>
              <w:t>Acetato de sodio Barbital sódico ATP</w:t>
            </w:r>
          </w:p>
          <w:p>
            <w:pPr>
              <w:pStyle w:val="TableParagraph"/>
              <w:spacing w:before="1"/>
              <w:ind w:left="321" w:right="2789"/>
              <w:jc w:val="left"/>
              <w:rPr>
                <w:sz w:val="24"/>
              </w:rPr>
            </w:pPr>
            <w:r>
              <w:rPr>
                <w:sz w:val="24"/>
              </w:rPr>
              <w:t>pH: 9,45</w:t>
            </w:r>
          </w:p>
        </w:tc>
        <w:tc>
          <w:tcPr>
            <w:tcW w:w="4059" w:type="dxa"/>
            <w:tcBorders>
              <w:top w:val="nil"/>
              <w:left w:val="nil"/>
              <w:bottom w:val="nil"/>
              <w:right w:val="nil"/>
            </w:tcBorders>
          </w:tcPr>
          <w:p>
            <w:pPr>
              <w:pStyle w:val="TableParagraph"/>
              <w:spacing w:before="12"/>
              <w:ind w:left="310" w:right="354"/>
              <w:rPr>
                <w:sz w:val="24"/>
              </w:rPr>
            </w:pPr>
            <w:r>
              <w:rPr>
                <w:sz w:val="24"/>
              </w:rPr>
              <w:t>Durante 30 minutos</w:t>
            </w:r>
          </w:p>
          <w:p>
            <w:pPr>
              <w:pStyle w:val="TableParagraph"/>
              <w:spacing w:before="41"/>
              <w:ind w:left="310" w:right="350"/>
              <w:rPr>
                <w:sz w:val="24"/>
              </w:rPr>
            </w:pPr>
            <w:r>
              <w:rPr>
                <w:sz w:val="24"/>
              </w:rPr>
              <w:t>0,1 M</w:t>
            </w:r>
          </w:p>
          <w:p>
            <w:pPr>
              <w:pStyle w:val="TableParagraph"/>
              <w:spacing w:before="41"/>
              <w:ind w:left="310" w:right="353"/>
              <w:rPr>
                <w:sz w:val="24"/>
              </w:rPr>
            </w:pPr>
            <w:r>
              <w:rPr>
                <w:sz w:val="24"/>
              </w:rPr>
              <w:t>0,07M</w:t>
            </w:r>
          </w:p>
          <w:p>
            <w:pPr>
              <w:pStyle w:val="TableParagraph"/>
              <w:spacing w:before="43"/>
              <w:ind w:left="310" w:right="353"/>
              <w:rPr>
                <w:sz w:val="24"/>
              </w:rPr>
            </w:pPr>
            <w:r>
              <w:rPr>
                <w:sz w:val="24"/>
              </w:rPr>
              <w:t>0,075M</w:t>
            </w:r>
          </w:p>
          <w:p>
            <w:pPr>
              <w:pStyle w:val="TableParagraph"/>
              <w:spacing w:before="41"/>
              <w:ind w:left="310" w:right="350"/>
              <w:rPr>
                <w:sz w:val="24"/>
              </w:rPr>
            </w:pPr>
            <w:r>
              <w:rPr>
                <w:sz w:val="24"/>
              </w:rPr>
              <w:t>1,5 mg/ml</w:t>
            </w:r>
          </w:p>
          <w:p>
            <w:pPr>
              <w:pStyle w:val="TableParagraph"/>
              <w:spacing w:before="41"/>
              <w:ind w:left="307" w:right="354"/>
              <w:rPr>
                <w:sz w:val="24"/>
              </w:rPr>
            </w:pPr>
            <w:r>
              <w:rPr>
                <w:sz w:val="24"/>
              </w:rPr>
              <w:t>(ajustado con NaOH1M y 0,1M)</w:t>
            </w:r>
          </w:p>
        </w:tc>
      </w:tr>
      <w:tr>
        <w:trPr>
          <w:trHeight w:val="486" w:hRule="exact"/>
        </w:trPr>
        <w:tc>
          <w:tcPr>
            <w:tcW w:w="4744" w:type="dxa"/>
            <w:tcBorders>
              <w:top w:val="nil"/>
              <w:left w:val="nil"/>
              <w:bottom w:val="nil"/>
              <w:right w:val="nil"/>
            </w:tcBorders>
          </w:tcPr>
          <w:p>
            <w:pPr>
              <w:pStyle w:val="TableParagraph"/>
              <w:spacing w:before="172"/>
              <w:ind w:left="681"/>
              <w:jc w:val="left"/>
              <w:rPr>
                <w:sz w:val="24"/>
              </w:rPr>
            </w:pPr>
            <w:r>
              <w:rPr>
                <w:sz w:val="24"/>
              </w:rPr>
              <w:t>4.   Lavar con cloruro de calcio 0.2M:</w:t>
            </w:r>
          </w:p>
        </w:tc>
        <w:tc>
          <w:tcPr>
            <w:tcW w:w="4059" w:type="dxa"/>
            <w:tcBorders>
              <w:top w:val="nil"/>
              <w:left w:val="nil"/>
              <w:bottom w:val="nil"/>
              <w:right w:val="nil"/>
            </w:tcBorders>
          </w:tcPr>
          <w:p>
            <w:pPr>
              <w:pStyle w:val="TableParagraph"/>
              <w:spacing w:before="172"/>
              <w:ind w:left="309" w:right="354"/>
              <w:rPr>
                <w:sz w:val="24"/>
              </w:rPr>
            </w:pPr>
            <w:r>
              <w:rPr>
                <w:sz w:val="24"/>
              </w:rPr>
              <w:t>2 baños de 5 minutos</w:t>
            </w:r>
          </w:p>
        </w:tc>
      </w:tr>
      <w:tr>
        <w:trPr>
          <w:trHeight w:val="328" w:hRule="exact"/>
        </w:trPr>
        <w:tc>
          <w:tcPr>
            <w:tcW w:w="4744" w:type="dxa"/>
            <w:tcBorders>
              <w:top w:val="nil"/>
              <w:left w:val="nil"/>
              <w:bottom w:val="nil"/>
              <w:right w:val="nil"/>
            </w:tcBorders>
          </w:tcPr>
          <w:p>
            <w:pPr>
              <w:pStyle w:val="TableParagraph"/>
              <w:spacing w:before="12"/>
              <w:ind w:left="681"/>
              <w:jc w:val="left"/>
              <w:rPr>
                <w:sz w:val="24"/>
              </w:rPr>
            </w:pPr>
            <w:r>
              <w:rPr>
                <w:sz w:val="24"/>
              </w:rPr>
              <w:t>5.   Lavar con cloruro de cobalto al 2%</w:t>
            </w:r>
          </w:p>
        </w:tc>
        <w:tc>
          <w:tcPr>
            <w:tcW w:w="4059" w:type="dxa"/>
            <w:tcBorders>
              <w:top w:val="nil"/>
              <w:left w:val="nil"/>
              <w:bottom w:val="nil"/>
              <w:right w:val="nil"/>
            </w:tcBorders>
          </w:tcPr>
          <w:p>
            <w:pPr>
              <w:pStyle w:val="TableParagraph"/>
              <w:spacing w:before="12"/>
              <w:ind w:left="310" w:right="354"/>
              <w:rPr>
                <w:sz w:val="24"/>
              </w:rPr>
            </w:pPr>
            <w:r>
              <w:rPr>
                <w:sz w:val="24"/>
              </w:rPr>
              <w:t>Durante 5 minutos</w:t>
            </w:r>
          </w:p>
        </w:tc>
      </w:tr>
      <w:tr>
        <w:trPr>
          <w:trHeight w:val="328" w:hRule="exact"/>
        </w:trPr>
        <w:tc>
          <w:tcPr>
            <w:tcW w:w="4744" w:type="dxa"/>
            <w:tcBorders>
              <w:top w:val="nil"/>
              <w:left w:val="nil"/>
              <w:bottom w:val="nil"/>
              <w:right w:val="nil"/>
            </w:tcBorders>
          </w:tcPr>
          <w:p>
            <w:pPr>
              <w:pStyle w:val="TableParagraph"/>
              <w:spacing w:before="13"/>
              <w:ind w:left="681" w:right="1143"/>
              <w:jc w:val="left"/>
              <w:rPr>
                <w:sz w:val="24"/>
              </w:rPr>
            </w:pPr>
            <w:r>
              <w:rPr>
                <w:sz w:val="24"/>
              </w:rPr>
              <w:t>6.   Lavar con agua destilada</w:t>
            </w:r>
          </w:p>
        </w:tc>
        <w:tc>
          <w:tcPr>
            <w:tcW w:w="4059" w:type="dxa"/>
            <w:tcBorders>
              <w:top w:val="nil"/>
              <w:left w:val="nil"/>
              <w:bottom w:val="nil"/>
              <w:right w:val="nil"/>
            </w:tcBorders>
          </w:tcPr>
          <w:p>
            <w:pPr>
              <w:pStyle w:val="TableParagraph"/>
              <w:spacing w:before="13"/>
              <w:ind w:left="310" w:right="354"/>
              <w:rPr>
                <w:sz w:val="24"/>
              </w:rPr>
            </w:pPr>
            <w:r>
              <w:rPr>
                <w:sz w:val="24"/>
              </w:rPr>
              <w:t>Minuciosamente:2 baños</w:t>
            </w:r>
          </w:p>
        </w:tc>
      </w:tr>
      <w:tr>
        <w:trPr>
          <w:trHeight w:val="326" w:hRule="exact"/>
        </w:trPr>
        <w:tc>
          <w:tcPr>
            <w:tcW w:w="4744" w:type="dxa"/>
            <w:tcBorders>
              <w:top w:val="nil"/>
              <w:left w:val="nil"/>
              <w:bottom w:val="nil"/>
              <w:right w:val="nil"/>
            </w:tcBorders>
          </w:tcPr>
          <w:p>
            <w:pPr>
              <w:pStyle w:val="TableParagraph"/>
              <w:spacing w:before="12"/>
              <w:ind w:left="681"/>
              <w:jc w:val="left"/>
              <w:rPr>
                <w:sz w:val="24"/>
              </w:rPr>
            </w:pPr>
            <w:r>
              <w:rPr>
                <w:sz w:val="24"/>
              </w:rPr>
              <w:t>7.   Lavar con sulfuro de amonio al 1%</w:t>
            </w:r>
          </w:p>
        </w:tc>
        <w:tc>
          <w:tcPr>
            <w:tcW w:w="4059" w:type="dxa"/>
            <w:tcBorders>
              <w:top w:val="nil"/>
              <w:left w:val="nil"/>
              <w:bottom w:val="nil"/>
              <w:right w:val="nil"/>
            </w:tcBorders>
          </w:tcPr>
          <w:p>
            <w:pPr>
              <w:pStyle w:val="TableParagraph"/>
              <w:spacing w:before="12"/>
              <w:ind w:left="310" w:right="352"/>
              <w:rPr>
                <w:sz w:val="24"/>
              </w:rPr>
            </w:pPr>
            <w:r>
              <w:rPr>
                <w:sz w:val="24"/>
              </w:rPr>
              <w:t>Durante 1 minuto</w:t>
            </w:r>
          </w:p>
        </w:tc>
      </w:tr>
      <w:tr>
        <w:trPr>
          <w:trHeight w:val="328" w:hRule="exact"/>
        </w:trPr>
        <w:tc>
          <w:tcPr>
            <w:tcW w:w="4744" w:type="dxa"/>
            <w:tcBorders>
              <w:top w:val="nil"/>
              <w:left w:val="nil"/>
              <w:bottom w:val="nil"/>
              <w:right w:val="nil"/>
            </w:tcBorders>
          </w:tcPr>
          <w:p>
            <w:pPr>
              <w:pStyle w:val="TableParagraph"/>
              <w:spacing w:before="12"/>
              <w:ind w:left="681" w:right="1143"/>
              <w:jc w:val="left"/>
              <w:rPr>
                <w:sz w:val="24"/>
              </w:rPr>
            </w:pPr>
            <w:r>
              <w:rPr>
                <w:sz w:val="24"/>
              </w:rPr>
              <w:t>8.   Lavar con agua destilada</w:t>
            </w:r>
          </w:p>
        </w:tc>
        <w:tc>
          <w:tcPr>
            <w:tcW w:w="4059" w:type="dxa"/>
            <w:tcBorders>
              <w:top w:val="nil"/>
              <w:left w:val="nil"/>
              <w:bottom w:val="nil"/>
              <w:right w:val="nil"/>
            </w:tcBorders>
          </w:tcPr>
          <w:p>
            <w:pPr>
              <w:pStyle w:val="TableParagraph"/>
              <w:spacing w:before="12"/>
              <w:ind w:left="309" w:right="354"/>
              <w:rPr>
                <w:sz w:val="24"/>
              </w:rPr>
            </w:pPr>
            <w:r>
              <w:rPr>
                <w:sz w:val="24"/>
              </w:rPr>
              <w:t>2 a 5 minutos</w:t>
            </w:r>
          </w:p>
        </w:tc>
      </w:tr>
      <w:tr>
        <w:trPr>
          <w:trHeight w:val="601" w:hRule="exact"/>
        </w:trPr>
        <w:tc>
          <w:tcPr>
            <w:tcW w:w="8802" w:type="dxa"/>
            <w:gridSpan w:val="2"/>
            <w:tcBorders>
              <w:top w:val="nil"/>
              <w:left w:val="nil"/>
              <w:bottom w:val="nil"/>
              <w:right w:val="nil"/>
            </w:tcBorders>
          </w:tcPr>
          <w:p>
            <w:pPr>
              <w:pStyle w:val="TableParagraph"/>
              <w:tabs>
                <w:tab w:pos="8679" w:val="left" w:leader="none"/>
              </w:tabs>
              <w:spacing w:line="276" w:lineRule="auto" w:before="13"/>
              <w:ind w:left="1041" w:hanging="360"/>
              <w:jc w:val="left"/>
              <w:rPr>
                <w:sz w:val="24"/>
              </w:rPr>
            </w:pPr>
            <w:r>
              <w:rPr>
                <w:sz w:val="24"/>
              </w:rPr>
              <w:t>9.       </w:t>
            </w:r>
            <w:r>
              <w:rPr>
                <w:spacing w:val="36"/>
                <w:sz w:val="24"/>
              </w:rPr>
              <w:t> </w:t>
            </w:r>
            <w:r>
              <w:rPr>
                <w:sz w:val="24"/>
              </w:rPr>
              <w:t>Deshidratar en cadena ascendente de alcoholes, aclarar con isoparafina</w:t>
            </w:r>
            <w:r>
              <w:rPr>
                <w:spacing w:val="45"/>
                <w:sz w:val="24"/>
              </w:rPr>
              <w:t> </w:t>
            </w:r>
            <w:r>
              <w:rPr>
                <w:sz w:val="24"/>
              </w:rPr>
              <w:t>H</w:t>
              <w:tab/>
              <w:t>y montar en modelo sintético</w:t>
            </w:r>
            <w:r>
              <w:rPr>
                <w:spacing w:val="-8"/>
                <w:sz w:val="24"/>
              </w:rPr>
              <w:t> </w:t>
            </w:r>
            <w:r>
              <w:rPr>
                <w:sz w:val="24"/>
              </w:rPr>
              <w:t>apropiado.</w:t>
            </w:r>
          </w:p>
        </w:tc>
      </w:tr>
    </w:tbl>
    <w:p>
      <w:pPr>
        <w:pStyle w:val="BodyText"/>
        <w:rPr>
          <w:sz w:val="20"/>
        </w:rPr>
      </w:pPr>
    </w:p>
    <w:p>
      <w:pPr>
        <w:pStyle w:val="BodyText"/>
        <w:rPr>
          <w:sz w:val="20"/>
        </w:rPr>
      </w:pPr>
    </w:p>
    <w:p>
      <w:pPr>
        <w:pStyle w:val="BodyText"/>
        <w:spacing w:before="6"/>
        <w:rPr>
          <w:sz w:val="20"/>
        </w:rPr>
      </w:pPr>
    </w:p>
    <w:p>
      <w:pPr>
        <w:pStyle w:val="ListParagraph"/>
        <w:numPr>
          <w:ilvl w:val="2"/>
          <w:numId w:val="13"/>
        </w:numPr>
        <w:tabs>
          <w:tab w:pos="650" w:val="left" w:leader="none"/>
        </w:tabs>
        <w:spacing w:line="240" w:lineRule="auto" w:before="0" w:after="0"/>
        <w:ind w:left="649" w:right="0" w:hanging="497"/>
        <w:jc w:val="left"/>
        <w:rPr>
          <w:b/>
          <w:i/>
          <w:sz w:val="22"/>
        </w:rPr>
      </w:pPr>
      <w:bookmarkStart w:name="_bookmark57" w:id="110"/>
      <w:bookmarkEnd w:id="110"/>
      <w:r>
        <w:rPr/>
      </w:r>
      <w:bookmarkStart w:name="_bookmark57" w:id="111"/>
      <w:bookmarkEnd w:id="111"/>
      <w:r>
        <w:rPr>
          <w:b/>
          <w:i/>
          <w:sz w:val="22"/>
        </w:rPr>
        <w:t>Téc</w:t>
      </w:r>
      <w:r>
        <w:rPr>
          <w:b/>
          <w:i/>
          <w:sz w:val="22"/>
        </w:rPr>
        <w:t>nicas histoquímicas para la determinación del metabolismo</w:t>
      </w:r>
      <w:r>
        <w:rPr>
          <w:b/>
          <w:i/>
          <w:spacing w:val="-22"/>
          <w:sz w:val="22"/>
        </w:rPr>
        <w:t> </w:t>
      </w:r>
      <w:r>
        <w:rPr>
          <w:b/>
          <w:i/>
          <w:sz w:val="22"/>
        </w:rPr>
        <w:t>fibrilar.</w:t>
      </w:r>
    </w:p>
    <w:p>
      <w:pPr>
        <w:pStyle w:val="BodyText"/>
        <w:spacing w:line="360" w:lineRule="auto" w:before="122"/>
        <w:ind w:left="152" w:right="108" w:firstLine="1132"/>
        <w:jc w:val="both"/>
      </w:pPr>
      <w:r>
        <w:rPr/>
        <w:t>Las enzimas oxidativas, tales como las deshidrogenasas (SDH), diaforasas (NADH-TR) oxidasas son importantes ya que reflejan la utilización de diferentes intermediarios metabólicos del ciclo de Krebs y vías relacionadas. Indican, por tanto, las posibles fuentes de energía en el metabolismo muscular. Esta técnica tiene su fundamento en el uso de una sal de tetrazolio insoluble e incolora, que intercepta electrones en algún punto de la cadena respiratoria, quedando reducida, coloreada y precipitada por su carácter de insolubilidad. Con dicha técnica se manifiesta claramente el espacio intermiofibrilar que incluye mitocondrias y retículo sarcoplásmico, ya que las miofibrillas no se tiñen (Dubowitz, 1985).</w:t>
      </w:r>
    </w:p>
    <w:p>
      <w:pPr>
        <w:spacing w:after="0" w:line="360" w:lineRule="auto"/>
        <w:jc w:val="both"/>
        <w:sectPr>
          <w:headerReference w:type="default" r:id="rId34"/>
          <w:pgSz w:w="12240" w:h="15840"/>
          <w:pgMar w:header="1154" w:footer="1383" w:top="1360" w:bottom="1580" w:left="1720" w:right="1420"/>
        </w:sectPr>
      </w:pPr>
    </w:p>
    <w:p>
      <w:pPr>
        <w:pStyle w:val="BodyText"/>
        <w:spacing w:before="7" w:after="1"/>
        <w:rPr>
          <w:sz w:val="21"/>
        </w:rPr>
      </w:pPr>
    </w:p>
    <w:p>
      <w:pPr>
        <w:pStyle w:val="BodyText"/>
        <w:spacing w:line="20" w:lineRule="exact"/>
        <w:ind w:left="185"/>
        <w:rPr>
          <w:sz w:val="2"/>
        </w:rPr>
      </w:pPr>
      <w:r>
        <w:rPr>
          <w:sz w:val="2"/>
        </w:rPr>
        <w:pict>
          <v:group style="width:440.65pt;height:.5pt;mso-position-horizontal-relative:char;mso-position-vertical-relative:line" coordorigin="0,0" coordsize="8813,10">
            <v:line style="position:absolute" from="5,5" to="8807,5" stroked="true" strokeweight=".45264pt" strokecolor="#000000"/>
          </v:group>
        </w:pict>
      </w:r>
      <w:r>
        <w:rPr>
          <w:sz w:val="2"/>
        </w:rPr>
      </w:r>
    </w:p>
    <w:p>
      <w:pPr>
        <w:pStyle w:val="BodyText"/>
        <w:spacing w:before="4"/>
        <w:rPr>
          <w:sz w:val="8"/>
        </w:rPr>
      </w:pPr>
    </w:p>
    <w:p>
      <w:pPr>
        <w:pStyle w:val="ListParagraph"/>
        <w:numPr>
          <w:ilvl w:val="3"/>
          <w:numId w:val="13"/>
        </w:numPr>
        <w:tabs>
          <w:tab w:pos="815" w:val="left" w:leader="none"/>
        </w:tabs>
        <w:spacing w:line="240" w:lineRule="auto" w:before="73" w:after="0"/>
        <w:ind w:left="814" w:right="0" w:hanging="662"/>
        <w:jc w:val="both"/>
        <w:rPr>
          <w:b/>
          <w:i/>
          <w:sz w:val="22"/>
        </w:rPr>
      </w:pPr>
      <w:bookmarkStart w:name="_bookmark58" w:id="112"/>
      <w:bookmarkEnd w:id="112"/>
      <w:r>
        <w:rPr/>
      </w:r>
      <w:bookmarkStart w:name="_bookmark58" w:id="113"/>
      <w:bookmarkEnd w:id="113"/>
      <w:r>
        <w:rPr>
          <w:b/>
          <w:i/>
          <w:sz w:val="22"/>
        </w:rPr>
        <w:t>T</w:t>
      </w:r>
      <w:r>
        <w:rPr>
          <w:b/>
          <w:i/>
          <w:sz w:val="22"/>
        </w:rPr>
        <w:t>écnica de la nicotinamida adenina dinucleótido tetrazolium reductasa</w:t>
      </w:r>
      <w:r>
        <w:rPr>
          <w:b/>
          <w:i/>
          <w:spacing w:val="-19"/>
          <w:sz w:val="22"/>
        </w:rPr>
        <w:t> </w:t>
      </w:r>
      <w:r>
        <w:rPr>
          <w:b/>
          <w:i/>
          <w:sz w:val="22"/>
        </w:rPr>
        <w:t>(NADH-TR).</w:t>
      </w:r>
    </w:p>
    <w:p>
      <w:pPr>
        <w:pStyle w:val="BodyText"/>
        <w:spacing w:before="122"/>
        <w:ind w:left="152"/>
        <w:jc w:val="both"/>
      </w:pPr>
      <w:r>
        <w:rPr/>
        <w:t>(método de Dubowitz y Brooke, 1973; modificado por Gil, 1986).</w:t>
      </w:r>
    </w:p>
    <w:p>
      <w:pPr>
        <w:pStyle w:val="BodyText"/>
      </w:pPr>
    </w:p>
    <w:p>
      <w:pPr>
        <w:pStyle w:val="BodyText"/>
      </w:pPr>
    </w:p>
    <w:p>
      <w:pPr>
        <w:pStyle w:val="ListParagraph"/>
        <w:numPr>
          <w:ilvl w:val="0"/>
          <w:numId w:val="22"/>
        </w:numPr>
        <w:tabs>
          <w:tab w:pos="861" w:val="left" w:leader="none"/>
        </w:tabs>
        <w:spacing w:line="276" w:lineRule="auto" w:before="0" w:after="0"/>
        <w:ind w:left="872" w:right="3401" w:hanging="360"/>
        <w:jc w:val="left"/>
        <w:rPr>
          <w:sz w:val="24"/>
        </w:rPr>
      </w:pPr>
      <w:r>
        <w:rPr>
          <w:sz w:val="24"/>
        </w:rPr>
        <w:t>Incubar las preparaciones en la siguiente</w:t>
      </w:r>
      <w:r>
        <w:rPr>
          <w:spacing w:val="-9"/>
          <w:sz w:val="24"/>
        </w:rPr>
        <w:t> </w:t>
      </w:r>
      <w:r>
        <w:rPr>
          <w:sz w:val="24"/>
        </w:rPr>
        <w:t>solución: Tampón Tris 0.2M (pH</w:t>
      </w:r>
      <w:r>
        <w:rPr>
          <w:spacing w:val="-4"/>
          <w:sz w:val="24"/>
        </w:rPr>
        <w:t> </w:t>
      </w:r>
      <w:r>
        <w:rPr>
          <w:sz w:val="24"/>
        </w:rPr>
        <w:t>7,4)</w:t>
      </w:r>
    </w:p>
    <w:p>
      <w:pPr>
        <w:pStyle w:val="BodyText"/>
        <w:spacing w:line="278" w:lineRule="auto" w:before="1"/>
        <w:ind w:left="872" w:right="7514"/>
      </w:pPr>
      <w:r>
        <w:rPr/>
        <w:t>NBT NADH</w:t>
      </w:r>
    </w:p>
    <w:p>
      <w:pPr>
        <w:pStyle w:val="BodyText"/>
        <w:spacing w:line="274" w:lineRule="exact"/>
        <w:ind w:left="872"/>
      </w:pPr>
      <w:r>
        <w:rPr/>
        <w:t>pH: 7,2 (ajustar con ácido acético puro 1M)</w:t>
      </w:r>
    </w:p>
    <w:p>
      <w:pPr>
        <w:pStyle w:val="BodyText"/>
        <w:spacing w:before="41"/>
        <w:ind w:left="872"/>
      </w:pPr>
      <w:r>
        <w:rPr/>
        <w:t>El tiempo de incubación es de 45-60 minutos a 37º C.</w:t>
      </w:r>
    </w:p>
    <w:p>
      <w:pPr>
        <w:pStyle w:val="ListParagraph"/>
        <w:numPr>
          <w:ilvl w:val="0"/>
          <w:numId w:val="22"/>
        </w:numPr>
        <w:tabs>
          <w:tab w:pos="861" w:val="left" w:leader="none"/>
        </w:tabs>
        <w:spacing w:line="240" w:lineRule="auto" w:before="41" w:after="0"/>
        <w:ind w:left="860" w:right="0" w:hanging="348"/>
        <w:jc w:val="left"/>
        <w:rPr>
          <w:sz w:val="24"/>
        </w:rPr>
      </w:pPr>
      <w:r>
        <w:rPr>
          <w:sz w:val="24"/>
        </w:rPr>
        <w:t>Lavar en agua destilada durante 1</w:t>
      </w:r>
      <w:r>
        <w:rPr>
          <w:spacing w:val="-6"/>
          <w:sz w:val="24"/>
        </w:rPr>
        <w:t> </w:t>
      </w:r>
      <w:r>
        <w:rPr>
          <w:sz w:val="24"/>
        </w:rPr>
        <w:t>minuto.</w:t>
      </w:r>
    </w:p>
    <w:p>
      <w:pPr>
        <w:pStyle w:val="ListParagraph"/>
        <w:numPr>
          <w:ilvl w:val="0"/>
          <w:numId w:val="22"/>
        </w:numPr>
        <w:tabs>
          <w:tab w:pos="861" w:val="left" w:leader="none"/>
        </w:tabs>
        <w:spacing w:line="276" w:lineRule="auto" w:before="44" w:after="0"/>
        <w:ind w:left="872" w:right="111" w:hanging="360"/>
        <w:jc w:val="left"/>
        <w:rPr>
          <w:sz w:val="24"/>
        </w:rPr>
      </w:pPr>
      <w:r>
        <w:rPr>
          <w:sz w:val="24"/>
        </w:rPr>
        <w:t>Deshidratar en cadena ascendente de alcoholes, aclarar con isoparafina H y montar en medio sintético</w:t>
      </w:r>
      <w:r>
        <w:rPr>
          <w:spacing w:val="-5"/>
          <w:sz w:val="24"/>
        </w:rPr>
        <w:t> </w:t>
      </w:r>
      <w:r>
        <w:rPr>
          <w:sz w:val="24"/>
        </w:rPr>
        <w:t>apropiado.</w:t>
      </w:r>
    </w:p>
    <w:p>
      <w:pPr>
        <w:pStyle w:val="BodyText"/>
        <w:rPr>
          <w:sz w:val="28"/>
        </w:rPr>
      </w:pPr>
    </w:p>
    <w:p>
      <w:pPr>
        <w:pStyle w:val="Heading1"/>
        <w:numPr>
          <w:ilvl w:val="1"/>
          <w:numId w:val="23"/>
        </w:numPr>
        <w:tabs>
          <w:tab w:pos="513" w:val="left" w:leader="none"/>
        </w:tabs>
        <w:spacing w:line="240" w:lineRule="auto" w:before="0" w:after="0"/>
        <w:ind w:left="512" w:right="0" w:hanging="360"/>
        <w:jc w:val="both"/>
      </w:pPr>
      <w:r>
        <w:rPr/>
        <w:t>Análisis de</w:t>
      </w:r>
      <w:r>
        <w:rPr>
          <w:spacing w:val="-5"/>
        </w:rPr>
        <w:t> </w:t>
      </w:r>
      <w:r>
        <w:rPr/>
        <w:t>imagen</w:t>
      </w:r>
    </w:p>
    <w:p>
      <w:pPr>
        <w:pStyle w:val="BodyText"/>
        <w:spacing w:line="360" w:lineRule="auto" w:before="134"/>
        <w:ind w:left="152" w:right="103" w:firstLine="707"/>
        <w:jc w:val="both"/>
      </w:pPr>
      <w:r>
        <w:rPr/>
        <w:t>Se obtuvieron cuatro campos visuales (parte inferior y superior, lado izquierdo y derecho) utilizando un microscopio de luz (Olympus, modelo BX41TF, Japón) y un  sistema de cámara digital (Olympus, modelo E-330, Japón). Las imágenes fueron transferidas a una PC de escritorio. Las imágenes se analizaron después de una modificación del protocolo descrito por Fajardo </w:t>
      </w:r>
      <w:r>
        <w:rPr>
          <w:i/>
        </w:rPr>
        <w:t>et al. </w:t>
      </w:r>
      <w:r>
        <w:rPr/>
        <w:t>(2008). Se usó el software Pro Sigma Scan (versión 4 for Windows, Systat Software Inc, EE.UU.) después de la conversión de imágenes en una escala de grises de ocho bits (256 tonos). Se determinó el área de sección transversal y la densidad de tinción de cada una de las fibras musculares a partir de micrografías digitalizadas utilizando el software Pro Sigma Scan (versión 4 para Windows, Systat Software Inc, EE.UU.). Las fibras fueron clasificadas como FG (tonos de coloración entre</w:t>
      </w:r>
      <w:r>
        <w:rPr>
          <w:spacing w:val="19"/>
        </w:rPr>
        <w:t> </w:t>
      </w:r>
      <w:r>
        <w:rPr/>
        <w:t>0-120),</w:t>
      </w:r>
      <w:r>
        <w:rPr>
          <w:spacing w:val="22"/>
        </w:rPr>
        <w:t> </w:t>
      </w:r>
      <w:r>
        <w:rPr/>
        <w:t>FOG</w:t>
      </w:r>
      <w:r>
        <w:rPr>
          <w:spacing w:val="21"/>
        </w:rPr>
        <w:t> </w:t>
      </w:r>
      <w:r>
        <w:rPr/>
        <w:t>(tonos</w:t>
      </w:r>
      <w:r>
        <w:rPr>
          <w:spacing w:val="20"/>
        </w:rPr>
        <w:t> </w:t>
      </w:r>
      <w:r>
        <w:rPr/>
        <w:t>de</w:t>
      </w:r>
      <w:r>
        <w:rPr>
          <w:spacing w:val="19"/>
        </w:rPr>
        <w:t> </w:t>
      </w:r>
      <w:r>
        <w:rPr/>
        <w:t>coloración</w:t>
      </w:r>
      <w:r>
        <w:rPr>
          <w:spacing w:val="23"/>
        </w:rPr>
        <w:t> </w:t>
      </w:r>
      <w:r>
        <w:rPr/>
        <w:t>entre</w:t>
      </w:r>
      <w:r>
        <w:rPr>
          <w:spacing w:val="20"/>
        </w:rPr>
        <w:t> </w:t>
      </w:r>
      <w:r>
        <w:rPr/>
        <w:t>121-145)</w:t>
      </w:r>
      <w:r>
        <w:rPr>
          <w:spacing w:val="24"/>
        </w:rPr>
        <w:t> </w:t>
      </w:r>
      <w:r>
        <w:rPr/>
        <w:t>y</w:t>
      </w:r>
      <w:r>
        <w:rPr>
          <w:spacing w:val="13"/>
        </w:rPr>
        <w:t> </w:t>
      </w:r>
      <w:r>
        <w:rPr/>
        <w:t>SO</w:t>
      </w:r>
      <w:r>
        <w:rPr>
          <w:spacing w:val="22"/>
        </w:rPr>
        <w:t> </w:t>
      </w:r>
      <w:r>
        <w:rPr/>
        <w:t>(tonos</w:t>
      </w:r>
      <w:r>
        <w:rPr>
          <w:spacing w:val="20"/>
        </w:rPr>
        <w:t> </w:t>
      </w:r>
      <w:r>
        <w:rPr/>
        <w:t>de</w:t>
      </w:r>
      <w:r>
        <w:rPr>
          <w:spacing w:val="19"/>
        </w:rPr>
        <w:t> </w:t>
      </w:r>
      <w:r>
        <w:rPr/>
        <w:t>tinción</w:t>
      </w:r>
      <w:r>
        <w:rPr>
          <w:spacing w:val="23"/>
        </w:rPr>
        <w:t> </w:t>
      </w:r>
      <w:r>
        <w:rPr/>
        <w:t>entre</w:t>
      </w:r>
      <w:r>
        <w:rPr>
          <w:spacing w:val="19"/>
        </w:rPr>
        <w:t> </w:t>
      </w:r>
      <w:r>
        <w:rPr/>
        <w:t>146-</w:t>
      </w:r>
    </w:p>
    <w:p>
      <w:pPr>
        <w:pStyle w:val="BodyText"/>
        <w:spacing w:before="4"/>
        <w:ind w:left="152"/>
        <w:jc w:val="both"/>
      </w:pPr>
      <w:r>
        <w:rPr/>
        <w:t>255) para NADH.</w:t>
      </w:r>
    </w:p>
    <w:p>
      <w:pPr>
        <w:pStyle w:val="BodyText"/>
        <w:spacing w:line="360" w:lineRule="auto" w:before="139"/>
        <w:ind w:left="152" w:right="108"/>
        <w:jc w:val="both"/>
      </w:pPr>
      <w:r>
        <w:rPr/>
        <w:t>Por cada muestra, se contaron por lo menos 300 fibras (1500 fibras por animal). Estos datos fueron usados para calcular el porcentaje de fibras tipo I, IIA y IIB, el área promedio de cada tipo de fibra y la superficie relativa ocupada por cada una de las áreas de fibras individuales de cada tipo (%); esta última se calcula a partir de la suma de las áreas de las fibras individuales de cada tipo. Los datos registrados se someten al análisis estadístico para la obtención y reporte de las medias y los errores estándar.</w:t>
      </w:r>
    </w:p>
    <w:p>
      <w:pPr>
        <w:spacing w:after="0" w:line="360" w:lineRule="auto"/>
        <w:jc w:val="both"/>
        <w:sectPr>
          <w:pgSz w:w="12240" w:h="15840"/>
          <w:pgMar w:header="1154" w:footer="1383" w:top="1360" w:bottom="1580" w:left="1720" w:right="1420"/>
        </w:sectPr>
      </w:pPr>
    </w:p>
    <w:p>
      <w:pPr>
        <w:pStyle w:val="BodyText"/>
        <w:spacing w:before="7"/>
        <w:rPr>
          <w:sz w:val="9"/>
        </w:rPr>
      </w:pPr>
    </w:p>
    <w:p>
      <w:pPr>
        <w:pStyle w:val="Heading1"/>
        <w:numPr>
          <w:ilvl w:val="1"/>
          <w:numId w:val="23"/>
        </w:numPr>
        <w:tabs>
          <w:tab w:pos="2205" w:val="left" w:leader="none"/>
        </w:tabs>
        <w:spacing w:line="240" w:lineRule="auto" w:before="69" w:after="0"/>
        <w:ind w:left="2205" w:right="0" w:hanging="360"/>
        <w:jc w:val="left"/>
      </w:pPr>
      <w:bookmarkStart w:name="_bookmark59" w:id="114"/>
      <w:bookmarkEnd w:id="114"/>
      <w:r>
        <w:rPr>
          <w:b w:val="0"/>
        </w:rPr>
      </w:r>
      <w:bookmarkStart w:name="_bookmark59" w:id="115"/>
      <w:bookmarkEnd w:id="115"/>
      <w:r>
        <w:rPr/>
        <w:t>D</w:t>
      </w:r>
      <w:r>
        <w:rPr/>
        <w:t>iseño experimental, modelo y análisis</w:t>
      </w:r>
      <w:r>
        <w:rPr>
          <w:spacing w:val="-12"/>
        </w:rPr>
        <w:t> </w:t>
      </w:r>
      <w:r>
        <w:rPr/>
        <w:t>estadístico</w:t>
      </w:r>
    </w:p>
    <w:p>
      <w:pPr>
        <w:pStyle w:val="BodyText"/>
        <w:spacing w:before="7"/>
        <w:rPr>
          <w:b/>
          <w:sz w:val="35"/>
        </w:rPr>
      </w:pPr>
    </w:p>
    <w:p>
      <w:pPr>
        <w:pStyle w:val="ListParagraph"/>
        <w:numPr>
          <w:ilvl w:val="0"/>
          <w:numId w:val="24"/>
        </w:numPr>
        <w:tabs>
          <w:tab w:pos="393" w:val="left" w:leader="none"/>
        </w:tabs>
        <w:spacing w:line="240" w:lineRule="auto" w:before="1" w:after="0"/>
        <w:ind w:left="152" w:right="0" w:firstLine="0"/>
        <w:jc w:val="left"/>
        <w:rPr>
          <w:b/>
          <w:sz w:val="24"/>
        </w:rPr>
      </w:pPr>
      <w:r>
        <w:rPr>
          <w:b/>
          <w:sz w:val="24"/>
        </w:rPr>
        <w:t>Diseño</w:t>
      </w:r>
      <w:r>
        <w:rPr>
          <w:b/>
          <w:spacing w:val="-8"/>
          <w:sz w:val="24"/>
        </w:rPr>
        <w:t> </w:t>
      </w:r>
      <w:r>
        <w:rPr>
          <w:b/>
          <w:sz w:val="24"/>
        </w:rPr>
        <w:t>experimental</w:t>
      </w:r>
    </w:p>
    <w:p>
      <w:pPr>
        <w:pStyle w:val="BodyText"/>
        <w:spacing w:before="9"/>
        <w:rPr>
          <w:b/>
          <w:sz w:val="23"/>
        </w:rPr>
      </w:pPr>
    </w:p>
    <w:p>
      <w:pPr>
        <w:pStyle w:val="BodyText"/>
        <w:ind w:left="152"/>
      </w:pPr>
      <w:r>
        <w:rPr/>
        <w:t>Se usó un diseño experimental completamente al azar (Steel </w:t>
      </w:r>
      <w:r>
        <w:rPr>
          <w:i/>
        </w:rPr>
        <w:t>et al., </w:t>
      </w:r>
      <w:r>
        <w:rPr/>
        <w:t>1997).</w:t>
      </w:r>
    </w:p>
    <w:p>
      <w:pPr>
        <w:pStyle w:val="BodyText"/>
      </w:pPr>
    </w:p>
    <w:p>
      <w:pPr>
        <w:pStyle w:val="BodyText"/>
        <w:spacing w:before="4"/>
      </w:pPr>
    </w:p>
    <w:p>
      <w:pPr>
        <w:pStyle w:val="Heading1"/>
        <w:numPr>
          <w:ilvl w:val="0"/>
          <w:numId w:val="24"/>
        </w:numPr>
        <w:tabs>
          <w:tab w:pos="393" w:val="left" w:leader="none"/>
        </w:tabs>
        <w:spacing w:line="360" w:lineRule="auto" w:before="1" w:after="0"/>
        <w:ind w:left="152" w:right="6807" w:firstLine="0"/>
        <w:jc w:val="left"/>
      </w:pPr>
      <w:r>
        <w:rPr/>
        <w:t>Modelo</w:t>
      </w:r>
      <w:r>
        <w:rPr>
          <w:spacing w:val="-3"/>
        </w:rPr>
        <w:t> </w:t>
      </w:r>
      <w:r>
        <w:rPr/>
        <w:t>estadístico Yij = μ + Ti +</w:t>
      </w:r>
      <w:r>
        <w:rPr>
          <w:spacing w:val="-1"/>
        </w:rPr>
        <w:t> </w:t>
      </w:r>
      <w:r>
        <w:rPr/>
        <w:t>Eij</w:t>
      </w:r>
    </w:p>
    <w:p>
      <w:pPr>
        <w:pStyle w:val="BodyText"/>
        <w:spacing w:line="362" w:lineRule="auto"/>
        <w:ind w:left="152" w:right="6360"/>
      </w:pPr>
      <w:r>
        <w:rPr/>
        <w:t>Yij= Variable de respuesta μ = Media general</w:t>
      </w:r>
    </w:p>
    <w:p>
      <w:pPr>
        <w:pStyle w:val="BodyText"/>
        <w:spacing w:line="360" w:lineRule="auto" w:before="1"/>
        <w:ind w:left="512" w:right="2794" w:hanging="360"/>
      </w:pPr>
      <w:r>
        <w:rPr/>
        <w:t>Ti= Efecto del i-ésimo tratamiento (dosis de cromo orgánico) Eij = Error experimental.</w:t>
      </w:r>
    </w:p>
    <w:p>
      <w:pPr>
        <w:pStyle w:val="BodyText"/>
      </w:pPr>
    </w:p>
    <w:p>
      <w:pPr>
        <w:pStyle w:val="Heading1"/>
        <w:numPr>
          <w:ilvl w:val="0"/>
          <w:numId w:val="24"/>
        </w:numPr>
        <w:tabs>
          <w:tab w:pos="393" w:val="left" w:leader="none"/>
        </w:tabs>
        <w:spacing w:line="240" w:lineRule="auto" w:before="148" w:after="0"/>
        <w:ind w:left="392" w:right="0" w:hanging="240"/>
        <w:jc w:val="left"/>
      </w:pPr>
      <w:r>
        <w:rPr/>
        <w:t>Análisis</w:t>
      </w:r>
      <w:r>
        <w:rPr>
          <w:spacing w:val="-2"/>
        </w:rPr>
        <w:t> </w:t>
      </w:r>
      <w:r>
        <w:rPr/>
        <w:t>estadístico</w:t>
      </w:r>
    </w:p>
    <w:p>
      <w:pPr>
        <w:pStyle w:val="BodyText"/>
        <w:spacing w:line="360" w:lineRule="auto" w:before="132"/>
        <w:ind w:left="152" w:firstLine="707"/>
      </w:pPr>
      <w:r>
        <w:rPr/>
        <w:t>Se hizo análisis de varianza y la comparación de medias se realizó por la prueba de Tukey SAS (2002).</w:t>
      </w:r>
    </w:p>
    <w:p>
      <w:pPr>
        <w:pStyle w:val="BodyText"/>
        <w:rPr>
          <w:sz w:val="20"/>
        </w:rPr>
      </w:pPr>
    </w:p>
    <w:p>
      <w:pPr>
        <w:pStyle w:val="BodyText"/>
        <w:spacing w:before="189"/>
        <w:ind w:left="860"/>
        <w:rPr>
          <w:i/>
        </w:rPr>
      </w:pPr>
      <w:r>
        <w:rPr/>
        <w:t>Se llevaron a cabo  contrastes ortogonales  los siguientes niveles de Cr (Steel </w:t>
      </w:r>
      <w:r>
        <w:rPr>
          <w:i/>
        </w:rPr>
        <w:t>et   al.,</w:t>
      </w:r>
    </w:p>
    <w:p>
      <w:pPr>
        <w:pStyle w:val="BodyText"/>
        <w:spacing w:before="137"/>
        <w:ind w:left="152"/>
      </w:pPr>
      <w:r>
        <w:rPr/>
        <w:t>1997).</w:t>
      </w:r>
    </w:p>
    <w:p>
      <w:pPr>
        <w:pStyle w:val="BodyText"/>
        <w:spacing w:line="360" w:lineRule="auto" w:before="139"/>
        <w:ind w:left="152" w:right="1838"/>
      </w:pPr>
      <w:r>
        <w:rPr/>
        <w:t>Contraste 1: nivel de Cr (0.0 ppm Cr) </w:t>
      </w:r>
      <w:r>
        <w:rPr>
          <w:b/>
        </w:rPr>
        <w:t>vs </w:t>
      </w:r>
      <w:r>
        <w:rPr/>
        <w:t>niveles Cr (0.2+0.4+0.6 ppm Cr) Contraste 2: nivel de Cr (0.2 ppm Cr) </w:t>
      </w:r>
      <w:r>
        <w:rPr>
          <w:b/>
        </w:rPr>
        <w:t>vs </w:t>
      </w:r>
      <w:r>
        <w:rPr/>
        <w:t>niveles (0.4+0.6 ppm Cr) Contraste 3: nivel de Cr (0.4 ppm Cr) </w:t>
      </w:r>
      <w:r>
        <w:rPr>
          <w:b/>
        </w:rPr>
        <w:t>vs </w:t>
      </w:r>
      <w:r>
        <w:rPr/>
        <w:t>nivel (0.6 ppm Cr)</w:t>
      </w:r>
    </w:p>
    <w:p>
      <w:pPr>
        <w:pStyle w:val="BodyText"/>
      </w:pPr>
    </w:p>
    <w:p>
      <w:pPr>
        <w:pStyle w:val="BodyText"/>
        <w:spacing w:line="360" w:lineRule="auto" w:before="143"/>
        <w:ind w:left="152" w:right="106" w:firstLine="707"/>
        <w:jc w:val="both"/>
      </w:pPr>
      <w:r>
        <w:rPr/>
        <w:t>Se realizó un análisis de polinomios ortogonales (Steel </w:t>
      </w:r>
      <w:r>
        <w:rPr>
          <w:i/>
        </w:rPr>
        <w:t>et al., </w:t>
      </w:r>
      <w:r>
        <w:rPr/>
        <w:t>1997) para probar los efectos lineal y cuadrático de las concentraciones de Cr (0, 0.2, 0.4 y 0.6 ppm) de cromo en la dieta. Para estudiar los cambios a través del tiempo de las variables del crecimiento y de los   metabolitos   en   plasma,   se   hizo   análisis   de   medidas   repetidas   SAS   </w:t>
      </w:r>
      <w:r>
        <w:rPr>
          <w:spacing w:val="57"/>
        </w:rPr>
        <w:t> </w:t>
      </w:r>
      <w:r>
        <w:rPr/>
        <w:t>(2002).</w:t>
      </w:r>
    </w:p>
    <w:p>
      <w:pPr>
        <w:spacing w:after="0" w:line="360" w:lineRule="auto"/>
        <w:jc w:val="both"/>
        <w:sectPr>
          <w:headerReference w:type="default" r:id="rId35"/>
          <w:pgSz w:w="12240" w:h="15840"/>
          <w:pgMar w:header="1154" w:footer="1383" w:top="1620" w:bottom="1580" w:left="1720" w:right="1420"/>
        </w:sectPr>
      </w:pPr>
    </w:p>
    <w:p>
      <w:pPr>
        <w:pStyle w:val="BodyText"/>
        <w:spacing w:before="7"/>
        <w:rPr>
          <w:sz w:val="9"/>
        </w:rPr>
      </w:pPr>
    </w:p>
    <w:p>
      <w:pPr>
        <w:pStyle w:val="Heading1"/>
        <w:ind w:left="3637"/>
      </w:pPr>
      <w:bookmarkStart w:name="_bookmark60" w:id="116"/>
      <w:bookmarkEnd w:id="116"/>
      <w:r>
        <w:rPr>
          <w:b w:val="0"/>
        </w:rPr>
      </w:r>
      <w:r>
        <w:rPr/>
        <w:t>7. RESULTADOS</w:t>
      </w:r>
    </w:p>
    <w:p>
      <w:pPr>
        <w:pStyle w:val="BodyText"/>
        <w:rPr>
          <w:b/>
        </w:rPr>
      </w:pPr>
    </w:p>
    <w:p>
      <w:pPr>
        <w:pStyle w:val="BodyText"/>
        <w:spacing w:before="4"/>
        <w:rPr>
          <w:b/>
          <w:sz w:val="23"/>
        </w:rPr>
      </w:pPr>
    </w:p>
    <w:p>
      <w:pPr>
        <w:pStyle w:val="BodyText"/>
        <w:ind w:left="294"/>
      </w:pPr>
      <w:r>
        <w:rPr/>
        <w:t>Los resultados de la investigación derivaron en los siguientes trabajos científicos:</w:t>
      </w:r>
    </w:p>
    <w:p>
      <w:pPr>
        <w:pStyle w:val="BodyText"/>
        <w:spacing w:before="2"/>
      </w:pPr>
    </w:p>
    <w:p>
      <w:pPr>
        <w:pStyle w:val="ListParagraph"/>
        <w:numPr>
          <w:ilvl w:val="1"/>
          <w:numId w:val="24"/>
        </w:numPr>
        <w:tabs>
          <w:tab w:pos="718" w:val="left" w:leader="none"/>
          <w:tab w:pos="719" w:val="left" w:leader="none"/>
        </w:tabs>
        <w:spacing w:line="240" w:lineRule="auto" w:before="0" w:after="0"/>
        <w:ind w:left="718" w:right="0" w:hanging="424"/>
        <w:jc w:val="left"/>
        <w:rPr>
          <w:sz w:val="24"/>
        </w:rPr>
      </w:pPr>
      <w:r>
        <w:rPr>
          <w:sz w:val="24"/>
        </w:rPr>
        <w:t>Artículo publicado en la revista Journal of Integrative</w:t>
      </w:r>
      <w:r>
        <w:rPr>
          <w:spacing w:val="-19"/>
          <w:sz w:val="24"/>
        </w:rPr>
        <w:t> </w:t>
      </w:r>
      <w:r>
        <w:rPr>
          <w:sz w:val="24"/>
        </w:rPr>
        <w:t>Agriculture.</w:t>
      </w:r>
    </w:p>
    <w:p>
      <w:pPr>
        <w:pStyle w:val="BodyText"/>
        <w:spacing w:before="10"/>
        <w:rPr>
          <w:sz w:val="23"/>
        </w:rPr>
      </w:pPr>
    </w:p>
    <w:p>
      <w:pPr>
        <w:pStyle w:val="ListParagraph"/>
        <w:numPr>
          <w:ilvl w:val="1"/>
          <w:numId w:val="24"/>
        </w:numPr>
        <w:tabs>
          <w:tab w:pos="718" w:val="left" w:leader="none"/>
          <w:tab w:pos="719" w:val="left" w:leader="none"/>
        </w:tabs>
        <w:spacing w:line="240" w:lineRule="auto" w:before="0" w:after="0"/>
        <w:ind w:left="718" w:right="0" w:hanging="424"/>
        <w:jc w:val="left"/>
        <w:rPr>
          <w:sz w:val="24"/>
        </w:rPr>
      </w:pPr>
      <w:r>
        <w:rPr>
          <w:sz w:val="24"/>
        </w:rPr>
        <w:t>Artículo enviado a la revista Journal of Trace Elements in Medicine and</w:t>
      </w:r>
      <w:r>
        <w:rPr>
          <w:spacing w:val="-13"/>
          <w:sz w:val="24"/>
        </w:rPr>
        <w:t> </w:t>
      </w:r>
      <w:r>
        <w:rPr>
          <w:sz w:val="24"/>
        </w:rPr>
        <w:t>Biology.</w:t>
      </w:r>
    </w:p>
    <w:p>
      <w:pPr>
        <w:pStyle w:val="BodyText"/>
        <w:spacing w:before="10"/>
        <w:rPr>
          <w:sz w:val="23"/>
        </w:rPr>
      </w:pPr>
    </w:p>
    <w:p>
      <w:pPr>
        <w:pStyle w:val="ListParagraph"/>
        <w:numPr>
          <w:ilvl w:val="1"/>
          <w:numId w:val="24"/>
        </w:numPr>
        <w:tabs>
          <w:tab w:pos="719" w:val="left" w:leader="none"/>
        </w:tabs>
        <w:spacing w:line="470" w:lineRule="auto" w:before="0" w:after="0"/>
        <w:ind w:left="718" w:right="110" w:hanging="424"/>
        <w:jc w:val="both"/>
        <w:rPr>
          <w:sz w:val="24"/>
        </w:rPr>
      </w:pPr>
      <w:r>
        <w:rPr>
          <w:sz w:val="24"/>
        </w:rPr>
        <w:t>Capítulo de libro. En: Abdel Fattah Z.M. Salem (editor). Veterinary Sciences and Medicine: Nutritional Strategies of Animal feed Additives. Nova Science Publisher, Inc. 2013. ISBN: 978-1-62417-000-3 (ANEXO</w:t>
      </w:r>
      <w:r>
        <w:rPr>
          <w:spacing w:val="-7"/>
          <w:sz w:val="24"/>
        </w:rPr>
        <w:t> </w:t>
      </w:r>
      <w:r>
        <w:rPr>
          <w:sz w:val="24"/>
        </w:rPr>
        <w:t>1).</w:t>
      </w:r>
    </w:p>
    <w:p>
      <w:pPr>
        <w:pStyle w:val="ListParagraph"/>
        <w:numPr>
          <w:ilvl w:val="1"/>
          <w:numId w:val="24"/>
        </w:numPr>
        <w:tabs>
          <w:tab w:pos="719" w:val="left" w:leader="none"/>
        </w:tabs>
        <w:spacing w:line="475" w:lineRule="auto" w:before="23" w:after="0"/>
        <w:ind w:left="718" w:right="106" w:hanging="424"/>
        <w:jc w:val="both"/>
        <w:rPr>
          <w:sz w:val="24"/>
        </w:rPr>
      </w:pPr>
      <w:r>
        <w:rPr>
          <w:sz w:val="24"/>
        </w:rPr>
        <w:t>Capitulo de libro: En: Ignacio A. Domínguez Vara, Efrén Ramírez Bribiesca (editores). Tecnología y Ciencia de la Carne en Animales Rumiantes. Red Académica y de Investigación en Tecnología y Ciencia de la Carne. 2014. ISBN: 978-607-8289- 82-0 (ANEXO</w:t>
      </w:r>
      <w:r>
        <w:rPr>
          <w:spacing w:val="-6"/>
          <w:sz w:val="24"/>
        </w:rPr>
        <w:t> </w:t>
      </w:r>
      <w:r>
        <w:rPr>
          <w:sz w:val="24"/>
        </w:rPr>
        <w:t>2).</w:t>
      </w:r>
    </w:p>
    <w:p>
      <w:pPr>
        <w:spacing w:after="0" w:line="475" w:lineRule="auto"/>
        <w:jc w:val="both"/>
        <w:rPr>
          <w:sz w:val="24"/>
        </w:rPr>
        <w:sectPr>
          <w:headerReference w:type="default" r:id="rId36"/>
          <w:pgSz w:w="12240" w:h="15840"/>
          <w:pgMar w:header="1154" w:footer="1383" w:top="1620" w:bottom="1580" w:left="1720" w:right="1420"/>
        </w:sectPr>
      </w:pPr>
    </w:p>
    <w:p>
      <w:pPr>
        <w:pStyle w:val="BodyText"/>
        <w:spacing w:before="7"/>
        <w:rPr>
          <w:sz w:val="9"/>
        </w:rPr>
      </w:pPr>
      <w:r>
        <w:rPr/>
        <w:pict>
          <v:group style="position:absolute;margin-left:56.959991pt;margin-top:146.166046pt;width:511.55pt;height:584.8pt;mso-position-horizontal-relative:page;mso-position-vertical-relative:page;z-index:-204616" coordorigin="1139,2923" coordsize="10231,11696">
            <v:line style="position:absolute" from="1918,14370" to="10608,14370" stroked="true" strokeweight="1pt" strokecolor="#808080"/>
            <v:shape style="position:absolute;left:5880;top:14220;width:822;height:376" coordorigin="5880,14220" coordsize="822,376" path="m6639,14220l5943,14220,5918,14225,5898,14238,5885,14258,5880,14283,5880,14533,5885,14558,5898,14578,5918,14591,5943,14596,6639,14596,6664,14591,6684,14578,6697,14558,6702,14533,6702,14283,6697,14258,6684,14238,6664,14225,6639,14220xe" filled="true" fillcolor="#ffffff" stroked="false">
              <v:path arrowok="t"/>
              <v:fill type="solid"/>
            </v:shape>
            <v:shape style="position:absolute;left:5858;top:14198;width:108;height:421" type="#_x0000_t75" stroked="false">
              <v:imagedata r:id="rId39" o:title=""/>
            </v:shape>
            <v:shape style="position:absolute;left:6617;top:14198;width:108;height:421" type="#_x0000_t75" stroked="false">
              <v:imagedata r:id="rId40" o:title=""/>
            </v:shape>
            <v:shape style="position:absolute;left:1139;top:2923;width:10231;height:11303" type="#_x0000_t75" stroked="false">
              <v:imagedata r:id="rId41" o:title=""/>
            </v:shape>
            <w10:wrap type="none"/>
          </v:group>
        </w:pict>
      </w:r>
    </w:p>
    <w:p>
      <w:pPr>
        <w:pStyle w:val="Heading1"/>
        <w:numPr>
          <w:ilvl w:val="1"/>
          <w:numId w:val="25"/>
        </w:numPr>
        <w:tabs>
          <w:tab w:pos="1515" w:val="left" w:leader="none"/>
        </w:tabs>
        <w:spacing w:line="360" w:lineRule="auto" w:before="69" w:after="0"/>
        <w:ind w:left="1418" w:right="771" w:hanging="283"/>
        <w:jc w:val="left"/>
      </w:pPr>
      <w:r>
        <w:rPr/>
        <w:t>Artículo publicado7 Effects of organic chromium supplementation to finishing lambs diet on growth performance, carcass characteristics and meat</w:t>
      </w:r>
      <w:r>
        <w:rPr>
          <w:spacing w:val="-16"/>
        </w:rPr>
        <w:t> </w:t>
      </w:r>
      <w:r>
        <w:rPr/>
        <w:t>quality.</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5"/>
        </w:rPr>
      </w:pPr>
    </w:p>
    <w:p>
      <w:pPr>
        <w:pStyle w:val="BodyText"/>
        <w:spacing w:before="69"/>
        <w:ind w:left="5131" w:right="5048"/>
        <w:jc w:val="center"/>
      </w:pPr>
      <w:r>
        <w:rPr/>
        <w:t>76</w:t>
      </w:r>
    </w:p>
    <w:p>
      <w:pPr>
        <w:spacing w:after="0"/>
        <w:jc w:val="center"/>
        <w:sectPr>
          <w:headerReference w:type="default" r:id="rId37"/>
          <w:footerReference w:type="default" r:id="rId38"/>
          <w:pgSz w:w="12240" w:h="15840"/>
          <w:pgMar w:header="1154" w:footer="0" w:top="1620" w:bottom="280" w:left="1020" w:right="760"/>
        </w:sectPr>
      </w:pPr>
    </w:p>
    <w:p>
      <w:pPr>
        <w:pStyle w:val="BodyText"/>
        <w:spacing w:before="2"/>
        <w:rPr>
          <w:sz w:val="28"/>
        </w:rPr>
      </w:pPr>
    </w:p>
    <w:p>
      <w:pPr>
        <w:pStyle w:val="BodyText"/>
        <w:ind w:left="178"/>
        <w:rPr>
          <w:sz w:val="20"/>
        </w:rPr>
      </w:pPr>
      <w:r>
        <w:rPr>
          <w:sz w:val="20"/>
        </w:rPr>
        <w:pict>
          <v:group style="width:451.3pt;height:556.950pt;mso-position-horizontal-relative:char;mso-position-vertical-relative:line" coordorigin="0,0" coordsize="9026,11139">
            <v:shape style="position:absolute;left:38;top:19;width:8987;height:11120" type="#_x0000_t75" stroked="false">
              <v:imagedata r:id="rId43" o:title=""/>
            </v:shape>
            <v:shape style="position:absolute;left:0;top:0;width:8987;height:11120" type="#_x0000_t75" stroked="false">
              <v:imagedata r:id="rId44" o:title=""/>
            </v:shape>
          </v:group>
        </w:pict>
      </w:r>
      <w:r>
        <w:rPr>
          <w:sz w:val="20"/>
        </w:rPr>
      </w:r>
    </w:p>
    <w:p>
      <w:pPr>
        <w:spacing w:after="0"/>
        <w:rPr>
          <w:sz w:val="20"/>
        </w:rPr>
        <w:sectPr>
          <w:footerReference w:type="default" r:id="rId42"/>
          <w:pgSz w:w="12240" w:h="15840"/>
          <w:pgMar w:footer="1383" w:header="1154" w:top="1620" w:bottom="1580" w:left="1720" w:right="1200"/>
          <w:pgNumType w:start="77"/>
        </w:sectPr>
      </w:pPr>
    </w:p>
    <w:p>
      <w:pPr>
        <w:pStyle w:val="BodyText"/>
        <w:spacing w:before="8"/>
        <w:rPr>
          <w:sz w:val="18"/>
        </w:rPr>
      </w:pPr>
    </w:p>
    <w:p>
      <w:pPr>
        <w:pStyle w:val="BodyText"/>
        <w:ind w:left="114"/>
        <w:rPr>
          <w:sz w:val="20"/>
        </w:rPr>
      </w:pPr>
      <w:r>
        <w:rPr>
          <w:sz w:val="20"/>
        </w:rPr>
        <w:pict>
          <v:group style="width:446.75pt;height:559.050pt;mso-position-horizontal-relative:char;mso-position-vertical-relative:line" coordorigin="0,0" coordsize="8935,11181">
            <v:shape style="position:absolute;left:60;top:38;width:8874;height:11142" type="#_x0000_t75" stroked="false">
              <v:imagedata r:id="rId45" o:title=""/>
            </v:shape>
            <v:shape style="position:absolute;left:0;top:0;width:8853;height:11142" type="#_x0000_t75" stroked="false">
              <v:imagedata r:id="rId46" o:title=""/>
            </v:shape>
          </v:group>
        </w:pict>
      </w:r>
      <w:r>
        <w:rPr>
          <w:sz w:val="20"/>
        </w:rPr>
      </w:r>
    </w:p>
    <w:p>
      <w:pPr>
        <w:spacing w:after="0"/>
        <w:rPr>
          <w:sz w:val="20"/>
        </w:rPr>
        <w:sectPr>
          <w:pgSz w:w="12240" w:h="15840"/>
          <w:pgMar w:header="1154" w:footer="1383" w:top="1620" w:bottom="1580" w:left="1660" w:right="1420"/>
        </w:sectPr>
      </w:pPr>
    </w:p>
    <w:p>
      <w:pPr>
        <w:pStyle w:val="BodyText"/>
        <w:spacing w:before="2"/>
        <w:rPr>
          <w:sz w:val="18"/>
        </w:rPr>
      </w:pPr>
    </w:p>
    <w:p>
      <w:pPr>
        <w:pStyle w:val="BodyText"/>
        <w:ind w:left="151"/>
        <w:rPr>
          <w:sz w:val="20"/>
        </w:rPr>
      </w:pPr>
      <w:r>
        <w:rPr>
          <w:sz w:val="20"/>
        </w:rPr>
        <w:pict>
          <v:group style="width:434.2pt;height:595.4pt;mso-position-horizontal-relative:char;mso-position-vertical-relative:line" coordorigin="0,0" coordsize="8684,11908">
            <v:shape style="position:absolute;left:60;top:19;width:8623;height:11888" type="#_x0000_t75" stroked="false">
              <v:imagedata r:id="rId47" o:title=""/>
            </v:shape>
            <v:shape style="position:absolute;left:0;top:0;width:8623;height:11888" type="#_x0000_t75" stroked="false">
              <v:imagedata r:id="rId48" o:title=""/>
            </v:shape>
          </v:group>
        </w:pict>
      </w:r>
      <w:r>
        <w:rPr>
          <w:sz w:val="20"/>
        </w:rPr>
      </w:r>
    </w:p>
    <w:p>
      <w:pPr>
        <w:spacing w:after="0"/>
        <w:rPr>
          <w:sz w:val="20"/>
        </w:rPr>
        <w:sectPr>
          <w:pgSz w:w="12240" w:h="15840"/>
          <w:pgMar w:header="1154" w:footer="1383" w:top="1620" w:bottom="1580" w:left="1720" w:right="1420"/>
        </w:sectPr>
      </w:pPr>
    </w:p>
    <w:p>
      <w:pPr>
        <w:pStyle w:val="BodyText"/>
        <w:spacing w:before="11"/>
        <w:rPr>
          <w:sz w:val="16"/>
        </w:rPr>
      </w:pPr>
    </w:p>
    <w:p>
      <w:pPr>
        <w:pStyle w:val="BodyText"/>
        <w:ind w:left="116"/>
        <w:rPr>
          <w:sz w:val="20"/>
        </w:rPr>
      </w:pPr>
      <w:r>
        <w:rPr>
          <w:sz w:val="20"/>
        </w:rPr>
        <w:pict>
          <v:group style="width:445.25pt;height:589.3pt;mso-position-horizontal-relative:char;mso-position-vertical-relative:line" coordorigin="0,0" coordsize="8905,11786">
            <v:shape style="position:absolute;left:38;top:38;width:8866;height:11747" type="#_x0000_t75" stroked="false">
              <v:imagedata r:id="rId49" o:title=""/>
            </v:shape>
            <v:shape style="position:absolute;left:0;top:0;width:8843;height:11747" type="#_x0000_t75" stroked="false">
              <v:imagedata r:id="rId50" o:title=""/>
            </v:shape>
          </v:group>
        </w:pict>
      </w:r>
      <w:r>
        <w:rPr>
          <w:sz w:val="20"/>
        </w:rPr>
      </w:r>
    </w:p>
    <w:p>
      <w:pPr>
        <w:spacing w:after="0"/>
        <w:rPr>
          <w:sz w:val="20"/>
        </w:rPr>
        <w:sectPr>
          <w:pgSz w:w="12240" w:h="15840"/>
          <w:pgMar w:header="1154" w:footer="1383" w:top="1620" w:bottom="1580" w:left="1560" w:right="1420"/>
        </w:sectPr>
      </w:pPr>
    </w:p>
    <w:p>
      <w:pPr>
        <w:pStyle w:val="BodyText"/>
        <w:rPr>
          <w:sz w:val="18"/>
        </w:rPr>
      </w:pPr>
    </w:p>
    <w:p>
      <w:pPr>
        <w:pStyle w:val="BodyText"/>
        <w:ind w:left="102"/>
        <w:rPr>
          <w:sz w:val="20"/>
        </w:rPr>
      </w:pPr>
      <w:r>
        <w:rPr>
          <w:sz w:val="20"/>
        </w:rPr>
        <w:pict>
          <v:group style="width:444.3pt;height:605.4pt;mso-position-horizontal-relative:char;mso-position-vertical-relative:line" coordorigin="0,0" coordsize="8886,12108">
            <v:shape style="position:absolute;left:60;top:19;width:8826;height:12089" type="#_x0000_t75" stroked="false">
              <v:imagedata r:id="rId51" o:title=""/>
            </v:shape>
            <v:shape style="position:absolute;left:0;top:0;width:8785;height:12089" type="#_x0000_t75" stroked="false">
              <v:imagedata r:id="rId52" o:title=""/>
            </v:shape>
          </v:group>
        </w:pict>
      </w:r>
      <w:r>
        <w:rPr>
          <w:sz w:val="20"/>
        </w:rPr>
      </w:r>
    </w:p>
    <w:p>
      <w:pPr>
        <w:spacing w:after="0"/>
        <w:rPr>
          <w:sz w:val="20"/>
        </w:rPr>
        <w:sectPr>
          <w:pgSz w:w="12240" w:h="15840"/>
          <w:pgMar w:header="1154" w:footer="1383" w:top="1620" w:bottom="1580" w:left="1660" w:right="1420"/>
        </w:sectPr>
      </w:pPr>
    </w:p>
    <w:p>
      <w:pPr>
        <w:pStyle w:val="BodyText"/>
        <w:spacing w:before="5"/>
        <w:rPr>
          <w:sz w:val="14"/>
        </w:rPr>
      </w:pPr>
    </w:p>
    <w:p>
      <w:pPr>
        <w:pStyle w:val="BodyText"/>
        <w:ind w:left="287"/>
        <w:rPr>
          <w:sz w:val="20"/>
        </w:rPr>
      </w:pPr>
      <w:r>
        <w:rPr>
          <w:sz w:val="20"/>
        </w:rPr>
        <w:pict>
          <v:group style="width:428.25pt;height:609pt;mso-position-horizontal-relative:char;mso-position-vertical-relative:line" coordorigin="0,0" coordsize="8565,12180">
            <v:shape style="position:absolute;left:60;top:19;width:8505;height:12161" type="#_x0000_t75" stroked="false">
              <v:imagedata r:id="rId53" o:title=""/>
            </v:shape>
            <v:shape style="position:absolute;left:0;top:0;width:8484;height:12161" type="#_x0000_t75" stroked="false">
              <v:imagedata r:id="rId54" o:title=""/>
            </v:shape>
          </v:group>
        </w:pict>
      </w:r>
      <w:r>
        <w:rPr>
          <w:sz w:val="20"/>
        </w:rPr>
      </w:r>
    </w:p>
    <w:p>
      <w:pPr>
        <w:spacing w:after="0"/>
        <w:rPr>
          <w:sz w:val="20"/>
        </w:rPr>
        <w:sectPr>
          <w:pgSz w:w="12240" w:h="15840"/>
          <w:pgMar w:header="1154" w:footer="1383" w:top="1620" w:bottom="1580" w:left="1720" w:right="1420"/>
        </w:sectPr>
      </w:pPr>
    </w:p>
    <w:p>
      <w:pPr>
        <w:pStyle w:val="BodyText"/>
        <w:rPr>
          <w:sz w:val="20"/>
        </w:rPr>
      </w:pPr>
    </w:p>
    <w:p>
      <w:pPr>
        <w:pStyle w:val="BodyText"/>
        <w:rPr>
          <w:sz w:val="20"/>
        </w:rPr>
      </w:pPr>
    </w:p>
    <w:p>
      <w:pPr>
        <w:pStyle w:val="BodyText"/>
        <w:spacing w:before="5" w:after="1"/>
        <w:rPr>
          <w:sz w:val="12"/>
        </w:rPr>
      </w:pPr>
    </w:p>
    <w:p>
      <w:pPr>
        <w:pStyle w:val="BodyText"/>
        <w:ind w:left="157"/>
        <w:rPr>
          <w:sz w:val="20"/>
        </w:rPr>
      </w:pPr>
      <w:r>
        <w:rPr>
          <w:sz w:val="20"/>
        </w:rPr>
        <w:pict>
          <v:group style="width:441.4pt;height:303.150pt;mso-position-horizontal-relative:char;mso-position-vertical-relative:line" coordorigin="0,0" coordsize="8828,6063">
            <v:shape style="position:absolute;left:38;top:19;width:8789;height:6043" type="#_x0000_t75" stroked="false">
              <v:imagedata r:id="rId55" o:title=""/>
            </v:shape>
            <v:shape style="position:absolute;left:0;top:0;width:8789;height:6043" type="#_x0000_t75" stroked="false">
              <v:imagedata r:id="rId56" o:title=""/>
            </v:shape>
          </v:group>
        </w:pict>
      </w:r>
      <w:r>
        <w:rPr>
          <w:sz w:val="20"/>
        </w:rPr>
      </w:r>
    </w:p>
    <w:p>
      <w:pPr>
        <w:spacing w:after="0"/>
        <w:rPr>
          <w:sz w:val="20"/>
        </w:rPr>
        <w:sectPr>
          <w:pgSz w:w="12240" w:h="15840"/>
          <w:pgMar w:header="1154" w:footer="1383" w:top="1620" w:bottom="1580" w:left="1720" w:right="1420"/>
        </w:sectPr>
      </w:pPr>
    </w:p>
    <w:p>
      <w:pPr>
        <w:pStyle w:val="BodyText"/>
        <w:spacing w:before="7"/>
        <w:rPr>
          <w:sz w:val="9"/>
        </w:rPr>
      </w:pPr>
    </w:p>
    <w:p>
      <w:pPr>
        <w:pStyle w:val="Heading1"/>
        <w:numPr>
          <w:ilvl w:val="1"/>
          <w:numId w:val="25"/>
        </w:numPr>
        <w:tabs>
          <w:tab w:pos="653" w:val="left" w:leader="none"/>
        </w:tabs>
        <w:spacing w:line="360" w:lineRule="auto" w:before="69" w:after="0"/>
        <w:ind w:left="292" w:right="270" w:firstLine="0"/>
        <w:jc w:val="left"/>
      </w:pPr>
      <w:r>
        <w:rPr/>
        <w:pict>
          <v:group style="position:absolute;margin-left:84.860001pt;margin-top:63.933815pt;width:448.5pt;height:555.050pt;mso-position-horizontal-relative:page;mso-position-vertical-relative:paragraph;z-index:-204424" coordorigin="1697,1279" coordsize="8970,11101">
            <v:shape style="position:absolute;left:1757;top:1317;width:8909;height:11063" type="#_x0000_t75" stroked="false">
              <v:imagedata r:id="rId57" o:title=""/>
            </v:shape>
            <v:shape style="position:absolute;left:1697;top:1279;width:8909;height:11063" type="#_x0000_t75" stroked="false">
              <v:imagedata r:id="rId58" o:title=""/>
            </v:shape>
            <w10:wrap type="none"/>
          </v:group>
        </w:pict>
      </w:r>
      <w:bookmarkStart w:name="_bookmark61" w:id="117"/>
      <w:bookmarkEnd w:id="117"/>
      <w:r>
        <w:rPr>
          <w:b w:val="0"/>
        </w:rPr>
      </w:r>
      <w:bookmarkStart w:name="_bookmark61" w:id="118"/>
      <w:bookmarkEnd w:id="118"/>
      <w:r>
        <w:rPr/>
        <w:t>A</w:t>
      </w:r>
      <w:r>
        <w:rPr/>
        <w:t>rtículo enviado. Effects of chromium-yeast on growth performance, blood metabolites, fatty acids profile, meat traits and microminerals concentrations in</w:t>
      </w:r>
      <w:r>
        <w:rPr>
          <w:spacing w:val="-19"/>
        </w:rPr>
        <w:t> </w:t>
      </w:r>
      <w:r>
        <w:rPr/>
        <w:t>liver and bone of fattening</w:t>
      </w:r>
      <w:r>
        <w:rPr>
          <w:spacing w:val="-13"/>
        </w:rPr>
        <w:t> </w:t>
      </w:r>
      <w:r>
        <w:rPr/>
        <w:t>lambs.</w:t>
      </w:r>
    </w:p>
    <w:p>
      <w:pPr>
        <w:spacing w:after="0" w:line="360" w:lineRule="auto"/>
        <w:jc w:val="left"/>
        <w:sectPr>
          <w:pgSz w:w="12240" w:h="15840"/>
          <w:pgMar w:header="1154" w:footer="1383" w:top="1620" w:bottom="1580" w:left="1580" w:right="1420"/>
        </w:sectPr>
      </w:pPr>
    </w:p>
    <w:p>
      <w:pPr>
        <w:pStyle w:val="BodyText"/>
        <w:spacing w:before="7" w:after="1"/>
        <w:rPr>
          <w:sz w:val="9"/>
        </w:rPr>
      </w:pPr>
    </w:p>
    <w:p>
      <w:pPr>
        <w:pStyle w:val="BodyText"/>
        <w:ind w:left="121"/>
        <w:rPr>
          <w:sz w:val="20"/>
        </w:rPr>
      </w:pPr>
      <w:r>
        <w:rPr>
          <w:sz w:val="20"/>
        </w:rPr>
        <w:pict>
          <v:group style="width:437.35pt;height:573.25pt;mso-position-horizontal-relative:char;mso-position-vertical-relative:line" coordorigin="0,0" coordsize="8747,11465">
            <v:shape style="position:absolute;left:60;top:38;width:8686;height:11426" type="#_x0000_t75" stroked="false">
              <v:imagedata r:id="rId59" o:title=""/>
            </v:shape>
            <v:shape style="position:absolute;left:0;top:0;width:8686;height:11426" type="#_x0000_t75" stroked="false">
              <v:imagedata r:id="rId60" o:title=""/>
            </v:shape>
          </v:group>
        </w:pict>
      </w:r>
      <w:r>
        <w:rPr>
          <w:sz w:val="20"/>
        </w:rPr>
      </w:r>
    </w:p>
    <w:p>
      <w:pPr>
        <w:spacing w:after="0"/>
        <w:rPr>
          <w:sz w:val="20"/>
        </w:rPr>
        <w:sectPr>
          <w:pgSz w:w="12240" w:h="15840"/>
          <w:pgMar w:header="1154" w:footer="1383" w:top="1620" w:bottom="1580" w:left="1720" w:right="1420"/>
        </w:sectPr>
      </w:pPr>
    </w:p>
    <w:p>
      <w:pPr>
        <w:pStyle w:val="BodyText"/>
        <w:rPr>
          <w:sz w:val="20"/>
        </w:rPr>
      </w:pPr>
    </w:p>
    <w:p>
      <w:pPr>
        <w:pStyle w:val="BodyText"/>
        <w:rPr>
          <w:sz w:val="20"/>
        </w:rPr>
      </w:pPr>
    </w:p>
    <w:p>
      <w:pPr>
        <w:pStyle w:val="BodyText"/>
        <w:spacing w:before="9"/>
        <w:rPr>
          <w:sz w:val="18"/>
        </w:rPr>
      </w:pPr>
    </w:p>
    <w:p>
      <w:pPr>
        <w:pStyle w:val="BodyText"/>
        <w:ind w:left="116"/>
        <w:rPr>
          <w:sz w:val="20"/>
        </w:rPr>
      </w:pPr>
      <w:r>
        <w:rPr>
          <w:sz w:val="20"/>
        </w:rPr>
        <w:pict>
          <v:group style="width:448.9pt;height:528.5pt;mso-position-horizontal-relative:char;mso-position-vertical-relative:line" coordorigin="0,0" coordsize="8978,10570">
            <v:shape style="position:absolute;left:60;top:38;width:8917;height:10531" type="#_x0000_t75" stroked="false">
              <v:imagedata r:id="rId61" o:title=""/>
            </v:shape>
            <v:shape style="position:absolute;left:0;top:0;width:8874;height:10531" type="#_x0000_t75" stroked="false">
              <v:imagedata r:id="rId62" o:title=""/>
            </v:shape>
          </v:group>
        </w:pict>
      </w:r>
      <w:r>
        <w:rPr>
          <w:sz w:val="20"/>
        </w:rPr>
      </w:r>
    </w:p>
    <w:p>
      <w:pPr>
        <w:spacing w:after="0"/>
        <w:rPr>
          <w:sz w:val="20"/>
        </w:rPr>
        <w:sectPr>
          <w:pgSz w:w="12240" w:h="15840"/>
          <w:pgMar w:header="1154" w:footer="1383" w:top="1620" w:bottom="1580" w:left="1500" w:right="1420"/>
        </w:sectPr>
      </w:pPr>
    </w:p>
    <w:p>
      <w:pPr>
        <w:pStyle w:val="BodyText"/>
        <w:rPr>
          <w:sz w:val="20"/>
        </w:rPr>
      </w:pPr>
    </w:p>
    <w:p>
      <w:pPr>
        <w:pStyle w:val="BodyText"/>
        <w:spacing w:before="3"/>
        <w:rPr>
          <w:sz w:val="14"/>
        </w:rPr>
      </w:pPr>
    </w:p>
    <w:p>
      <w:pPr>
        <w:pStyle w:val="BodyText"/>
        <w:ind w:left="106"/>
        <w:rPr>
          <w:sz w:val="20"/>
        </w:rPr>
      </w:pPr>
      <w:r>
        <w:rPr>
          <w:sz w:val="20"/>
        </w:rPr>
        <w:pict>
          <v:group style="width:449.45pt;height:577.85pt;mso-position-horizontal-relative:char;mso-position-vertical-relative:line" coordorigin="0,0" coordsize="8989,11557">
            <v:shape style="position:absolute;left:60;top:38;width:8928;height:11518" type="#_x0000_t75" stroked="false">
              <v:imagedata r:id="rId63" o:title=""/>
            </v:shape>
            <v:shape style="position:absolute;left:0;top:0;width:8889;height:11518" type="#_x0000_t75" stroked="false">
              <v:imagedata r:id="rId64" o:title=""/>
            </v:shape>
          </v:group>
        </w:pict>
      </w:r>
      <w:r>
        <w:rPr>
          <w:sz w:val="20"/>
        </w:rPr>
      </w:r>
    </w:p>
    <w:p>
      <w:pPr>
        <w:spacing w:after="0"/>
        <w:rPr>
          <w:sz w:val="20"/>
        </w:rPr>
        <w:sectPr>
          <w:pgSz w:w="12240" w:h="15840"/>
          <w:pgMar w:header="1154" w:footer="1383" w:top="1620" w:bottom="1580" w:left="1660" w:right="1380"/>
        </w:sectPr>
      </w:pPr>
    </w:p>
    <w:p>
      <w:pPr>
        <w:pStyle w:val="BodyText"/>
        <w:spacing w:before="9"/>
        <w:rPr>
          <w:sz w:val="16"/>
        </w:rPr>
      </w:pPr>
    </w:p>
    <w:p>
      <w:pPr>
        <w:pStyle w:val="BodyText"/>
        <w:ind w:left="184"/>
        <w:rPr>
          <w:sz w:val="20"/>
        </w:rPr>
      </w:pPr>
      <w:r>
        <w:rPr>
          <w:sz w:val="20"/>
        </w:rPr>
        <w:pict>
          <v:group style="width:438.55pt;height:580.7pt;mso-position-horizontal-relative:char;mso-position-vertical-relative:line" coordorigin="0,0" coordsize="8771,11614">
            <v:shape style="position:absolute;left:60;top:38;width:8711;height:11575" type="#_x0000_t75" stroked="false">
              <v:imagedata r:id="rId65" o:title=""/>
            </v:shape>
            <v:shape style="position:absolute;left:0;top:0;width:8691;height:11575" type="#_x0000_t75" stroked="false">
              <v:imagedata r:id="rId66" o:title=""/>
            </v:shape>
          </v:group>
        </w:pict>
      </w:r>
      <w:r>
        <w:rPr>
          <w:sz w:val="20"/>
        </w:rPr>
      </w:r>
    </w:p>
    <w:p>
      <w:pPr>
        <w:spacing w:after="0"/>
        <w:rPr>
          <w:sz w:val="20"/>
        </w:rPr>
        <w:sectPr>
          <w:pgSz w:w="12240" w:h="15840"/>
          <w:pgMar w:header="1154" w:footer="1383" w:top="1620" w:bottom="1580" w:left="1720" w:right="1420"/>
        </w:sectPr>
      </w:pPr>
    </w:p>
    <w:p>
      <w:pPr>
        <w:pStyle w:val="BodyText"/>
        <w:spacing w:before="4"/>
        <w:rPr>
          <w:sz w:val="14"/>
        </w:rPr>
      </w:pPr>
    </w:p>
    <w:p>
      <w:pPr>
        <w:pStyle w:val="BodyText"/>
        <w:ind w:left="176"/>
        <w:rPr>
          <w:sz w:val="20"/>
        </w:rPr>
      </w:pPr>
      <w:r>
        <w:rPr>
          <w:sz w:val="20"/>
        </w:rPr>
        <w:pict>
          <v:group style="width:441.6pt;height:589.3pt;mso-position-horizontal-relative:char;mso-position-vertical-relative:line" coordorigin="0,0" coordsize="8832,11786">
            <v:shape style="position:absolute;left:60;top:38;width:8771;height:11747" type="#_x0000_t75" stroked="false">
              <v:imagedata r:id="rId67" o:title=""/>
            </v:shape>
            <v:shape style="position:absolute;left:0;top:0;width:8751;height:11747" type="#_x0000_t75" stroked="false">
              <v:imagedata r:id="rId68" o:title=""/>
            </v:shape>
          </v:group>
        </w:pict>
      </w:r>
      <w:r>
        <w:rPr>
          <w:sz w:val="20"/>
        </w:rPr>
      </w:r>
    </w:p>
    <w:p>
      <w:pPr>
        <w:spacing w:after="0"/>
        <w:rPr>
          <w:sz w:val="20"/>
        </w:rPr>
        <w:sectPr>
          <w:pgSz w:w="12240" w:h="15840"/>
          <w:pgMar w:header="1154" w:footer="1383" w:top="1620" w:bottom="1580" w:left="1720" w:right="1400"/>
        </w:sectPr>
      </w:pPr>
    </w:p>
    <w:p>
      <w:pPr>
        <w:pStyle w:val="BodyText"/>
        <w:spacing w:before="3"/>
        <w:rPr>
          <w:sz w:val="25"/>
        </w:rPr>
      </w:pPr>
    </w:p>
    <w:p>
      <w:pPr>
        <w:pStyle w:val="BodyText"/>
        <w:ind w:left="196"/>
        <w:rPr>
          <w:sz w:val="20"/>
        </w:rPr>
      </w:pPr>
      <w:r>
        <w:rPr>
          <w:sz w:val="20"/>
        </w:rPr>
        <w:pict>
          <v:group style="width:435.85pt;height:585.25pt;mso-position-horizontal-relative:char;mso-position-vertical-relative:line" coordorigin="0,0" coordsize="8717,11705">
            <v:shape style="position:absolute;left:60;top:38;width:8656;height:11666" type="#_x0000_t75" stroked="false">
              <v:imagedata r:id="rId69" o:title=""/>
            </v:shape>
            <v:shape style="position:absolute;left:0;top:0;width:8656;height:11666" type="#_x0000_t75" stroked="false">
              <v:imagedata r:id="rId70" o:title=""/>
            </v:shape>
          </v:group>
        </w:pict>
      </w:r>
      <w:r>
        <w:rPr>
          <w:sz w:val="20"/>
        </w:rPr>
      </w:r>
    </w:p>
    <w:p>
      <w:pPr>
        <w:spacing w:after="0"/>
        <w:rPr>
          <w:sz w:val="20"/>
        </w:rPr>
        <w:sectPr>
          <w:pgSz w:w="12240" w:h="15840"/>
          <w:pgMar w:header="1154" w:footer="1383" w:top="1620" w:bottom="1580" w:left="1720" w:right="1420"/>
        </w:sectPr>
      </w:pPr>
    </w:p>
    <w:p>
      <w:pPr>
        <w:pStyle w:val="BodyText"/>
        <w:spacing w:before="4" w:after="1"/>
        <w:rPr>
          <w:sz w:val="21"/>
        </w:rPr>
      </w:pPr>
    </w:p>
    <w:p>
      <w:pPr>
        <w:pStyle w:val="BodyText"/>
        <w:ind w:left="116"/>
        <w:rPr>
          <w:sz w:val="20"/>
        </w:rPr>
      </w:pPr>
      <w:r>
        <w:rPr>
          <w:sz w:val="20"/>
        </w:rPr>
        <w:pict>
          <v:group style="width:445.55pt;height:592pt;mso-position-horizontal-relative:char;mso-position-vertical-relative:line" coordorigin="0,0" coordsize="8911,11840">
            <v:shape style="position:absolute;left:60;top:38;width:8851;height:11801" type="#_x0000_t75" stroked="false">
              <v:imagedata r:id="rId71" o:title=""/>
            </v:shape>
            <v:shape style="position:absolute;left:0;top:0;width:8830;height:11801" type="#_x0000_t75" stroked="false">
              <v:imagedata r:id="rId72" o:title=""/>
            </v:shape>
          </v:group>
        </w:pict>
      </w:r>
      <w:r>
        <w:rPr>
          <w:sz w:val="20"/>
        </w:rPr>
      </w:r>
    </w:p>
    <w:p>
      <w:pPr>
        <w:spacing w:after="0"/>
        <w:rPr>
          <w:sz w:val="20"/>
        </w:rPr>
        <w:sectPr>
          <w:pgSz w:w="12240" w:h="15840"/>
          <w:pgMar w:header="1154" w:footer="1383" w:top="1620" w:bottom="1580" w:left="1680" w:right="1420"/>
        </w:sectPr>
      </w:pPr>
    </w:p>
    <w:p>
      <w:pPr>
        <w:pStyle w:val="BodyText"/>
        <w:spacing w:before="9" w:after="1"/>
        <w:rPr>
          <w:sz w:val="26"/>
        </w:rPr>
      </w:pPr>
    </w:p>
    <w:p>
      <w:pPr>
        <w:pStyle w:val="BodyText"/>
        <w:ind w:left="100"/>
        <w:rPr>
          <w:sz w:val="20"/>
        </w:rPr>
      </w:pPr>
      <w:r>
        <w:rPr>
          <w:sz w:val="20"/>
        </w:rPr>
        <w:pict>
          <v:group style="width:454pt;height:582.85pt;mso-position-horizontal-relative:char;mso-position-vertical-relative:line" coordorigin="0,0" coordsize="9080,11657">
            <v:shape style="position:absolute;left:60;top:38;width:9019;height:11618" type="#_x0000_t75" stroked="false">
              <v:imagedata r:id="rId73" o:title=""/>
            </v:shape>
            <v:shape style="position:absolute;left:0;top:0;width:9019;height:11618" type="#_x0000_t75" stroked="false">
              <v:imagedata r:id="rId74" o:title=""/>
            </v:shape>
          </v:group>
        </w:pict>
      </w:r>
      <w:r>
        <w:rPr>
          <w:sz w:val="20"/>
        </w:rPr>
      </w:r>
    </w:p>
    <w:p>
      <w:pPr>
        <w:spacing w:after="0"/>
        <w:rPr>
          <w:sz w:val="20"/>
        </w:rPr>
        <w:sectPr>
          <w:pgSz w:w="12240" w:h="15840"/>
          <w:pgMar w:header="1154" w:footer="1383" w:top="1620" w:bottom="1580" w:left="1540" w:right="1420"/>
        </w:sectPr>
      </w:pPr>
    </w:p>
    <w:p>
      <w:pPr>
        <w:pStyle w:val="BodyText"/>
        <w:spacing w:before="6" w:after="1"/>
        <w:rPr>
          <w:sz w:val="20"/>
        </w:rPr>
      </w:pPr>
    </w:p>
    <w:p>
      <w:pPr>
        <w:pStyle w:val="BodyText"/>
        <w:ind w:left="166"/>
        <w:rPr>
          <w:sz w:val="20"/>
        </w:rPr>
      </w:pPr>
      <w:r>
        <w:rPr>
          <w:sz w:val="20"/>
        </w:rPr>
        <w:pict>
          <v:group style="width:437.25pt;height:582.7pt;mso-position-horizontal-relative:char;mso-position-vertical-relative:line" coordorigin="0,0" coordsize="8745,11654">
            <v:shape style="position:absolute;left:60;top:38;width:8685;height:11615" type="#_x0000_t75" stroked="false">
              <v:imagedata r:id="rId75" o:title=""/>
            </v:shape>
            <v:shape style="position:absolute;left:0;top:0;width:8685;height:11615" type="#_x0000_t75" stroked="false">
              <v:imagedata r:id="rId76" o:title=""/>
            </v:shape>
          </v:group>
        </w:pict>
      </w:r>
      <w:r>
        <w:rPr>
          <w:sz w:val="20"/>
        </w:rPr>
      </w:r>
    </w:p>
    <w:p>
      <w:pPr>
        <w:spacing w:after="0"/>
        <w:rPr>
          <w:sz w:val="20"/>
        </w:rPr>
        <w:sectPr>
          <w:pgSz w:w="12240" w:h="15840"/>
          <w:pgMar w:header="1154" w:footer="1383" w:top="1620" w:bottom="1580" w:left="1720" w:right="1420"/>
        </w:sectPr>
      </w:pPr>
    </w:p>
    <w:p>
      <w:pPr>
        <w:pStyle w:val="BodyText"/>
        <w:spacing w:before="9"/>
      </w:pPr>
    </w:p>
    <w:p>
      <w:pPr>
        <w:pStyle w:val="BodyText"/>
        <w:ind w:left="101"/>
        <w:rPr>
          <w:sz w:val="20"/>
        </w:rPr>
      </w:pPr>
      <w:r>
        <w:rPr>
          <w:sz w:val="20"/>
        </w:rPr>
        <w:pict>
          <v:group style="width:440.9pt;height:584.050pt;mso-position-horizontal-relative:char;mso-position-vertical-relative:line" coordorigin="0,0" coordsize="8818,11681">
            <v:shape style="position:absolute;left:60;top:39;width:8758;height:11642" type="#_x0000_t75" stroked="false">
              <v:imagedata r:id="rId77" o:title=""/>
            </v:shape>
            <v:shape style="position:absolute;left:0;top:0;width:8758;height:11642" type="#_x0000_t75" stroked="false">
              <v:imagedata r:id="rId78" o:title=""/>
            </v:shape>
          </v:group>
        </w:pict>
      </w:r>
      <w:r>
        <w:rPr>
          <w:sz w:val="20"/>
        </w:rPr>
      </w:r>
    </w:p>
    <w:p>
      <w:pPr>
        <w:spacing w:after="0"/>
        <w:rPr>
          <w:sz w:val="20"/>
        </w:rPr>
        <w:sectPr>
          <w:pgSz w:w="12240" w:h="15840"/>
          <w:pgMar w:header="1154" w:footer="1383" w:top="1620" w:bottom="1580" w:left="1680" w:right="1420"/>
        </w:sectPr>
      </w:pPr>
    </w:p>
    <w:p>
      <w:pPr>
        <w:pStyle w:val="BodyText"/>
        <w:rPr>
          <w:sz w:val="20"/>
        </w:rPr>
      </w:pPr>
    </w:p>
    <w:p>
      <w:pPr>
        <w:pStyle w:val="BodyText"/>
        <w:spacing w:before="6" w:after="1"/>
        <w:rPr>
          <w:sz w:val="11"/>
        </w:rPr>
      </w:pPr>
    </w:p>
    <w:p>
      <w:pPr>
        <w:pStyle w:val="BodyText"/>
        <w:ind w:left="231"/>
        <w:rPr>
          <w:sz w:val="20"/>
        </w:rPr>
      </w:pPr>
      <w:r>
        <w:rPr>
          <w:sz w:val="20"/>
        </w:rPr>
        <w:pict>
          <v:group style="width:445.9pt;height:596.950pt;mso-position-horizontal-relative:char;mso-position-vertical-relative:line" coordorigin="0,0" coordsize="8918,11939">
            <v:shape style="position:absolute;left:60;top:38;width:8857;height:11900" type="#_x0000_t75" stroked="false">
              <v:imagedata r:id="rId79" o:title=""/>
            </v:shape>
            <v:shape style="position:absolute;left:0;top:0;width:8815;height:11900" type="#_x0000_t75" stroked="false">
              <v:imagedata r:id="rId80" o:title=""/>
            </v:shape>
          </v:group>
        </w:pict>
      </w:r>
      <w:r>
        <w:rPr>
          <w:sz w:val="20"/>
        </w:rPr>
      </w:r>
    </w:p>
    <w:p>
      <w:pPr>
        <w:spacing w:after="0"/>
        <w:rPr>
          <w:sz w:val="20"/>
        </w:rPr>
        <w:sectPr>
          <w:pgSz w:w="12240" w:h="15840"/>
          <w:pgMar w:header="1154" w:footer="1383" w:top="1620" w:bottom="1580" w:left="1720" w:right="1260"/>
        </w:sectPr>
      </w:pPr>
    </w:p>
    <w:p>
      <w:pPr>
        <w:pStyle w:val="BodyText"/>
        <w:spacing w:before="8" w:after="1"/>
        <w:rPr>
          <w:sz w:val="21"/>
        </w:rPr>
      </w:pPr>
    </w:p>
    <w:p>
      <w:pPr>
        <w:pStyle w:val="BodyText"/>
        <w:ind w:left="105"/>
        <w:rPr>
          <w:sz w:val="20"/>
        </w:rPr>
      </w:pPr>
      <w:r>
        <w:rPr>
          <w:sz w:val="20"/>
        </w:rPr>
        <w:pict>
          <v:group style="width:451.3pt;height:597.65pt;mso-position-horizontal-relative:char;mso-position-vertical-relative:line" coordorigin="0,0" coordsize="9026,11953">
            <v:shape style="position:absolute;left:60;top:38;width:8966;height:11914" type="#_x0000_t75" stroked="false">
              <v:imagedata r:id="rId81" o:title=""/>
            </v:shape>
            <v:shape style="position:absolute;left:0;top:0;width:8966;height:11914" type="#_x0000_t75" stroked="false">
              <v:imagedata r:id="rId82" o:title=""/>
            </v:shape>
          </v:group>
        </w:pict>
      </w:r>
      <w:r>
        <w:rPr>
          <w:sz w:val="20"/>
        </w:rPr>
      </w:r>
    </w:p>
    <w:p>
      <w:pPr>
        <w:spacing w:after="0"/>
        <w:rPr>
          <w:sz w:val="20"/>
        </w:rPr>
        <w:sectPr>
          <w:pgSz w:w="12240" w:h="15840"/>
          <w:pgMar w:header="1154" w:footer="1383" w:top="1620" w:bottom="1580" w:left="1640" w:right="1360"/>
        </w:sect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ind w:left="116"/>
        <w:rPr>
          <w:sz w:val="20"/>
        </w:rPr>
      </w:pPr>
      <w:r>
        <w:rPr>
          <w:sz w:val="20"/>
        </w:rPr>
        <w:pict>
          <v:group style="width:445.85pt;height:208.45pt;mso-position-horizontal-relative:char;mso-position-vertical-relative:line" coordorigin="0,0" coordsize="8917,4169">
            <v:shape style="position:absolute;left:60;top:38;width:8857;height:4130" type="#_x0000_t75" stroked="false">
              <v:imagedata r:id="rId83" o:title=""/>
            </v:shape>
            <v:shape style="position:absolute;left:0;top:0;width:8816;height:4130" type="#_x0000_t75" stroked="false">
              <v:imagedata r:id="rId84" o:title=""/>
            </v:shape>
          </v:group>
        </w:pict>
      </w:r>
      <w:r>
        <w:rPr>
          <w:sz w:val="20"/>
        </w:rPr>
      </w:r>
    </w:p>
    <w:p>
      <w:pPr>
        <w:spacing w:after="0"/>
        <w:rPr>
          <w:sz w:val="20"/>
        </w:rPr>
        <w:sectPr>
          <w:pgSz w:w="12240" w:h="15840"/>
          <w:pgMar w:header="1154" w:footer="1383" w:top="1620" w:bottom="1580" w:left="1720" w:right="1380"/>
        </w:sectPr>
      </w:pPr>
    </w:p>
    <w:p>
      <w:pPr>
        <w:pStyle w:val="BodyText"/>
        <w:spacing w:before="8" w:after="1"/>
        <w:rPr>
          <w:sz w:val="13"/>
        </w:rPr>
      </w:pPr>
    </w:p>
    <w:p>
      <w:pPr>
        <w:pStyle w:val="BodyText"/>
        <w:ind w:left="111"/>
        <w:rPr>
          <w:sz w:val="20"/>
        </w:rPr>
      </w:pPr>
      <w:r>
        <w:rPr>
          <w:sz w:val="20"/>
        </w:rPr>
        <w:pict>
          <v:group style="width:448.7pt;height:597.65pt;mso-position-horizontal-relative:char;mso-position-vertical-relative:line" coordorigin="0,0" coordsize="8974,11953">
            <v:shape style="position:absolute;left:60;top:38;width:8914;height:11914" type="#_x0000_t75" stroked="false">
              <v:imagedata r:id="rId85" o:title=""/>
            </v:shape>
            <v:shape style="position:absolute;left:0;top:0;width:8914;height:11914" type="#_x0000_t75" stroked="false">
              <v:imagedata r:id="rId86" o:title=""/>
            </v:shape>
          </v:group>
        </w:pict>
      </w:r>
      <w:r>
        <w:rPr>
          <w:sz w:val="20"/>
        </w:rPr>
      </w:r>
    </w:p>
    <w:p>
      <w:pPr>
        <w:spacing w:after="0"/>
        <w:rPr>
          <w:sz w:val="20"/>
        </w:rPr>
        <w:sectPr>
          <w:pgSz w:w="12240" w:h="15840"/>
          <w:pgMar w:header="1154" w:footer="1383" w:top="1620" w:bottom="1580" w:left="1620" w:right="1420"/>
        </w:sectPr>
      </w:pPr>
    </w:p>
    <w:p>
      <w:pPr>
        <w:pStyle w:val="BodyText"/>
        <w:rPr>
          <w:sz w:val="20"/>
        </w:rPr>
      </w:pPr>
    </w:p>
    <w:p>
      <w:pPr>
        <w:pStyle w:val="BodyText"/>
        <w:rPr>
          <w:sz w:val="20"/>
        </w:rPr>
      </w:pPr>
    </w:p>
    <w:p>
      <w:pPr>
        <w:pStyle w:val="BodyText"/>
        <w:spacing w:before="3"/>
        <w:rPr>
          <w:sz w:val="12"/>
        </w:rPr>
      </w:pPr>
    </w:p>
    <w:p>
      <w:pPr>
        <w:pStyle w:val="BodyText"/>
        <w:ind w:left="374"/>
        <w:rPr>
          <w:sz w:val="20"/>
        </w:rPr>
      </w:pPr>
      <w:r>
        <w:rPr>
          <w:sz w:val="20"/>
        </w:rPr>
        <w:pict>
          <v:group style="width:430.3pt;height:314.4pt;mso-position-horizontal-relative:char;mso-position-vertical-relative:line" coordorigin="0,0" coordsize="8606,6288">
            <v:shape style="position:absolute;left:60;top:38;width:8546;height:6249" type="#_x0000_t75" stroked="false">
              <v:imagedata r:id="rId87" o:title=""/>
            </v:shape>
            <v:shape style="position:absolute;left:0;top:0;width:8527;height:6249" type="#_x0000_t75" stroked="false">
              <v:imagedata r:id="rId88" o:title=""/>
            </v:shape>
          </v:group>
        </w:pict>
      </w:r>
      <w:r>
        <w:rPr>
          <w:sz w:val="20"/>
        </w:rPr>
      </w:r>
    </w:p>
    <w:p>
      <w:pPr>
        <w:spacing w:after="0"/>
        <w:rPr>
          <w:sz w:val="20"/>
        </w:rPr>
        <w:sectPr>
          <w:pgSz w:w="12240" w:h="15840"/>
          <w:pgMar w:header="1154" w:footer="1383" w:top="1620" w:bottom="1580" w:left="1720" w:right="1420"/>
        </w:sectPr>
      </w:pPr>
    </w:p>
    <w:p>
      <w:pPr>
        <w:pStyle w:val="BodyText"/>
        <w:rPr>
          <w:sz w:val="20"/>
        </w:rPr>
      </w:pPr>
    </w:p>
    <w:p>
      <w:pPr>
        <w:pStyle w:val="BodyText"/>
        <w:rPr>
          <w:sz w:val="20"/>
        </w:rPr>
      </w:pPr>
    </w:p>
    <w:p>
      <w:pPr>
        <w:pStyle w:val="BodyText"/>
        <w:spacing w:before="1"/>
        <w:rPr>
          <w:sz w:val="16"/>
        </w:rPr>
      </w:pPr>
    </w:p>
    <w:p>
      <w:pPr>
        <w:pStyle w:val="BodyText"/>
        <w:ind w:left="108"/>
        <w:rPr>
          <w:sz w:val="20"/>
        </w:rPr>
      </w:pPr>
      <w:r>
        <w:rPr>
          <w:sz w:val="20"/>
        </w:rPr>
        <w:pict>
          <v:group style="width:447.55pt;height:553.950pt;mso-position-horizontal-relative:char;mso-position-vertical-relative:line" coordorigin="0,0" coordsize="8951,11079">
            <v:shape style="position:absolute;left:60;top:38;width:8891;height:11040" type="#_x0000_t75" stroked="false">
              <v:imagedata r:id="rId90" o:title=""/>
            </v:shape>
            <v:shape style="position:absolute;left:0;top:0;width:8891;height:11040" type="#_x0000_t75" stroked="false">
              <v:imagedata r:id="rId91" o:title=""/>
            </v:shape>
          </v:group>
        </w:pict>
      </w:r>
      <w:r>
        <w:rPr>
          <w:sz w:val="20"/>
        </w:rPr>
      </w:r>
    </w:p>
    <w:p>
      <w:pPr>
        <w:spacing w:after="0"/>
        <w:rPr>
          <w:sz w:val="20"/>
        </w:rPr>
        <w:sectPr>
          <w:footerReference w:type="default" r:id="rId89"/>
          <w:pgSz w:w="12240" w:h="15840"/>
          <w:pgMar w:footer="1383" w:header="1154" w:top="1620" w:bottom="1580" w:left="1640" w:right="1420"/>
        </w:sectPr>
      </w:pPr>
    </w:p>
    <w:p>
      <w:pPr>
        <w:pStyle w:val="BodyText"/>
        <w:rPr>
          <w:sz w:val="20"/>
        </w:rPr>
      </w:pPr>
    </w:p>
    <w:p>
      <w:pPr>
        <w:pStyle w:val="BodyText"/>
        <w:spacing w:before="2"/>
        <w:rPr>
          <w:sz w:val="12"/>
        </w:rPr>
      </w:pPr>
    </w:p>
    <w:p>
      <w:pPr>
        <w:pStyle w:val="BodyText"/>
        <w:ind w:left="287"/>
        <w:rPr>
          <w:sz w:val="20"/>
        </w:rPr>
      </w:pPr>
      <w:r>
        <w:rPr>
          <w:sz w:val="20"/>
        </w:rPr>
        <w:pict>
          <v:group style="width:434.95pt;height:375.55pt;mso-position-horizontal-relative:char;mso-position-vertical-relative:line" coordorigin="0,0" coordsize="8699,7511">
            <v:shape style="position:absolute;left:60;top:38;width:8638;height:7472" type="#_x0000_t75" stroked="false">
              <v:imagedata r:id="rId93" o:title=""/>
            </v:shape>
            <v:shape style="position:absolute;left:0;top:0;width:8619;height:7472" type="#_x0000_t75" stroked="false">
              <v:imagedata r:id="rId94" o:title=""/>
            </v:shape>
          </v:group>
        </w:pict>
      </w:r>
      <w:r>
        <w:rPr>
          <w:sz w:val="20"/>
        </w:rPr>
      </w:r>
    </w:p>
    <w:p>
      <w:pPr>
        <w:spacing w:after="0"/>
        <w:rPr>
          <w:sz w:val="20"/>
        </w:rPr>
        <w:sectPr>
          <w:footerReference w:type="default" r:id="rId92"/>
          <w:pgSz w:w="12240" w:h="15840"/>
          <w:pgMar w:footer="1383" w:header="1154" w:top="1620" w:bottom="1580" w:left="1720" w:right="1420"/>
          <w:pgNumType w:start="101"/>
        </w:sectPr>
      </w:pPr>
    </w:p>
    <w:p>
      <w:pPr>
        <w:pStyle w:val="BodyText"/>
        <w:spacing w:before="7"/>
        <w:rPr>
          <w:sz w:val="9"/>
        </w:rPr>
      </w:pPr>
    </w:p>
    <w:p>
      <w:pPr>
        <w:pStyle w:val="Heading1"/>
        <w:numPr>
          <w:ilvl w:val="1"/>
          <w:numId w:val="25"/>
        </w:numPr>
        <w:tabs>
          <w:tab w:pos="513" w:val="left" w:leader="none"/>
        </w:tabs>
        <w:spacing w:line="240" w:lineRule="auto" w:before="69" w:after="0"/>
        <w:ind w:left="512" w:right="0" w:hanging="360"/>
        <w:jc w:val="both"/>
      </w:pPr>
      <w:bookmarkStart w:name="_bookmark62" w:id="119"/>
      <w:bookmarkEnd w:id="119"/>
      <w:r>
        <w:rPr>
          <w:b w:val="0"/>
        </w:rPr>
      </w:r>
      <w:bookmarkStart w:name="_bookmark62" w:id="120"/>
      <w:bookmarkEnd w:id="120"/>
      <w:r>
        <w:rPr/>
        <w:t>Ot</w:t>
      </w:r>
      <w:r>
        <w:rPr/>
        <w:t>ras</w:t>
      </w:r>
      <w:r>
        <w:rPr>
          <w:spacing w:val="-5"/>
        </w:rPr>
        <w:t> </w:t>
      </w:r>
      <w:r>
        <w:rPr/>
        <w:t>publicaciones</w:t>
      </w:r>
    </w:p>
    <w:p>
      <w:pPr>
        <w:pStyle w:val="BodyText"/>
        <w:rPr>
          <w:b/>
        </w:rPr>
      </w:pPr>
    </w:p>
    <w:p>
      <w:pPr>
        <w:pStyle w:val="BodyText"/>
        <w:rPr>
          <w:b/>
        </w:rPr>
      </w:pPr>
    </w:p>
    <w:p>
      <w:pPr>
        <w:spacing w:line="360" w:lineRule="auto" w:before="0"/>
        <w:ind w:left="152" w:right="110" w:firstLine="0"/>
        <w:jc w:val="both"/>
        <w:rPr>
          <w:b/>
          <w:sz w:val="24"/>
        </w:rPr>
      </w:pPr>
      <w:r>
        <w:rPr>
          <w:b/>
          <w:sz w:val="24"/>
        </w:rPr>
        <w:t>ORGANIC CHROMIUM IN NUTRIENTS METABOLISM AND DISTRIBUTION IN SHEEP.</w:t>
      </w:r>
    </w:p>
    <w:p>
      <w:pPr>
        <w:spacing w:line="355" w:lineRule="auto" w:before="1"/>
        <w:ind w:left="152" w:right="106" w:firstLine="0"/>
        <w:jc w:val="both"/>
        <w:rPr>
          <w:b/>
          <w:sz w:val="16"/>
        </w:rPr>
      </w:pPr>
      <w:r>
        <w:rPr>
          <w:b/>
          <w:sz w:val="24"/>
        </w:rPr>
        <w:t>L. Moreno-Camarena</w:t>
      </w:r>
      <w:r>
        <w:rPr>
          <w:b/>
          <w:position w:val="8"/>
          <w:sz w:val="16"/>
        </w:rPr>
        <w:t>1</w:t>
      </w:r>
      <w:r>
        <w:rPr>
          <w:b/>
          <w:sz w:val="24"/>
        </w:rPr>
        <w:t>, I.A. Domínguez-Vara</w:t>
      </w:r>
      <w:r>
        <w:rPr>
          <w:b/>
          <w:position w:val="8"/>
          <w:sz w:val="16"/>
        </w:rPr>
        <w:t>1, 2</w:t>
      </w:r>
      <w:r>
        <w:rPr>
          <w:b/>
          <w:sz w:val="24"/>
        </w:rPr>
        <w:t>, J.L. Bórquez-Gastelum</w:t>
      </w:r>
      <w:r>
        <w:rPr>
          <w:b/>
          <w:position w:val="8"/>
          <w:sz w:val="16"/>
        </w:rPr>
        <w:t>1</w:t>
      </w:r>
      <w:r>
        <w:rPr>
          <w:b/>
          <w:sz w:val="24"/>
        </w:rPr>
        <w:t>, R. Rojo- Rubio</w:t>
      </w:r>
      <w:r>
        <w:rPr>
          <w:b/>
          <w:position w:val="8"/>
          <w:sz w:val="16"/>
        </w:rPr>
        <w:t>3</w:t>
      </w:r>
    </w:p>
    <w:p>
      <w:pPr>
        <w:pStyle w:val="BodyText"/>
        <w:spacing w:line="279" w:lineRule="exact"/>
        <w:ind w:left="152"/>
        <w:jc w:val="both"/>
      </w:pPr>
      <w:r>
        <w:rPr>
          <w:position w:val="9"/>
          <w:sz w:val="16"/>
        </w:rPr>
        <w:t>1</w:t>
      </w:r>
      <w:r>
        <w:rPr/>
        <w:t>Departamento  de  Nutrición  Animal,  Facultad  de  Medicina  Veterinaria  y     Zootecnia,</w:t>
      </w:r>
    </w:p>
    <w:p>
      <w:pPr>
        <w:pStyle w:val="BodyText"/>
        <w:spacing w:before="137"/>
        <w:ind w:left="152"/>
        <w:jc w:val="both"/>
      </w:pPr>
      <w:r>
        <w:rPr/>
        <w:t>Universidad Autónoma del Estado de México, México</w:t>
      </w:r>
    </w:p>
    <w:p>
      <w:pPr>
        <w:pStyle w:val="BodyText"/>
        <w:spacing w:line="360" w:lineRule="auto" w:before="124"/>
        <w:ind w:left="152" w:right="107"/>
        <w:jc w:val="both"/>
      </w:pPr>
      <w:r>
        <w:rPr>
          <w:position w:val="9"/>
          <w:sz w:val="16"/>
        </w:rPr>
        <w:t>2</w:t>
      </w:r>
      <w:r>
        <w:rPr/>
        <w:t>Secretaría de Investigación y Estudios Avanzados, Universidad Autónoma del Estado de México, México</w:t>
      </w:r>
    </w:p>
    <w:p>
      <w:pPr>
        <w:pStyle w:val="BodyText"/>
        <w:spacing w:line="282" w:lineRule="exact"/>
        <w:ind w:left="152"/>
        <w:jc w:val="both"/>
      </w:pPr>
      <w:r>
        <w:rPr>
          <w:position w:val="9"/>
          <w:sz w:val="16"/>
        </w:rPr>
        <w:t>3</w:t>
      </w:r>
      <w:r>
        <w:rPr/>
        <w:t>CU-Temascaltepec, Universidad Autónoma del Estado de México, México</w:t>
      </w:r>
    </w:p>
    <w:p>
      <w:pPr>
        <w:pStyle w:val="BodyText"/>
        <w:spacing w:line="360" w:lineRule="auto" w:before="137"/>
        <w:ind w:left="152" w:right="108"/>
        <w:jc w:val="both"/>
      </w:pPr>
      <w:r>
        <w:rPr/>
        <w:t>Publicado En: Abdel Fattah Z.M. Salem (editor). Veterinary Sciences and Medicine: Nutritional Strategies of Animal feed Additives. Nova Science Publisher, Inc. 2013. ISBN: 978-1-62417-000-3 (ANEXO 1).</w:t>
      </w:r>
    </w:p>
    <w:p>
      <w:pPr>
        <w:pStyle w:val="BodyText"/>
      </w:pPr>
    </w:p>
    <w:p>
      <w:pPr>
        <w:pStyle w:val="BodyText"/>
      </w:pPr>
    </w:p>
    <w:p>
      <w:pPr>
        <w:pStyle w:val="BodyText"/>
        <w:rPr>
          <w:sz w:val="25"/>
        </w:rPr>
      </w:pPr>
    </w:p>
    <w:p>
      <w:pPr>
        <w:pStyle w:val="Heading1"/>
        <w:spacing w:line="360" w:lineRule="auto" w:before="0"/>
        <w:ind w:left="152" w:right="115"/>
        <w:jc w:val="both"/>
      </w:pPr>
      <w:r>
        <w:rPr/>
        <w:t>IMPORTANCIA DE LAS FIBRAS MUSCULARES Y SU RELACIÓN CON LA CALIDAD DE LA CARNE</w:t>
      </w:r>
    </w:p>
    <w:p>
      <w:pPr>
        <w:spacing w:line="360" w:lineRule="auto" w:before="6"/>
        <w:ind w:left="152" w:right="115" w:firstLine="0"/>
        <w:jc w:val="both"/>
        <w:rPr>
          <w:b/>
          <w:sz w:val="24"/>
        </w:rPr>
      </w:pPr>
      <w:r>
        <w:rPr>
          <w:b/>
          <w:sz w:val="24"/>
        </w:rPr>
        <w:t>Laura Moreno Camarena*, Ignacio A. Domínguez Vara*, María A. Mariezcurrena Berasain*</w:t>
      </w:r>
    </w:p>
    <w:p>
      <w:pPr>
        <w:pStyle w:val="BodyText"/>
        <w:spacing w:before="1"/>
        <w:ind w:left="152"/>
        <w:jc w:val="both"/>
      </w:pPr>
      <w:r>
        <w:rPr/>
        <w:t>* Facultad de Medicina Veterinaria y Zootecnia, UAEM</w:t>
      </w:r>
    </w:p>
    <w:p>
      <w:pPr>
        <w:pStyle w:val="BodyText"/>
        <w:spacing w:line="360" w:lineRule="auto" w:before="137"/>
        <w:ind w:left="152" w:right="109"/>
        <w:jc w:val="both"/>
      </w:pPr>
      <w:r>
        <w:rPr/>
        <w:t>Publicado: En: Ignacio A. Domínguez Vara, Efrén Ramírez Bribiesca  (editores). Tecnología y Ciencia de la Carne en Animales Rumiantes. Red Académica y de Investigación en Tecnología y Ciencia de la Carne. 2014. ISBN: 978-607-8289-82-0 (ANEXO 2).</w:t>
      </w:r>
    </w:p>
    <w:p>
      <w:pPr>
        <w:spacing w:after="0" w:line="360" w:lineRule="auto"/>
        <w:jc w:val="both"/>
        <w:sectPr>
          <w:pgSz w:w="12240" w:h="15840"/>
          <w:pgMar w:header="1154" w:footer="1383" w:top="1620" w:bottom="1580" w:left="1720" w:right="1420"/>
        </w:sectPr>
      </w:pPr>
    </w:p>
    <w:p>
      <w:pPr>
        <w:pStyle w:val="BodyText"/>
        <w:spacing w:before="7"/>
        <w:rPr>
          <w:sz w:val="9"/>
        </w:rPr>
      </w:pPr>
    </w:p>
    <w:p>
      <w:pPr>
        <w:pStyle w:val="Heading1"/>
        <w:numPr>
          <w:ilvl w:val="1"/>
          <w:numId w:val="25"/>
        </w:numPr>
        <w:tabs>
          <w:tab w:pos="553" w:val="left" w:leader="none"/>
        </w:tabs>
        <w:spacing w:line="240" w:lineRule="auto" w:before="69" w:after="0"/>
        <w:ind w:left="552" w:right="0" w:hanging="360"/>
        <w:jc w:val="left"/>
      </w:pPr>
      <w:bookmarkStart w:name="_bookmark63" w:id="121"/>
      <w:bookmarkEnd w:id="121"/>
      <w:r>
        <w:rPr>
          <w:b w:val="0"/>
        </w:rPr>
      </w:r>
      <w:bookmarkStart w:name="_bookmark63" w:id="122"/>
      <w:bookmarkEnd w:id="122"/>
      <w:r>
        <w:rPr/>
        <w:t>In</w:t>
      </w:r>
      <w:r>
        <w:rPr/>
        <w:t>formación</w:t>
      </w:r>
      <w:r>
        <w:rPr>
          <w:spacing w:val="-8"/>
        </w:rPr>
        <w:t> </w:t>
      </w:r>
      <w:r>
        <w:rPr/>
        <w:t>publicada</w:t>
      </w:r>
    </w:p>
    <w:p>
      <w:pPr>
        <w:pStyle w:val="ListParagraph"/>
        <w:numPr>
          <w:ilvl w:val="2"/>
          <w:numId w:val="25"/>
        </w:numPr>
        <w:tabs>
          <w:tab w:pos="690" w:val="left" w:leader="none"/>
        </w:tabs>
        <w:spacing w:line="240" w:lineRule="auto" w:before="136" w:after="0"/>
        <w:ind w:left="689" w:right="0" w:hanging="497"/>
        <w:jc w:val="left"/>
        <w:rPr>
          <w:b/>
          <w:i/>
          <w:sz w:val="22"/>
        </w:rPr>
      </w:pPr>
      <w:bookmarkStart w:name="_bookmark64" w:id="123"/>
      <w:bookmarkEnd w:id="123"/>
      <w:r>
        <w:rPr/>
      </w:r>
      <w:bookmarkStart w:name="_bookmark64" w:id="124"/>
      <w:bookmarkEnd w:id="124"/>
      <w:r>
        <w:rPr>
          <w:b/>
          <w:i/>
          <w:sz w:val="22"/>
        </w:rPr>
        <w:t>R</w:t>
      </w:r>
      <w:r>
        <w:rPr>
          <w:b/>
          <w:i/>
          <w:sz w:val="22"/>
        </w:rPr>
        <w:t>espuesta</w:t>
      </w:r>
      <w:r>
        <w:rPr>
          <w:b/>
          <w:i/>
          <w:spacing w:val="-4"/>
          <w:sz w:val="22"/>
        </w:rPr>
        <w:t> </w:t>
      </w:r>
      <w:r>
        <w:rPr>
          <w:b/>
          <w:i/>
          <w:sz w:val="22"/>
        </w:rPr>
        <w:t>productiva</w:t>
      </w:r>
    </w:p>
    <w:p>
      <w:pPr>
        <w:pStyle w:val="BodyText"/>
        <w:spacing w:line="360" w:lineRule="auto" w:before="122"/>
        <w:ind w:left="192" w:right="189" w:firstLine="707"/>
        <w:jc w:val="both"/>
      </w:pPr>
      <w:r>
        <w:rPr/>
        <w:t>Los resultados de consumo de MS (CMS); ganancia diaria de peso (GDP); conversión alimenticia (CA); peso vivo final (PVF) se presentan en el </w:t>
      </w:r>
      <w:r>
        <w:rPr>
          <w:b/>
        </w:rPr>
        <w:t>Cuadro 12</w:t>
      </w:r>
      <w:r>
        <w:rPr/>
        <w:t>. No se observaron diferencias (P&gt;0.05) en ninguna de las variables de la respuesta productiva.</w:t>
      </w:r>
    </w:p>
    <w:p>
      <w:pPr>
        <w:pStyle w:val="BodyText"/>
      </w:pPr>
    </w:p>
    <w:p>
      <w:pPr>
        <w:pStyle w:val="BodyText"/>
        <w:tabs>
          <w:tab w:pos="1581" w:val="left" w:leader="none"/>
        </w:tabs>
        <w:spacing w:line="360" w:lineRule="auto" w:before="143" w:after="10"/>
        <w:ind w:left="192" w:right="195"/>
      </w:pPr>
      <w:r>
        <w:rPr>
          <w:b/>
        </w:rPr>
        <w:t>Cuadro</w:t>
      </w:r>
      <w:r>
        <w:rPr>
          <w:b/>
          <w:spacing w:val="39"/>
        </w:rPr>
        <w:t> </w:t>
      </w:r>
      <w:r>
        <w:rPr>
          <w:b/>
        </w:rPr>
        <w:t>12.</w:t>
        <w:tab/>
      </w:r>
      <w:r>
        <w:rPr/>
        <w:t>Efectos</w:t>
      </w:r>
      <w:r>
        <w:rPr>
          <w:spacing w:val="40"/>
        </w:rPr>
        <w:t> </w:t>
      </w:r>
      <w:r>
        <w:rPr/>
        <w:t>del</w:t>
      </w:r>
      <w:r>
        <w:rPr>
          <w:spacing w:val="40"/>
        </w:rPr>
        <w:t> </w:t>
      </w:r>
      <w:r>
        <w:rPr/>
        <w:t>Cr</w:t>
      </w:r>
      <w:r>
        <w:rPr>
          <w:spacing w:val="38"/>
        </w:rPr>
        <w:t> </w:t>
      </w:r>
      <w:r>
        <w:rPr/>
        <w:t>Orgánico</w:t>
      </w:r>
      <w:r>
        <w:rPr>
          <w:spacing w:val="41"/>
        </w:rPr>
        <w:t> </w:t>
      </w:r>
      <w:r>
        <w:rPr/>
        <w:t>en</w:t>
      </w:r>
      <w:r>
        <w:rPr>
          <w:spacing w:val="39"/>
        </w:rPr>
        <w:t> </w:t>
      </w:r>
      <w:r>
        <w:rPr/>
        <w:t>la</w:t>
      </w:r>
      <w:r>
        <w:rPr>
          <w:spacing w:val="38"/>
        </w:rPr>
        <w:t> </w:t>
      </w:r>
      <w:r>
        <w:rPr/>
        <w:t>respuesta</w:t>
      </w:r>
      <w:r>
        <w:rPr>
          <w:spacing w:val="39"/>
        </w:rPr>
        <w:t> </w:t>
      </w:r>
      <w:r>
        <w:rPr/>
        <w:t>productiva</w:t>
      </w:r>
      <w:r>
        <w:rPr>
          <w:spacing w:val="40"/>
        </w:rPr>
        <w:t> </w:t>
      </w:r>
      <w:r>
        <w:rPr/>
        <w:t>de</w:t>
      </w:r>
      <w:r>
        <w:rPr>
          <w:spacing w:val="38"/>
        </w:rPr>
        <w:t> </w:t>
      </w:r>
      <w:r>
        <w:rPr/>
        <w:t>ovinos</w:t>
      </w:r>
      <w:r>
        <w:rPr>
          <w:spacing w:val="40"/>
        </w:rPr>
        <w:t> </w:t>
      </w:r>
      <w:r>
        <w:rPr/>
        <w:t>en</w:t>
      </w:r>
      <w:r>
        <w:rPr>
          <w:spacing w:val="39"/>
        </w:rPr>
        <w:t> </w:t>
      </w:r>
      <w:r>
        <w:rPr/>
        <w:t>engorda intensiva.</w:t>
      </w: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84"/>
        <w:gridCol w:w="1205"/>
        <w:gridCol w:w="1069"/>
        <w:gridCol w:w="1129"/>
        <w:gridCol w:w="1086"/>
        <w:gridCol w:w="1307"/>
        <w:gridCol w:w="1415"/>
      </w:tblGrid>
      <w:tr>
        <w:trPr>
          <w:trHeight w:val="365" w:hRule="exact"/>
        </w:trPr>
        <w:tc>
          <w:tcPr>
            <w:tcW w:w="1784" w:type="dxa"/>
            <w:tcBorders>
              <w:left w:val="nil"/>
              <w:bottom w:val="nil"/>
              <w:right w:val="nil"/>
            </w:tcBorders>
          </w:tcPr>
          <w:p>
            <w:pPr>
              <w:pStyle w:val="TableParagraph"/>
              <w:spacing w:before="59"/>
              <w:ind w:left="141"/>
              <w:jc w:val="left"/>
              <w:rPr>
                <w:sz w:val="23"/>
              </w:rPr>
            </w:pPr>
            <w:r>
              <w:rPr>
                <w:sz w:val="23"/>
              </w:rPr>
              <w:t>Variable</w:t>
            </w:r>
          </w:p>
        </w:tc>
        <w:tc>
          <w:tcPr>
            <w:tcW w:w="3404" w:type="dxa"/>
            <w:gridSpan w:val="3"/>
            <w:tcBorders>
              <w:left w:val="nil"/>
              <w:right w:val="nil"/>
            </w:tcBorders>
          </w:tcPr>
          <w:p>
            <w:pPr>
              <w:pStyle w:val="TableParagraph"/>
              <w:spacing w:before="20"/>
              <w:ind w:left="347"/>
              <w:jc w:val="left"/>
              <w:rPr>
                <w:sz w:val="23"/>
              </w:rPr>
            </w:pPr>
            <w:r>
              <w:rPr>
                <w:sz w:val="23"/>
              </w:rPr>
              <w:t>Cromo Orgánico, mg kg</w:t>
            </w:r>
            <w:r>
              <w:rPr>
                <w:position w:val="9"/>
                <w:sz w:val="15"/>
              </w:rPr>
              <w:t>-1 </w:t>
            </w:r>
            <w:r>
              <w:rPr>
                <w:sz w:val="23"/>
              </w:rPr>
              <w:t>MS</w:t>
            </w:r>
          </w:p>
        </w:tc>
        <w:tc>
          <w:tcPr>
            <w:tcW w:w="1086" w:type="dxa"/>
            <w:tcBorders>
              <w:left w:val="nil"/>
              <w:bottom w:val="nil"/>
              <w:right w:val="nil"/>
            </w:tcBorders>
          </w:tcPr>
          <w:p>
            <w:pPr/>
          </w:p>
        </w:tc>
        <w:tc>
          <w:tcPr>
            <w:tcW w:w="2722" w:type="dxa"/>
            <w:gridSpan w:val="2"/>
            <w:tcBorders>
              <w:left w:val="nil"/>
              <w:bottom w:val="nil"/>
              <w:right w:val="nil"/>
            </w:tcBorders>
          </w:tcPr>
          <w:p>
            <w:pPr>
              <w:pStyle w:val="TableParagraph"/>
              <w:spacing w:before="35"/>
              <w:ind w:left="897"/>
              <w:jc w:val="left"/>
              <w:rPr>
                <w:sz w:val="23"/>
              </w:rPr>
            </w:pPr>
            <w:r>
              <w:rPr>
                <w:sz w:val="23"/>
              </w:rPr>
              <w:t>Contrastes</w:t>
            </w:r>
          </w:p>
        </w:tc>
      </w:tr>
      <w:tr>
        <w:trPr>
          <w:trHeight w:val="310" w:hRule="exact"/>
        </w:trPr>
        <w:tc>
          <w:tcPr>
            <w:tcW w:w="1784" w:type="dxa"/>
            <w:tcBorders>
              <w:top w:val="nil"/>
              <w:left w:val="nil"/>
              <w:right w:val="nil"/>
            </w:tcBorders>
          </w:tcPr>
          <w:p>
            <w:pPr/>
          </w:p>
        </w:tc>
        <w:tc>
          <w:tcPr>
            <w:tcW w:w="1205" w:type="dxa"/>
            <w:tcBorders>
              <w:left w:val="nil"/>
              <w:right w:val="nil"/>
            </w:tcBorders>
          </w:tcPr>
          <w:p>
            <w:pPr>
              <w:pStyle w:val="TableParagraph"/>
              <w:spacing w:before="8"/>
              <w:ind w:left="71"/>
              <w:rPr>
                <w:sz w:val="23"/>
              </w:rPr>
            </w:pPr>
            <w:r>
              <w:rPr>
                <w:w w:val="100"/>
                <w:sz w:val="23"/>
              </w:rPr>
              <w:t>0</w:t>
            </w:r>
          </w:p>
        </w:tc>
        <w:tc>
          <w:tcPr>
            <w:tcW w:w="1069" w:type="dxa"/>
            <w:tcBorders>
              <w:left w:val="nil"/>
              <w:right w:val="nil"/>
            </w:tcBorders>
          </w:tcPr>
          <w:p>
            <w:pPr>
              <w:pStyle w:val="TableParagraph"/>
              <w:spacing w:before="8"/>
              <w:ind w:left="344" w:right="281"/>
              <w:rPr>
                <w:sz w:val="23"/>
              </w:rPr>
            </w:pPr>
            <w:r>
              <w:rPr>
                <w:sz w:val="23"/>
              </w:rPr>
              <w:t>0.2</w:t>
            </w:r>
          </w:p>
        </w:tc>
        <w:tc>
          <w:tcPr>
            <w:tcW w:w="1129" w:type="dxa"/>
            <w:tcBorders>
              <w:left w:val="nil"/>
              <w:right w:val="nil"/>
            </w:tcBorders>
          </w:tcPr>
          <w:p>
            <w:pPr>
              <w:pStyle w:val="TableParagraph"/>
              <w:spacing w:before="8"/>
              <w:ind w:left="282" w:right="288"/>
              <w:rPr>
                <w:sz w:val="23"/>
              </w:rPr>
            </w:pPr>
            <w:r>
              <w:rPr>
                <w:sz w:val="23"/>
              </w:rPr>
              <w:t>0.4</w:t>
            </w:r>
          </w:p>
        </w:tc>
        <w:tc>
          <w:tcPr>
            <w:tcW w:w="1086" w:type="dxa"/>
            <w:tcBorders>
              <w:top w:val="nil"/>
              <w:left w:val="nil"/>
              <w:right w:val="nil"/>
            </w:tcBorders>
          </w:tcPr>
          <w:p>
            <w:pPr>
              <w:pStyle w:val="TableParagraph"/>
              <w:spacing w:before="2"/>
              <w:ind w:left="285"/>
              <w:jc w:val="left"/>
              <w:rPr>
                <w:sz w:val="15"/>
              </w:rPr>
            </w:pPr>
            <w:r>
              <w:rPr>
                <w:sz w:val="23"/>
              </w:rPr>
              <w:t>EEM</w:t>
            </w:r>
            <w:r>
              <w:rPr>
                <w:position w:val="9"/>
                <w:sz w:val="15"/>
              </w:rPr>
              <w:t>1</w:t>
            </w:r>
          </w:p>
        </w:tc>
        <w:tc>
          <w:tcPr>
            <w:tcW w:w="1307" w:type="dxa"/>
            <w:tcBorders>
              <w:top w:val="nil"/>
              <w:left w:val="nil"/>
              <w:right w:val="nil"/>
            </w:tcBorders>
          </w:tcPr>
          <w:p>
            <w:pPr>
              <w:pStyle w:val="TableParagraph"/>
              <w:spacing w:before="2"/>
              <w:ind w:left="218" w:right="150"/>
              <w:rPr>
                <w:sz w:val="15"/>
              </w:rPr>
            </w:pPr>
            <w:r>
              <w:rPr>
                <w:sz w:val="23"/>
              </w:rPr>
              <w:t>0.2</w:t>
            </w:r>
            <w:r>
              <w:rPr>
                <w:i/>
                <w:sz w:val="23"/>
              </w:rPr>
              <w:t>vs </w:t>
            </w:r>
            <w:r>
              <w:rPr>
                <w:sz w:val="23"/>
              </w:rPr>
              <w:t>0.4</w:t>
            </w:r>
            <w:r>
              <w:rPr>
                <w:position w:val="9"/>
                <w:sz w:val="15"/>
              </w:rPr>
              <w:t>d</w:t>
            </w:r>
          </w:p>
        </w:tc>
        <w:tc>
          <w:tcPr>
            <w:tcW w:w="1415" w:type="dxa"/>
            <w:tcBorders>
              <w:top w:val="nil"/>
              <w:left w:val="nil"/>
              <w:right w:val="nil"/>
            </w:tcBorders>
          </w:tcPr>
          <w:p>
            <w:pPr>
              <w:pStyle w:val="TableParagraph"/>
              <w:spacing w:before="2"/>
              <w:ind w:left="147" w:right="135"/>
              <w:rPr>
                <w:sz w:val="15"/>
              </w:rPr>
            </w:pPr>
            <w:r>
              <w:rPr>
                <w:sz w:val="23"/>
              </w:rPr>
              <w:t>0vs0.2+0.4</w:t>
            </w:r>
            <w:r>
              <w:rPr>
                <w:position w:val="9"/>
                <w:sz w:val="15"/>
              </w:rPr>
              <w:t>e</w:t>
            </w:r>
          </w:p>
        </w:tc>
      </w:tr>
      <w:tr>
        <w:trPr>
          <w:trHeight w:val="346" w:hRule="exact"/>
        </w:trPr>
        <w:tc>
          <w:tcPr>
            <w:tcW w:w="1784" w:type="dxa"/>
            <w:tcBorders>
              <w:left w:val="nil"/>
              <w:bottom w:val="nil"/>
              <w:right w:val="nil"/>
            </w:tcBorders>
          </w:tcPr>
          <w:p>
            <w:pPr>
              <w:pStyle w:val="TableParagraph"/>
              <w:spacing w:line="259" w:lineRule="exact"/>
              <w:ind w:left="83"/>
              <w:jc w:val="left"/>
              <w:rPr>
                <w:sz w:val="23"/>
              </w:rPr>
            </w:pPr>
            <w:r>
              <w:rPr>
                <w:sz w:val="23"/>
              </w:rPr>
              <w:t>PVI, kg</w:t>
            </w:r>
          </w:p>
        </w:tc>
        <w:tc>
          <w:tcPr>
            <w:tcW w:w="1205" w:type="dxa"/>
            <w:tcBorders>
              <w:left w:val="nil"/>
              <w:bottom w:val="nil"/>
              <w:right w:val="nil"/>
            </w:tcBorders>
          </w:tcPr>
          <w:p>
            <w:pPr>
              <w:pStyle w:val="TableParagraph"/>
              <w:spacing w:line="259" w:lineRule="exact"/>
              <w:ind w:left="417" w:right="345"/>
              <w:rPr>
                <w:sz w:val="23"/>
              </w:rPr>
            </w:pPr>
            <w:r>
              <w:rPr>
                <w:sz w:val="23"/>
              </w:rPr>
              <w:t>25.3</w:t>
            </w:r>
          </w:p>
        </w:tc>
        <w:tc>
          <w:tcPr>
            <w:tcW w:w="1069" w:type="dxa"/>
            <w:tcBorders>
              <w:left w:val="nil"/>
              <w:bottom w:val="nil"/>
              <w:right w:val="nil"/>
            </w:tcBorders>
          </w:tcPr>
          <w:p>
            <w:pPr>
              <w:pStyle w:val="TableParagraph"/>
              <w:spacing w:line="259" w:lineRule="exact"/>
              <w:ind w:left="344" w:right="281"/>
              <w:rPr>
                <w:sz w:val="23"/>
              </w:rPr>
            </w:pPr>
            <w:r>
              <w:rPr>
                <w:sz w:val="23"/>
              </w:rPr>
              <w:t>25.5</w:t>
            </w:r>
          </w:p>
        </w:tc>
        <w:tc>
          <w:tcPr>
            <w:tcW w:w="1129" w:type="dxa"/>
            <w:tcBorders>
              <w:left w:val="nil"/>
              <w:bottom w:val="nil"/>
              <w:right w:val="nil"/>
            </w:tcBorders>
          </w:tcPr>
          <w:p>
            <w:pPr>
              <w:pStyle w:val="TableParagraph"/>
              <w:spacing w:line="259" w:lineRule="exact"/>
              <w:ind w:left="282" w:right="288"/>
              <w:rPr>
                <w:sz w:val="23"/>
              </w:rPr>
            </w:pPr>
            <w:r>
              <w:rPr>
                <w:sz w:val="23"/>
              </w:rPr>
              <w:t>26.6</w:t>
            </w:r>
          </w:p>
        </w:tc>
        <w:tc>
          <w:tcPr>
            <w:tcW w:w="1086" w:type="dxa"/>
            <w:tcBorders>
              <w:left w:val="nil"/>
              <w:bottom w:val="nil"/>
              <w:right w:val="nil"/>
            </w:tcBorders>
          </w:tcPr>
          <w:p>
            <w:pPr>
              <w:pStyle w:val="TableParagraph"/>
              <w:spacing w:line="259" w:lineRule="exact"/>
              <w:ind w:left="364"/>
              <w:jc w:val="left"/>
              <w:rPr>
                <w:sz w:val="23"/>
              </w:rPr>
            </w:pPr>
            <w:r>
              <w:rPr>
                <w:sz w:val="23"/>
              </w:rPr>
              <w:t>2.31</w:t>
            </w:r>
          </w:p>
        </w:tc>
        <w:tc>
          <w:tcPr>
            <w:tcW w:w="1307" w:type="dxa"/>
            <w:tcBorders>
              <w:left w:val="nil"/>
              <w:bottom w:val="nil"/>
              <w:right w:val="nil"/>
            </w:tcBorders>
          </w:tcPr>
          <w:p>
            <w:pPr>
              <w:pStyle w:val="TableParagraph"/>
              <w:spacing w:line="259" w:lineRule="exact"/>
              <w:ind w:left="218" w:right="149"/>
              <w:rPr>
                <w:sz w:val="23"/>
              </w:rPr>
            </w:pPr>
            <w:r>
              <w:rPr>
                <w:sz w:val="23"/>
              </w:rPr>
              <w:t>0.962</w:t>
            </w:r>
          </w:p>
        </w:tc>
        <w:tc>
          <w:tcPr>
            <w:tcW w:w="1415" w:type="dxa"/>
            <w:tcBorders>
              <w:left w:val="nil"/>
              <w:bottom w:val="nil"/>
              <w:right w:val="nil"/>
            </w:tcBorders>
          </w:tcPr>
          <w:p>
            <w:pPr>
              <w:pStyle w:val="TableParagraph"/>
              <w:spacing w:line="259" w:lineRule="exact"/>
              <w:ind w:left="147" w:right="131"/>
              <w:rPr>
                <w:sz w:val="23"/>
              </w:rPr>
            </w:pPr>
            <w:r>
              <w:rPr>
                <w:sz w:val="23"/>
              </w:rPr>
              <w:t>0.586</w:t>
            </w:r>
          </w:p>
        </w:tc>
      </w:tr>
      <w:tr>
        <w:trPr>
          <w:trHeight w:val="397" w:hRule="exact"/>
        </w:trPr>
        <w:tc>
          <w:tcPr>
            <w:tcW w:w="1784" w:type="dxa"/>
            <w:tcBorders>
              <w:top w:val="nil"/>
              <w:left w:val="nil"/>
              <w:bottom w:val="nil"/>
              <w:right w:val="nil"/>
            </w:tcBorders>
          </w:tcPr>
          <w:p>
            <w:pPr>
              <w:pStyle w:val="TableParagraph"/>
              <w:spacing w:before="53"/>
              <w:ind w:left="83"/>
              <w:jc w:val="left"/>
              <w:rPr>
                <w:sz w:val="23"/>
              </w:rPr>
            </w:pPr>
            <w:r>
              <w:rPr>
                <w:sz w:val="23"/>
              </w:rPr>
              <w:t>PVF, kg</w:t>
            </w:r>
          </w:p>
        </w:tc>
        <w:tc>
          <w:tcPr>
            <w:tcW w:w="1205" w:type="dxa"/>
            <w:tcBorders>
              <w:top w:val="nil"/>
              <w:left w:val="nil"/>
              <w:bottom w:val="nil"/>
              <w:right w:val="nil"/>
            </w:tcBorders>
          </w:tcPr>
          <w:p>
            <w:pPr>
              <w:pStyle w:val="TableParagraph"/>
              <w:spacing w:before="53"/>
              <w:ind w:left="417" w:right="345"/>
              <w:rPr>
                <w:sz w:val="23"/>
              </w:rPr>
            </w:pPr>
            <w:r>
              <w:rPr>
                <w:sz w:val="23"/>
              </w:rPr>
              <w:t>46.9</w:t>
            </w:r>
          </w:p>
        </w:tc>
        <w:tc>
          <w:tcPr>
            <w:tcW w:w="1069" w:type="dxa"/>
            <w:tcBorders>
              <w:top w:val="nil"/>
              <w:left w:val="nil"/>
              <w:bottom w:val="nil"/>
              <w:right w:val="nil"/>
            </w:tcBorders>
          </w:tcPr>
          <w:p>
            <w:pPr>
              <w:pStyle w:val="TableParagraph"/>
              <w:spacing w:before="53"/>
              <w:ind w:left="344" w:right="281"/>
              <w:rPr>
                <w:sz w:val="23"/>
              </w:rPr>
            </w:pPr>
            <w:r>
              <w:rPr>
                <w:sz w:val="23"/>
              </w:rPr>
              <w:t>46.7</w:t>
            </w:r>
          </w:p>
        </w:tc>
        <w:tc>
          <w:tcPr>
            <w:tcW w:w="1129" w:type="dxa"/>
            <w:tcBorders>
              <w:top w:val="nil"/>
              <w:left w:val="nil"/>
              <w:bottom w:val="nil"/>
              <w:right w:val="nil"/>
            </w:tcBorders>
          </w:tcPr>
          <w:p>
            <w:pPr>
              <w:pStyle w:val="TableParagraph"/>
              <w:spacing w:before="53"/>
              <w:ind w:left="282" w:right="288"/>
              <w:rPr>
                <w:sz w:val="23"/>
              </w:rPr>
            </w:pPr>
            <w:r>
              <w:rPr>
                <w:sz w:val="23"/>
              </w:rPr>
              <w:t>49.2</w:t>
            </w:r>
          </w:p>
        </w:tc>
        <w:tc>
          <w:tcPr>
            <w:tcW w:w="1086" w:type="dxa"/>
            <w:tcBorders>
              <w:top w:val="nil"/>
              <w:left w:val="nil"/>
              <w:bottom w:val="nil"/>
              <w:right w:val="nil"/>
            </w:tcBorders>
          </w:tcPr>
          <w:p>
            <w:pPr>
              <w:pStyle w:val="TableParagraph"/>
              <w:spacing w:before="53"/>
              <w:ind w:left="364"/>
              <w:jc w:val="left"/>
              <w:rPr>
                <w:sz w:val="23"/>
              </w:rPr>
            </w:pPr>
            <w:r>
              <w:rPr>
                <w:sz w:val="23"/>
              </w:rPr>
              <w:t>2.51</w:t>
            </w:r>
          </w:p>
        </w:tc>
        <w:tc>
          <w:tcPr>
            <w:tcW w:w="1307" w:type="dxa"/>
            <w:tcBorders>
              <w:top w:val="nil"/>
              <w:left w:val="nil"/>
              <w:bottom w:val="nil"/>
              <w:right w:val="nil"/>
            </w:tcBorders>
          </w:tcPr>
          <w:p>
            <w:pPr>
              <w:pStyle w:val="TableParagraph"/>
              <w:spacing w:before="53"/>
              <w:ind w:left="218" w:right="149"/>
              <w:rPr>
                <w:sz w:val="23"/>
              </w:rPr>
            </w:pPr>
            <w:r>
              <w:rPr>
                <w:sz w:val="23"/>
              </w:rPr>
              <w:t>0.321</w:t>
            </w:r>
          </w:p>
        </w:tc>
        <w:tc>
          <w:tcPr>
            <w:tcW w:w="1415" w:type="dxa"/>
            <w:tcBorders>
              <w:top w:val="nil"/>
              <w:left w:val="nil"/>
              <w:bottom w:val="nil"/>
              <w:right w:val="nil"/>
            </w:tcBorders>
          </w:tcPr>
          <w:p>
            <w:pPr>
              <w:pStyle w:val="TableParagraph"/>
              <w:spacing w:before="53"/>
              <w:ind w:left="147" w:right="131"/>
              <w:rPr>
                <w:sz w:val="23"/>
              </w:rPr>
            </w:pPr>
            <w:r>
              <w:rPr>
                <w:sz w:val="23"/>
              </w:rPr>
              <w:t>0.246</w:t>
            </w:r>
          </w:p>
        </w:tc>
      </w:tr>
      <w:tr>
        <w:trPr>
          <w:trHeight w:val="428" w:hRule="exact"/>
        </w:trPr>
        <w:tc>
          <w:tcPr>
            <w:tcW w:w="1784" w:type="dxa"/>
            <w:tcBorders>
              <w:top w:val="nil"/>
              <w:left w:val="nil"/>
              <w:bottom w:val="nil"/>
              <w:right w:val="nil"/>
            </w:tcBorders>
          </w:tcPr>
          <w:p>
            <w:pPr>
              <w:pStyle w:val="TableParagraph"/>
              <w:spacing w:before="54"/>
              <w:ind w:left="83"/>
              <w:jc w:val="left"/>
              <w:rPr>
                <w:sz w:val="23"/>
              </w:rPr>
            </w:pPr>
            <w:r>
              <w:rPr>
                <w:sz w:val="23"/>
              </w:rPr>
              <w:t>GPT, kg</w:t>
            </w:r>
          </w:p>
        </w:tc>
        <w:tc>
          <w:tcPr>
            <w:tcW w:w="1205" w:type="dxa"/>
            <w:tcBorders>
              <w:top w:val="nil"/>
              <w:left w:val="nil"/>
              <w:bottom w:val="nil"/>
              <w:right w:val="nil"/>
            </w:tcBorders>
          </w:tcPr>
          <w:p>
            <w:pPr>
              <w:pStyle w:val="TableParagraph"/>
              <w:spacing w:before="54"/>
              <w:ind w:left="417" w:right="345"/>
              <w:rPr>
                <w:sz w:val="23"/>
              </w:rPr>
            </w:pPr>
            <w:r>
              <w:rPr>
                <w:sz w:val="23"/>
              </w:rPr>
              <w:t>21.4</w:t>
            </w:r>
          </w:p>
        </w:tc>
        <w:tc>
          <w:tcPr>
            <w:tcW w:w="1069" w:type="dxa"/>
            <w:tcBorders>
              <w:top w:val="nil"/>
              <w:left w:val="nil"/>
              <w:bottom w:val="nil"/>
              <w:right w:val="nil"/>
            </w:tcBorders>
          </w:tcPr>
          <w:p>
            <w:pPr>
              <w:pStyle w:val="TableParagraph"/>
              <w:spacing w:before="54"/>
              <w:ind w:left="344" w:right="281"/>
              <w:rPr>
                <w:sz w:val="23"/>
              </w:rPr>
            </w:pPr>
            <w:r>
              <w:rPr>
                <w:sz w:val="23"/>
              </w:rPr>
              <w:t>21.2</w:t>
            </w:r>
          </w:p>
        </w:tc>
        <w:tc>
          <w:tcPr>
            <w:tcW w:w="1129" w:type="dxa"/>
            <w:tcBorders>
              <w:top w:val="nil"/>
              <w:left w:val="nil"/>
              <w:bottom w:val="nil"/>
              <w:right w:val="nil"/>
            </w:tcBorders>
          </w:tcPr>
          <w:p>
            <w:pPr>
              <w:pStyle w:val="TableParagraph"/>
              <w:spacing w:before="54"/>
              <w:ind w:left="282" w:right="288"/>
              <w:rPr>
                <w:sz w:val="23"/>
              </w:rPr>
            </w:pPr>
            <w:r>
              <w:rPr>
                <w:sz w:val="23"/>
              </w:rPr>
              <w:t>21.6</w:t>
            </w:r>
          </w:p>
        </w:tc>
        <w:tc>
          <w:tcPr>
            <w:tcW w:w="1086" w:type="dxa"/>
            <w:tcBorders>
              <w:top w:val="nil"/>
              <w:left w:val="nil"/>
              <w:bottom w:val="nil"/>
              <w:right w:val="nil"/>
            </w:tcBorders>
          </w:tcPr>
          <w:p>
            <w:pPr>
              <w:pStyle w:val="TableParagraph"/>
              <w:spacing w:before="54"/>
              <w:ind w:left="364"/>
              <w:jc w:val="left"/>
              <w:rPr>
                <w:sz w:val="23"/>
              </w:rPr>
            </w:pPr>
            <w:r>
              <w:rPr>
                <w:sz w:val="23"/>
              </w:rPr>
              <w:t>1.06</w:t>
            </w:r>
          </w:p>
        </w:tc>
        <w:tc>
          <w:tcPr>
            <w:tcW w:w="1307" w:type="dxa"/>
            <w:tcBorders>
              <w:top w:val="nil"/>
              <w:left w:val="nil"/>
              <w:bottom w:val="nil"/>
              <w:right w:val="nil"/>
            </w:tcBorders>
          </w:tcPr>
          <w:p>
            <w:pPr>
              <w:pStyle w:val="TableParagraph"/>
              <w:spacing w:before="54"/>
              <w:ind w:left="218" w:right="149"/>
              <w:rPr>
                <w:sz w:val="23"/>
              </w:rPr>
            </w:pPr>
            <w:r>
              <w:rPr>
                <w:sz w:val="23"/>
              </w:rPr>
              <w:t>0.962</w:t>
            </w:r>
          </w:p>
        </w:tc>
        <w:tc>
          <w:tcPr>
            <w:tcW w:w="1415" w:type="dxa"/>
            <w:tcBorders>
              <w:top w:val="nil"/>
              <w:left w:val="nil"/>
              <w:bottom w:val="nil"/>
              <w:right w:val="nil"/>
            </w:tcBorders>
          </w:tcPr>
          <w:p>
            <w:pPr>
              <w:pStyle w:val="TableParagraph"/>
              <w:spacing w:before="54"/>
              <w:ind w:left="147" w:right="131"/>
              <w:rPr>
                <w:sz w:val="23"/>
              </w:rPr>
            </w:pPr>
            <w:r>
              <w:rPr>
                <w:sz w:val="23"/>
              </w:rPr>
              <w:t>0.586</w:t>
            </w:r>
          </w:p>
        </w:tc>
      </w:tr>
      <w:tr>
        <w:trPr>
          <w:trHeight w:val="486" w:hRule="exact"/>
        </w:trPr>
        <w:tc>
          <w:tcPr>
            <w:tcW w:w="1784" w:type="dxa"/>
            <w:tcBorders>
              <w:top w:val="nil"/>
              <w:left w:val="nil"/>
              <w:bottom w:val="nil"/>
              <w:right w:val="nil"/>
            </w:tcBorders>
          </w:tcPr>
          <w:p>
            <w:pPr>
              <w:pStyle w:val="TableParagraph"/>
              <w:spacing w:before="96"/>
              <w:ind w:left="83"/>
              <w:jc w:val="left"/>
              <w:rPr>
                <w:sz w:val="15"/>
              </w:rPr>
            </w:pPr>
            <w:r>
              <w:rPr>
                <w:sz w:val="23"/>
              </w:rPr>
              <w:t>GDP, kg d</w:t>
            </w:r>
            <w:r>
              <w:rPr>
                <w:position w:val="9"/>
                <w:sz w:val="15"/>
              </w:rPr>
              <w:t>-1</w:t>
            </w:r>
          </w:p>
        </w:tc>
        <w:tc>
          <w:tcPr>
            <w:tcW w:w="1205" w:type="dxa"/>
            <w:tcBorders>
              <w:top w:val="nil"/>
              <w:left w:val="nil"/>
              <w:bottom w:val="nil"/>
              <w:right w:val="nil"/>
            </w:tcBorders>
          </w:tcPr>
          <w:p>
            <w:pPr>
              <w:pStyle w:val="TableParagraph"/>
              <w:spacing w:before="111"/>
              <w:ind w:left="417" w:right="345"/>
              <w:rPr>
                <w:sz w:val="23"/>
              </w:rPr>
            </w:pPr>
            <w:r>
              <w:rPr>
                <w:sz w:val="23"/>
              </w:rPr>
              <w:t>0.31</w:t>
            </w:r>
          </w:p>
        </w:tc>
        <w:tc>
          <w:tcPr>
            <w:tcW w:w="1069" w:type="dxa"/>
            <w:tcBorders>
              <w:top w:val="nil"/>
              <w:left w:val="nil"/>
              <w:bottom w:val="nil"/>
              <w:right w:val="nil"/>
            </w:tcBorders>
          </w:tcPr>
          <w:p>
            <w:pPr>
              <w:pStyle w:val="TableParagraph"/>
              <w:spacing w:before="111"/>
              <w:ind w:left="344" w:right="281"/>
              <w:rPr>
                <w:sz w:val="23"/>
              </w:rPr>
            </w:pPr>
            <w:r>
              <w:rPr>
                <w:sz w:val="23"/>
              </w:rPr>
              <w:t>0.3</w:t>
            </w:r>
          </w:p>
        </w:tc>
        <w:tc>
          <w:tcPr>
            <w:tcW w:w="1129" w:type="dxa"/>
            <w:tcBorders>
              <w:top w:val="nil"/>
              <w:left w:val="nil"/>
              <w:bottom w:val="nil"/>
              <w:right w:val="nil"/>
            </w:tcBorders>
          </w:tcPr>
          <w:p>
            <w:pPr>
              <w:pStyle w:val="TableParagraph"/>
              <w:spacing w:before="111"/>
              <w:ind w:left="282" w:right="288"/>
              <w:rPr>
                <w:sz w:val="23"/>
              </w:rPr>
            </w:pPr>
            <w:r>
              <w:rPr>
                <w:sz w:val="23"/>
              </w:rPr>
              <w:t>0.315</w:t>
            </w:r>
          </w:p>
        </w:tc>
        <w:tc>
          <w:tcPr>
            <w:tcW w:w="1086" w:type="dxa"/>
            <w:tcBorders>
              <w:top w:val="nil"/>
              <w:left w:val="nil"/>
              <w:bottom w:val="nil"/>
              <w:right w:val="nil"/>
            </w:tcBorders>
          </w:tcPr>
          <w:p>
            <w:pPr>
              <w:pStyle w:val="TableParagraph"/>
              <w:spacing w:before="111"/>
              <w:ind w:left="307"/>
              <w:jc w:val="left"/>
              <w:rPr>
                <w:sz w:val="23"/>
              </w:rPr>
            </w:pPr>
            <w:r>
              <w:rPr>
                <w:sz w:val="23"/>
              </w:rPr>
              <w:t>0.011</w:t>
            </w:r>
          </w:p>
        </w:tc>
        <w:tc>
          <w:tcPr>
            <w:tcW w:w="1307" w:type="dxa"/>
            <w:tcBorders>
              <w:top w:val="nil"/>
              <w:left w:val="nil"/>
              <w:bottom w:val="nil"/>
              <w:right w:val="nil"/>
            </w:tcBorders>
          </w:tcPr>
          <w:p>
            <w:pPr>
              <w:pStyle w:val="TableParagraph"/>
              <w:spacing w:before="111"/>
              <w:ind w:left="218" w:right="149"/>
              <w:rPr>
                <w:sz w:val="23"/>
              </w:rPr>
            </w:pPr>
            <w:r>
              <w:rPr>
                <w:sz w:val="23"/>
              </w:rPr>
              <w:t>0.977</w:t>
            </w:r>
          </w:p>
        </w:tc>
        <w:tc>
          <w:tcPr>
            <w:tcW w:w="1415" w:type="dxa"/>
            <w:tcBorders>
              <w:top w:val="nil"/>
              <w:left w:val="nil"/>
              <w:bottom w:val="nil"/>
              <w:right w:val="nil"/>
            </w:tcBorders>
          </w:tcPr>
          <w:p>
            <w:pPr>
              <w:pStyle w:val="TableParagraph"/>
              <w:spacing w:before="111"/>
              <w:ind w:left="147" w:right="131"/>
              <w:rPr>
                <w:sz w:val="23"/>
              </w:rPr>
            </w:pPr>
            <w:r>
              <w:rPr>
                <w:sz w:val="23"/>
              </w:rPr>
              <w:t>0.538</w:t>
            </w:r>
          </w:p>
        </w:tc>
      </w:tr>
      <w:tr>
        <w:trPr>
          <w:trHeight w:val="455" w:hRule="exact"/>
        </w:trPr>
        <w:tc>
          <w:tcPr>
            <w:tcW w:w="1784" w:type="dxa"/>
            <w:tcBorders>
              <w:top w:val="nil"/>
              <w:left w:val="nil"/>
              <w:bottom w:val="nil"/>
              <w:right w:val="nil"/>
            </w:tcBorders>
          </w:tcPr>
          <w:p>
            <w:pPr>
              <w:pStyle w:val="TableParagraph"/>
              <w:spacing w:before="97"/>
              <w:ind w:left="83"/>
              <w:jc w:val="left"/>
              <w:rPr>
                <w:sz w:val="15"/>
              </w:rPr>
            </w:pPr>
            <w:r>
              <w:rPr>
                <w:sz w:val="23"/>
              </w:rPr>
              <w:t>CMS, kg d</w:t>
            </w:r>
            <w:r>
              <w:rPr>
                <w:position w:val="9"/>
                <w:sz w:val="15"/>
              </w:rPr>
              <w:t>-1</w:t>
            </w:r>
          </w:p>
        </w:tc>
        <w:tc>
          <w:tcPr>
            <w:tcW w:w="1205" w:type="dxa"/>
            <w:tcBorders>
              <w:top w:val="nil"/>
              <w:left w:val="nil"/>
              <w:bottom w:val="nil"/>
              <w:right w:val="nil"/>
            </w:tcBorders>
          </w:tcPr>
          <w:p>
            <w:pPr>
              <w:pStyle w:val="TableParagraph"/>
              <w:spacing w:before="113"/>
              <w:ind w:left="417" w:right="345"/>
              <w:rPr>
                <w:sz w:val="23"/>
              </w:rPr>
            </w:pPr>
            <w:r>
              <w:rPr>
                <w:sz w:val="23"/>
              </w:rPr>
              <w:t>1.66</w:t>
            </w:r>
          </w:p>
        </w:tc>
        <w:tc>
          <w:tcPr>
            <w:tcW w:w="1069" w:type="dxa"/>
            <w:tcBorders>
              <w:top w:val="nil"/>
              <w:left w:val="nil"/>
              <w:bottom w:val="nil"/>
              <w:right w:val="nil"/>
            </w:tcBorders>
          </w:tcPr>
          <w:p>
            <w:pPr>
              <w:pStyle w:val="TableParagraph"/>
              <w:spacing w:before="113"/>
              <w:ind w:left="344" w:right="281"/>
              <w:rPr>
                <w:sz w:val="23"/>
              </w:rPr>
            </w:pPr>
            <w:r>
              <w:rPr>
                <w:sz w:val="23"/>
              </w:rPr>
              <w:t>1.74</w:t>
            </w:r>
          </w:p>
        </w:tc>
        <w:tc>
          <w:tcPr>
            <w:tcW w:w="1129" w:type="dxa"/>
            <w:tcBorders>
              <w:top w:val="nil"/>
              <w:left w:val="nil"/>
              <w:bottom w:val="nil"/>
              <w:right w:val="nil"/>
            </w:tcBorders>
          </w:tcPr>
          <w:p>
            <w:pPr>
              <w:pStyle w:val="TableParagraph"/>
              <w:spacing w:before="113"/>
              <w:ind w:left="282" w:right="288"/>
              <w:rPr>
                <w:sz w:val="23"/>
              </w:rPr>
            </w:pPr>
            <w:r>
              <w:rPr>
                <w:sz w:val="23"/>
              </w:rPr>
              <w:t>1.71</w:t>
            </w:r>
          </w:p>
        </w:tc>
        <w:tc>
          <w:tcPr>
            <w:tcW w:w="1086" w:type="dxa"/>
            <w:tcBorders>
              <w:top w:val="nil"/>
              <w:left w:val="nil"/>
              <w:bottom w:val="nil"/>
              <w:right w:val="nil"/>
            </w:tcBorders>
          </w:tcPr>
          <w:p>
            <w:pPr>
              <w:pStyle w:val="TableParagraph"/>
              <w:spacing w:before="113"/>
              <w:ind w:left="307"/>
              <w:jc w:val="left"/>
              <w:rPr>
                <w:sz w:val="23"/>
              </w:rPr>
            </w:pPr>
            <w:r>
              <w:rPr>
                <w:sz w:val="23"/>
              </w:rPr>
              <w:t>0.079</w:t>
            </w:r>
          </w:p>
        </w:tc>
        <w:tc>
          <w:tcPr>
            <w:tcW w:w="1307" w:type="dxa"/>
            <w:tcBorders>
              <w:top w:val="nil"/>
              <w:left w:val="nil"/>
              <w:bottom w:val="nil"/>
              <w:right w:val="nil"/>
            </w:tcBorders>
          </w:tcPr>
          <w:p>
            <w:pPr>
              <w:pStyle w:val="TableParagraph"/>
              <w:spacing w:before="113"/>
              <w:ind w:left="218" w:right="149"/>
              <w:rPr>
                <w:sz w:val="23"/>
              </w:rPr>
            </w:pPr>
            <w:r>
              <w:rPr>
                <w:sz w:val="23"/>
              </w:rPr>
              <w:t>0.449</w:t>
            </w:r>
          </w:p>
        </w:tc>
        <w:tc>
          <w:tcPr>
            <w:tcW w:w="1415" w:type="dxa"/>
            <w:tcBorders>
              <w:top w:val="nil"/>
              <w:left w:val="nil"/>
              <w:bottom w:val="nil"/>
              <w:right w:val="nil"/>
            </w:tcBorders>
          </w:tcPr>
          <w:p>
            <w:pPr>
              <w:pStyle w:val="TableParagraph"/>
              <w:spacing w:before="113"/>
              <w:ind w:left="147" w:right="131"/>
              <w:rPr>
                <w:sz w:val="23"/>
              </w:rPr>
            </w:pPr>
            <w:r>
              <w:rPr>
                <w:sz w:val="23"/>
              </w:rPr>
              <w:t>0.865</w:t>
            </w:r>
          </w:p>
        </w:tc>
      </w:tr>
      <w:tr>
        <w:trPr>
          <w:trHeight w:val="467" w:hRule="exact"/>
        </w:trPr>
        <w:tc>
          <w:tcPr>
            <w:tcW w:w="1784" w:type="dxa"/>
            <w:tcBorders>
              <w:top w:val="nil"/>
              <w:left w:val="nil"/>
              <w:right w:val="nil"/>
            </w:tcBorders>
          </w:tcPr>
          <w:p>
            <w:pPr>
              <w:pStyle w:val="TableParagraph"/>
              <w:spacing w:before="53"/>
              <w:ind w:left="83"/>
              <w:jc w:val="left"/>
              <w:rPr>
                <w:sz w:val="23"/>
              </w:rPr>
            </w:pPr>
            <w:r>
              <w:rPr>
                <w:sz w:val="23"/>
              </w:rPr>
              <w:t>CA, A/G</w:t>
            </w:r>
          </w:p>
        </w:tc>
        <w:tc>
          <w:tcPr>
            <w:tcW w:w="1205" w:type="dxa"/>
            <w:tcBorders>
              <w:top w:val="nil"/>
              <w:left w:val="nil"/>
              <w:right w:val="nil"/>
            </w:tcBorders>
          </w:tcPr>
          <w:p>
            <w:pPr>
              <w:pStyle w:val="TableParagraph"/>
              <w:spacing w:before="53"/>
              <w:ind w:left="417" w:right="345"/>
              <w:rPr>
                <w:sz w:val="23"/>
              </w:rPr>
            </w:pPr>
            <w:r>
              <w:rPr>
                <w:sz w:val="23"/>
              </w:rPr>
              <w:t>5.4</w:t>
            </w:r>
          </w:p>
        </w:tc>
        <w:tc>
          <w:tcPr>
            <w:tcW w:w="1069" w:type="dxa"/>
            <w:tcBorders>
              <w:top w:val="nil"/>
              <w:left w:val="nil"/>
              <w:right w:val="nil"/>
            </w:tcBorders>
          </w:tcPr>
          <w:p>
            <w:pPr>
              <w:pStyle w:val="TableParagraph"/>
              <w:spacing w:before="53"/>
              <w:ind w:left="344" w:right="281"/>
              <w:rPr>
                <w:sz w:val="23"/>
              </w:rPr>
            </w:pPr>
            <w:r>
              <w:rPr>
                <w:sz w:val="23"/>
              </w:rPr>
              <w:t>5.7</w:t>
            </w:r>
          </w:p>
        </w:tc>
        <w:tc>
          <w:tcPr>
            <w:tcW w:w="1129" w:type="dxa"/>
            <w:tcBorders>
              <w:top w:val="nil"/>
              <w:left w:val="nil"/>
              <w:right w:val="nil"/>
            </w:tcBorders>
          </w:tcPr>
          <w:p>
            <w:pPr>
              <w:pStyle w:val="TableParagraph"/>
              <w:spacing w:before="53"/>
              <w:ind w:left="282" w:right="288"/>
              <w:rPr>
                <w:sz w:val="23"/>
              </w:rPr>
            </w:pPr>
            <w:r>
              <w:rPr>
                <w:sz w:val="23"/>
              </w:rPr>
              <w:t>5.5</w:t>
            </w:r>
          </w:p>
        </w:tc>
        <w:tc>
          <w:tcPr>
            <w:tcW w:w="1086" w:type="dxa"/>
            <w:tcBorders>
              <w:top w:val="nil"/>
              <w:left w:val="nil"/>
              <w:right w:val="nil"/>
            </w:tcBorders>
          </w:tcPr>
          <w:p>
            <w:pPr>
              <w:pStyle w:val="TableParagraph"/>
              <w:spacing w:before="53"/>
              <w:ind w:left="364"/>
              <w:jc w:val="left"/>
              <w:rPr>
                <w:sz w:val="23"/>
              </w:rPr>
            </w:pPr>
            <w:r>
              <w:rPr>
                <w:sz w:val="23"/>
              </w:rPr>
              <w:t>0.35</w:t>
            </w:r>
          </w:p>
        </w:tc>
        <w:tc>
          <w:tcPr>
            <w:tcW w:w="1307" w:type="dxa"/>
            <w:tcBorders>
              <w:top w:val="nil"/>
              <w:left w:val="nil"/>
              <w:right w:val="nil"/>
            </w:tcBorders>
          </w:tcPr>
          <w:p>
            <w:pPr>
              <w:pStyle w:val="TableParagraph"/>
              <w:spacing w:before="53"/>
              <w:ind w:left="218" w:right="149"/>
              <w:rPr>
                <w:sz w:val="23"/>
              </w:rPr>
            </w:pPr>
            <w:r>
              <w:rPr>
                <w:sz w:val="23"/>
              </w:rPr>
              <w:t>0.558</w:t>
            </w:r>
          </w:p>
        </w:tc>
        <w:tc>
          <w:tcPr>
            <w:tcW w:w="1415" w:type="dxa"/>
            <w:tcBorders>
              <w:top w:val="nil"/>
              <w:left w:val="nil"/>
              <w:right w:val="nil"/>
            </w:tcBorders>
          </w:tcPr>
          <w:p>
            <w:pPr>
              <w:pStyle w:val="TableParagraph"/>
              <w:spacing w:before="53"/>
              <w:ind w:left="147" w:right="131"/>
              <w:rPr>
                <w:sz w:val="23"/>
              </w:rPr>
            </w:pPr>
            <w:r>
              <w:rPr>
                <w:sz w:val="23"/>
              </w:rPr>
              <w:t>0.204</w:t>
            </w:r>
          </w:p>
        </w:tc>
      </w:tr>
    </w:tbl>
    <w:p>
      <w:pPr>
        <w:spacing w:line="276" w:lineRule="auto" w:before="0"/>
        <w:ind w:left="192" w:right="185" w:firstLine="0"/>
        <w:jc w:val="both"/>
        <w:rPr>
          <w:sz w:val="22"/>
        </w:rPr>
      </w:pPr>
      <w:r>
        <w:rPr>
          <w:sz w:val="22"/>
        </w:rPr>
        <w:t>PVI: peso vivo Inicial; PVF: peso vivo final; CMS: consumo de materia seca; GDP: ganancia diaria de peso; GPT: ganancia de peso total; CMS: consumo de materia seca; CA: conversión alimenticia; EA: eficiencia alimenticia; A: alimento; G: ganancia.</w:t>
      </w:r>
    </w:p>
    <w:p>
      <w:pPr>
        <w:spacing w:line="256" w:lineRule="exact" w:before="0"/>
        <w:ind w:left="192" w:right="0" w:firstLine="0"/>
        <w:jc w:val="both"/>
        <w:rPr>
          <w:sz w:val="22"/>
        </w:rPr>
      </w:pPr>
      <w:r>
        <w:rPr>
          <w:position w:val="8"/>
          <w:sz w:val="14"/>
        </w:rPr>
        <w:t>1 </w:t>
      </w:r>
      <w:r>
        <w:rPr>
          <w:sz w:val="22"/>
        </w:rPr>
        <w:t>Error Estándar de la Media</w:t>
      </w:r>
    </w:p>
    <w:p>
      <w:pPr>
        <w:spacing w:before="32"/>
        <w:ind w:left="192" w:right="0" w:firstLine="0"/>
        <w:jc w:val="both"/>
        <w:rPr>
          <w:sz w:val="22"/>
        </w:rPr>
      </w:pPr>
      <w:r>
        <w:rPr>
          <w:position w:val="8"/>
          <w:sz w:val="14"/>
        </w:rPr>
        <w:t>2 </w:t>
      </w:r>
      <w:r>
        <w:rPr>
          <w:sz w:val="22"/>
        </w:rPr>
        <w:t>NS, no significativo (P&gt;0.05)</w:t>
      </w:r>
    </w:p>
    <w:p>
      <w:pPr>
        <w:pStyle w:val="BodyText"/>
        <w:rPr>
          <w:sz w:val="22"/>
        </w:rPr>
      </w:pPr>
    </w:p>
    <w:p>
      <w:pPr>
        <w:pStyle w:val="BodyText"/>
        <w:spacing w:before="8"/>
        <w:rPr>
          <w:sz w:val="17"/>
        </w:rPr>
      </w:pPr>
    </w:p>
    <w:p>
      <w:pPr>
        <w:pStyle w:val="ListParagraph"/>
        <w:numPr>
          <w:ilvl w:val="2"/>
          <w:numId w:val="25"/>
        </w:numPr>
        <w:tabs>
          <w:tab w:pos="690" w:val="left" w:leader="none"/>
        </w:tabs>
        <w:spacing w:line="240" w:lineRule="auto" w:before="1" w:after="0"/>
        <w:ind w:left="689" w:right="0" w:hanging="497"/>
        <w:jc w:val="both"/>
        <w:rPr>
          <w:b/>
          <w:i/>
          <w:sz w:val="22"/>
        </w:rPr>
      </w:pPr>
      <w:bookmarkStart w:name="_bookmark65" w:id="125"/>
      <w:bookmarkEnd w:id="125"/>
      <w:r>
        <w:rPr/>
      </w:r>
      <w:bookmarkStart w:name="_bookmark65" w:id="126"/>
      <w:bookmarkEnd w:id="126"/>
      <w:r>
        <w:rPr>
          <w:b/>
          <w:i/>
          <w:sz w:val="22"/>
        </w:rPr>
        <w:t>C</w:t>
      </w:r>
      <w:r>
        <w:rPr>
          <w:b/>
          <w:i/>
          <w:sz w:val="22"/>
        </w:rPr>
        <w:t>aracterísticas de la</w:t>
      </w:r>
      <w:r>
        <w:rPr>
          <w:b/>
          <w:i/>
          <w:spacing w:val="-5"/>
          <w:sz w:val="22"/>
        </w:rPr>
        <w:t> </w:t>
      </w:r>
      <w:r>
        <w:rPr>
          <w:b/>
          <w:i/>
          <w:sz w:val="22"/>
        </w:rPr>
        <w:t>canal.</w:t>
      </w:r>
    </w:p>
    <w:p>
      <w:pPr>
        <w:pStyle w:val="BodyText"/>
        <w:spacing w:line="360" w:lineRule="auto" w:before="122"/>
        <w:ind w:left="192" w:right="185" w:firstLine="707"/>
        <w:jc w:val="both"/>
      </w:pPr>
      <w:r>
        <w:rPr/>
        <w:t>En el </w:t>
      </w:r>
      <w:r>
        <w:rPr>
          <w:b/>
        </w:rPr>
        <w:t>Cuadro 13 </w:t>
      </w:r>
      <w:r>
        <w:rPr/>
        <w:t>se observan los resultados relacionados con las características de  la canal. No se encontró efecto (P&gt;0.05) de las concentraciones de cromo sobre el PCC, PCF, rendimiento comercial, algunas de las medidas lineales como longitud de canal, ancho de grupa, ancho mayor y menor de tórax, y área de </w:t>
      </w:r>
      <w:r>
        <w:rPr>
          <w:i/>
        </w:rPr>
        <w:t>Longissimus dorsi; </w:t>
      </w:r>
      <w:r>
        <w:rPr/>
        <w:t>sin embargo, la conformación muscular y el perímetro de pierna aumentaron de manera lineal (P&lt;0.05) conforme aumentó el Cr en la dieta, mientras que la grasa perirrenal disminuyó (P&lt;0.05) al incrementarse la dosis de Cr en la</w:t>
      </w:r>
      <w:r>
        <w:rPr>
          <w:spacing w:val="-7"/>
        </w:rPr>
        <w:t> </w:t>
      </w:r>
      <w:r>
        <w:rPr/>
        <w:t>dieta.</w:t>
      </w:r>
    </w:p>
    <w:p>
      <w:pPr>
        <w:spacing w:after="0" w:line="360" w:lineRule="auto"/>
        <w:jc w:val="both"/>
        <w:sectPr>
          <w:pgSz w:w="12240" w:h="15840"/>
          <w:pgMar w:header="1154" w:footer="1383" w:top="1620" w:bottom="1580" w:left="1680" w:right="1340"/>
        </w:sectPr>
      </w:pPr>
    </w:p>
    <w:p>
      <w:pPr>
        <w:pStyle w:val="BodyText"/>
        <w:rPr>
          <w:sz w:val="9"/>
        </w:rPr>
      </w:pPr>
    </w:p>
    <w:p>
      <w:pPr>
        <w:pStyle w:val="BodyText"/>
        <w:spacing w:before="69"/>
        <w:ind w:left="212" w:right="231"/>
      </w:pPr>
      <w:r>
        <w:rPr>
          <w:b/>
        </w:rPr>
        <w:t>Cuadro 13. </w:t>
      </w:r>
      <w:r>
        <w:rPr/>
        <w:t>Efecto del Cromo orgánico en las características de la canal de ovinos en engorda intensiva</w:t>
      </w:r>
    </w:p>
    <w:p>
      <w:pPr>
        <w:pStyle w:val="BodyText"/>
        <w:spacing w:before="9"/>
      </w:pPr>
      <w:r>
        <w:rPr/>
        <w:pict>
          <v:group style="position:absolute;margin-left:89.643997pt;margin-top:16.224276pt;width:450.05pt;height:1pt;mso-position-horizontal-relative:page;mso-position-vertical-relative:paragraph;z-index:1912;mso-wrap-distance-left:0;mso-wrap-distance-right:0" coordorigin="1793,324" coordsize="9001,20">
            <v:line style="position:absolute" from="1803,334" to="4222,334" stroked="true" strokeweight=".95999pt" strokecolor="#000000"/>
            <v:line style="position:absolute" from="4223,334" to="4242,334" stroked="true" strokeweight=".95999pt" strokecolor="#000000"/>
            <v:line style="position:absolute" from="4242,334" to="6853,334" stroked="true" strokeweight=".95999pt" strokecolor="#000000"/>
            <v:line style="position:absolute" from="6853,334" to="6873,334" stroked="true" strokeweight=".95999pt" strokecolor="#000000"/>
            <v:line style="position:absolute" from="6873,334" to="7043,334" stroked="true" strokeweight=".95999pt" strokecolor="#000000"/>
            <v:line style="position:absolute" from="7043,334" to="7062,334" stroked="true" strokeweight=".95999pt" strokecolor="#000000"/>
            <v:line style="position:absolute" from="7062,334" to="9619,334" stroked="true" strokeweight=".95999pt" strokecolor="#000000"/>
            <v:line style="position:absolute" from="9619,334" to="9638,334" stroked="true" strokeweight=".95999pt" strokecolor="#000000"/>
            <v:line style="position:absolute" from="9638,334" to="10783,334" stroked="true" strokeweight=".95999pt" strokecolor="#000000"/>
            <w10:wrap type="topAndBottom"/>
          </v:group>
        </w:pict>
      </w:r>
    </w:p>
    <w:p>
      <w:pPr>
        <w:tabs>
          <w:tab w:pos="6246" w:val="left" w:leader="none"/>
        </w:tabs>
        <w:spacing w:line="194" w:lineRule="exact" w:before="0" w:after="36"/>
        <w:ind w:left="2701" w:right="231" w:firstLine="0"/>
        <w:jc w:val="left"/>
        <w:rPr>
          <w:sz w:val="20"/>
        </w:rPr>
      </w:pPr>
      <w:r>
        <w:rPr>
          <w:sz w:val="20"/>
        </w:rPr>
        <w:t>Cromo Orgánico, mg</w:t>
      </w:r>
      <w:r>
        <w:rPr>
          <w:spacing w:val="-2"/>
          <w:sz w:val="20"/>
        </w:rPr>
        <w:t> </w:t>
      </w:r>
      <w:r>
        <w:rPr>
          <w:sz w:val="20"/>
        </w:rPr>
        <w:t>kg</w:t>
      </w:r>
      <w:r>
        <w:rPr>
          <w:position w:val="7"/>
          <w:sz w:val="13"/>
        </w:rPr>
        <w:t>-1</w:t>
      </w:r>
      <w:r>
        <w:rPr>
          <w:spacing w:val="15"/>
          <w:position w:val="7"/>
          <w:sz w:val="13"/>
        </w:rPr>
        <w:t> </w:t>
      </w:r>
      <w:r>
        <w:rPr>
          <w:sz w:val="20"/>
        </w:rPr>
        <w:t>MS</w:t>
        <w:tab/>
        <w:t>Contrastes</w:t>
      </w:r>
    </w:p>
    <w:tbl>
      <w:tblPr>
        <w:tblW w:w="0" w:type="auto"/>
        <w:jc w:val="left"/>
        <w:tblInd w:w="1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27"/>
        <w:gridCol w:w="568"/>
        <w:gridCol w:w="655"/>
        <w:gridCol w:w="675"/>
        <w:gridCol w:w="848"/>
        <w:gridCol w:w="1132"/>
        <w:gridCol w:w="1473"/>
        <w:gridCol w:w="1203"/>
      </w:tblGrid>
      <w:tr>
        <w:trPr>
          <w:trHeight w:val="691" w:hRule="exact"/>
        </w:trPr>
        <w:tc>
          <w:tcPr>
            <w:tcW w:w="2427" w:type="dxa"/>
            <w:tcBorders>
              <w:bottom w:val="single" w:sz="8" w:space="0" w:color="000000"/>
            </w:tcBorders>
          </w:tcPr>
          <w:p>
            <w:pPr>
              <w:pStyle w:val="TableParagraph"/>
              <w:spacing w:line="204" w:lineRule="exact"/>
              <w:ind w:left="69"/>
              <w:jc w:val="left"/>
              <w:rPr>
                <w:sz w:val="20"/>
              </w:rPr>
            </w:pPr>
            <w:r>
              <w:rPr>
                <w:sz w:val="20"/>
              </w:rPr>
              <w:t>Variable</w:t>
            </w:r>
          </w:p>
        </w:tc>
        <w:tc>
          <w:tcPr>
            <w:tcW w:w="568" w:type="dxa"/>
            <w:tcBorders>
              <w:bottom w:val="single" w:sz="8" w:space="0" w:color="000000"/>
            </w:tcBorders>
          </w:tcPr>
          <w:p>
            <w:pPr>
              <w:pStyle w:val="TableParagraph"/>
              <w:tabs>
                <w:tab w:pos="2668" w:val="left" w:leader="none"/>
              </w:tabs>
              <w:spacing w:line="204" w:lineRule="exact"/>
              <w:ind w:left="-8" w:right="-2101"/>
              <w:jc w:val="left"/>
              <w:rPr>
                <w:sz w:val="20"/>
              </w:rPr>
            </w:pPr>
            <w:r>
              <w:rPr>
                <w:w w:val="99"/>
                <w:sz w:val="20"/>
                <w:u w:val="single"/>
              </w:rPr>
              <w:t> </w:t>
            </w:r>
            <w:r>
              <w:rPr>
                <w:sz w:val="20"/>
                <w:u w:val="single"/>
              </w:rPr>
              <w:tab/>
            </w:r>
          </w:p>
          <w:p>
            <w:pPr>
              <w:pStyle w:val="TableParagraph"/>
              <w:spacing w:before="10"/>
              <w:ind w:right="19"/>
              <w:rPr>
                <w:sz w:val="20"/>
              </w:rPr>
            </w:pPr>
            <w:r>
              <w:rPr>
                <w:w w:val="99"/>
                <w:sz w:val="20"/>
              </w:rPr>
              <w:t>0</w:t>
            </w:r>
          </w:p>
        </w:tc>
        <w:tc>
          <w:tcPr>
            <w:tcW w:w="655" w:type="dxa"/>
            <w:tcBorders>
              <w:bottom w:val="single" w:sz="8" w:space="0" w:color="000000"/>
            </w:tcBorders>
          </w:tcPr>
          <w:p>
            <w:pPr>
              <w:pStyle w:val="TableParagraph"/>
              <w:spacing w:before="7"/>
              <w:jc w:val="left"/>
              <w:rPr>
                <w:sz w:val="18"/>
              </w:rPr>
            </w:pPr>
          </w:p>
          <w:p>
            <w:pPr>
              <w:pStyle w:val="TableParagraph"/>
              <w:ind w:right="209"/>
              <w:jc w:val="right"/>
              <w:rPr>
                <w:sz w:val="20"/>
              </w:rPr>
            </w:pPr>
            <w:r>
              <w:rPr>
                <w:sz w:val="20"/>
              </w:rPr>
              <w:t>0.2</w:t>
            </w:r>
          </w:p>
        </w:tc>
        <w:tc>
          <w:tcPr>
            <w:tcW w:w="675" w:type="dxa"/>
            <w:tcBorders>
              <w:bottom w:val="single" w:sz="8" w:space="0" w:color="000000"/>
            </w:tcBorders>
          </w:tcPr>
          <w:p>
            <w:pPr>
              <w:pStyle w:val="TableParagraph"/>
              <w:spacing w:before="7"/>
              <w:jc w:val="left"/>
              <w:rPr>
                <w:sz w:val="18"/>
              </w:rPr>
            </w:pPr>
          </w:p>
          <w:p>
            <w:pPr>
              <w:pStyle w:val="TableParagraph"/>
              <w:ind w:left="185"/>
              <w:jc w:val="left"/>
              <w:rPr>
                <w:sz w:val="20"/>
              </w:rPr>
            </w:pPr>
            <w:r>
              <w:rPr>
                <w:sz w:val="20"/>
              </w:rPr>
              <w:t>0.4</w:t>
            </w:r>
          </w:p>
        </w:tc>
        <w:tc>
          <w:tcPr>
            <w:tcW w:w="848" w:type="dxa"/>
            <w:tcBorders>
              <w:bottom w:val="single" w:sz="8" w:space="0" w:color="000000"/>
            </w:tcBorders>
          </w:tcPr>
          <w:p>
            <w:pPr>
              <w:pStyle w:val="TableParagraph"/>
              <w:spacing w:before="2"/>
              <w:jc w:val="left"/>
              <w:rPr>
                <w:sz w:val="18"/>
              </w:rPr>
            </w:pPr>
          </w:p>
          <w:p>
            <w:pPr>
              <w:pStyle w:val="TableParagraph"/>
              <w:ind w:left="168" w:right="153"/>
              <w:rPr>
                <w:sz w:val="13"/>
              </w:rPr>
            </w:pPr>
            <w:r>
              <w:rPr>
                <w:sz w:val="20"/>
              </w:rPr>
              <w:t>EEM</w:t>
            </w:r>
            <w:r>
              <w:rPr>
                <w:position w:val="7"/>
                <w:sz w:val="13"/>
              </w:rPr>
              <w:t>1</w:t>
            </w:r>
          </w:p>
        </w:tc>
        <w:tc>
          <w:tcPr>
            <w:tcW w:w="1132" w:type="dxa"/>
            <w:tcBorders>
              <w:bottom w:val="single" w:sz="8" w:space="0" w:color="000000"/>
            </w:tcBorders>
          </w:tcPr>
          <w:p>
            <w:pPr>
              <w:pStyle w:val="TableParagraph"/>
              <w:spacing w:before="2"/>
              <w:jc w:val="left"/>
              <w:rPr>
                <w:sz w:val="18"/>
              </w:rPr>
            </w:pPr>
          </w:p>
          <w:p>
            <w:pPr>
              <w:pStyle w:val="TableParagraph"/>
              <w:ind w:left="172"/>
              <w:jc w:val="left"/>
              <w:rPr>
                <w:sz w:val="13"/>
              </w:rPr>
            </w:pPr>
            <w:r>
              <w:rPr>
                <w:sz w:val="20"/>
              </w:rPr>
              <w:t>0.2 </w:t>
            </w:r>
            <w:r>
              <w:rPr>
                <w:i/>
                <w:sz w:val="20"/>
              </w:rPr>
              <w:t>vs </w:t>
            </w:r>
            <w:r>
              <w:rPr>
                <w:sz w:val="20"/>
              </w:rPr>
              <w:t>0.4</w:t>
            </w:r>
            <w:r>
              <w:rPr>
                <w:position w:val="7"/>
                <w:sz w:val="13"/>
              </w:rPr>
              <w:t>d</w:t>
            </w:r>
          </w:p>
        </w:tc>
        <w:tc>
          <w:tcPr>
            <w:tcW w:w="1473" w:type="dxa"/>
            <w:tcBorders>
              <w:bottom w:val="single" w:sz="8" w:space="0" w:color="000000"/>
            </w:tcBorders>
          </w:tcPr>
          <w:p>
            <w:pPr>
              <w:pStyle w:val="TableParagraph"/>
              <w:spacing w:before="2"/>
              <w:jc w:val="left"/>
              <w:rPr>
                <w:sz w:val="18"/>
              </w:rPr>
            </w:pPr>
          </w:p>
          <w:p>
            <w:pPr>
              <w:pStyle w:val="TableParagraph"/>
              <w:ind w:left="106" w:right="88"/>
              <w:rPr>
                <w:sz w:val="13"/>
              </w:rPr>
            </w:pPr>
            <w:r>
              <w:rPr>
                <w:sz w:val="20"/>
              </w:rPr>
              <w:t>0 </w:t>
            </w:r>
            <w:r>
              <w:rPr>
                <w:i/>
                <w:sz w:val="20"/>
              </w:rPr>
              <w:t>vs </w:t>
            </w:r>
            <w:r>
              <w:rPr>
                <w:sz w:val="20"/>
              </w:rPr>
              <w:t>0.2+0.4Cr</w:t>
            </w:r>
            <w:r>
              <w:rPr>
                <w:position w:val="7"/>
                <w:sz w:val="13"/>
              </w:rPr>
              <w:t>e</w:t>
            </w:r>
          </w:p>
        </w:tc>
        <w:tc>
          <w:tcPr>
            <w:tcW w:w="1203" w:type="dxa"/>
            <w:tcBorders>
              <w:bottom w:val="single" w:sz="8" w:space="0" w:color="000000"/>
            </w:tcBorders>
          </w:tcPr>
          <w:p>
            <w:pPr>
              <w:pStyle w:val="TableParagraph"/>
              <w:spacing w:before="2"/>
              <w:jc w:val="left"/>
              <w:rPr>
                <w:sz w:val="18"/>
              </w:rPr>
            </w:pPr>
          </w:p>
          <w:p>
            <w:pPr>
              <w:pStyle w:val="TableParagraph"/>
              <w:ind w:left="89" w:right="197"/>
              <w:rPr>
                <w:sz w:val="13"/>
              </w:rPr>
            </w:pPr>
            <w:r>
              <w:rPr>
                <w:sz w:val="20"/>
              </w:rPr>
              <w:t>Polinomio</w:t>
            </w:r>
            <w:r>
              <w:rPr>
                <w:position w:val="7"/>
                <w:sz w:val="13"/>
              </w:rPr>
              <w:t>f</w:t>
            </w:r>
          </w:p>
        </w:tc>
      </w:tr>
      <w:tr>
        <w:trPr>
          <w:trHeight w:val="359" w:hRule="exact"/>
        </w:trPr>
        <w:tc>
          <w:tcPr>
            <w:tcW w:w="2427" w:type="dxa"/>
            <w:tcBorders>
              <w:top w:val="single" w:sz="8" w:space="0" w:color="000000"/>
            </w:tcBorders>
          </w:tcPr>
          <w:p>
            <w:pPr>
              <w:pStyle w:val="TableParagraph"/>
              <w:spacing w:line="223" w:lineRule="exact"/>
              <w:ind w:left="69"/>
              <w:jc w:val="left"/>
              <w:rPr>
                <w:sz w:val="20"/>
              </w:rPr>
            </w:pPr>
            <w:r>
              <w:rPr>
                <w:sz w:val="20"/>
              </w:rPr>
              <w:t>PVS, kg</w:t>
            </w:r>
          </w:p>
        </w:tc>
        <w:tc>
          <w:tcPr>
            <w:tcW w:w="568" w:type="dxa"/>
            <w:tcBorders>
              <w:top w:val="single" w:sz="8" w:space="0" w:color="000000"/>
            </w:tcBorders>
          </w:tcPr>
          <w:p>
            <w:pPr>
              <w:pStyle w:val="TableParagraph"/>
              <w:spacing w:line="223" w:lineRule="exact"/>
              <w:ind w:right="116"/>
              <w:jc w:val="right"/>
              <w:rPr>
                <w:sz w:val="20"/>
              </w:rPr>
            </w:pPr>
            <w:r>
              <w:rPr>
                <w:sz w:val="20"/>
              </w:rPr>
              <w:t>41.8</w:t>
            </w:r>
          </w:p>
        </w:tc>
        <w:tc>
          <w:tcPr>
            <w:tcW w:w="655" w:type="dxa"/>
            <w:tcBorders>
              <w:top w:val="single" w:sz="8" w:space="0" w:color="000000"/>
            </w:tcBorders>
          </w:tcPr>
          <w:p>
            <w:pPr>
              <w:pStyle w:val="TableParagraph"/>
              <w:spacing w:line="223" w:lineRule="exact"/>
              <w:ind w:right="133"/>
              <w:jc w:val="right"/>
              <w:rPr>
                <w:sz w:val="20"/>
              </w:rPr>
            </w:pPr>
            <w:r>
              <w:rPr>
                <w:sz w:val="20"/>
              </w:rPr>
              <w:t>42. 6</w:t>
            </w:r>
          </w:p>
        </w:tc>
        <w:tc>
          <w:tcPr>
            <w:tcW w:w="675" w:type="dxa"/>
            <w:tcBorders>
              <w:top w:val="single" w:sz="8" w:space="0" w:color="000000"/>
            </w:tcBorders>
          </w:tcPr>
          <w:p>
            <w:pPr>
              <w:pStyle w:val="TableParagraph"/>
              <w:spacing w:line="223" w:lineRule="exact"/>
              <w:ind w:left="135"/>
              <w:jc w:val="left"/>
              <w:rPr>
                <w:sz w:val="20"/>
              </w:rPr>
            </w:pPr>
            <w:r>
              <w:rPr>
                <w:sz w:val="20"/>
              </w:rPr>
              <w:t>43.4</w:t>
            </w:r>
          </w:p>
        </w:tc>
        <w:tc>
          <w:tcPr>
            <w:tcW w:w="848" w:type="dxa"/>
            <w:tcBorders>
              <w:top w:val="single" w:sz="8" w:space="0" w:color="000000"/>
            </w:tcBorders>
          </w:tcPr>
          <w:p>
            <w:pPr>
              <w:pStyle w:val="TableParagraph"/>
              <w:spacing w:line="223" w:lineRule="exact"/>
              <w:ind w:left="166" w:right="153"/>
              <w:rPr>
                <w:sz w:val="20"/>
              </w:rPr>
            </w:pPr>
            <w:r>
              <w:rPr>
                <w:sz w:val="20"/>
              </w:rPr>
              <w:t>1.65</w:t>
            </w:r>
          </w:p>
        </w:tc>
        <w:tc>
          <w:tcPr>
            <w:tcW w:w="1132" w:type="dxa"/>
            <w:tcBorders>
              <w:top w:val="single" w:sz="8" w:space="0" w:color="000000"/>
            </w:tcBorders>
          </w:tcPr>
          <w:p>
            <w:pPr>
              <w:pStyle w:val="TableParagraph"/>
              <w:spacing w:line="223" w:lineRule="exact"/>
              <w:ind w:left="345" w:right="296"/>
              <w:rPr>
                <w:sz w:val="20"/>
              </w:rPr>
            </w:pPr>
            <w:r>
              <w:rPr>
                <w:sz w:val="20"/>
              </w:rPr>
              <w:t>0.246</w:t>
            </w:r>
          </w:p>
        </w:tc>
        <w:tc>
          <w:tcPr>
            <w:tcW w:w="1473" w:type="dxa"/>
            <w:tcBorders>
              <w:top w:val="single" w:sz="8" w:space="0" w:color="000000"/>
            </w:tcBorders>
          </w:tcPr>
          <w:p>
            <w:pPr>
              <w:pStyle w:val="TableParagraph"/>
              <w:spacing w:line="223" w:lineRule="exact"/>
              <w:ind w:left="106" w:right="88"/>
              <w:rPr>
                <w:sz w:val="20"/>
              </w:rPr>
            </w:pPr>
            <w:r>
              <w:rPr>
                <w:sz w:val="20"/>
              </w:rPr>
              <w:t>0.321</w:t>
            </w:r>
          </w:p>
        </w:tc>
        <w:tc>
          <w:tcPr>
            <w:tcW w:w="1203" w:type="dxa"/>
            <w:tcBorders>
              <w:top w:val="single" w:sz="8" w:space="0" w:color="000000"/>
            </w:tcBorders>
          </w:tcPr>
          <w:p>
            <w:pPr>
              <w:pStyle w:val="TableParagraph"/>
              <w:spacing w:line="223" w:lineRule="exact"/>
              <w:ind w:left="89" w:right="58"/>
              <w:rPr>
                <w:sz w:val="20"/>
              </w:rPr>
            </w:pPr>
            <w:r>
              <w:rPr>
                <w:sz w:val="20"/>
              </w:rPr>
              <w:t>NS</w:t>
            </w:r>
          </w:p>
        </w:tc>
      </w:tr>
      <w:tr>
        <w:trPr>
          <w:trHeight w:val="461" w:hRule="exact"/>
        </w:trPr>
        <w:tc>
          <w:tcPr>
            <w:tcW w:w="2427" w:type="dxa"/>
          </w:tcPr>
          <w:p>
            <w:pPr>
              <w:pStyle w:val="TableParagraph"/>
              <w:spacing w:before="104"/>
              <w:ind w:left="69"/>
              <w:jc w:val="left"/>
              <w:rPr>
                <w:sz w:val="20"/>
              </w:rPr>
            </w:pPr>
            <w:r>
              <w:rPr>
                <w:sz w:val="20"/>
              </w:rPr>
              <w:t>PCC, kg</w:t>
            </w:r>
          </w:p>
        </w:tc>
        <w:tc>
          <w:tcPr>
            <w:tcW w:w="568" w:type="dxa"/>
          </w:tcPr>
          <w:p>
            <w:pPr>
              <w:pStyle w:val="TableParagraph"/>
              <w:spacing w:before="104"/>
              <w:ind w:right="116"/>
              <w:jc w:val="right"/>
              <w:rPr>
                <w:sz w:val="20"/>
              </w:rPr>
            </w:pPr>
            <w:r>
              <w:rPr>
                <w:sz w:val="20"/>
              </w:rPr>
              <w:t>19.7</w:t>
            </w:r>
          </w:p>
        </w:tc>
        <w:tc>
          <w:tcPr>
            <w:tcW w:w="655" w:type="dxa"/>
          </w:tcPr>
          <w:p>
            <w:pPr>
              <w:pStyle w:val="TableParagraph"/>
              <w:spacing w:before="104"/>
              <w:ind w:right="159"/>
              <w:jc w:val="right"/>
              <w:rPr>
                <w:sz w:val="20"/>
              </w:rPr>
            </w:pPr>
            <w:r>
              <w:rPr>
                <w:sz w:val="20"/>
              </w:rPr>
              <w:t>19.7</w:t>
            </w:r>
          </w:p>
        </w:tc>
        <w:tc>
          <w:tcPr>
            <w:tcW w:w="675" w:type="dxa"/>
          </w:tcPr>
          <w:p>
            <w:pPr>
              <w:pStyle w:val="TableParagraph"/>
              <w:spacing w:before="104"/>
              <w:ind w:left="209"/>
              <w:jc w:val="left"/>
              <w:rPr>
                <w:sz w:val="20"/>
              </w:rPr>
            </w:pPr>
            <w:r>
              <w:rPr>
                <w:sz w:val="20"/>
              </w:rPr>
              <w:t>21</w:t>
            </w:r>
          </w:p>
        </w:tc>
        <w:tc>
          <w:tcPr>
            <w:tcW w:w="848" w:type="dxa"/>
          </w:tcPr>
          <w:p>
            <w:pPr>
              <w:pStyle w:val="TableParagraph"/>
              <w:spacing w:before="104"/>
              <w:ind w:left="166" w:right="153"/>
              <w:rPr>
                <w:sz w:val="20"/>
              </w:rPr>
            </w:pPr>
            <w:r>
              <w:rPr>
                <w:sz w:val="20"/>
              </w:rPr>
              <w:t>0.93</w:t>
            </w:r>
          </w:p>
        </w:tc>
        <w:tc>
          <w:tcPr>
            <w:tcW w:w="1132" w:type="dxa"/>
          </w:tcPr>
          <w:p>
            <w:pPr>
              <w:pStyle w:val="TableParagraph"/>
              <w:spacing w:before="104"/>
              <w:ind w:left="345" w:right="296"/>
              <w:rPr>
                <w:sz w:val="20"/>
              </w:rPr>
            </w:pPr>
            <w:r>
              <w:rPr>
                <w:sz w:val="20"/>
              </w:rPr>
              <w:t>0.271</w:t>
            </w:r>
          </w:p>
        </w:tc>
        <w:tc>
          <w:tcPr>
            <w:tcW w:w="1473" w:type="dxa"/>
          </w:tcPr>
          <w:p>
            <w:pPr>
              <w:pStyle w:val="TableParagraph"/>
              <w:spacing w:before="104"/>
              <w:ind w:left="106" w:right="88"/>
              <w:rPr>
                <w:sz w:val="20"/>
              </w:rPr>
            </w:pPr>
            <w:r>
              <w:rPr>
                <w:sz w:val="20"/>
              </w:rPr>
              <w:t>0.297</w:t>
            </w:r>
          </w:p>
        </w:tc>
        <w:tc>
          <w:tcPr>
            <w:tcW w:w="1203" w:type="dxa"/>
          </w:tcPr>
          <w:p>
            <w:pPr>
              <w:pStyle w:val="TableParagraph"/>
              <w:spacing w:before="104"/>
              <w:ind w:left="89" w:right="58"/>
              <w:rPr>
                <w:sz w:val="20"/>
              </w:rPr>
            </w:pPr>
            <w:r>
              <w:rPr>
                <w:sz w:val="20"/>
              </w:rPr>
              <w:t>NS</w:t>
            </w:r>
          </w:p>
        </w:tc>
      </w:tr>
      <w:tr>
        <w:trPr>
          <w:trHeight w:val="460" w:hRule="exact"/>
        </w:trPr>
        <w:tc>
          <w:tcPr>
            <w:tcW w:w="2427" w:type="dxa"/>
          </w:tcPr>
          <w:p>
            <w:pPr>
              <w:pStyle w:val="TableParagraph"/>
              <w:spacing w:before="104"/>
              <w:ind w:left="69"/>
              <w:jc w:val="left"/>
              <w:rPr>
                <w:sz w:val="20"/>
              </w:rPr>
            </w:pPr>
            <w:r>
              <w:rPr>
                <w:sz w:val="20"/>
              </w:rPr>
              <w:t>PCF, kg</w:t>
            </w:r>
          </w:p>
        </w:tc>
        <w:tc>
          <w:tcPr>
            <w:tcW w:w="568" w:type="dxa"/>
          </w:tcPr>
          <w:p>
            <w:pPr>
              <w:pStyle w:val="TableParagraph"/>
              <w:spacing w:before="104"/>
              <w:ind w:right="191"/>
              <w:jc w:val="right"/>
              <w:rPr>
                <w:sz w:val="20"/>
              </w:rPr>
            </w:pPr>
            <w:r>
              <w:rPr>
                <w:sz w:val="20"/>
              </w:rPr>
              <w:t>19</w:t>
            </w:r>
          </w:p>
        </w:tc>
        <w:tc>
          <w:tcPr>
            <w:tcW w:w="655" w:type="dxa"/>
          </w:tcPr>
          <w:p>
            <w:pPr>
              <w:pStyle w:val="TableParagraph"/>
              <w:spacing w:before="104"/>
              <w:ind w:right="159"/>
              <w:jc w:val="right"/>
              <w:rPr>
                <w:sz w:val="20"/>
              </w:rPr>
            </w:pPr>
            <w:r>
              <w:rPr>
                <w:sz w:val="20"/>
              </w:rPr>
              <w:t>19.2</w:t>
            </w:r>
          </w:p>
        </w:tc>
        <w:tc>
          <w:tcPr>
            <w:tcW w:w="675" w:type="dxa"/>
          </w:tcPr>
          <w:p>
            <w:pPr>
              <w:pStyle w:val="TableParagraph"/>
              <w:spacing w:before="104"/>
              <w:ind w:left="135"/>
              <w:jc w:val="left"/>
              <w:rPr>
                <w:sz w:val="20"/>
              </w:rPr>
            </w:pPr>
            <w:r>
              <w:rPr>
                <w:sz w:val="20"/>
              </w:rPr>
              <w:t>20.2</w:t>
            </w:r>
          </w:p>
        </w:tc>
        <w:tc>
          <w:tcPr>
            <w:tcW w:w="848" w:type="dxa"/>
          </w:tcPr>
          <w:p>
            <w:pPr>
              <w:pStyle w:val="TableParagraph"/>
              <w:spacing w:before="104"/>
              <w:ind w:left="166" w:right="153"/>
              <w:rPr>
                <w:sz w:val="20"/>
              </w:rPr>
            </w:pPr>
            <w:r>
              <w:rPr>
                <w:sz w:val="20"/>
              </w:rPr>
              <w:t>0.98</w:t>
            </w:r>
          </w:p>
        </w:tc>
        <w:tc>
          <w:tcPr>
            <w:tcW w:w="1132" w:type="dxa"/>
          </w:tcPr>
          <w:p>
            <w:pPr>
              <w:pStyle w:val="TableParagraph"/>
              <w:spacing w:before="104"/>
              <w:ind w:left="345" w:right="296"/>
              <w:rPr>
                <w:sz w:val="20"/>
              </w:rPr>
            </w:pPr>
            <w:r>
              <w:rPr>
                <w:sz w:val="20"/>
              </w:rPr>
              <w:t>0.468</w:t>
            </w:r>
          </w:p>
        </w:tc>
        <w:tc>
          <w:tcPr>
            <w:tcW w:w="1473" w:type="dxa"/>
          </w:tcPr>
          <w:p>
            <w:pPr>
              <w:pStyle w:val="TableParagraph"/>
              <w:spacing w:before="104"/>
              <w:ind w:left="106" w:right="88"/>
              <w:rPr>
                <w:sz w:val="20"/>
              </w:rPr>
            </w:pPr>
            <w:r>
              <w:rPr>
                <w:sz w:val="20"/>
              </w:rPr>
              <w:t>0.376</w:t>
            </w:r>
          </w:p>
        </w:tc>
        <w:tc>
          <w:tcPr>
            <w:tcW w:w="1203" w:type="dxa"/>
          </w:tcPr>
          <w:p>
            <w:pPr>
              <w:pStyle w:val="TableParagraph"/>
              <w:spacing w:before="104"/>
              <w:ind w:left="89" w:right="58"/>
              <w:rPr>
                <w:sz w:val="20"/>
              </w:rPr>
            </w:pPr>
            <w:r>
              <w:rPr>
                <w:sz w:val="20"/>
              </w:rPr>
              <w:t>NS</w:t>
            </w:r>
          </w:p>
        </w:tc>
      </w:tr>
      <w:tr>
        <w:trPr>
          <w:trHeight w:val="460" w:hRule="exact"/>
        </w:trPr>
        <w:tc>
          <w:tcPr>
            <w:tcW w:w="2427" w:type="dxa"/>
          </w:tcPr>
          <w:p>
            <w:pPr>
              <w:pStyle w:val="TableParagraph"/>
              <w:spacing w:before="103"/>
              <w:ind w:left="69"/>
              <w:jc w:val="left"/>
              <w:rPr>
                <w:sz w:val="20"/>
              </w:rPr>
            </w:pPr>
            <w:r>
              <w:rPr>
                <w:sz w:val="20"/>
              </w:rPr>
              <w:t>Rendimiento Verdadero, %</w:t>
            </w:r>
          </w:p>
        </w:tc>
        <w:tc>
          <w:tcPr>
            <w:tcW w:w="568" w:type="dxa"/>
          </w:tcPr>
          <w:p>
            <w:pPr>
              <w:pStyle w:val="TableParagraph"/>
              <w:spacing w:before="103"/>
              <w:ind w:right="116"/>
              <w:jc w:val="right"/>
              <w:rPr>
                <w:sz w:val="20"/>
              </w:rPr>
            </w:pPr>
            <w:r>
              <w:rPr>
                <w:sz w:val="20"/>
              </w:rPr>
              <w:t>47.1</w:t>
            </w:r>
          </w:p>
        </w:tc>
        <w:tc>
          <w:tcPr>
            <w:tcW w:w="655" w:type="dxa"/>
          </w:tcPr>
          <w:p>
            <w:pPr>
              <w:pStyle w:val="TableParagraph"/>
              <w:spacing w:before="103"/>
              <w:ind w:right="159"/>
              <w:jc w:val="right"/>
              <w:rPr>
                <w:sz w:val="20"/>
              </w:rPr>
            </w:pPr>
            <w:r>
              <w:rPr>
                <w:sz w:val="20"/>
              </w:rPr>
              <w:t>46.2</w:t>
            </w:r>
          </w:p>
        </w:tc>
        <w:tc>
          <w:tcPr>
            <w:tcW w:w="675" w:type="dxa"/>
          </w:tcPr>
          <w:p>
            <w:pPr>
              <w:pStyle w:val="TableParagraph"/>
              <w:spacing w:before="103"/>
              <w:ind w:left="135"/>
              <w:jc w:val="left"/>
              <w:rPr>
                <w:sz w:val="20"/>
              </w:rPr>
            </w:pPr>
            <w:r>
              <w:rPr>
                <w:sz w:val="20"/>
              </w:rPr>
              <w:t>48.4</w:t>
            </w:r>
          </w:p>
        </w:tc>
        <w:tc>
          <w:tcPr>
            <w:tcW w:w="848" w:type="dxa"/>
          </w:tcPr>
          <w:p>
            <w:pPr>
              <w:pStyle w:val="TableParagraph"/>
              <w:spacing w:before="103"/>
              <w:ind w:left="166" w:right="153"/>
              <w:rPr>
                <w:sz w:val="20"/>
              </w:rPr>
            </w:pPr>
            <w:r>
              <w:rPr>
                <w:sz w:val="20"/>
              </w:rPr>
              <w:t>2.41</w:t>
            </w:r>
          </w:p>
        </w:tc>
        <w:tc>
          <w:tcPr>
            <w:tcW w:w="1132" w:type="dxa"/>
          </w:tcPr>
          <w:p>
            <w:pPr>
              <w:pStyle w:val="TableParagraph"/>
              <w:spacing w:before="103"/>
              <w:ind w:left="345" w:right="296"/>
              <w:rPr>
                <w:sz w:val="20"/>
              </w:rPr>
            </w:pPr>
            <w:r>
              <w:rPr>
                <w:sz w:val="20"/>
              </w:rPr>
              <w:t>0.186</w:t>
            </w:r>
          </w:p>
        </w:tc>
        <w:tc>
          <w:tcPr>
            <w:tcW w:w="1473" w:type="dxa"/>
          </w:tcPr>
          <w:p>
            <w:pPr>
              <w:pStyle w:val="TableParagraph"/>
              <w:spacing w:before="103"/>
              <w:ind w:left="106" w:right="88"/>
              <w:rPr>
                <w:sz w:val="20"/>
              </w:rPr>
            </w:pPr>
            <w:r>
              <w:rPr>
                <w:sz w:val="20"/>
              </w:rPr>
              <w:t>0.264</w:t>
            </w:r>
          </w:p>
        </w:tc>
        <w:tc>
          <w:tcPr>
            <w:tcW w:w="1203" w:type="dxa"/>
          </w:tcPr>
          <w:p>
            <w:pPr>
              <w:pStyle w:val="TableParagraph"/>
              <w:spacing w:before="103"/>
              <w:ind w:left="89" w:right="58"/>
              <w:rPr>
                <w:sz w:val="20"/>
              </w:rPr>
            </w:pPr>
            <w:r>
              <w:rPr>
                <w:sz w:val="20"/>
              </w:rPr>
              <w:t>NS</w:t>
            </w:r>
          </w:p>
        </w:tc>
      </w:tr>
      <w:tr>
        <w:trPr>
          <w:trHeight w:val="454" w:hRule="exact"/>
        </w:trPr>
        <w:tc>
          <w:tcPr>
            <w:tcW w:w="2427" w:type="dxa"/>
          </w:tcPr>
          <w:p>
            <w:pPr>
              <w:pStyle w:val="TableParagraph"/>
              <w:spacing w:before="104"/>
              <w:ind w:left="69"/>
              <w:jc w:val="left"/>
              <w:rPr>
                <w:sz w:val="20"/>
              </w:rPr>
            </w:pPr>
            <w:r>
              <w:rPr>
                <w:sz w:val="20"/>
              </w:rPr>
              <w:t>Rendimiento Comercial, %</w:t>
            </w:r>
          </w:p>
        </w:tc>
        <w:tc>
          <w:tcPr>
            <w:tcW w:w="568" w:type="dxa"/>
          </w:tcPr>
          <w:p>
            <w:pPr>
              <w:pStyle w:val="TableParagraph"/>
              <w:spacing w:before="104"/>
              <w:ind w:right="116"/>
              <w:jc w:val="right"/>
              <w:rPr>
                <w:sz w:val="20"/>
              </w:rPr>
            </w:pPr>
            <w:r>
              <w:rPr>
                <w:sz w:val="20"/>
              </w:rPr>
              <w:t>45.4</w:t>
            </w:r>
          </w:p>
        </w:tc>
        <w:tc>
          <w:tcPr>
            <w:tcW w:w="655" w:type="dxa"/>
          </w:tcPr>
          <w:p>
            <w:pPr>
              <w:pStyle w:val="TableParagraph"/>
              <w:spacing w:before="104"/>
              <w:ind w:right="159"/>
              <w:jc w:val="right"/>
              <w:rPr>
                <w:sz w:val="20"/>
              </w:rPr>
            </w:pPr>
            <w:r>
              <w:rPr>
                <w:sz w:val="20"/>
              </w:rPr>
              <w:t>45.1</w:t>
            </w:r>
          </w:p>
        </w:tc>
        <w:tc>
          <w:tcPr>
            <w:tcW w:w="675" w:type="dxa"/>
          </w:tcPr>
          <w:p>
            <w:pPr>
              <w:pStyle w:val="TableParagraph"/>
              <w:spacing w:before="104"/>
              <w:ind w:left="135"/>
              <w:jc w:val="left"/>
              <w:rPr>
                <w:sz w:val="20"/>
              </w:rPr>
            </w:pPr>
            <w:r>
              <w:rPr>
                <w:sz w:val="20"/>
              </w:rPr>
              <w:t>46.5</w:t>
            </w:r>
          </w:p>
        </w:tc>
        <w:tc>
          <w:tcPr>
            <w:tcW w:w="848" w:type="dxa"/>
          </w:tcPr>
          <w:p>
            <w:pPr>
              <w:pStyle w:val="TableParagraph"/>
              <w:spacing w:before="104"/>
              <w:ind w:left="166" w:right="153"/>
              <w:rPr>
                <w:sz w:val="20"/>
              </w:rPr>
            </w:pPr>
            <w:r>
              <w:rPr>
                <w:sz w:val="20"/>
              </w:rPr>
              <w:t>2.12</w:t>
            </w:r>
          </w:p>
        </w:tc>
        <w:tc>
          <w:tcPr>
            <w:tcW w:w="1132" w:type="dxa"/>
          </w:tcPr>
          <w:p>
            <w:pPr>
              <w:pStyle w:val="TableParagraph"/>
              <w:spacing w:before="104"/>
              <w:ind w:left="345" w:right="296"/>
              <w:rPr>
                <w:sz w:val="20"/>
              </w:rPr>
            </w:pPr>
            <w:r>
              <w:rPr>
                <w:sz w:val="20"/>
              </w:rPr>
              <w:t>0.112</w:t>
            </w:r>
          </w:p>
        </w:tc>
        <w:tc>
          <w:tcPr>
            <w:tcW w:w="1473" w:type="dxa"/>
          </w:tcPr>
          <w:p>
            <w:pPr>
              <w:pStyle w:val="TableParagraph"/>
              <w:spacing w:before="104"/>
              <w:ind w:left="106" w:right="88"/>
              <w:rPr>
                <w:sz w:val="20"/>
              </w:rPr>
            </w:pPr>
            <w:r>
              <w:rPr>
                <w:sz w:val="20"/>
              </w:rPr>
              <w:t>0.365</w:t>
            </w:r>
          </w:p>
        </w:tc>
        <w:tc>
          <w:tcPr>
            <w:tcW w:w="1203" w:type="dxa"/>
          </w:tcPr>
          <w:p>
            <w:pPr>
              <w:pStyle w:val="TableParagraph"/>
              <w:spacing w:before="104"/>
              <w:ind w:left="89" w:right="58"/>
              <w:rPr>
                <w:sz w:val="20"/>
              </w:rPr>
            </w:pPr>
            <w:r>
              <w:rPr>
                <w:sz w:val="20"/>
              </w:rPr>
              <w:t>NS</w:t>
            </w:r>
          </w:p>
        </w:tc>
      </w:tr>
      <w:tr>
        <w:trPr>
          <w:trHeight w:val="460" w:hRule="exact"/>
        </w:trPr>
        <w:tc>
          <w:tcPr>
            <w:tcW w:w="2427" w:type="dxa"/>
          </w:tcPr>
          <w:p>
            <w:pPr>
              <w:pStyle w:val="TableParagraph"/>
              <w:spacing w:before="106"/>
              <w:ind w:left="69"/>
              <w:jc w:val="left"/>
              <w:rPr>
                <w:sz w:val="13"/>
              </w:rPr>
            </w:pPr>
            <w:r>
              <w:rPr>
                <w:sz w:val="20"/>
              </w:rPr>
              <w:t>Conformación muscular</w:t>
            </w:r>
            <w:r>
              <w:rPr>
                <w:position w:val="7"/>
                <w:sz w:val="13"/>
              </w:rPr>
              <w:t>a</w:t>
            </w:r>
          </w:p>
        </w:tc>
        <w:tc>
          <w:tcPr>
            <w:tcW w:w="568" w:type="dxa"/>
          </w:tcPr>
          <w:p>
            <w:pPr>
              <w:pStyle w:val="TableParagraph"/>
              <w:spacing w:before="111"/>
              <w:ind w:right="166"/>
              <w:jc w:val="right"/>
              <w:rPr>
                <w:sz w:val="20"/>
              </w:rPr>
            </w:pPr>
            <w:r>
              <w:rPr>
                <w:sz w:val="20"/>
              </w:rPr>
              <w:t>2.4</w:t>
            </w:r>
          </w:p>
        </w:tc>
        <w:tc>
          <w:tcPr>
            <w:tcW w:w="655" w:type="dxa"/>
          </w:tcPr>
          <w:p>
            <w:pPr>
              <w:pStyle w:val="TableParagraph"/>
              <w:spacing w:before="111"/>
              <w:ind w:right="209"/>
              <w:jc w:val="right"/>
              <w:rPr>
                <w:sz w:val="20"/>
              </w:rPr>
            </w:pPr>
            <w:r>
              <w:rPr>
                <w:sz w:val="20"/>
              </w:rPr>
              <w:t>2.6</w:t>
            </w:r>
          </w:p>
        </w:tc>
        <w:tc>
          <w:tcPr>
            <w:tcW w:w="675" w:type="dxa"/>
          </w:tcPr>
          <w:p>
            <w:pPr>
              <w:pStyle w:val="TableParagraph"/>
              <w:spacing w:before="111"/>
              <w:ind w:left="185"/>
              <w:jc w:val="left"/>
              <w:rPr>
                <w:sz w:val="20"/>
              </w:rPr>
            </w:pPr>
            <w:r>
              <w:rPr>
                <w:sz w:val="20"/>
              </w:rPr>
              <w:t>2.8</w:t>
            </w:r>
          </w:p>
        </w:tc>
        <w:tc>
          <w:tcPr>
            <w:tcW w:w="848" w:type="dxa"/>
          </w:tcPr>
          <w:p>
            <w:pPr>
              <w:pStyle w:val="TableParagraph"/>
              <w:spacing w:before="111"/>
              <w:ind w:left="166" w:right="153"/>
              <w:rPr>
                <w:sz w:val="20"/>
              </w:rPr>
            </w:pPr>
            <w:r>
              <w:rPr>
                <w:sz w:val="20"/>
              </w:rPr>
              <w:t>0.13</w:t>
            </w:r>
          </w:p>
        </w:tc>
        <w:tc>
          <w:tcPr>
            <w:tcW w:w="1132" w:type="dxa"/>
          </w:tcPr>
          <w:p>
            <w:pPr>
              <w:pStyle w:val="TableParagraph"/>
              <w:spacing w:before="111"/>
              <w:ind w:left="345" w:right="296"/>
              <w:rPr>
                <w:sz w:val="20"/>
              </w:rPr>
            </w:pPr>
            <w:r>
              <w:rPr>
                <w:sz w:val="20"/>
              </w:rPr>
              <w:t>0.551</w:t>
            </w:r>
          </w:p>
        </w:tc>
        <w:tc>
          <w:tcPr>
            <w:tcW w:w="1473" w:type="dxa"/>
          </w:tcPr>
          <w:p>
            <w:pPr>
              <w:pStyle w:val="TableParagraph"/>
              <w:spacing w:before="111"/>
              <w:ind w:left="106" w:right="88"/>
              <w:rPr>
                <w:sz w:val="20"/>
              </w:rPr>
            </w:pPr>
            <w:r>
              <w:rPr>
                <w:sz w:val="20"/>
              </w:rPr>
              <w:t>0.244</w:t>
            </w:r>
          </w:p>
        </w:tc>
        <w:tc>
          <w:tcPr>
            <w:tcW w:w="1203" w:type="dxa"/>
          </w:tcPr>
          <w:p>
            <w:pPr>
              <w:pStyle w:val="TableParagraph"/>
              <w:spacing w:before="111"/>
              <w:ind w:left="32"/>
              <w:rPr>
                <w:sz w:val="20"/>
              </w:rPr>
            </w:pPr>
            <w:r>
              <w:rPr>
                <w:w w:val="99"/>
                <w:sz w:val="20"/>
              </w:rPr>
              <w:t>L</w:t>
            </w:r>
          </w:p>
        </w:tc>
      </w:tr>
      <w:tr>
        <w:trPr>
          <w:trHeight w:val="336" w:hRule="exact"/>
        </w:trPr>
        <w:tc>
          <w:tcPr>
            <w:tcW w:w="2427" w:type="dxa"/>
          </w:tcPr>
          <w:p>
            <w:pPr>
              <w:pStyle w:val="TableParagraph"/>
              <w:spacing w:before="105"/>
              <w:ind w:left="69"/>
              <w:jc w:val="left"/>
              <w:rPr>
                <w:sz w:val="13"/>
              </w:rPr>
            </w:pPr>
            <w:r>
              <w:rPr>
                <w:sz w:val="20"/>
              </w:rPr>
              <w:t>Grasa dorsal</w:t>
            </w:r>
            <w:r>
              <w:rPr>
                <w:position w:val="7"/>
                <w:sz w:val="13"/>
              </w:rPr>
              <w:t>b</w:t>
            </w:r>
          </w:p>
        </w:tc>
        <w:tc>
          <w:tcPr>
            <w:tcW w:w="568" w:type="dxa"/>
          </w:tcPr>
          <w:p>
            <w:pPr>
              <w:pStyle w:val="TableParagraph"/>
              <w:spacing w:before="110"/>
              <w:ind w:right="166"/>
              <w:jc w:val="right"/>
              <w:rPr>
                <w:sz w:val="20"/>
              </w:rPr>
            </w:pPr>
            <w:r>
              <w:rPr>
                <w:sz w:val="20"/>
              </w:rPr>
              <w:t>3.4</w:t>
            </w:r>
          </w:p>
        </w:tc>
        <w:tc>
          <w:tcPr>
            <w:tcW w:w="655" w:type="dxa"/>
          </w:tcPr>
          <w:p>
            <w:pPr>
              <w:pStyle w:val="TableParagraph"/>
              <w:spacing w:before="110"/>
              <w:ind w:right="209"/>
              <w:jc w:val="right"/>
              <w:rPr>
                <w:sz w:val="20"/>
              </w:rPr>
            </w:pPr>
            <w:r>
              <w:rPr>
                <w:sz w:val="20"/>
              </w:rPr>
              <w:t>3.6</w:t>
            </w:r>
          </w:p>
        </w:tc>
        <w:tc>
          <w:tcPr>
            <w:tcW w:w="675" w:type="dxa"/>
          </w:tcPr>
          <w:p>
            <w:pPr>
              <w:pStyle w:val="TableParagraph"/>
              <w:spacing w:before="110"/>
              <w:ind w:left="185"/>
              <w:jc w:val="left"/>
              <w:rPr>
                <w:sz w:val="20"/>
              </w:rPr>
            </w:pPr>
            <w:r>
              <w:rPr>
                <w:sz w:val="20"/>
              </w:rPr>
              <w:t>3.3</w:t>
            </w:r>
          </w:p>
        </w:tc>
        <w:tc>
          <w:tcPr>
            <w:tcW w:w="848" w:type="dxa"/>
          </w:tcPr>
          <w:p>
            <w:pPr>
              <w:pStyle w:val="TableParagraph"/>
              <w:spacing w:before="110"/>
              <w:ind w:left="166" w:right="153"/>
              <w:rPr>
                <w:sz w:val="20"/>
              </w:rPr>
            </w:pPr>
            <w:r>
              <w:rPr>
                <w:sz w:val="20"/>
              </w:rPr>
              <w:t>0.31</w:t>
            </w:r>
          </w:p>
        </w:tc>
        <w:tc>
          <w:tcPr>
            <w:tcW w:w="1132" w:type="dxa"/>
          </w:tcPr>
          <w:p>
            <w:pPr>
              <w:pStyle w:val="TableParagraph"/>
              <w:spacing w:before="110"/>
              <w:ind w:left="345" w:right="296"/>
              <w:rPr>
                <w:sz w:val="20"/>
              </w:rPr>
            </w:pPr>
            <w:r>
              <w:rPr>
                <w:sz w:val="20"/>
              </w:rPr>
              <w:t>0.355</w:t>
            </w:r>
          </w:p>
        </w:tc>
        <w:tc>
          <w:tcPr>
            <w:tcW w:w="1473" w:type="dxa"/>
          </w:tcPr>
          <w:p>
            <w:pPr>
              <w:pStyle w:val="TableParagraph"/>
              <w:spacing w:before="110"/>
              <w:ind w:left="106" w:right="88"/>
              <w:rPr>
                <w:sz w:val="20"/>
              </w:rPr>
            </w:pPr>
            <w:r>
              <w:rPr>
                <w:sz w:val="20"/>
              </w:rPr>
              <w:t>1.000</w:t>
            </w:r>
          </w:p>
        </w:tc>
        <w:tc>
          <w:tcPr>
            <w:tcW w:w="1203" w:type="dxa"/>
          </w:tcPr>
          <w:p>
            <w:pPr>
              <w:pStyle w:val="TableParagraph"/>
              <w:spacing w:before="110"/>
              <w:ind w:left="89" w:right="58"/>
              <w:rPr>
                <w:sz w:val="20"/>
              </w:rPr>
            </w:pPr>
            <w:r>
              <w:rPr>
                <w:sz w:val="20"/>
              </w:rPr>
              <w:t>NS</w:t>
            </w:r>
          </w:p>
        </w:tc>
      </w:tr>
      <w:tr>
        <w:trPr>
          <w:trHeight w:val="585" w:hRule="exact"/>
        </w:trPr>
        <w:tc>
          <w:tcPr>
            <w:tcW w:w="8980" w:type="dxa"/>
            <w:gridSpan w:val="8"/>
          </w:tcPr>
          <w:p>
            <w:pPr>
              <w:pStyle w:val="TableParagraph"/>
              <w:jc w:val="left"/>
              <w:rPr>
                <w:sz w:val="20"/>
              </w:rPr>
            </w:pPr>
          </w:p>
          <w:p>
            <w:pPr>
              <w:pStyle w:val="TableParagraph"/>
              <w:tabs>
                <w:tab w:pos="2575" w:val="left" w:leader="none"/>
                <w:tab w:pos="3187" w:val="left" w:leader="none"/>
                <w:tab w:pos="3910" w:val="left" w:leader="none"/>
                <w:tab w:pos="4580" w:val="left" w:leader="none"/>
                <w:tab w:pos="5537" w:val="left" w:leader="none"/>
                <w:tab w:pos="6824" w:val="left" w:leader="none"/>
                <w:tab w:pos="8334" w:val="left" w:leader="none"/>
              </w:tabs>
              <w:ind w:left="69"/>
              <w:jc w:val="left"/>
              <w:rPr>
                <w:sz w:val="20"/>
              </w:rPr>
            </w:pPr>
            <w:r>
              <w:rPr>
                <w:sz w:val="20"/>
              </w:rPr>
              <w:t>Grasa</w:t>
            </w:r>
            <w:r>
              <w:rPr>
                <w:spacing w:val="-1"/>
                <w:sz w:val="20"/>
              </w:rPr>
              <w:t> </w:t>
            </w:r>
            <w:r>
              <w:rPr>
                <w:sz w:val="20"/>
              </w:rPr>
              <w:t>Perirrenal</w:t>
            </w:r>
            <w:r>
              <w:rPr>
                <w:spacing w:val="32"/>
                <w:sz w:val="20"/>
              </w:rPr>
              <w:t> </w:t>
            </w:r>
            <w:r>
              <w:rPr>
                <w:position w:val="7"/>
                <w:sz w:val="13"/>
              </w:rPr>
              <w:t>c</w:t>
              <w:tab/>
            </w:r>
            <w:r>
              <w:rPr>
                <w:sz w:val="20"/>
              </w:rPr>
              <w:t>3.6</w:t>
              <w:tab/>
              <w:t>2.2</w:t>
              <w:tab/>
              <w:t>2</w:t>
              <w:tab/>
              <w:t>0.18</w:t>
              <w:tab/>
              <w:t>0.010</w:t>
              <w:tab/>
              <w:t>0.001</w:t>
              <w:tab/>
              <w:t>L</w:t>
            </w:r>
          </w:p>
        </w:tc>
      </w:tr>
      <w:tr>
        <w:trPr>
          <w:trHeight w:val="460" w:hRule="exact"/>
        </w:trPr>
        <w:tc>
          <w:tcPr>
            <w:tcW w:w="2427" w:type="dxa"/>
          </w:tcPr>
          <w:p>
            <w:pPr>
              <w:pStyle w:val="TableParagraph"/>
              <w:spacing w:before="106"/>
              <w:ind w:left="69"/>
              <w:jc w:val="left"/>
              <w:rPr>
                <w:sz w:val="13"/>
              </w:rPr>
            </w:pPr>
            <w:r>
              <w:rPr>
                <w:sz w:val="20"/>
              </w:rPr>
              <w:t>Área</w:t>
            </w:r>
            <w:r>
              <w:rPr>
                <w:i/>
                <w:sz w:val="20"/>
              </w:rPr>
              <w:t>Longissimus dorsi</w:t>
            </w:r>
            <w:r>
              <w:rPr>
                <w:sz w:val="20"/>
              </w:rPr>
              <w:t>, cm</w:t>
            </w:r>
            <w:r>
              <w:rPr>
                <w:position w:val="7"/>
                <w:sz w:val="13"/>
              </w:rPr>
              <w:t>2</w:t>
            </w:r>
          </w:p>
        </w:tc>
        <w:tc>
          <w:tcPr>
            <w:tcW w:w="568" w:type="dxa"/>
          </w:tcPr>
          <w:p>
            <w:pPr>
              <w:pStyle w:val="TableParagraph"/>
              <w:spacing w:before="111"/>
              <w:ind w:right="116"/>
              <w:jc w:val="right"/>
              <w:rPr>
                <w:sz w:val="20"/>
              </w:rPr>
            </w:pPr>
            <w:r>
              <w:rPr>
                <w:sz w:val="20"/>
              </w:rPr>
              <w:t>12.7</w:t>
            </w:r>
          </w:p>
        </w:tc>
        <w:tc>
          <w:tcPr>
            <w:tcW w:w="655" w:type="dxa"/>
          </w:tcPr>
          <w:p>
            <w:pPr>
              <w:pStyle w:val="TableParagraph"/>
              <w:spacing w:before="111"/>
              <w:ind w:right="159"/>
              <w:jc w:val="right"/>
              <w:rPr>
                <w:sz w:val="20"/>
              </w:rPr>
            </w:pPr>
            <w:r>
              <w:rPr>
                <w:sz w:val="20"/>
              </w:rPr>
              <w:t>12.2</w:t>
            </w:r>
          </w:p>
        </w:tc>
        <w:tc>
          <w:tcPr>
            <w:tcW w:w="675" w:type="dxa"/>
          </w:tcPr>
          <w:p>
            <w:pPr>
              <w:pStyle w:val="TableParagraph"/>
              <w:spacing w:before="111"/>
              <w:ind w:left="135"/>
              <w:jc w:val="left"/>
              <w:rPr>
                <w:sz w:val="20"/>
              </w:rPr>
            </w:pPr>
            <w:r>
              <w:rPr>
                <w:sz w:val="20"/>
              </w:rPr>
              <w:t>12.8</w:t>
            </w:r>
          </w:p>
        </w:tc>
        <w:tc>
          <w:tcPr>
            <w:tcW w:w="848" w:type="dxa"/>
          </w:tcPr>
          <w:p>
            <w:pPr>
              <w:pStyle w:val="TableParagraph"/>
              <w:spacing w:before="111"/>
              <w:ind w:left="166" w:right="153"/>
              <w:rPr>
                <w:sz w:val="20"/>
              </w:rPr>
            </w:pPr>
            <w:r>
              <w:rPr>
                <w:sz w:val="20"/>
              </w:rPr>
              <w:t>0.83</w:t>
            </w:r>
          </w:p>
        </w:tc>
        <w:tc>
          <w:tcPr>
            <w:tcW w:w="1132" w:type="dxa"/>
          </w:tcPr>
          <w:p>
            <w:pPr>
              <w:pStyle w:val="TableParagraph"/>
              <w:spacing w:before="111"/>
              <w:ind w:left="345" w:right="296"/>
              <w:rPr>
                <w:sz w:val="20"/>
              </w:rPr>
            </w:pPr>
            <w:r>
              <w:rPr>
                <w:sz w:val="20"/>
              </w:rPr>
              <w:t>0.218</w:t>
            </w:r>
          </w:p>
        </w:tc>
        <w:tc>
          <w:tcPr>
            <w:tcW w:w="1473" w:type="dxa"/>
          </w:tcPr>
          <w:p>
            <w:pPr>
              <w:pStyle w:val="TableParagraph"/>
              <w:spacing w:before="111"/>
              <w:ind w:left="106" w:right="88"/>
              <w:rPr>
                <w:sz w:val="20"/>
              </w:rPr>
            </w:pPr>
            <w:r>
              <w:rPr>
                <w:sz w:val="20"/>
              </w:rPr>
              <w:t>0.406</w:t>
            </w:r>
          </w:p>
        </w:tc>
        <w:tc>
          <w:tcPr>
            <w:tcW w:w="1203" w:type="dxa"/>
          </w:tcPr>
          <w:p>
            <w:pPr>
              <w:pStyle w:val="TableParagraph"/>
              <w:spacing w:before="111"/>
              <w:ind w:left="89" w:right="58"/>
              <w:rPr>
                <w:sz w:val="20"/>
              </w:rPr>
            </w:pPr>
            <w:r>
              <w:rPr>
                <w:sz w:val="20"/>
              </w:rPr>
              <w:t>NS</w:t>
            </w:r>
          </w:p>
        </w:tc>
      </w:tr>
      <w:tr>
        <w:trPr>
          <w:trHeight w:val="466" w:hRule="exact"/>
        </w:trPr>
        <w:tc>
          <w:tcPr>
            <w:tcW w:w="2427" w:type="dxa"/>
          </w:tcPr>
          <w:p>
            <w:pPr>
              <w:pStyle w:val="TableParagraph"/>
              <w:spacing w:before="105"/>
              <w:ind w:left="69"/>
              <w:jc w:val="left"/>
              <w:rPr>
                <w:sz w:val="20"/>
              </w:rPr>
            </w:pPr>
            <w:r>
              <w:rPr>
                <w:sz w:val="20"/>
              </w:rPr>
              <w:t>Grasa dorsal 12</w:t>
            </w:r>
            <w:r>
              <w:rPr>
                <w:position w:val="7"/>
                <w:sz w:val="13"/>
              </w:rPr>
              <w:t>a</w:t>
            </w:r>
            <w:r>
              <w:rPr>
                <w:sz w:val="20"/>
              </w:rPr>
              <w:t>, mm</w:t>
            </w:r>
          </w:p>
        </w:tc>
        <w:tc>
          <w:tcPr>
            <w:tcW w:w="568" w:type="dxa"/>
          </w:tcPr>
          <w:p>
            <w:pPr>
              <w:pStyle w:val="TableParagraph"/>
              <w:spacing w:before="110"/>
              <w:ind w:right="166"/>
              <w:jc w:val="right"/>
              <w:rPr>
                <w:sz w:val="20"/>
              </w:rPr>
            </w:pPr>
            <w:r>
              <w:rPr>
                <w:sz w:val="20"/>
              </w:rPr>
              <w:t>3.5</w:t>
            </w:r>
          </w:p>
        </w:tc>
        <w:tc>
          <w:tcPr>
            <w:tcW w:w="655" w:type="dxa"/>
          </w:tcPr>
          <w:p>
            <w:pPr>
              <w:pStyle w:val="TableParagraph"/>
              <w:spacing w:before="110"/>
              <w:ind w:right="209"/>
              <w:jc w:val="right"/>
              <w:rPr>
                <w:sz w:val="20"/>
              </w:rPr>
            </w:pPr>
            <w:r>
              <w:rPr>
                <w:sz w:val="20"/>
              </w:rPr>
              <w:t>3.6</w:t>
            </w:r>
          </w:p>
        </w:tc>
        <w:tc>
          <w:tcPr>
            <w:tcW w:w="675" w:type="dxa"/>
          </w:tcPr>
          <w:p>
            <w:pPr>
              <w:pStyle w:val="TableParagraph"/>
              <w:spacing w:before="110"/>
              <w:ind w:right="52"/>
              <w:rPr>
                <w:sz w:val="20"/>
              </w:rPr>
            </w:pPr>
            <w:r>
              <w:rPr>
                <w:w w:val="99"/>
                <w:sz w:val="20"/>
              </w:rPr>
              <w:t>4</w:t>
            </w:r>
          </w:p>
        </w:tc>
        <w:tc>
          <w:tcPr>
            <w:tcW w:w="848" w:type="dxa"/>
          </w:tcPr>
          <w:p>
            <w:pPr>
              <w:pStyle w:val="TableParagraph"/>
              <w:spacing w:before="110"/>
              <w:ind w:left="166" w:right="153"/>
              <w:rPr>
                <w:sz w:val="20"/>
              </w:rPr>
            </w:pPr>
            <w:r>
              <w:rPr>
                <w:sz w:val="20"/>
              </w:rPr>
              <w:t>0.51</w:t>
            </w:r>
          </w:p>
        </w:tc>
        <w:tc>
          <w:tcPr>
            <w:tcW w:w="1132" w:type="dxa"/>
          </w:tcPr>
          <w:p>
            <w:pPr>
              <w:pStyle w:val="TableParagraph"/>
              <w:spacing w:before="110"/>
              <w:ind w:left="345" w:right="296"/>
              <w:rPr>
                <w:sz w:val="20"/>
              </w:rPr>
            </w:pPr>
            <w:r>
              <w:rPr>
                <w:sz w:val="20"/>
              </w:rPr>
              <w:t>0.498</w:t>
            </w:r>
          </w:p>
        </w:tc>
        <w:tc>
          <w:tcPr>
            <w:tcW w:w="1473" w:type="dxa"/>
          </w:tcPr>
          <w:p>
            <w:pPr>
              <w:pStyle w:val="TableParagraph"/>
              <w:spacing w:before="110"/>
              <w:ind w:left="106" w:right="88"/>
              <w:rPr>
                <w:sz w:val="20"/>
              </w:rPr>
            </w:pPr>
            <w:r>
              <w:rPr>
                <w:sz w:val="20"/>
              </w:rPr>
              <w:t>0.533</w:t>
            </w:r>
          </w:p>
        </w:tc>
        <w:tc>
          <w:tcPr>
            <w:tcW w:w="1203" w:type="dxa"/>
          </w:tcPr>
          <w:p>
            <w:pPr>
              <w:pStyle w:val="TableParagraph"/>
              <w:spacing w:before="110"/>
              <w:ind w:left="89" w:right="58"/>
              <w:rPr>
                <w:sz w:val="20"/>
              </w:rPr>
            </w:pPr>
            <w:r>
              <w:rPr>
                <w:sz w:val="20"/>
              </w:rPr>
              <w:t>NS</w:t>
            </w:r>
          </w:p>
        </w:tc>
      </w:tr>
      <w:tr>
        <w:trPr>
          <w:trHeight w:val="461" w:hRule="exact"/>
        </w:trPr>
        <w:tc>
          <w:tcPr>
            <w:tcW w:w="2427" w:type="dxa"/>
          </w:tcPr>
          <w:p>
            <w:pPr>
              <w:pStyle w:val="TableParagraph"/>
              <w:spacing w:before="104"/>
              <w:ind w:left="69"/>
              <w:jc w:val="left"/>
              <w:rPr>
                <w:sz w:val="20"/>
              </w:rPr>
            </w:pPr>
            <w:r>
              <w:rPr>
                <w:sz w:val="20"/>
              </w:rPr>
              <w:t>Longitud de canal, cm</w:t>
            </w:r>
          </w:p>
        </w:tc>
        <w:tc>
          <w:tcPr>
            <w:tcW w:w="568" w:type="dxa"/>
          </w:tcPr>
          <w:p>
            <w:pPr>
              <w:pStyle w:val="TableParagraph"/>
              <w:spacing w:before="104"/>
              <w:ind w:right="116"/>
              <w:jc w:val="right"/>
              <w:rPr>
                <w:sz w:val="20"/>
              </w:rPr>
            </w:pPr>
            <w:r>
              <w:rPr>
                <w:sz w:val="20"/>
              </w:rPr>
              <w:t>69.3</w:t>
            </w:r>
          </w:p>
        </w:tc>
        <w:tc>
          <w:tcPr>
            <w:tcW w:w="655" w:type="dxa"/>
          </w:tcPr>
          <w:p>
            <w:pPr>
              <w:pStyle w:val="TableParagraph"/>
              <w:spacing w:before="104"/>
              <w:ind w:right="159"/>
              <w:jc w:val="right"/>
              <w:rPr>
                <w:sz w:val="20"/>
              </w:rPr>
            </w:pPr>
            <w:r>
              <w:rPr>
                <w:sz w:val="20"/>
              </w:rPr>
              <w:t>70.2</w:t>
            </w:r>
          </w:p>
        </w:tc>
        <w:tc>
          <w:tcPr>
            <w:tcW w:w="675" w:type="dxa"/>
          </w:tcPr>
          <w:p>
            <w:pPr>
              <w:pStyle w:val="TableParagraph"/>
              <w:spacing w:before="104"/>
              <w:ind w:left="135"/>
              <w:jc w:val="left"/>
              <w:rPr>
                <w:sz w:val="20"/>
              </w:rPr>
            </w:pPr>
            <w:r>
              <w:rPr>
                <w:sz w:val="20"/>
              </w:rPr>
              <w:t>69.4</w:t>
            </w:r>
          </w:p>
        </w:tc>
        <w:tc>
          <w:tcPr>
            <w:tcW w:w="848" w:type="dxa"/>
          </w:tcPr>
          <w:p>
            <w:pPr>
              <w:pStyle w:val="TableParagraph"/>
              <w:spacing w:before="104"/>
              <w:ind w:left="166" w:right="153"/>
              <w:rPr>
                <w:sz w:val="20"/>
              </w:rPr>
            </w:pPr>
            <w:r>
              <w:rPr>
                <w:sz w:val="20"/>
              </w:rPr>
              <w:t>2.3</w:t>
            </w:r>
          </w:p>
        </w:tc>
        <w:tc>
          <w:tcPr>
            <w:tcW w:w="1132" w:type="dxa"/>
          </w:tcPr>
          <w:p>
            <w:pPr>
              <w:pStyle w:val="TableParagraph"/>
              <w:spacing w:before="104"/>
              <w:ind w:left="345" w:right="296"/>
              <w:rPr>
                <w:sz w:val="20"/>
              </w:rPr>
            </w:pPr>
            <w:r>
              <w:rPr>
                <w:sz w:val="20"/>
              </w:rPr>
              <w:t>0.426</w:t>
            </w:r>
          </w:p>
        </w:tc>
        <w:tc>
          <w:tcPr>
            <w:tcW w:w="1473" w:type="dxa"/>
          </w:tcPr>
          <w:p>
            <w:pPr>
              <w:pStyle w:val="TableParagraph"/>
              <w:spacing w:before="104"/>
              <w:ind w:left="106" w:right="88"/>
              <w:rPr>
                <w:sz w:val="20"/>
              </w:rPr>
            </w:pPr>
            <w:r>
              <w:rPr>
                <w:sz w:val="20"/>
              </w:rPr>
              <w:t>0.850</w:t>
            </w:r>
          </w:p>
        </w:tc>
        <w:tc>
          <w:tcPr>
            <w:tcW w:w="1203" w:type="dxa"/>
          </w:tcPr>
          <w:p>
            <w:pPr>
              <w:pStyle w:val="TableParagraph"/>
              <w:spacing w:before="104"/>
              <w:ind w:left="89" w:right="58"/>
              <w:rPr>
                <w:sz w:val="20"/>
              </w:rPr>
            </w:pPr>
            <w:r>
              <w:rPr>
                <w:sz w:val="20"/>
              </w:rPr>
              <w:t>NS</w:t>
            </w:r>
          </w:p>
        </w:tc>
      </w:tr>
      <w:tr>
        <w:trPr>
          <w:trHeight w:val="460" w:hRule="exact"/>
        </w:trPr>
        <w:tc>
          <w:tcPr>
            <w:tcW w:w="2427" w:type="dxa"/>
          </w:tcPr>
          <w:p>
            <w:pPr>
              <w:pStyle w:val="TableParagraph"/>
              <w:spacing w:before="104"/>
              <w:ind w:left="69"/>
              <w:jc w:val="left"/>
              <w:rPr>
                <w:sz w:val="20"/>
              </w:rPr>
            </w:pPr>
            <w:r>
              <w:rPr>
                <w:sz w:val="20"/>
              </w:rPr>
              <w:t>Longitud de pierna, cm</w:t>
            </w:r>
          </w:p>
        </w:tc>
        <w:tc>
          <w:tcPr>
            <w:tcW w:w="568" w:type="dxa"/>
          </w:tcPr>
          <w:p>
            <w:pPr>
              <w:pStyle w:val="TableParagraph"/>
              <w:spacing w:before="104"/>
              <w:ind w:right="116"/>
              <w:jc w:val="right"/>
              <w:rPr>
                <w:sz w:val="20"/>
              </w:rPr>
            </w:pPr>
            <w:r>
              <w:rPr>
                <w:sz w:val="20"/>
              </w:rPr>
              <w:t>30.0</w:t>
            </w:r>
          </w:p>
        </w:tc>
        <w:tc>
          <w:tcPr>
            <w:tcW w:w="655" w:type="dxa"/>
          </w:tcPr>
          <w:p>
            <w:pPr>
              <w:pStyle w:val="TableParagraph"/>
              <w:spacing w:before="104"/>
              <w:ind w:right="159"/>
              <w:jc w:val="right"/>
              <w:rPr>
                <w:sz w:val="20"/>
              </w:rPr>
            </w:pPr>
            <w:r>
              <w:rPr>
                <w:sz w:val="20"/>
              </w:rPr>
              <w:t>31.3</w:t>
            </w:r>
          </w:p>
        </w:tc>
        <w:tc>
          <w:tcPr>
            <w:tcW w:w="675" w:type="dxa"/>
          </w:tcPr>
          <w:p>
            <w:pPr>
              <w:pStyle w:val="TableParagraph"/>
              <w:spacing w:before="104"/>
              <w:ind w:left="135"/>
              <w:jc w:val="left"/>
              <w:rPr>
                <w:sz w:val="20"/>
              </w:rPr>
            </w:pPr>
            <w:r>
              <w:rPr>
                <w:sz w:val="20"/>
              </w:rPr>
              <w:t>30.1</w:t>
            </w:r>
          </w:p>
        </w:tc>
        <w:tc>
          <w:tcPr>
            <w:tcW w:w="848" w:type="dxa"/>
          </w:tcPr>
          <w:p>
            <w:pPr>
              <w:pStyle w:val="TableParagraph"/>
              <w:spacing w:before="104"/>
              <w:ind w:left="166" w:right="153"/>
              <w:rPr>
                <w:sz w:val="20"/>
              </w:rPr>
            </w:pPr>
            <w:r>
              <w:rPr>
                <w:sz w:val="20"/>
              </w:rPr>
              <w:t>1.91</w:t>
            </w:r>
          </w:p>
        </w:tc>
        <w:tc>
          <w:tcPr>
            <w:tcW w:w="1132" w:type="dxa"/>
          </w:tcPr>
          <w:p>
            <w:pPr>
              <w:pStyle w:val="TableParagraph"/>
              <w:spacing w:before="104"/>
              <w:ind w:left="345" w:right="296"/>
              <w:rPr>
                <w:sz w:val="20"/>
              </w:rPr>
            </w:pPr>
            <w:r>
              <w:rPr>
                <w:sz w:val="20"/>
              </w:rPr>
              <w:t>0.033</w:t>
            </w:r>
          </w:p>
        </w:tc>
        <w:tc>
          <w:tcPr>
            <w:tcW w:w="1473" w:type="dxa"/>
          </w:tcPr>
          <w:p>
            <w:pPr>
              <w:pStyle w:val="TableParagraph"/>
              <w:spacing w:before="104"/>
              <w:ind w:left="106" w:right="88"/>
              <w:rPr>
                <w:sz w:val="20"/>
              </w:rPr>
            </w:pPr>
            <w:r>
              <w:rPr>
                <w:sz w:val="20"/>
              </w:rPr>
              <w:t>0.194</w:t>
            </w:r>
          </w:p>
        </w:tc>
        <w:tc>
          <w:tcPr>
            <w:tcW w:w="1203" w:type="dxa"/>
          </w:tcPr>
          <w:p>
            <w:pPr>
              <w:pStyle w:val="TableParagraph"/>
              <w:spacing w:before="104"/>
              <w:ind w:left="89" w:right="58"/>
              <w:rPr>
                <w:sz w:val="20"/>
              </w:rPr>
            </w:pPr>
            <w:r>
              <w:rPr>
                <w:sz w:val="20"/>
              </w:rPr>
              <w:t>NS</w:t>
            </w:r>
          </w:p>
        </w:tc>
      </w:tr>
      <w:tr>
        <w:trPr>
          <w:trHeight w:val="460" w:hRule="exact"/>
        </w:trPr>
        <w:tc>
          <w:tcPr>
            <w:tcW w:w="2427" w:type="dxa"/>
          </w:tcPr>
          <w:p>
            <w:pPr>
              <w:pStyle w:val="TableParagraph"/>
              <w:spacing w:before="103"/>
              <w:ind w:left="69"/>
              <w:jc w:val="left"/>
              <w:rPr>
                <w:sz w:val="20"/>
              </w:rPr>
            </w:pPr>
            <w:r>
              <w:rPr>
                <w:sz w:val="20"/>
              </w:rPr>
              <w:t>Perímetro de pierna, cm</w:t>
            </w:r>
          </w:p>
        </w:tc>
        <w:tc>
          <w:tcPr>
            <w:tcW w:w="568" w:type="dxa"/>
          </w:tcPr>
          <w:p>
            <w:pPr>
              <w:pStyle w:val="TableParagraph"/>
              <w:spacing w:before="103"/>
              <w:ind w:right="116"/>
              <w:jc w:val="right"/>
              <w:rPr>
                <w:sz w:val="20"/>
              </w:rPr>
            </w:pPr>
            <w:r>
              <w:rPr>
                <w:sz w:val="20"/>
              </w:rPr>
              <w:t>38.8</w:t>
            </w:r>
          </w:p>
        </w:tc>
        <w:tc>
          <w:tcPr>
            <w:tcW w:w="655" w:type="dxa"/>
          </w:tcPr>
          <w:p>
            <w:pPr>
              <w:pStyle w:val="TableParagraph"/>
              <w:spacing w:before="103"/>
              <w:ind w:right="159"/>
              <w:jc w:val="right"/>
              <w:rPr>
                <w:sz w:val="20"/>
              </w:rPr>
            </w:pPr>
            <w:r>
              <w:rPr>
                <w:sz w:val="20"/>
              </w:rPr>
              <w:t>41.2</w:t>
            </w:r>
          </w:p>
        </w:tc>
        <w:tc>
          <w:tcPr>
            <w:tcW w:w="675" w:type="dxa"/>
          </w:tcPr>
          <w:p>
            <w:pPr>
              <w:pStyle w:val="TableParagraph"/>
              <w:spacing w:before="103"/>
              <w:ind w:left="135"/>
              <w:jc w:val="left"/>
              <w:rPr>
                <w:sz w:val="20"/>
              </w:rPr>
            </w:pPr>
            <w:r>
              <w:rPr>
                <w:sz w:val="20"/>
              </w:rPr>
              <w:t>42.8</w:t>
            </w:r>
          </w:p>
        </w:tc>
        <w:tc>
          <w:tcPr>
            <w:tcW w:w="848" w:type="dxa"/>
          </w:tcPr>
          <w:p>
            <w:pPr>
              <w:pStyle w:val="TableParagraph"/>
              <w:spacing w:before="103"/>
              <w:ind w:left="166" w:right="153"/>
              <w:rPr>
                <w:sz w:val="20"/>
              </w:rPr>
            </w:pPr>
            <w:r>
              <w:rPr>
                <w:sz w:val="20"/>
              </w:rPr>
              <w:t>1.13</w:t>
            </w:r>
          </w:p>
        </w:tc>
        <w:tc>
          <w:tcPr>
            <w:tcW w:w="1132" w:type="dxa"/>
          </w:tcPr>
          <w:p>
            <w:pPr>
              <w:pStyle w:val="TableParagraph"/>
              <w:spacing w:before="103"/>
              <w:ind w:left="345" w:right="296"/>
              <w:rPr>
                <w:sz w:val="20"/>
              </w:rPr>
            </w:pPr>
            <w:r>
              <w:rPr>
                <w:sz w:val="20"/>
              </w:rPr>
              <w:t>0.355</w:t>
            </w:r>
          </w:p>
        </w:tc>
        <w:tc>
          <w:tcPr>
            <w:tcW w:w="1473" w:type="dxa"/>
          </w:tcPr>
          <w:p>
            <w:pPr>
              <w:pStyle w:val="TableParagraph"/>
              <w:spacing w:before="103"/>
              <w:ind w:left="106" w:right="88"/>
              <w:rPr>
                <w:sz w:val="20"/>
              </w:rPr>
            </w:pPr>
            <w:r>
              <w:rPr>
                <w:sz w:val="20"/>
              </w:rPr>
              <w:t>0.036</w:t>
            </w:r>
          </w:p>
        </w:tc>
        <w:tc>
          <w:tcPr>
            <w:tcW w:w="1203" w:type="dxa"/>
          </w:tcPr>
          <w:p>
            <w:pPr>
              <w:pStyle w:val="TableParagraph"/>
              <w:spacing w:before="103"/>
              <w:ind w:left="32"/>
              <w:rPr>
                <w:sz w:val="20"/>
              </w:rPr>
            </w:pPr>
            <w:r>
              <w:rPr>
                <w:w w:val="99"/>
                <w:sz w:val="20"/>
              </w:rPr>
              <w:t>L</w:t>
            </w:r>
          </w:p>
        </w:tc>
      </w:tr>
      <w:tr>
        <w:trPr>
          <w:trHeight w:val="460" w:hRule="exact"/>
        </w:trPr>
        <w:tc>
          <w:tcPr>
            <w:tcW w:w="2427" w:type="dxa"/>
          </w:tcPr>
          <w:p>
            <w:pPr>
              <w:pStyle w:val="TableParagraph"/>
              <w:spacing w:before="104"/>
              <w:ind w:left="69"/>
              <w:jc w:val="left"/>
              <w:rPr>
                <w:sz w:val="20"/>
              </w:rPr>
            </w:pPr>
            <w:r>
              <w:rPr>
                <w:sz w:val="20"/>
              </w:rPr>
              <w:t>Ancho de grupa, cm</w:t>
            </w:r>
          </w:p>
        </w:tc>
        <w:tc>
          <w:tcPr>
            <w:tcW w:w="568" w:type="dxa"/>
          </w:tcPr>
          <w:p>
            <w:pPr>
              <w:pStyle w:val="TableParagraph"/>
              <w:spacing w:before="104"/>
              <w:ind w:right="191"/>
              <w:jc w:val="right"/>
              <w:rPr>
                <w:sz w:val="20"/>
              </w:rPr>
            </w:pPr>
            <w:r>
              <w:rPr>
                <w:sz w:val="20"/>
              </w:rPr>
              <w:t>19</w:t>
            </w:r>
          </w:p>
        </w:tc>
        <w:tc>
          <w:tcPr>
            <w:tcW w:w="655" w:type="dxa"/>
          </w:tcPr>
          <w:p>
            <w:pPr>
              <w:pStyle w:val="TableParagraph"/>
              <w:spacing w:before="104"/>
              <w:ind w:right="159"/>
              <w:jc w:val="right"/>
              <w:rPr>
                <w:sz w:val="20"/>
              </w:rPr>
            </w:pPr>
            <w:r>
              <w:rPr>
                <w:sz w:val="20"/>
              </w:rPr>
              <w:t>19.9</w:t>
            </w:r>
          </w:p>
        </w:tc>
        <w:tc>
          <w:tcPr>
            <w:tcW w:w="675" w:type="dxa"/>
          </w:tcPr>
          <w:p>
            <w:pPr>
              <w:pStyle w:val="TableParagraph"/>
              <w:spacing w:before="104"/>
              <w:ind w:left="135"/>
              <w:jc w:val="left"/>
              <w:rPr>
                <w:sz w:val="20"/>
              </w:rPr>
            </w:pPr>
            <w:r>
              <w:rPr>
                <w:sz w:val="20"/>
              </w:rPr>
              <w:t>19.8</w:t>
            </w:r>
          </w:p>
        </w:tc>
        <w:tc>
          <w:tcPr>
            <w:tcW w:w="848" w:type="dxa"/>
          </w:tcPr>
          <w:p>
            <w:pPr>
              <w:pStyle w:val="TableParagraph"/>
              <w:spacing w:before="104"/>
              <w:ind w:left="166" w:right="153"/>
              <w:rPr>
                <w:sz w:val="20"/>
              </w:rPr>
            </w:pPr>
            <w:r>
              <w:rPr>
                <w:sz w:val="20"/>
              </w:rPr>
              <w:t>1.36</w:t>
            </w:r>
          </w:p>
        </w:tc>
        <w:tc>
          <w:tcPr>
            <w:tcW w:w="1132" w:type="dxa"/>
          </w:tcPr>
          <w:p>
            <w:pPr>
              <w:pStyle w:val="TableParagraph"/>
              <w:spacing w:before="104"/>
              <w:ind w:left="345" w:right="296"/>
              <w:rPr>
                <w:sz w:val="20"/>
              </w:rPr>
            </w:pPr>
            <w:r>
              <w:rPr>
                <w:sz w:val="20"/>
              </w:rPr>
              <w:t>0.835</w:t>
            </w:r>
          </w:p>
        </w:tc>
        <w:tc>
          <w:tcPr>
            <w:tcW w:w="1473" w:type="dxa"/>
          </w:tcPr>
          <w:p>
            <w:pPr>
              <w:pStyle w:val="TableParagraph"/>
              <w:spacing w:before="104"/>
              <w:ind w:left="106" w:right="88"/>
              <w:rPr>
                <w:sz w:val="20"/>
              </w:rPr>
            </w:pPr>
            <w:r>
              <w:rPr>
                <w:sz w:val="20"/>
              </w:rPr>
              <w:t>0.101</w:t>
            </w:r>
          </w:p>
        </w:tc>
        <w:tc>
          <w:tcPr>
            <w:tcW w:w="1203" w:type="dxa"/>
          </w:tcPr>
          <w:p>
            <w:pPr>
              <w:pStyle w:val="TableParagraph"/>
              <w:spacing w:before="104"/>
              <w:ind w:left="89" w:right="58"/>
              <w:rPr>
                <w:sz w:val="20"/>
              </w:rPr>
            </w:pPr>
            <w:r>
              <w:rPr>
                <w:sz w:val="20"/>
              </w:rPr>
              <w:t>NS</w:t>
            </w:r>
          </w:p>
        </w:tc>
      </w:tr>
      <w:tr>
        <w:trPr>
          <w:trHeight w:val="460" w:hRule="exact"/>
        </w:trPr>
        <w:tc>
          <w:tcPr>
            <w:tcW w:w="2427" w:type="dxa"/>
          </w:tcPr>
          <w:p>
            <w:pPr>
              <w:pStyle w:val="TableParagraph"/>
              <w:spacing w:before="103"/>
              <w:ind w:left="69"/>
              <w:jc w:val="left"/>
              <w:rPr>
                <w:sz w:val="20"/>
              </w:rPr>
            </w:pPr>
            <w:r>
              <w:rPr>
                <w:sz w:val="20"/>
              </w:rPr>
              <w:t>Ancho mayor de tórax, cm</w:t>
            </w:r>
          </w:p>
        </w:tc>
        <w:tc>
          <w:tcPr>
            <w:tcW w:w="568" w:type="dxa"/>
          </w:tcPr>
          <w:p>
            <w:pPr>
              <w:pStyle w:val="TableParagraph"/>
              <w:spacing w:before="103"/>
              <w:ind w:right="116"/>
              <w:jc w:val="right"/>
              <w:rPr>
                <w:sz w:val="20"/>
              </w:rPr>
            </w:pPr>
            <w:r>
              <w:rPr>
                <w:sz w:val="20"/>
              </w:rPr>
              <w:t>21.6</w:t>
            </w:r>
          </w:p>
        </w:tc>
        <w:tc>
          <w:tcPr>
            <w:tcW w:w="655" w:type="dxa"/>
          </w:tcPr>
          <w:p>
            <w:pPr>
              <w:pStyle w:val="TableParagraph"/>
              <w:spacing w:before="103"/>
              <w:ind w:right="159"/>
              <w:jc w:val="right"/>
              <w:rPr>
                <w:sz w:val="20"/>
              </w:rPr>
            </w:pPr>
            <w:r>
              <w:rPr>
                <w:sz w:val="20"/>
              </w:rPr>
              <w:t>22.2</w:t>
            </w:r>
          </w:p>
        </w:tc>
        <w:tc>
          <w:tcPr>
            <w:tcW w:w="675" w:type="dxa"/>
          </w:tcPr>
          <w:p>
            <w:pPr>
              <w:pStyle w:val="TableParagraph"/>
              <w:spacing w:before="103"/>
              <w:ind w:left="209"/>
              <w:jc w:val="left"/>
              <w:rPr>
                <w:sz w:val="20"/>
              </w:rPr>
            </w:pPr>
            <w:r>
              <w:rPr>
                <w:sz w:val="20"/>
              </w:rPr>
              <w:t>22</w:t>
            </w:r>
          </w:p>
        </w:tc>
        <w:tc>
          <w:tcPr>
            <w:tcW w:w="848" w:type="dxa"/>
          </w:tcPr>
          <w:p>
            <w:pPr>
              <w:pStyle w:val="TableParagraph"/>
              <w:spacing w:before="103"/>
              <w:ind w:left="166" w:right="153"/>
              <w:rPr>
                <w:sz w:val="20"/>
              </w:rPr>
            </w:pPr>
            <w:r>
              <w:rPr>
                <w:sz w:val="20"/>
              </w:rPr>
              <w:t>0.58</w:t>
            </w:r>
          </w:p>
        </w:tc>
        <w:tc>
          <w:tcPr>
            <w:tcW w:w="1132" w:type="dxa"/>
          </w:tcPr>
          <w:p>
            <w:pPr>
              <w:pStyle w:val="TableParagraph"/>
              <w:spacing w:before="103"/>
              <w:ind w:left="345" w:right="296"/>
              <w:rPr>
                <w:sz w:val="20"/>
              </w:rPr>
            </w:pPr>
            <w:r>
              <w:rPr>
                <w:sz w:val="20"/>
              </w:rPr>
              <w:t>0.748</w:t>
            </w:r>
          </w:p>
        </w:tc>
        <w:tc>
          <w:tcPr>
            <w:tcW w:w="1473" w:type="dxa"/>
          </w:tcPr>
          <w:p>
            <w:pPr>
              <w:pStyle w:val="TableParagraph"/>
              <w:spacing w:before="103"/>
              <w:ind w:left="106" w:right="88"/>
              <w:rPr>
                <w:sz w:val="20"/>
              </w:rPr>
            </w:pPr>
            <w:r>
              <w:rPr>
                <w:sz w:val="20"/>
              </w:rPr>
              <w:t>0.471</w:t>
            </w:r>
          </w:p>
        </w:tc>
        <w:tc>
          <w:tcPr>
            <w:tcW w:w="1203" w:type="dxa"/>
          </w:tcPr>
          <w:p>
            <w:pPr>
              <w:pStyle w:val="TableParagraph"/>
              <w:spacing w:before="103"/>
              <w:ind w:left="89" w:right="58"/>
              <w:rPr>
                <w:sz w:val="20"/>
              </w:rPr>
            </w:pPr>
            <w:r>
              <w:rPr>
                <w:sz w:val="20"/>
              </w:rPr>
              <w:t>NS</w:t>
            </w:r>
          </w:p>
        </w:tc>
      </w:tr>
      <w:tr>
        <w:trPr>
          <w:trHeight w:val="430" w:hRule="exact"/>
        </w:trPr>
        <w:tc>
          <w:tcPr>
            <w:tcW w:w="2427" w:type="dxa"/>
          </w:tcPr>
          <w:p>
            <w:pPr>
              <w:pStyle w:val="TableParagraph"/>
              <w:spacing w:before="104"/>
              <w:ind w:left="69"/>
              <w:jc w:val="left"/>
              <w:rPr>
                <w:sz w:val="20"/>
              </w:rPr>
            </w:pPr>
            <w:r>
              <w:rPr>
                <w:sz w:val="20"/>
              </w:rPr>
              <w:t>Ancho menor de tórax, cm</w:t>
            </w:r>
          </w:p>
        </w:tc>
        <w:tc>
          <w:tcPr>
            <w:tcW w:w="568" w:type="dxa"/>
          </w:tcPr>
          <w:p>
            <w:pPr>
              <w:pStyle w:val="TableParagraph"/>
              <w:spacing w:before="104"/>
              <w:ind w:right="116"/>
              <w:jc w:val="right"/>
              <w:rPr>
                <w:sz w:val="20"/>
              </w:rPr>
            </w:pPr>
            <w:r>
              <w:rPr>
                <w:sz w:val="20"/>
              </w:rPr>
              <w:t>17.3</w:t>
            </w:r>
          </w:p>
        </w:tc>
        <w:tc>
          <w:tcPr>
            <w:tcW w:w="655" w:type="dxa"/>
          </w:tcPr>
          <w:p>
            <w:pPr>
              <w:pStyle w:val="TableParagraph"/>
              <w:spacing w:before="104"/>
              <w:ind w:right="159"/>
              <w:jc w:val="right"/>
              <w:rPr>
                <w:sz w:val="20"/>
              </w:rPr>
            </w:pPr>
            <w:r>
              <w:rPr>
                <w:sz w:val="20"/>
              </w:rPr>
              <w:t>17.7</w:t>
            </w:r>
          </w:p>
        </w:tc>
        <w:tc>
          <w:tcPr>
            <w:tcW w:w="675" w:type="dxa"/>
          </w:tcPr>
          <w:p>
            <w:pPr>
              <w:pStyle w:val="TableParagraph"/>
              <w:spacing w:before="104"/>
              <w:ind w:left="135"/>
              <w:jc w:val="left"/>
              <w:rPr>
                <w:sz w:val="20"/>
              </w:rPr>
            </w:pPr>
            <w:r>
              <w:rPr>
                <w:sz w:val="20"/>
              </w:rPr>
              <w:t>17.8</w:t>
            </w:r>
          </w:p>
        </w:tc>
        <w:tc>
          <w:tcPr>
            <w:tcW w:w="848" w:type="dxa"/>
          </w:tcPr>
          <w:p>
            <w:pPr>
              <w:pStyle w:val="TableParagraph"/>
              <w:spacing w:before="104"/>
              <w:ind w:left="166" w:right="153"/>
              <w:rPr>
                <w:sz w:val="20"/>
              </w:rPr>
            </w:pPr>
            <w:r>
              <w:rPr>
                <w:sz w:val="20"/>
              </w:rPr>
              <w:t>0.62</w:t>
            </w:r>
          </w:p>
        </w:tc>
        <w:tc>
          <w:tcPr>
            <w:tcW w:w="1132" w:type="dxa"/>
          </w:tcPr>
          <w:p>
            <w:pPr>
              <w:pStyle w:val="TableParagraph"/>
              <w:spacing w:before="104"/>
              <w:ind w:left="345" w:right="296"/>
              <w:rPr>
                <w:sz w:val="20"/>
              </w:rPr>
            </w:pPr>
            <w:r>
              <w:rPr>
                <w:sz w:val="20"/>
              </w:rPr>
              <w:t>0.873</w:t>
            </w:r>
          </w:p>
        </w:tc>
        <w:tc>
          <w:tcPr>
            <w:tcW w:w="1473" w:type="dxa"/>
          </w:tcPr>
          <w:p>
            <w:pPr>
              <w:pStyle w:val="TableParagraph"/>
              <w:spacing w:before="104"/>
              <w:ind w:left="106" w:right="88"/>
              <w:rPr>
                <w:sz w:val="20"/>
              </w:rPr>
            </w:pPr>
            <w:r>
              <w:rPr>
                <w:sz w:val="20"/>
              </w:rPr>
              <w:t>0.305</w:t>
            </w:r>
          </w:p>
        </w:tc>
        <w:tc>
          <w:tcPr>
            <w:tcW w:w="1203" w:type="dxa"/>
          </w:tcPr>
          <w:p>
            <w:pPr>
              <w:pStyle w:val="TableParagraph"/>
              <w:spacing w:before="104"/>
              <w:ind w:left="89" w:right="58"/>
              <w:rPr>
                <w:sz w:val="20"/>
              </w:rPr>
            </w:pPr>
            <w:r>
              <w:rPr>
                <w:sz w:val="20"/>
              </w:rPr>
              <w:t>NS</w:t>
            </w:r>
          </w:p>
        </w:tc>
      </w:tr>
    </w:tbl>
    <w:p>
      <w:pPr>
        <w:pStyle w:val="BodyText"/>
        <w:spacing w:before="10"/>
        <w:rPr>
          <w:sz w:val="8"/>
        </w:rPr>
      </w:pPr>
      <w:r>
        <w:rPr/>
        <w:pict>
          <v:group style="position:absolute;margin-left:88.924004pt;margin-top:7.07454pt;width:450.75pt;height:1pt;mso-position-horizontal-relative:page;mso-position-vertical-relative:paragraph;z-index:1936;mso-wrap-distance-left:0;mso-wrap-distance-right:0" coordorigin="1778,141" coordsize="9015,20">
            <v:line style="position:absolute" from="1788,151" to="4222,151" stroked="true" strokeweight=".96002pt" strokecolor="#000000"/>
            <v:line style="position:absolute" from="4208,151" to="4227,151" stroked="true" strokeweight=".96002pt" strokecolor="#000000"/>
            <v:line style="position:absolute" from="4227,151" to="4784,151" stroked="true" strokeweight=".96002pt" strokecolor="#000000"/>
            <v:line style="position:absolute" from="4770,151" to="4789,151" stroked="true" strokeweight=".96002pt" strokecolor="#000000"/>
            <v:line style="position:absolute" from="4789,151" to="5449,151" stroked="true" strokeweight=".96002pt" strokecolor="#000000"/>
            <v:line style="position:absolute" from="5435,151" to="5454,151" stroked="true" strokeweight=".96002pt" strokecolor="#000000"/>
            <v:line style="position:absolute" from="5454,151" to="6081,151" stroked="true" strokeweight=".96002pt" strokecolor="#000000"/>
            <v:line style="position:absolute" from="6066,151" to="6085,151" stroked="true" strokeweight=".96002pt" strokecolor="#000000"/>
            <v:line style="position:absolute" from="6085,151" to="7043,151" stroked="true" strokeweight=".96002pt" strokecolor="#000000"/>
            <v:line style="position:absolute" from="7029,151" to="7048,151" stroked="true" strokeweight=".96002pt" strokecolor="#000000"/>
            <v:line style="position:absolute" from="7048,151" to="8090,151" stroked="true" strokeweight=".96002pt" strokecolor="#000000"/>
            <v:line style="position:absolute" from="8076,151" to="8095,151" stroked="true" strokeweight=".96002pt" strokecolor="#000000"/>
            <v:line style="position:absolute" from="8095,151" to="9619,151" stroked="true" strokeweight=".96002pt" strokecolor="#000000"/>
            <v:line style="position:absolute" from="9604,151" to="9624,151" stroked="true" strokeweight=".96002pt" strokecolor="#000000"/>
            <v:line style="position:absolute" from="9624,151" to="10783,151" stroked="true" strokeweight=".96002pt" strokecolor="#000000"/>
            <w10:wrap type="topAndBottom"/>
          </v:group>
        </w:pict>
      </w:r>
    </w:p>
    <w:p>
      <w:pPr>
        <w:spacing w:line="196" w:lineRule="exact" w:before="0"/>
        <w:ind w:left="212" w:right="231" w:firstLine="0"/>
        <w:jc w:val="left"/>
        <w:rPr>
          <w:sz w:val="20"/>
        </w:rPr>
      </w:pPr>
      <w:r>
        <w:rPr>
          <w:position w:val="7"/>
          <w:sz w:val="13"/>
        </w:rPr>
        <w:t>1  </w:t>
      </w:r>
      <w:r>
        <w:rPr>
          <w:sz w:val="20"/>
        </w:rPr>
        <w:t>Error Estándar de la Media</w:t>
      </w:r>
    </w:p>
    <w:p>
      <w:pPr>
        <w:spacing w:before="29"/>
        <w:ind w:left="212" w:right="231" w:firstLine="0"/>
        <w:jc w:val="left"/>
        <w:rPr>
          <w:sz w:val="20"/>
        </w:rPr>
      </w:pPr>
      <w:r>
        <w:rPr>
          <w:position w:val="7"/>
          <w:sz w:val="13"/>
        </w:rPr>
        <w:t>a </w:t>
      </w:r>
      <w:r>
        <w:rPr>
          <w:sz w:val="20"/>
        </w:rPr>
        <w:t>1.Pobre, 2. Normal, 3. Buena, 4. Muy buena, 5. Excelente</w:t>
      </w:r>
    </w:p>
    <w:p>
      <w:pPr>
        <w:spacing w:before="29"/>
        <w:ind w:left="212" w:right="231" w:firstLine="0"/>
        <w:jc w:val="left"/>
        <w:rPr>
          <w:sz w:val="20"/>
        </w:rPr>
      </w:pPr>
      <w:r>
        <w:rPr>
          <w:position w:val="7"/>
          <w:sz w:val="13"/>
        </w:rPr>
        <w:t>b </w:t>
      </w:r>
      <w:r>
        <w:rPr>
          <w:sz w:val="20"/>
        </w:rPr>
        <w:t>1.Muy magra, 2. Magra, 3. Medianamente grasa, 4. Grasa, 5. Muy grasa</w:t>
      </w:r>
    </w:p>
    <w:p>
      <w:pPr>
        <w:spacing w:line="276" w:lineRule="auto" w:before="31"/>
        <w:ind w:left="212" w:right="231" w:firstLine="0"/>
        <w:jc w:val="left"/>
        <w:rPr>
          <w:sz w:val="20"/>
        </w:rPr>
      </w:pPr>
      <w:r>
        <w:rPr>
          <w:position w:val="7"/>
          <w:sz w:val="13"/>
        </w:rPr>
        <w:t>c </w:t>
      </w:r>
      <w:r>
        <w:rPr>
          <w:sz w:val="20"/>
        </w:rPr>
        <w:t>1.Riñones descubiertos, 2. Riñones con gran ventana, 3. Riñones con pequeña ventana, 4. Riñones cubiertos totalmente</w:t>
      </w:r>
    </w:p>
    <w:p>
      <w:pPr>
        <w:spacing w:line="231" w:lineRule="exact" w:before="0"/>
        <w:ind w:left="212" w:right="231" w:firstLine="0"/>
        <w:jc w:val="left"/>
        <w:rPr>
          <w:sz w:val="20"/>
        </w:rPr>
      </w:pPr>
      <w:r>
        <w:rPr>
          <w:position w:val="7"/>
          <w:sz w:val="13"/>
        </w:rPr>
        <w:t>f </w:t>
      </w:r>
      <w:r>
        <w:rPr>
          <w:sz w:val="20"/>
        </w:rPr>
        <w:t>(P&lt;0.05);  L, Efecto Lineal; </w:t>
      </w:r>
      <w:r>
        <w:rPr>
          <w:position w:val="7"/>
          <w:sz w:val="13"/>
        </w:rPr>
        <w:t>2</w:t>
      </w:r>
      <w:r>
        <w:rPr>
          <w:sz w:val="20"/>
        </w:rPr>
        <w:t>NS, no significativo (P&gt;0.05)</w:t>
      </w:r>
    </w:p>
    <w:p>
      <w:pPr>
        <w:spacing w:after="0" w:line="231" w:lineRule="exact"/>
        <w:jc w:val="left"/>
        <w:rPr>
          <w:sz w:val="20"/>
        </w:rPr>
        <w:sectPr>
          <w:footerReference w:type="default" r:id="rId95"/>
          <w:pgSz w:w="12240" w:h="15840"/>
          <w:pgMar w:footer="1503" w:header="1154" w:top="1620" w:bottom="1700" w:left="1660" w:right="1340"/>
          <w:pgNumType w:start="104"/>
        </w:sectPr>
      </w:pPr>
    </w:p>
    <w:p>
      <w:pPr>
        <w:pStyle w:val="BodyText"/>
        <w:spacing w:before="3"/>
        <w:rPr>
          <w:sz w:val="9"/>
        </w:rPr>
      </w:pPr>
    </w:p>
    <w:p>
      <w:pPr>
        <w:pStyle w:val="ListParagraph"/>
        <w:numPr>
          <w:ilvl w:val="2"/>
          <w:numId w:val="25"/>
        </w:numPr>
        <w:tabs>
          <w:tab w:pos="730" w:val="left" w:leader="none"/>
        </w:tabs>
        <w:spacing w:line="240" w:lineRule="auto" w:before="73" w:after="0"/>
        <w:ind w:left="729" w:right="0" w:hanging="497"/>
        <w:jc w:val="left"/>
        <w:rPr>
          <w:b/>
          <w:i/>
          <w:sz w:val="22"/>
        </w:rPr>
      </w:pPr>
      <w:bookmarkStart w:name="_bookmark66" w:id="127"/>
      <w:bookmarkEnd w:id="127"/>
      <w:r>
        <w:rPr/>
      </w:r>
      <w:bookmarkStart w:name="_bookmark66" w:id="128"/>
      <w:bookmarkEnd w:id="128"/>
      <w:r>
        <w:rPr>
          <w:b/>
          <w:i/>
          <w:sz w:val="22"/>
        </w:rPr>
        <w:t>C</w:t>
      </w:r>
      <w:r>
        <w:rPr>
          <w:b/>
          <w:i/>
          <w:sz w:val="22"/>
        </w:rPr>
        <w:t>alidad de la</w:t>
      </w:r>
      <w:r>
        <w:rPr>
          <w:b/>
          <w:i/>
          <w:spacing w:val="-5"/>
          <w:sz w:val="22"/>
        </w:rPr>
        <w:t> </w:t>
      </w:r>
      <w:r>
        <w:rPr>
          <w:b/>
          <w:i/>
          <w:sz w:val="22"/>
        </w:rPr>
        <w:t>carne</w:t>
      </w:r>
    </w:p>
    <w:p>
      <w:pPr>
        <w:pStyle w:val="BodyText"/>
        <w:rPr>
          <w:b/>
          <w:i/>
          <w:sz w:val="22"/>
        </w:rPr>
      </w:pPr>
    </w:p>
    <w:p>
      <w:pPr>
        <w:pStyle w:val="BodyText"/>
        <w:spacing w:before="5"/>
        <w:rPr>
          <w:b/>
          <w:i/>
        </w:rPr>
      </w:pPr>
    </w:p>
    <w:p>
      <w:pPr>
        <w:pStyle w:val="BodyText"/>
        <w:spacing w:line="360" w:lineRule="auto"/>
        <w:ind w:left="232" w:right="228" w:firstLine="707"/>
        <w:jc w:val="both"/>
      </w:pPr>
      <w:r>
        <w:rPr/>
        <w:t>En el </w:t>
      </w:r>
      <w:r>
        <w:rPr>
          <w:b/>
        </w:rPr>
        <w:t>Cuadro 14 </w:t>
      </w:r>
      <w:r>
        <w:rPr/>
        <w:t>se muestran los resultados de la composición química e indicadores de calidad en la carne de ovinos. La fuerza de corte mostró una respuesta cuadrática (P &lt; 0.05) al aumentar el nivel del Cr en la dieta, mientras que la humedad, proteína, grasa y ceniza no fueron afectados (P&gt;0.05) por el nivel de</w:t>
      </w:r>
      <w:r>
        <w:rPr>
          <w:spacing w:val="-12"/>
        </w:rPr>
        <w:t> </w:t>
      </w:r>
      <w:r>
        <w:rPr/>
        <w:t>cromo.</w:t>
      </w:r>
    </w:p>
    <w:p>
      <w:pPr>
        <w:pStyle w:val="BodyText"/>
      </w:pPr>
    </w:p>
    <w:p>
      <w:pPr>
        <w:pStyle w:val="BodyText"/>
        <w:spacing w:line="360" w:lineRule="auto" w:before="143" w:after="12"/>
        <w:ind w:left="232"/>
      </w:pPr>
      <w:r>
        <w:rPr>
          <w:b/>
        </w:rPr>
        <w:t>Cuadro 14. </w:t>
      </w:r>
      <w:r>
        <w:rPr/>
        <w:t>Efecto del Cr orgánico en la composición química y fuerza de corte de la carne ovinos en engorda intensiva.</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1"/>
        <w:gridCol w:w="628"/>
        <w:gridCol w:w="628"/>
        <w:gridCol w:w="658"/>
        <w:gridCol w:w="943"/>
        <w:gridCol w:w="976"/>
        <w:gridCol w:w="1383"/>
        <w:gridCol w:w="1345"/>
      </w:tblGrid>
      <w:tr>
        <w:trPr>
          <w:trHeight w:val="422" w:hRule="exact"/>
        </w:trPr>
        <w:tc>
          <w:tcPr>
            <w:tcW w:w="9072" w:type="dxa"/>
            <w:gridSpan w:val="8"/>
            <w:tcBorders>
              <w:left w:val="nil"/>
              <w:bottom w:val="nil"/>
              <w:right w:val="nil"/>
            </w:tcBorders>
          </w:tcPr>
          <w:p>
            <w:pPr>
              <w:pStyle w:val="TableParagraph"/>
              <w:spacing w:line="247" w:lineRule="exact"/>
              <w:ind w:left="2813"/>
              <w:jc w:val="left"/>
              <w:rPr>
                <w:sz w:val="22"/>
              </w:rPr>
            </w:pPr>
            <w:r>
              <w:rPr>
                <w:sz w:val="22"/>
              </w:rPr>
              <w:t>Cr Orgánico, mg kg</w:t>
            </w:r>
            <w:r>
              <w:rPr>
                <w:position w:val="8"/>
                <w:sz w:val="14"/>
              </w:rPr>
              <w:t>-1 </w:t>
            </w:r>
            <w:r>
              <w:rPr>
                <w:sz w:val="22"/>
              </w:rPr>
              <w:t>MS</w:t>
            </w:r>
          </w:p>
        </w:tc>
      </w:tr>
      <w:tr>
        <w:trPr>
          <w:trHeight w:val="425" w:hRule="exact"/>
        </w:trPr>
        <w:tc>
          <w:tcPr>
            <w:tcW w:w="2511" w:type="dxa"/>
            <w:tcBorders>
              <w:top w:val="nil"/>
              <w:left w:val="nil"/>
              <w:right w:val="nil"/>
            </w:tcBorders>
          </w:tcPr>
          <w:p>
            <w:pPr/>
          </w:p>
        </w:tc>
        <w:tc>
          <w:tcPr>
            <w:tcW w:w="628" w:type="dxa"/>
            <w:tcBorders>
              <w:left w:val="nil"/>
              <w:right w:val="nil"/>
            </w:tcBorders>
          </w:tcPr>
          <w:p>
            <w:pPr>
              <w:pStyle w:val="TableParagraph"/>
              <w:spacing w:line="273" w:lineRule="exact"/>
              <w:ind w:left="1"/>
              <w:rPr>
                <w:sz w:val="24"/>
              </w:rPr>
            </w:pPr>
            <w:r>
              <w:rPr>
                <w:sz w:val="24"/>
              </w:rPr>
              <w:t>0</w:t>
            </w:r>
          </w:p>
        </w:tc>
        <w:tc>
          <w:tcPr>
            <w:tcW w:w="628" w:type="dxa"/>
            <w:tcBorders>
              <w:left w:val="nil"/>
              <w:right w:val="nil"/>
            </w:tcBorders>
          </w:tcPr>
          <w:p>
            <w:pPr>
              <w:pStyle w:val="TableParagraph"/>
              <w:spacing w:line="273" w:lineRule="exact"/>
              <w:ind w:left="112" w:right="113"/>
              <w:rPr>
                <w:sz w:val="24"/>
              </w:rPr>
            </w:pPr>
            <w:r>
              <w:rPr>
                <w:sz w:val="24"/>
              </w:rPr>
              <w:t>0.2</w:t>
            </w:r>
          </w:p>
        </w:tc>
        <w:tc>
          <w:tcPr>
            <w:tcW w:w="658" w:type="dxa"/>
            <w:tcBorders>
              <w:left w:val="nil"/>
              <w:right w:val="nil"/>
            </w:tcBorders>
          </w:tcPr>
          <w:p>
            <w:pPr>
              <w:pStyle w:val="TableParagraph"/>
              <w:spacing w:line="273" w:lineRule="exact"/>
              <w:ind w:left="113" w:right="142"/>
              <w:rPr>
                <w:sz w:val="24"/>
              </w:rPr>
            </w:pPr>
            <w:r>
              <w:rPr>
                <w:sz w:val="24"/>
              </w:rPr>
              <w:t>0.4</w:t>
            </w:r>
          </w:p>
        </w:tc>
        <w:tc>
          <w:tcPr>
            <w:tcW w:w="943" w:type="dxa"/>
            <w:tcBorders>
              <w:left w:val="nil"/>
              <w:right w:val="nil"/>
            </w:tcBorders>
          </w:tcPr>
          <w:p>
            <w:pPr>
              <w:pStyle w:val="TableParagraph"/>
              <w:spacing w:line="273" w:lineRule="exact"/>
              <w:ind w:left="144" w:right="171"/>
              <w:rPr>
                <w:sz w:val="16"/>
              </w:rPr>
            </w:pPr>
            <w:r>
              <w:rPr>
                <w:sz w:val="24"/>
              </w:rPr>
              <w:t>EEM</w:t>
            </w:r>
            <w:r>
              <w:rPr>
                <w:position w:val="9"/>
                <w:sz w:val="16"/>
              </w:rPr>
              <w:t>1</w:t>
            </w:r>
          </w:p>
        </w:tc>
        <w:tc>
          <w:tcPr>
            <w:tcW w:w="976" w:type="dxa"/>
            <w:tcBorders>
              <w:top w:val="nil"/>
              <w:left w:val="nil"/>
              <w:right w:val="nil"/>
            </w:tcBorders>
          </w:tcPr>
          <w:p>
            <w:pPr>
              <w:pStyle w:val="TableParagraph"/>
              <w:spacing w:line="230" w:lineRule="exact"/>
              <w:ind w:right="131"/>
              <w:jc w:val="right"/>
              <w:rPr>
                <w:sz w:val="13"/>
              </w:rPr>
            </w:pPr>
            <w:r>
              <w:rPr>
                <w:sz w:val="20"/>
              </w:rPr>
              <w:t>0.2</w:t>
            </w:r>
            <w:r>
              <w:rPr>
                <w:i/>
                <w:sz w:val="20"/>
              </w:rPr>
              <w:t>vs</w:t>
            </w:r>
            <w:r>
              <w:rPr>
                <w:sz w:val="20"/>
              </w:rPr>
              <w:t>0.4</w:t>
            </w:r>
            <w:r>
              <w:rPr>
                <w:position w:val="7"/>
                <w:sz w:val="13"/>
              </w:rPr>
              <w:t>d</w:t>
            </w:r>
          </w:p>
        </w:tc>
        <w:tc>
          <w:tcPr>
            <w:tcW w:w="1383" w:type="dxa"/>
            <w:tcBorders>
              <w:top w:val="nil"/>
              <w:left w:val="nil"/>
              <w:right w:val="nil"/>
            </w:tcBorders>
          </w:tcPr>
          <w:p>
            <w:pPr>
              <w:pStyle w:val="TableParagraph"/>
              <w:ind w:left="114" w:right="137"/>
              <w:rPr>
                <w:sz w:val="20"/>
              </w:rPr>
            </w:pPr>
            <w:r>
              <w:rPr>
                <w:sz w:val="20"/>
              </w:rPr>
              <w:t>0vs0.2+0.4Cr</w:t>
            </w:r>
          </w:p>
        </w:tc>
        <w:tc>
          <w:tcPr>
            <w:tcW w:w="1345" w:type="dxa"/>
            <w:tcBorders>
              <w:top w:val="nil"/>
              <w:left w:val="nil"/>
              <w:right w:val="nil"/>
            </w:tcBorders>
          </w:tcPr>
          <w:p>
            <w:pPr>
              <w:pStyle w:val="TableParagraph"/>
              <w:spacing w:line="230" w:lineRule="exact"/>
              <w:ind w:left="140" w:right="288"/>
              <w:rPr>
                <w:sz w:val="13"/>
              </w:rPr>
            </w:pPr>
            <w:r>
              <w:rPr>
                <w:sz w:val="20"/>
              </w:rPr>
              <w:t>Polinomio</w:t>
            </w:r>
            <w:r>
              <w:rPr>
                <w:position w:val="7"/>
                <w:sz w:val="13"/>
              </w:rPr>
              <w:t>f</w:t>
            </w:r>
          </w:p>
        </w:tc>
      </w:tr>
      <w:tr>
        <w:trPr>
          <w:trHeight w:val="344" w:hRule="exact"/>
        </w:trPr>
        <w:tc>
          <w:tcPr>
            <w:tcW w:w="2511" w:type="dxa"/>
            <w:tcBorders>
              <w:left w:val="nil"/>
              <w:bottom w:val="nil"/>
              <w:right w:val="nil"/>
            </w:tcBorders>
          </w:tcPr>
          <w:p>
            <w:pPr>
              <w:pStyle w:val="TableParagraph"/>
              <w:spacing w:line="270" w:lineRule="exact"/>
              <w:ind w:left="122"/>
              <w:jc w:val="left"/>
              <w:rPr>
                <w:sz w:val="16"/>
              </w:rPr>
            </w:pPr>
            <w:r>
              <w:rPr>
                <w:sz w:val="24"/>
              </w:rPr>
              <w:t>Humedad, g kg</w:t>
            </w:r>
            <w:r>
              <w:rPr>
                <w:position w:val="9"/>
                <w:sz w:val="16"/>
              </w:rPr>
              <w:t>-1</w:t>
            </w:r>
          </w:p>
        </w:tc>
        <w:tc>
          <w:tcPr>
            <w:tcW w:w="628" w:type="dxa"/>
            <w:tcBorders>
              <w:left w:val="nil"/>
              <w:bottom w:val="nil"/>
              <w:right w:val="nil"/>
            </w:tcBorders>
          </w:tcPr>
          <w:p>
            <w:pPr>
              <w:pStyle w:val="TableParagraph"/>
              <w:spacing w:line="270" w:lineRule="exact"/>
              <w:ind w:left="113" w:right="112"/>
              <w:rPr>
                <w:sz w:val="24"/>
              </w:rPr>
            </w:pPr>
            <w:r>
              <w:rPr>
                <w:sz w:val="24"/>
              </w:rPr>
              <w:t>732</w:t>
            </w:r>
          </w:p>
        </w:tc>
        <w:tc>
          <w:tcPr>
            <w:tcW w:w="628" w:type="dxa"/>
            <w:tcBorders>
              <w:left w:val="nil"/>
              <w:bottom w:val="nil"/>
              <w:right w:val="nil"/>
            </w:tcBorders>
          </w:tcPr>
          <w:p>
            <w:pPr>
              <w:pStyle w:val="TableParagraph"/>
              <w:spacing w:line="270" w:lineRule="exact"/>
              <w:ind w:left="112" w:right="113"/>
              <w:rPr>
                <w:sz w:val="24"/>
              </w:rPr>
            </w:pPr>
            <w:r>
              <w:rPr>
                <w:sz w:val="24"/>
              </w:rPr>
              <w:t>734</w:t>
            </w:r>
          </w:p>
        </w:tc>
        <w:tc>
          <w:tcPr>
            <w:tcW w:w="658" w:type="dxa"/>
            <w:tcBorders>
              <w:left w:val="nil"/>
              <w:bottom w:val="nil"/>
              <w:right w:val="nil"/>
            </w:tcBorders>
          </w:tcPr>
          <w:p>
            <w:pPr>
              <w:pStyle w:val="TableParagraph"/>
              <w:spacing w:line="270" w:lineRule="exact"/>
              <w:ind w:left="115" w:right="142"/>
              <w:rPr>
                <w:sz w:val="24"/>
              </w:rPr>
            </w:pPr>
            <w:r>
              <w:rPr>
                <w:sz w:val="24"/>
              </w:rPr>
              <w:t>729</w:t>
            </w:r>
          </w:p>
        </w:tc>
        <w:tc>
          <w:tcPr>
            <w:tcW w:w="943" w:type="dxa"/>
            <w:tcBorders>
              <w:left w:val="nil"/>
              <w:bottom w:val="nil"/>
              <w:right w:val="nil"/>
            </w:tcBorders>
          </w:tcPr>
          <w:p>
            <w:pPr>
              <w:pStyle w:val="TableParagraph"/>
              <w:spacing w:line="270" w:lineRule="exact"/>
              <w:ind w:left="144" w:right="170"/>
              <w:rPr>
                <w:sz w:val="24"/>
              </w:rPr>
            </w:pPr>
            <w:r>
              <w:rPr>
                <w:sz w:val="24"/>
              </w:rPr>
              <w:t>5.3</w:t>
            </w:r>
          </w:p>
        </w:tc>
        <w:tc>
          <w:tcPr>
            <w:tcW w:w="976" w:type="dxa"/>
            <w:tcBorders>
              <w:left w:val="nil"/>
              <w:bottom w:val="nil"/>
              <w:right w:val="nil"/>
            </w:tcBorders>
          </w:tcPr>
          <w:p>
            <w:pPr>
              <w:pStyle w:val="TableParagraph"/>
              <w:spacing w:line="270" w:lineRule="exact"/>
              <w:ind w:right="208"/>
              <w:jc w:val="right"/>
              <w:rPr>
                <w:sz w:val="24"/>
              </w:rPr>
            </w:pPr>
            <w:r>
              <w:rPr>
                <w:sz w:val="24"/>
              </w:rPr>
              <w:t>0.458</w:t>
            </w:r>
          </w:p>
        </w:tc>
        <w:tc>
          <w:tcPr>
            <w:tcW w:w="1383" w:type="dxa"/>
            <w:tcBorders>
              <w:left w:val="nil"/>
              <w:bottom w:val="nil"/>
              <w:right w:val="nil"/>
            </w:tcBorders>
          </w:tcPr>
          <w:p>
            <w:pPr>
              <w:pStyle w:val="TableParagraph"/>
              <w:spacing w:line="270" w:lineRule="exact"/>
              <w:ind w:left="114" w:right="136"/>
              <w:rPr>
                <w:sz w:val="24"/>
              </w:rPr>
            </w:pPr>
            <w:r>
              <w:rPr>
                <w:sz w:val="24"/>
              </w:rPr>
              <w:t>0.897</w:t>
            </w:r>
          </w:p>
        </w:tc>
        <w:tc>
          <w:tcPr>
            <w:tcW w:w="1345" w:type="dxa"/>
            <w:tcBorders>
              <w:left w:val="nil"/>
              <w:bottom w:val="nil"/>
              <w:right w:val="nil"/>
            </w:tcBorders>
          </w:tcPr>
          <w:p>
            <w:pPr>
              <w:pStyle w:val="TableParagraph"/>
              <w:spacing w:line="270" w:lineRule="exact"/>
              <w:ind w:left="136" w:right="288"/>
              <w:rPr>
                <w:sz w:val="24"/>
              </w:rPr>
            </w:pPr>
            <w:r>
              <w:rPr>
                <w:sz w:val="24"/>
              </w:rPr>
              <w:t>NS</w:t>
            </w:r>
          </w:p>
        </w:tc>
      </w:tr>
      <w:tr>
        <w:trPr>
          <w:trHeight w:val="414" w:hRule="exact"/>
        </w:trPr>
        <w:tc>
          <w:tcPr>
            <w:tcW w:w="2511" w:type="dxa"/>
            <w:tcBorders>
              <w:top w:val="nil"/>
              <w:left w:val="nil"/>
              <w:bottom w:val="nil"/>
              <w:right w:val="nil"/>
            </w:tcBorders>
          </w:tcPr>
          <w:p>
            <w:pPr>
              <w:pStyle w:val="TableParagraph"/>
              <w:spacing w:before="55"/>
              <w:ind w:left="122"/>
              <w:jc w:val="left"/>
              <w:rPr>
                <w:sz w:val="16"/>
              </w:rPr>
            </w:pPr>
            <w:r>
              <w:rPr>
                <w:sz w:val="24"/>
              </w:rPr>
              <w:t>Proteína, g kg</w:t>
            </w:r>
            <w:r>
              <w:rPr>
                <w:position w:val="9"/>
                <w:sz w:val="16"/>
              </w:rPr>
              <w:t>-1</w:t>
            </w:r>
          </w:p>
        </w:tc>
        <w:tc>
          <w:tcPr>
            <w:tcW w:w="628" w:type="dxa"/>
            <w:tcBorders>
              <w:top w:val="nil"/>
              <w:left w:val="nil"/>
              <w:bottom w:val="nil"/>
              <w:right w:val="nil"/>
            </w:tcBorders>
          </w:tcPr>
          <w:p>
            <w:pPr>
              <w:pStyle w:val="TableParagraph"/>
              <w:spacing w:before="70"/>
              <w:ind w:left="113" w:right="112"/>
              <w:rPr>
                <w:sz w:val="24"/>
              </w:rPr>
            </w:pPr>
            <w:r>
              <w:rPr>
                <w:sz w:val="24"/>
              </w:rPr>
              <w:t>224</w:t>
            </w:r>
          </w:p>
        </w:tc>
        <w:tc>
          <w:tcPr>
            <w:tcW w:w="628" w:type="dxa"/>
            <w:tcBorders>
              <w:top w:val="nil"/>
              <w:left w:val="nil"/>
              <w:bottom w:val="nil"/>
              <w:right w:val="nil"/>
            </w:tcBorders>
          </w:tcPr>
          <w:p>
            <w:pPr>
              <w:pStyle w:val="TableParagraph"/>
              <w:spacing w:before="70"/>
              <w:ind w:left="112" w:right="113"/>
              <w:rPr>
                <w:sz w:val="24"/>
              </w:rPr>
            </w:pPr>
            <w:r>
              <w:rPr>
                <w:sz w:val="24"/>
              </w:rPr>
              <w:t>221</w:t>
            </w:r>
          </w:p>
        </w:tc>
        <w:tc>
          <w:tcPr>
            <w:tcW w:w="658" w:type="dxa"/>
            <w:tcBorders>
              <w:top w:val="nil"/>
              <w:left w:val="nil"/>
              <w:bottom w:val="nil"/>
              <w:right w:val="nil"/>
            </w:tcBorders>
          </w:tcPr>
          <w:p>
            <w:pPr>
              <w:pStyle w:val="TableParagraph"/>
              <w:spacing w:before="70"/>
              <w:ind w:left="115" w:right="142"/>
              <w:rPr>
                <w:sz w:val="24"/>
              </w:rPr>
            </w:pPr>
            <w:r>
              <w:rPr>
                <w:sz w:val="24"/>
              </w:rPr>
              <w:t>223</w:t>
            </w:r>
          </w:p>
        </w:tc>
        <w:tc>
          <w:tcPr>
            <w:tcW w:w="943" w:type="dxa"/>
            <w:tcBorders>
              <w:top w:val="nil"/>
              <w:left w:val="nil"/>
              <w:bottom w:val="nil"/>
              <w:right w:val="nil"/>
            </w:tcBorders>
          </w:tcPr>
          <w:p>
            <w:pPr>
              <w:pStyle w:val="TableParagraph"/>
              <w:spacing w:before="70"/>
              <w:ind w:left="144" w:right="170"/>
              <w:rPr>
                <w:sz w:val="24"/>
              </w:rPr>
            </w:pPr>
            <w:r>
              <w:rPr>
                <w:sz w:val="24"/>
              </w:rPr>
              <w:t>5.2</w:t>
            </w:r>
          </w:p>
        </w:tc>
        <w:tc>
          <w:tcPr>
            <w:tcW w:w="976" w:type="dxa"/>
            <w:tcBorders>
              <w:top w:val="nil"/>
              <w:left w:val="nil"/>
              <w:bottom w:val="nil"/>
              <w:right w:val="nil"/>
            </w:tcBorders>
          </w:tcPr>
          <w:p>
            <w:pPr>
              <w:pStyle w:val="TableParagraph"/>
              <w:spacing w:before="70"/>
              <w:ind w:right="208"/>
              <w:jc w:val="right"/>
              <w:rPr>
                <w:sz w:val="24"/>
              </w:rPr>
            </w:pPr>
            <w:r>
              <w:rPr>
                <w:sz w:val="24"/>
              </w:rPr>
              <w:t>0.904</w:t>
            </w:r>
          </w:p>
        </w:tc>
        <w:tc>
          <w:tcPr>
            <w:tcW w:w="1383" w:type="dxa"/>
            <w:tcBorders>
              <w:top w:val="nil"/>
              <w:left w:val="nil"/>
              <w:bottom w:val="nil"/>
              <w:right w:val="nil"/>
            </w:tcBorders>
          </w:tcPr>
          <w:p>
            <w:pPr>
              <w:pStyle w:val="TableParagraph"/>
              <w:spacing w:before="70"/>
              <w:ind w:left="114" w:right="136"/>
              <w:rPr>
                <w:sz w:val="24"/>
              </w:rPr>
            </w:pPr>
            <w:r>
              <w:rPr>
                <w:sz w:val="24"/>
              </w:rPr>
              <w:t>0.909</w:t>
            </w:r>
          </w:p>
        </w:tc>
        <w:tc>
          <w:tcPr>
            <w:tcW w:w="1345" w:type="dxa"/>
            <w:tcBorders>
              <w:top w:val="nil"/>
              <w:left w:val="nil"/>
              <w:bottom w:val="nil"/>
              <w:right w:val="nil"/>
            </w:tcBorders>
          </w:tcPr>
          <w:p>
            <w:pPr>
              <w:pStyle w:val="TableParagraph"/>
              <w:spacing w:before="70"/>
              <w:ind w:left="136" w:right="288"/>
              <w:rPr>
                <w:sz w:val="24"/>
              </w:rPr>
            </w:pPr>
            <w:r>
              <w:rPr>
                <w:sz w:val="24"/>
              </w:rPr>
              <w:t>NS</w:t>
            </w:r>
          </w:p>
        </w:tc>
      </w:tr>
      <w:tr>
        <w:trPr>
          <w:trHeight w:val="414" w:hRule="exact"/>
        </w:trPr>
        <w:tc>
          <w:tcPr>
            <w:tcW w:w="2511" w:type="dxa"/>
            <w:tcBorders>
              <w:top w:val="nil"/>
              <w:left w:val="nil"/>
              <w:bottom w:val="nil"/>
              <w:right w:val="nil"/>
            </w:tcBorders>
          </w:tcPr>
          <w:p>
            <w:pPr>
              <w:pStyle w:val="TableParagraph"/>
              <w:spacing w:before="54"/>
              <w:ind w:left="122"/>
              <w:jc w:val="left"/>
              <w:rPr>
                <w:sz w:val="16"/>
              </w:rPr>
            </w:pPr>
            <w:r>
              <w:rPr>
                <w:sz w:val="24"/>
              </w:rPr>
              <w:t>Grasa, g kg</w:t>
            </w:r>
            <w:r>
              <w:rPr>
                <w:position w:val="9"/>
                <w:sz w:val="16"/>
              </w:rPr>
              <w:t>-1</w:t>
            </w:r>
          </w:p>
        </w:tc>
        <w:tc>
          <w:tcPr>
            <w:tcW w:w="628" w:type="dxa"/>
            <w:tcBorders>
              <w:top w:val="nil"/>
              <w:left w:val="nil"/>
              <w:bottom w:val="nil"/>
              <w:right w:val="nil"/>
            </w:tcBorders>
          </w:tcPr>
          <w:p>
            <w:pPr>
              <w:pStyle w:val="TableParagraph"/>
              <w:spacing w:before="69"/>
              <w:ind w:left="113" w:right="112"/>
              <w:rPr>
                <w:sz w:val="24"/>
              </w:rPr>
            </w:pPr>
            <w:r>
              <w:rPr>
                <w:sz w:val="24"/>
              </w:rPr>
              <w:t>59</w:t>
            </w:r>
          </w:p>
        </w:tc>
        <w:tc>
          <w:tcPr>
            <w:tcW w:w="628" w:type="dxa"/>
            <w:tcBorders>
              <w:top w:val="nil"/>
              <w:left w:val="nil"/>
              <w:bottom w:val="nil"/>
              <w:right w:val="nil"/>
            </w:tcBorders>
          </w:tcPr>
          <w:p>
            <w:pPr>
              <w:pStyle w:val="TableParagraph"/>
              <w:spacing w:before="69"/>
              <w:ind w:left="112" w:right="113"/>
              <w:rPr>
                <w:sz w:val="24"/>
              </w:rPr>
            </w:pPr>
            <w:r>
              <w:rPr>
                <w:sz w:val="24"/>
              </w:rPr>
              <w:t>63</w:t>
            </w:r>
          </w:p>
        </w:tc>
        <w:tc>
          <w:tcPr>
            <w:tcW w:w="658" w:type="dxa"/>
            <w:tcBorders>
              <w:top w:val="nil"/>
              <w:left w:val="nil"/>
              <w:bottom w:val="nil"/>
              <w:right w:val="nil"/>
            </w:tcBorders>
          </w:tcPr>
          <w:p>
            <w:pPr>
              <w:pStyle w:val="TableParagraph"/>
              <w:spacing w:before="69"/>
              <w:ind w:left="115" w:right="142"/>
              <w:rPr>
                <w:sz w:val="24"/>
              </w:rPr>
            </w:pPr>
            <w:r>
              <w:rPr>
                <w:sz w:val="24"/>
              </w:rPr>
              <w:t>64</w:t>
            </w:r>
          </w:p>
        </w:tc>
        <w:tc>
          <w:tcPr>
            <w:tcW w:w="943" w:type="dxa"/>
            <w:tcBorders>
              <w:top w:val="nil"/>
              <w:left w:val="nil"/>
              <w:bottom w:val="nil"/>
              <w:right w:val="nil"/>
            </w:tcBorders>
          </w:tcPr>
          <w:p>
            <w:pPr>
              <w:pStyle w:val="TableParagraph"/>
              <w:spacing w:before="69"/>
              <w:ind w:left="144" w:right="170"/>
              <w:rPr>
                <w:sz w:val="24"/>
              </w:rPr>
            </w:pPr>
            <w:r>
              <w:rPr>
                <w:sz w:val="24"/>
              </w:rPr>
              <w:t>4.5</w:t>
            </w:r>
          </w:p>
        </w:tc>
        <w:tc>
          <w:tcPr>
            <w:tcW w:w="976" w:type="dxa"/>
            <w:tcBorders>
              <w:top w:val="nil"/>
              <w:left w:val="nil"/>
              <w:bottom w:val="nil"/>
              <w:right w:val="nil"/>
            </w:tcBorders>
          </w:tcPr>
          <w:p>
            <w:pPr>
              <w:pStyle w:val="TableParagraph"/>
              <w:spacing w:before="69"/>
              <w:ind w:right="208"/>
              <w:jc w:val="right"/>
              <w:rPr>
                <w:sz w:val="24"/>
              </w:rPr>
            </w:pPr>
            <w:r>
              <w:rPr>
                <w:sz w:val="24"/>
              </w:rPr>
              <w:t>0.806</w:t>
            </w:r>
          </w:p>
        </w:tc>
        <w:tc>
          <w:tcPr>
            <w:tcW w:w="1383" w:type="dxa"/>
            <w:tcBorders>
              <w:top w:val="nil"/>
              <w:left w:val="nil"/>
              <w:bottom w:val="nil"/>
              <w:right w:val="nil"/>
            </w:tcBorders>
          </w:tcPr>
          <w:p>
            <w:pPr>
              <w:pStyle w:val="TableParagraph"/>
              <w:spacing w:before="69"/>
              <w:ind w:left="114" w:right="136"/>
              <w:rPr>
                <w:sz w:val="24"/>
              </w:rPr>
            </w:pPr>
            <w:r>
              <w:rPr>
                <w:sz w:val="24"/>
              </w:rPr>
              <w:t>0.323</w:t>
            </w:r>
          </w:p>
        </w:tc>
        <w:tc>
          <w:tcPr>
            <w:tcW w:w="1345" w:type="dxa"/>
            <w:tcBorders>
              <w:top w:val="nil"/>
              <w:left w:val="nil"/>
              <w:bottom w:val="nil"/>
              <w:right w:val="nil"/>
            </w:tcBorders>
          </w:tcPr>
          <w:p>
            <w:pPr>
              <w:pStyle w:val="TableParagraph"/>
              <w:spacing w:before="69"/>
              <w:ind w:left="136" w:right="288"/>
              <w:rPr>
                <w:sz w:val="24"/>
              </w:rPr>
            </w:pPr>
            <w:r>
              <w:rPr>
                <w:sz w:val="24"/>
              </w:rPr>
              <w:t>NS</w:t>
            </w:r>
          </w:p>
        </w:tc>
      </w:tr>
      <w:tr>
        <w:trPr>
          <w:trHeight w:val="414" w:hRule="exact"/>
        </w:trPr>
        <w:tc>
          <w:tcPr>
            <w:tcW w:w="2511" w:type="dxa"/>
            <w:tcBorders>
              <w:top w:val="nil"/>
              <w:left w:val="nil"/>
              <w:bottom w:val="nil"/>
              <w:right w:val="nil"/>
            </w:tcBorders>
          </w:tcPr>
          <w:p>
            <w:pPr>
              <w:pStyle w:val="TableParagraph"/>
              <w:spacing w:before="55"/>
              <w:ind w:left="122"/>
              <w:jc w:val="left"/>
              <w:rPr>
                <w:sz w:val="16"/>
              </w:rPr>
            </w:pPr>
            <w:r>
              <w:rPr>
                <w:sz w:val="24"/>
              </w:rPr>
              <w:t>Cenizas, g kg</w:t>
            </w:r>
            <w:r>
              <w:rPr>
                <w:position w:val="9"/>
                <w:sz w:val="16"/>
              </w:rPr>
              <w:t>-1</w:t>
            </w:r>
          </w:p>
        </w:tc>
        <w:tc>
          <w:tcPr>
            <w:tcW w:w="628" w:type="dxa"/>
            <w:tcBorders>
              <w:top w:val="nil"/>
              <w:left w:val="nil"/>
              <w:bottom w:val="nil"/>
              <w:right w:val="nil"/>
            </w:tcBorders>
          </w:tcPr>
          <w:p>
            <w:pPr>
              <w:pStyle w:val="TableParagraph"/>
              <w:spacing w:before="70"/>
              <w:ind w:left="113" w:right="112"/>
              <w:rPr>
                <w:sz w:val="24"/>
              </w:rPr>
            </w:pPr>
            <w:r>
              <w:rPr>
                <w:sz w:val="24"/>
              </w:rPr>
              <w:t>18</w:t>
            </w:r>
          </w:p>
        </w:tc>
        <w:tc>
          <w:tcPr>
            <w:tcW w:w="628" w:type="dxa"/>
            <w:tcBorders>
              <w:top w:val="nil"/>
              <w:left w:val="nil"/>
              <w:bottom w:val="nil"/>
              <w:right w:val="nil"/>
            </w:tcBorders>
          </w:tcPr>
          <w:p>
            <w:pPr>
              <w:pStyle w:val="TableParagraph"/>
              <w:spacing w:before="70"/>
              <w:ind w:left="112" w:right="113"/>
              <w:rPr>
                <w:sz w:val="24"/>
              </w:rPr>
            </w:pPr>
            <w:r>
              <w:rPr>
                <w:sz w:val="24"/>
              </w:rPr>
              <w:t>17</w:t>
            </w:r>
          </w:p>
        </w:tc>
        <w:tc>
          <w:tcPr>
            <w:tcW w:w="658" w:type="dxa"/>
            <w:tcBorders>
              <w:top w:val="nil"/>
              <w:left w:val="nil"/>
              <w:bottom w:val="nil"/>
              <w:right w:val="nil"/>
            </w:tcBorders>
          </w:tcPr>
          <w:p>
            <w:pPr>
              <w:pStyle w:val="TableParagraph"/>
              <w:spacing w:before="70"/>
              <w:ind w:left="115" w:right="142"/>
              <w:rPr>
                <w:sz w:val="24"/>
              </w:rPr>
            </w:pPr>
            <w:r>
              <w:rPr>
                <w:sz w:val="24"/>
              </w:rPr>
              <w:t>19</w:t>
            </w:r>
          </w:p>
        </w:tc>
        <w:tc>
          <w:tcPr>
            <w:tcW w:w="943" w:type="dxa"/>
            <w:tcBorders>
              <w:top w:val="nil"/>
              <w:left w:val="nil"/>
              <w:bottom w:val="nil"/>
              <w:right w:val="nil"/>
            </w:tcBorders>
          </w:tcPr>
          <w:p>
            <w:pPr>
              <w:pStyle w:val="TableParagraph"/>
              <w:spacing w:before="70"/>
              <w:ind w:left="144" w:right="170"/>
              <w:rPr>
                <w:sz w:val="24"/>
              </w:rPr>
            </w:pPr>
            <w:r>
              <w:rPr>
                <w:sz w:val="24"/>
              </w:rPr>
              <w:t>0.09</w:t>
            </w:r>
          </w:p>
        </w:tc>
        <w:tc>
          <w:tcPr>
            <w:tcW w:w="976" w:type="dxa"/>
            <w:tcBorders>
              <w:top w:val="nil"/>
              <w:left w:val="nil"/>
              <w:bottom w:val="nil"/>
              <w:right w:val="nil"/>
            </w:tcBorders>
          </w:tcPr>
          <w:p>
            <w:pPr>
              <w:pStyle w:val="TableParagraph"/>
              <w:spacing w:before="70"/>
              <w:ind w:right="208"/>
              <w:jc w:val="right"/>
              <w:rPr>
                <w:sz w:val="24"/>
              </w:rPr>
            </w:pPr>
            <w:r>
              <w:rPr>
                <w:sz w:val="24"/>
              </w:rPr>
              <w:t>0.154</w:t>
            </w:r>
          </w:p>
        </w:tc>
        <w:tc>
          <w:tcPr>
            <w:tcW w:w="1383" w:type="dxa"/>
            <w:tcBorders>
              <w:top w:val="nil"/>
              <w:left w:val="nil"/>
              <w:bottom w:val="nil"/>
              <w:right w:val="nil"/>
            </w:tcBorders>
          </w:tcPr>
          <w:p>
            <w:pPr>
              <w:pStyle w:val="TableParagraph"/>
              <w:spacing w:before="70"/>
              <w:ind w:left="114" w:right="136"/>
              <w:rPr>
                <w:sz w:val="24"/>
              </w:rPr>
            </w:pPr>
            <w:r>
              <w:rPr>
                <w:sz w:val="24"/>
              </w:rPr>
              <w:t>0.004</w:t>
            </w:r>
          </w:p>
        </w:tc>
        <w:tc>
          <w:tcPr>
            <w:tcW w:w="1345" w:type="dxa"/>
            <w:tcBorders>
              <w:top w:val="nil"/>
              <w:left w:val="nil"/>
              <w:bottom w:val="nil"/>
              <w:right w:val="nil"/>
            </w:tcBorders>
          </w:tcPr>
          <w:p>
            <w:pPr>
              <w:pStyle w:val="TableParagraph"/>
              <w:spacing w:before="70"/>
              <w:ind w:left="136" w:right="288"/>
              <w:rPr>
                <w:sz w:val="24"/>
              </w:rPr>
            </w:pPr>
            <w:r>
              <w:rPr>
                <w:sz w:val="24"/>
              </w:rPr>
              <w:t>NS</w:t>
            </w:r>
          </w:p>
        </w:tc>
      </w:tr>
      <w:tr>
        <w:trPr>
          <w:trHeight w:val="495" w:hRule="exact"/>
        </w:trPr>
        <w:tc>
          <w:tcPr>
            <w:tcW w:w="2511" w:type="dxa"/>
            <w:tcBorders>
              <w:top w:val="nil"/>
              <w:left w:val="nil"/>
              <w:right w:val="nil"/>
            </w:tcBorders>
          </w:tcPr>
          <w:p>
            <w:pPr>
              <w:pStyle w:val="TableParagraph"/>
              <w:spacing w:before="54"/>
              <w:ind w:left="122"/>
              <w:jc w:val="left"/>
              <w:rPr>
                <w:sz w:val="16"/>
              </w:rPr>
            </w:pPr>
            <w:r>
              <w:rPr>
                <w:sz w:val="24"/>
              </w:rPr>
              <w:t>Fuerza de corte, kg/cm</w:t>
            </w:r>
            <w:r>
              <w:rPr>
                <w:position w:val="9"/>
                <w:sz w:val="16"/>
              </w:rPr>
              <w:t>2</w:t>
            </w:r>
          </w:p>
        </w:tc>
        <w:tc>
          <w:tcPr>
            <w:tcW w:w="628" w:type="dxa"/>
            <w:tcBorders>
              <w:top w:val="nil"/>
              <w:left w:val="nil"/>
              <w:right w:val="nil"/>
            </w:tcBorders>
          </w:tcPr>
          <w:p>
            <w:pPr>
              <w:pStyle w:val="TableParagraph"/>
              <w:spacing w:before="69"/>
              <w:ind w:left="112" w:right="113"/>
              <w:rPr>
                <w:sz w:val="24"/>
              </w:rPr>
            </w:pPr>
            <w:r>
              <w:rPr>
                <w:sz w:val="24"/>
              </w:rPr>
              <w:t>3.3</w:t>
            </w:r>
          </w:p>
        </w:tc>
        <w:tc>
          <w:tcPr>
            <w:tcW w:w="628" w:type="dxa"/>
            <w:tcBorders>
              <w:top w:val="nil"/>
              <w:left w:val="nil"/>
              <w:right w:val="nil"/>
            </w:tcBorders>
          </w:tcPr>
          <w:p>
            <w:pPr>
              <w:pStyle w:val="TableParagraph"/>
              <w:spacing w:before="69"/>
              <w:ind w:left="112" w:right="113"/>
              <w:rPr>
                <w:sz w:val="24"/>
              </w:rPr>
            </w:pPr>
            <w:r>
              <w:rPr>
                <w:sz w:val="24"/>
              </w:rPr>
              <w:t>3.4</w:t>
            </w:r>
          </w:p>
        </w:tc>
        <w:tc>
          <w:tcPr>
            <w:tcW w:w="658" w:type="dxa"/>
            <w:tcBorders>
              <w:top w:val="nil"/>
              <w:left w:val="nil"/>
              <w:right w:val="nil"/>
            </w:tcBorders>
          </w:tcPr>
          <w:p>
            <w:pPr>
              <w:pStyle w:val="TableParagraph"/>
              <w:spacing w:before="69"/>
              <w:ind w:left="113" w:right="142"/>
              <w:rPr>
                <w:sz w:val="24"/>
              </w:rPr>
            </w:pPr>
            <w:r>
              <w:rPr>
                <w:sz w:val="24"/>
              </w:rPr>
              <w:t>4.4</w:t>
            </w:r>
          </w:p>
        </w:tc>
        <w:tc>
          <w:tcPr>
            <w:tcW w:w="943" w:type="dxa"/>
            <w:tcBorders>
              <w:top w:val="nil"/>
              <w:left w:val="nil"/>
              <w:right w:val="nil"/>
            </w:tcBorders>
          </w:tcPr>
          <w:p>
            <w:pPr>
              <w:pStyle w:val="TableParagraph"/>
              <w:spacing w:before="69"/>
              <w:ind w:left="144" w:right="170"/>
              <w:rPr>
                <w:sz w:val="24"/>
              </w:rPr>
            </w:pPr>
            <w:r>
              <w:rPr>
                <w:sz w:val="24"/>
              </w:rPr>
              <w:t>0.36</w:t>
            </w:r>
          </w:p>
        </w:tc>
        <w:tc>
          <w:tcPr>
            <w:tcW w:w="976" w:type="dxa"/>
            <w:tcBorders>
              <w:top w:val="nil"/>
              <w:left w:val="nil"/>
              <w:right w:val="nil"/>
            </w:tcBorders>
          </w:tcPr>
          <w:p>
            <w:pPr>
              <w:pStyle w:val="TableParagraph"/>
              <w:spacing w:before="69"/>
              <w:ind w:right="208"/>
              <w:jc w:val="right"/>
              <w:rPr>
                <w:sz w:val="24"/>
              </w:rPr>
            </w:pPr>
            <w:r>
              <w:rPr>
                <w:sz w:val="24"/>
              </w:rPr>
              <w:t>0.222</w:t>
            </w:r>
          </w:p>
        </w:tc>
        <w:tc>
          <w:tcPr>
            <w:tcW w:w="1383" w:type="dxa"/>
            <w:tcBorders>
              <w:top w:val="nil"/>
              <w:left w:val="nil"/>
              <w:right w:val="nil"/>
            </w:tcBorders>
          </w:tcPr>
          <w:p>
            <w:pPr>
              <w:pStyle w:val="TableParagraph"/>
              <w:spacing w:before="69"/>
              <w:ind w:left="114" w:right="136"/>
              <w:rPr>
                <w:sz w:val="24"/>
              </w:rPr>
            </w:pPr>
            <w:r>
              <w:rPr>
                <w:sz w:val="24"/>
              </w:rPr>
              <w:t>0.221</w:t>
            </w:r>
          </w:p>
        </w:tc>
        <w:tc>
          <w:tcPr>
            <w:tcW w:w="1345" w:type="dxa"/>
            <w:tcBorders>
              <w:top w:val="nil"/>
              <w:left w:val="nil"/>
              <w:right w:val="nil"/>
            </w:tcBorders>
          </w:tcPr>
          <w:p>
            <w:pPr>
              <w:pStyle w:val="TableParagraph"/>
              <w:spacing w:before="69"/>
              <w:ind w:right="150"/>
              <w:rPr>
                <w:sz w:val="24"/>
              </w:rPr>
            </w:pPr>
            <w:r>
              <w:rPr>
                <w:w w:val="99"/>
                <w:sz w:val="24"/>
              </w:rPr>
              <w:t>Q</w:t>
            </w:r>
          </w:p>
        </w:tc>
      </w:tr>
    </w:tbl>
    <w:p>
      <w:pPr>
        <w:spacing w:line="247" w:lineRule="exact" w:before="0"/>
        <w:ind w:left="158" w:right="0" w:firstLine="0"/>
        <w:jc w:val="left"/>
        <w:rPr>
          <w:sz w:val="22"/>
        </w:rPr>
      </w:pPr>
      <w:r>
        <w:rPr>
          <w:position w:val="8"/>
          <w:sz w:val="14"/>
        </w:rPr>
        <w:t>1 </w:t>
      </w:r>
      <w:r>
        <w:rPr>
          <w:sz w:val="22"/>
        </w:rPr>
        <w:t>Error Estándar de la Media</w:t>
      </w:r>
    </w:p>
    <w:p>
      <w:pPr>
        <w:spacing w:before="32"/>
        <w:ind w:left="158" w:right="0" w:firstLine="0"/>
        <w:jc w:val="left"/>
        <w:rPr>
          <w:sz w:val="22"/>
        </w:rPr>
      </w:pPr>
      <w:r>
        <w:rPr>
          <w:position w:val="8"/>
          <w:sz w:val="14"/>
        </w:rPr>
        <w:t>2 </w:t>
      </w:r>
      <w:r>
        <w:rPr>
          <w:sz w:val="22"/>
        </w:rPr>
        <w:t>NS No significativo</w:t>
      </w:r>
    </w:p>
    <w:p>
      <w:pPr>
        <w:spacing w:before="32"/>
        <w:ind w:left="158" w:right="0" w:firstLine="0"/>
        <w:jc w:val="left"/>
        <w:rPr>
          <w:sz w:val="22"/>
        </w:rPr>
      </w:pPr>
      <w:r>
        <w:rPr>
          <w:position w:val="8"/>
          <w:sz w:val="14"/>
        </w:rPr>
        <w:t>f </w:t>
      </w:r>
      <w:r>
        <w:rPr>
          <w:sz w:val="22"/>
        </w:rPr>
        <w:t>(P&lt;0.05)  L, Efecto Lineal, Q, cuadrático</w:t>
      </w:r>
    </w:p>
    <w:p>
      <w:pPr>
        <w:spacing w:before="34"/>
        <w:ind w:left="136" w:right="0" w:firstLine="0"/>
        <w:jc w:val="left"/>
        <w:rPr>
          <w:sz w:val="22"/>
        </w:rPr>
      </w:pPr>
      <w:r>
        <w:rPr>
          <w:position w:val="8"/>
          <w:sz w:val="14"/>
        </w:rPr>
        <w:t>2 </w:t>
      </w:r>
      <w:r>
        <w:rPr>
          <w:sz w:val="22"/>
        </w:rPr>
        <w:t>NS, no significativo (P&gt;0.05)</w:t>
      </w:r>
    </w:p>
    <w:p>
      <w:pPr>
        <w:spacing w:after="0"/>
        <w:jc w:val="left"/>
        <w:rPr>
          <w:sz w:val="22"/>
        </w:rPr>
        <w:sectPr>
          <w:headerReference w:type="default" r:id="rId96"/>
          <w:pgSz w:w="12240" w:h="15840"/>
          <w:pgMar w:header="1154" w:footer="1503" w:top="1620" w:bottom="1700" w:left="1640" w:right="1300"/>
        </w:sectPr>
      </w:pPr>
    </w:p>
    <w:p>
      <w:pPr>
        <w:pStyle w:val="BodyText"/>
        <w:spacing w:before="7"/>
        <w:rPr>
          <w:sz w:val="9"/>
        </w:rPr>
      </w:pPr>
    </w:p>
    <w:p>
      <w:pPr>
        <w:pStyle w:val="Heading1"/>
        <w:numPr>
          <w:ilvl w:val="1"/>
          <w:numId w:val="26"/>
        </w:numPr>
        <w:tabs>
          <w:tab w:pos="573" w:val="left" w:leader="none"/>
        </w:tabs>
        <w:spacing w:line="360" w:lineRule="auto" w:before="69" w:after="0"/>
        <w:ind w:left="212" w:right="310" w:firstLine="0"/>
        <w:jc w:val="left"/>
      </w:pPr>
      <w:bookmarkStart w:name="_bookmark67" w:id="129"/>
      <w:bookmarkEnd w:id="129"/>
      <w:r>
        <w:rPr>
          <w:b w:val="0"/>
        </w:rPr>
      </w:r>
      <w:bookmarkStart w:name="_bookmark67" w:id="130"/>
      <w:bookmarkEnd w:id="130"/>
      <w:r>
        <w:rPr/>
        <w:t>In</w:t>
      </w:r>
      <w:r>
        <w:rPr/>
        <w:t>formación no contemplada en las publicaciones derivadas de las investigaciones realizadas</w:t>
      </w:r>
    </w:p>
    <w:p>
      <w:pPr>
        <w:pStyle w:val="ListParagraph"/>
        <w:numPr>
          <w:ilvl w:val="2"/>
          <w:numId w:val="26"/>
        </w:numPr>
        <w:tabs>
          <w:tab w:pos="765" w:val="left" w:leader="none"/>
        </w:tabs>
        <w:spacing w:line="240" w:lineRule="auto" w:before="6" w:after="0"/>
        <w:ind w:left="764" w:right="0" w:hanging="552"/>
        <w:jc w:val="left"/>
        <w:rPr>
          <w:b/>
          <w:i/>
          <w:sz w:val="22"/>
        </w:rPr>
      </w:pPr>
      <w:bookmarkStart w:name="_bookmark68" w:id="131"/>
      <w:bookmarkEnd w:id="131"/>
      <w:r>
        <w:rPr/>
      </w:r>
      <w:bookmarkStart w:name="_bookmark68" w:id="132"/>
      <w:bookmarkEnd w:id="132"/>
      <w:r>
        <w:rPr>
          <w:b/>
          <w:i/>
          <w:sz w:val="22"/>
        </w:rPr>
        <w:t>R</w:t>
      </w:r>
      <w:r>
        <w:rPr>
          <w:b/>
          <w:i/>
          <w:sz w:val="22"/>
        </w:rPr>
        <w:t>espuesta</w:t>
      </w:r>
      <w:r>
        <w:rPr>
          <w:b/>
          <w:i/>
          <w:spacing w:val="-7"/>
          <w:sz w:val="22"/>
        </w:rPr>
        <w:t> </w:t>
      </w:r>
      <w:r>
        <w:rPr>
          <w:b/>
          <w:i/>
          <w:sz w:val="22"/>
        </w:rPr>
        <w:t>productiva</w:t>
      </w:r>
    </w:p>
    <w:p>
      <w:pPr>
        <w:pStyle w:val="BodyText"/>
        <w:spacing w:line="360" w:lineRule="auto" w:before="122"/>
        <w:ind w:left="354" w:right="231" w:firstLine="566"/>
      </w:pPr>
      <w:r>
        <w:rPr/>
        <w:t>En el </w:t>
      </w:r>
      <w:r>
        <w:rPr>
          <w:b/>
        </w:rPr>
        <w:t>Cuadro 15 </w:t>
      </w:r>
      <w:r>
        <w:rPr/>
        <w:t>se observa el efecto del Cr en la respuesta prodcutiva de los ovinos. El nivel de Cr no afectó (P&gt;0.05) el CMS, GDP, CA, EA y PVF.</w:t>
      </w:r>
    </w:p>
    <w:p>
      <w:pPr>
        <w:pStyle w:val="BodyText"/>
      </w:pPr>
    </w:p>
    <w:p>
      <w:pPr>
        <w:pStyle w:val="BodyText"/>
        <w:spacing w:line="360" w:lineRule="auto" w:before="143" w:after="9"/>
        <w:ind w:left="354" w:right="382"/>
      </w:pPr>
      <w:r>
        <w:rPr>
          <w:b/>
        </w:rPr>
        <w:t>Cuadro 15. </w:t>
      </w:r>
      <w:r>
        <w:rPr/>
        <w:t>Efecto de la concentración dietaría de Cr orgánico en la respuesta productiva de ovinos en engorda intensiva.</w:t>
      </w:r>
    </w:p>
    <w:p>
      <w:pPr>
        <w:pStyle w:val="BodyText"/>
        <w:spacing w:line="20" w:lineRule="exact"/>
        <w:ind w:left="132"/>
        <w:rPr>
          <w:sz w:val="2"/>
        </w:rPr>
      </w:pPr>
      <w:r>
        <w:rPr>
          <w:sz w:val="2"/>
        </w:rPr>
        <w:pict>
          <v:group style="width:450.05pt;height:1pt;mso-position-horizontal-relative:char;mso-position-vertical-relative:line" coordorigin="0,0" coordsize="9001,20">
            <v:line style="position:absolute" from="10,10" to="1868,10" stroked="true" strokeweight=".95999pt" strokecolor="#000000"/>
            <v:line style="position:absolute" from="1868,10" to="1887,10" stroked="true" strokeweight=".95999pt" strokecolor="#000000"/>
            <v:line style="position:absolute" from="1887,10" to="6693,10" stroked="true" strokeweight=".95999pt" strokecolor="#000000"/>
            <v:line style="position:absolute" from="6693,10" to="6712,10" stroked="true" strokeweight=".95999pt" strokecolor="#000000"/>
            <v:line style="position:absolute" from="6712,10" to="7646,10" stroked="true" strokeweight=".95999pt" strokecolor="#000000"/>
            <v:line style="position:absolute" from="7646,10" to="7665,10" stroked="true" strokeweight=".95999pt" strokecolor="#000000"/>
            <v:line style="position:absolute" from="7665,10" to="8990,10" stroked="true" strokeweight=".95999pt" strokecolor="#000000"/>
          </v:group>
        </w:pict>
      </w:r>
      <w:r>
        <w:rPr>
          <w:sz w:val="2"/>
        </w:rPr>
      </w:r>
    </w:p>
    <w:p>
      <w:pPr>
        <w:pStyle w:val="Heading1"/>
        <w:spacing w:line="231" w:lineRule="exact" w:before="1"/>
        <w:ind w:left="2524" w:right="231"/>
      </w:pPr>
      <w:r>
        <w:rPr/>
        <w:t>Tratamiento (Cromo orgánico, ppm)</w:t>
      </w:r>
    </w:p>
    <w:p>
      <w:pPr>
        <w:tabs>
          <w:tab w:pos="2000" w:val="left" w:leader="none"/>
          <w:tab w:pos="6880" w:val="left" w:leader="none"/>
          <w:tab w:pos="8009" w:val="left" w:leader="none"/>
        </w:tabs>
        <w:spacing w:line="261" w:lineRule="exact" w:before="0"/>
        <w:ind w:left="625" w:right="231" w:firstLine="0"/>
        <w:jc w:val="left"/>
        <w:rPr>
          <w:b/>
          <w:sz w:val="16"/>
        </w:rPr>
      </w:pPr>
      <w:r>
        <w:rPr/>
        <w:pict>
          <v:shape style="position:absolute;margin-left:90.143997pt;margin-top:11.573492pt;width:449.05pt;height:187.4pt;mso-position-horizontal-relative:page;mso-position-vertical-relative:paragraph;z-index:19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6"/>
                    <w:gridCol w:w="1296"/>
                    <w:gridCol w:w="1205"/>
                    <w:gridCol w:w="1206"/>
                    <w:gridCol w:w="1205"/>
                    <w:gridCol w:w="1055"/>
                    <w:gridCol w:w="1247"/>
                  </w:tblGrid>
                  <w:tr>
                    <w:trPr>
                      <w:trHeight w:val="395" w:hRule="exact"/>
                    </w:trPr>
                    <w:tc>
                      <w:tcPr>
                        <w:tcW w:w="1766" w:type="dxa"/>
                        <w:tcBorders>
                          <w:bottom w:val="single" w:sz="8" w:space="0" w:color="000000"/>
                        </w:tcBorders>
                      </w:tcPr>
                      <w:p>
                        <w:pPr/>
                      </w:p>
                    </w:tc>
                    <w:tc>
                      <w:tcPr>
                        <w:tcW w:w="1296" w:type="dxa"/>
                        <w:tcBorders>
                          <w:bottom w:val="single" w:sz="8" w:space="0" w:color="000000"/>
                        </w:tcBorders>
                      </w:tcPr>
                      <w:p>
                        <w:pPr>
                          <w:pStyle w:val="TableParagraph"/>
                          <w:spacing w:line="245" w:lineRule="exact"/>
                          <w:ind w:left="93"/>
                          <w:rPr>
                            <w:b/>
                            <w:sz w:val="24"/>
                          </w:rPr>
                        </w:pPr>
                        <w:r>
                          <w:rPr>
                            <w:b/>
                            <w:sz w:val="24"/>
                          </w:rPr>
                          <w:t>0</w:t>
                        </w:r>
                      </w:p>
                    </w:tc>
                    <w:tc>
                      <w:tcPr>
                        <w:tcW w:w="1205" w:type="dxa"/>
                        <w:tcBorders>
                          <w:bottom w:val="single" w:sz="8" w:space="0" w:color="000000"/>
                        </w:tcBorders>
                      </w:tcPr>
                      <w:p>
                        <w:pPr>
                          <w:pStyle w:val="TableParagraph"/>
                          <w:spacing w:line="245" w:lineRule="exact"/>
                          <w:ind w:left="252" w:right="252"/>
                          <w:rPr>
                            <w:b/>
                            <w:sz w:val="24"/>
                          </w:rPr>
                        </w:pPr>
                        <w:r>
                          <w:rPr>
                            <w:b/>
                            <w:sz w:val="24"/>
                          </w:rPr>
                          <w:t>0.2</w:t>
                        </w:r>
                      </w:p>
                    </w:tc>
                    <w:tc>
                      <w:tcPr>
                        <w:tcW w:w="1206" w:type="dxa"/>
                        <w:tcBorders>
                          <w:bottom w:val="single" w:sz="8" w:space="0" w:color="000000"/>
                        </w:tcBorders>
                      </w:tcPr>
                      <w:p>
                        <w:pPr>
                          <w:pStyle w:val="TableParagraph"/>
                          <w:spacing w:line="245" w:lineRule="exact"/>
                          <w:ind w:left="252" w:right="253"/>
                          <w:rPr>
                            <w:b/>
                            <w:sz w:val="24"/>
                          </w:rPr>
                        </w:pPr>
                        <w:r>
                          <w:rPr>
                            <w:b/>
                            <w:sz w:val="24"/>
                          </w:rPr>
                          <w:t>0.4</w:t>
                        </w:r>
                      </w:p>
                    </w:tc>
                    <w:tc>
                      <w:tcPr>
                        <w:tcW w:w="1205" w:type="dxa"/>
                        <w:tcBorders>
                          <w:bottom w:val="single" w:sz="8" w:space="0" w:color="000000"/>
                        </w:tcBorders>
                      </w:tcPr>
                      <w:p>
                        <w:pPr>
                          <w:pStyle w:val="TableParagraph"/>
                          <w:spacing w:line="245" w:lineRule="exact"/>
                          <w:ind w:left="253" w:right="251"/>
                          <w:rPr>
                            <w:b/>
                            <w:sz w:val="24"/>
                          </w:rPr>
                        </w:pPr>
                        <w:r>
                          <w:rPr>
                            <w:b/>
                            <w:sz w:val="24"/>
                          </w:rPr>
                          <w:t>0.6</w:t>
                        </w:r>
                      </w:p>
                    </w:tc>
                    <w:tc>
                      <w:tcPr>
                        <w:tcW w:w="2302" w:type="dxa"/>
                        <w:gridSpan w:val="2"/>
                        <w:tcBorders>
                          <w:bottom w:val="single" w:sz="8" w:space="0" w:color="000000"/>
                        </w:tcBorders>
                      </w:tcPr>
                      <w:p>
                        <w:pPr/>
                      </w:p>
                    </w:tc>
                  </w:tr>
                  <w:tr>
                    <w:trPr>
                      <w:trHeight w:val="362" w:hRule="exact"/>
                    </w:trPr>
                    <w:tc>
                      <w:tcPr>
                        <w:tcW w:w="1766" w:type="dxa"/>
                        <w:tcBorders>
                          <w:top w:val="single" w:sz="8" w:space="0" w:color="000000"/>
                        </w:tcBorders>
                      </w:tcPr>
                      <w:p>
                        <w:pPr>
                          <w:pStyle w:val="TableParagraph"/>
                          <w:spacing w:line="270" w:lineRule="exact"/>
                          <w:ind w:left="69"/>
                          <w:jc w:val="left"/>
                          <w:rPr>
                            <w:sz w:val="24"/>
                          </w:rPr>
                        </w:pPr>
                        <w:r>
                          <w:rPr>
                            <w:sz w:val="24"/>
                          </w:rPr>
                          <w:t>PVI, kg</w:t>
                        </w:r>
                      </w:p>
                    </w:tc>
                    <w:tc>
                      <w:tcPr>
                        <w:tcW w:w="1296" w:type="dxa"/>
                        <w:tcBorders>
                          <w:top w:val="single" w:sz="8" w:space="0" w:color="000000"/>
                        </w:tcBorders>
                      </w:tcPr>
                      <w:p>
                        <w:pPr>
                          <w:pStyle w:val="TableParagraph"/>
                          <w:spacing w:line="270" w:lineRule="exact"/>
                          <w:ind w:left="343" w:right="252"/>
                          <w:rPr>
                            <w:sz w:val="24"/>
                          </w:rPr>
                        </w:pPr>
                        <w:r>
                          <w:rPr>
                            <w:sz w:val="24"/>
                          </w:rPr>
                          <w:t>29.38</w:t>
                        </w:r>
                      </w:p>
                    </w:tc>
                    <w:tc>
                      <w:tcPr>
                        <w:tcW w:w="1205" w:type="dxa"/>
                        <w:tcBorders>
                          <w:top w:val="single" w:sz="8" w:space="0" w:color="000000"/>
                        </w:tcBorders>
                      </w:tcPr>
                      <w:p>
                        <w:pPr>
                          <w:pStyle w:val="TableParagraph"/>
                          <w:spacing w:line="270" w:lineRule="exact"/>
                          <w:ind w:left="252" w:right="252"/>
                          <w:rPr>
                            <w:sz w:val="24"/>
                          </w:rPr>
                        </w:pPr>
                        <w:r>
                          <w:rPr>
                            <w:sz w:val="24"/>
                          </w:rPr>
                          <w:t>29.02</w:t>
                        </w:r>
                      </w:p>
                    </w:tc>
                    <w:tc>
                      <w:tcPr>
                        <w:tcW w:w="1206" w:type="dxa"/>
                        <w:tcBorders>
                          <w:top w:val="single" w:sz="8" w:space="0" w:color="000000"/>
                        </w:tcBorders>
                      </w:tcPr>
                      <w:p>
                        <w:pPr>
                          <w:pStyle w:val="TableParagraph"/>
                          <w:spacing w:line="270" w:lineRule="exact"/>
                          <w:ind w:left="252" w:right="253"/>
                          <w:rPr>
                            <w:sz w:val="24"/>
                          </w:rPr>
                        </w:pPr>
                        <w:r>
                          <w:rPr>
                            <w:sz w:val="24"/>
                          </w:rPr>
                          <w:t>29.26</w:t>
                        </w:r>
                      </w:p>
                    </w:tc>
                    <w:tc>
                      <w:tcPr>
                        <w:tcW w:w="1205" w:type="dxa"/>
                        <w:tcBorders>
                          <w:top w:val="single" w:sz="8" w:space="0" w:color="000000"/>
                        </w:tcBorders>
                      </w:tcPr>
                      <w:p>
                        <w:pPr>
                          <w:pStyle w:val="TableParagraph"/>
                          <w:spacing w:line="270" w:lineRule="exact"/>
                          <w:ind w:left="253" w:right="251"/>
                          <w:rPr>
                            <w:sz w:val="24"/>
                          </w:rPr>
                        </w:pPr>
                        <w:r>
                          <w:rPr>
                            <w:sz w:val="24"/>
                          </w:rPr>
                          <w:t>29.08</w:t>
                        </w:r>
                      </w:p>
                    </w:tc>
                    <w:tc>
                      <w:tcPr>
                        <w:tcW w:w="1055" w:type="dxa"/>
                        <w:tcBorders>
                          <w:top w:val="single" w:sz="8" w:space="0" w:color="000000"/>
                        </w:tcBorders>
                      </w:tcPr>
                      <w:p>
                        <w:pPr>
                          <w:pStyle w:val="TableParagraph"/>
                          <w:spacing w:line="270" w:lineRule="exact"/>
                          <w:ind w:right="89"/>
                          <w:rPr>
                            <w:sz w:val="24"/>
                          </w:rPr>
                        </w:pPr>
                        <w:r>
                          <w:rPr>
                            <w:w w:val="99"/>
                            <w:sz w:val="24"/>
                          </w:rPr>
                          <w:t>-</w:t>
                        </w:r>
                      </w:p>
                    </w:tc>
                    <w:tc>
                      <w:tcPr>
                        <w:tcW w:w="1247" w:type="dxa"/>
                        <w:tcBorders>
                          <w:top w:val="single" w:sz="8" w:space="0" w:color="000000"/>
                        </w:tcBorders>
                      </w:tcPr>
                      <w:p>
                        <w:pPr>
                          <w:pStyle w:val="TableParagraph"/>
                          <w:spacing w:line="270" w:lineRule="exact"/>
                          <w:ind w:right="97"/>
                          <w:rPr>
                            <w:sz w:val="24"/>
                          </w:rPr>
                        </w:pPr>
                        <w:r>
                          <w:rPr>
                            <w:w w:val="99"/>
                            <w:sz w:val="24"/>
                          </w:rPr>
                          <w:t>-</w:t>
                        </w:r>
                      </w:p>
                    </w:tc>
                  </w:tr>
                  <w:tr>
                    <w:trPr>
                      <w:trHeight w:val="414" w:hRule="exact"/>
                    </w:trPr>
                    <w:tc>
                      <w:tcPr>
                        <w:tcW w:w="1766" w:type="dxa"/>
                      </w:tcPr>
                      <w:p>
                        <w:pPr>
                          <w:pStyle w:val="TableParagraph"/>
                          <w:spacing w:before="56"/>
                          <w:ind w:left="69"/>
                          <w:jc w:val="left"/>
                          <w:rPr>
                            <w:sz w:val="24"/>
                          </w:rPr>
                        </w:pPr>
                        <w:r>
                          <w:rPr>
                            <w:sz w:val="24"/>
                          </w:rPr>
                          <w:t>PVF, kg</w:t>
                        </w:r>
                      </w:p>
                    </w:tc>
                    <w:tc>
                      <w:tcPr>
                        <w:tcW w:w="1296" w:type="dxa"/>
                      </w:tcPr>
                      <w:p>
                        <w:pPr>
                          <w:pStyle w:val="TableParagraph"/>
                          <w:spacing w:before="56"/>
                          <w:ind w:left="343" w:right="252"/>
                          <w:rPr>
                            <w:sz w:val="24"/>
                          </w:rPr>
                        </w:pPr>
                        <w:r>
                          <w:rPr>
                            <w:sz w:val="24"/>
                          </w:rPr>
                          <w:t>42.46</w:t>
                        </w:r>
                      </w:p>
                    </w:tc>
                    <w:tc>
                      <w:tcPr>
                        <w:tcW w:w="1205" w:type="dxa"/>
                      </w:tcPr>
                      <w:p>
                        <w:pPr>
                          <w:pStyle w:val="TableParagraph"/>
                          <w:spacing w:before="56"/>
                          <w:ind w:left="252" w:right="252"/>
                          <w:rPr>
                            <w:sz w:val="24"/>
                          </w:rPr>
                        </w:pPr>
                        <w:r>
                          <w:rPr>
                            <w:sz w:val="24"/>
                          </w:rPr>
                          <w:t>42.90</w:t>
                        </w:r>
                      </w:p>
                    </w:tc>
                    <w:tc>
                      <w:tcPr>
                        <w:tcW w:w="1206" w:type="dxa"/>
                      </w:tcPr>
                      <w:p>
                        <w:pPr>
                          <w:pStyle w:val="TableParagraph"/>
                          <w:spacing w:before="56"/>
                          <w:ind w:left="252" w:right="253"/>
                          <w:rPr>
                            <w:sz w:val="24"/>
                          </w:rPr>
                        </w:pPr>
                        <w:r>
                          <w:rPr>
                            <w:sz w:val="24"/>
                          </w:rPr>
                          <w:t>42.88</w:t>
                        </w:r>
                      </w:p>
                    </w:tc>
                    <w:tc>
                      <w:tcPr>
                        <w:tcW w:w="1205" w:type="dxa"/>
                      </w:tcPr>
                      <w:p>
                        <w:pPr>
                          <w:pStyle w:val="TableParagraph"/>
                          <w:spacing w:before="56"/>
                          <w:ind w:left="253" w:right="251"/>
                          <w:rPr>
                            <w:sz w:val="24"/>
                          </w:rPr>
                        </w:pPr>
                        <w:r>
                          <w:rPr>
                            <w:sz w:val="24"/>
                          </w:rPr>
                          <w:t>42.90</w:t>
                        </w:r>
                      </w:p>
                    </w:tc>
                    <w:tc>
                      <w:tcPr>
                        <w:tcW w:w="1055" w:type="dxa"/>
                      </w:tcPr>
                      <w:p>
                        <w:pPr>
                          <w:pStyle w:val="TableParagraph"/>
                          <w:spacing w:before="56"/>
                          <w:ind w:left="252" w:right="342"/>
                          <w:rPr>
                            <w:sz w:val="24"/>
                          </w:rPr>
                        </w:pPr>
                        <w:r>
                          <w:rPr>
                            <w:sz w:val="24"/>
                          </w:rPr>
                          <w:t>1.07</w:t>
                        </w:r>
                      </w:p>
                    </w:tc>
                    <w:tc>
                      <w:tcPr>
                        <w:tcW w:w="1247" w:type="dxa"/>
                      </w:tcPr>
                      <w:p>
                        <w:pPr>
                          <w:pStyle w:val="TableParagraph"/>
                          <w:spacing w:before="56"/>
                          <w:ind w:left="344" w:right="442"/>
                          <w:rPr>
                            <w:sz w:val="24"/>
                          </w:rPr>
                        </w:pPr>
                        <w:r>
                          <w:rPr>
                            <w:sz w:val="24"/>
                          </w:rPr>
                          <w:t>0.71</w:t>
                        </w:r>
                      </w:p>
                    </w:tc>
                  </w:tr>
                  <w:tr>
                    <w:trPr>
                      <w:trHeight w:val="414" w:hRule="exact"/>
                    </w:trPr>
                    <w:tc>
                      <w:tcPr>
                        <w:tcW w:w="1766" w:type="dxa"/>
                      </w:tcPr>
                      <w:p>
                        <w:pPr>
                          <w:pStyle w:val="TableParagraph"/>
                          <w:spacing w:before="55"/>
                          <w:ind w:left="69"/>
                          <w:jc w:val="left"/>
                          <w:rPr>
                            <w:sz w:val="24"/>
                          </w:rPr>
                        </w:pPr>
                        <w:r>
                          <w:rPr>
                            <w:sz w:val="24"/>
                          </w:rPr>
                          <w:t>GPT, kg</w:t>
                        </w:r>
                      </w:p>
                    </w:tc>
                    <w:tc>
                      <w:tcPr>
                        <w:tcW w:w="1296" w:type="dxa"/>
                      </w:tcPr>
                      <w:p>
                        <w:pPr>
                          <w:pStyle w:val="TableParagraph"/>
                          <w:spacing w:before="55"/>
                          <w:ind w:left="343" w:right="252"/>
                          <w:rPr>
                            <w:sz w:val="24"/>
                          </w:rPr>
                        </w:pPr>
                        <w:r>
                          <w:rPr>
                            <w:sz w:val="24"/>
                          </w:rPr>
                          <w:t>13.080</w:t>
                        </w:r>
                      </w:p>
                    </w:tc>
                    <w:tc>
                      <w:tcPr>
                        <w:tcW w:w="1205" w:type="dxa"/>
                      </w:tcPr>
                      <w:p>
                        <w:pPr>
                          <w:pStyle w:val="TableParagraph"/>
                          <w:spacing w:before="55"/>
                          <w:ind w:left="252" w:right="252"/>
                          <w:rPr>
                            <w:sz w:val="24"/>
                          </w:rPr>
                        </w:pPr>
                        <w:r>
                          <w:rPr>
                            <w:sz w:val="24"/>
                          </w:rPr>
                          <w:t>13.880</w:t>
                        </w:r>
                      </w:p>
                    </w:tc>
                    <w:tc>
                      <w:tcPr>
                        <w:tcW w:w="1206" w:type="dxa"/>
                      </w:tcPr>
                      <w:p>
                        <w:pPr>
                          <w:pStyle w:val="TableParagraph"/>
                          <w:spacing w:before="55"/>
                          <w:ind w:left="252" w:right="253"/>
                          <w:rPr>
                            <w:sz w:val="24"/>
                          </w:rPr>
                        </w:pPr>
                        <w:r>
                          <w:rPr>
                            <w:sz w:val="24"/>
                          </w:rPr>
                          <w:t>13.620</w:t>
                        </w:r>
                      </w:p>
                    </w:tc>
                    <w:tc>
                      <w:tcPr>
                        <w:tcW w:w="1205" w:type="dxa"/>
                      </w:tcPr>
                      <w:p>
                        <w:pPr>
                          <w:pStyle w:val="TableParagraph"/>
                          <w:spacing w:before="55"/>
                          <w:ind w:left="253" w:right="251"/>
                          <w:rPr>
                            <w:sz w:val="24"/>
                          </w:rPr>
                        </w:pPr>
                        <w:r>
                          <w:rPr>
                            <w:sz w:val="24"/>
                          </w:rPr>
                          <w:t>13.820</w:t>
                        </w:r>
                      </w:p>
                    </w:tc>
                    <w:tc>
                      <w:tcPr>
                        <w:tcW w:w="1055" w:type="dxa"/>
                      </w:tcPr>
                      <w:p>
                        <w:pPr>
                          <w:pStyle w:val="TableParagraph"/>
                          <w:spacing w:before="55"/>
                          <w:ind w:left="252" w:right="342"/>
                          <w:rPr>
                            <w:sz w:val="24"/>
                          </w:rPr>
                        </w:pPr>
                        <w:r>
                          <w:rPr>
                            <w:sz w:val="24"/>
                          </w:rPr>
                          <w:t>1.07</w:t>
                        </w:r>
                      </w:p>
                    </w:tc>
                    <w:tc>
                      <w:tcPr>
                        <w:tcW w:w="1247" w:type="dxa"/>
                      </w:tcPr>
                      <w:p>
                        <w:pPr>
                          <w:pStyle w:val="TableParagraph"/>
                          <w:spacing w:before="55"/>
                          <w:ind w:left="344" w:right="442"/>
                          <w:rPr>
                            <w:sz w:val="24"/>
                          </w:rPr>
                        </w:pPr>
                        <w:r>
                          <w:rPr>
                            <w:sz w:val="24"/>
                          </w:rPr>
                          <w:t>0.69</w:t>
                        </w:r>
                      </w:p>
                    </w:tc>
                  </w:tr>
                  <w:tr>
                    <w:trPr>
                      <w:trHeight w:val="414" w:hRule="exact"/>
                    </w:trPr>
                    <w:tc>
                      <w:tcPr>
                        <w:tcW w:w="1766" w:type="dxa"/>
                      </w:tcPr>
                      <w:p>
                        <w:pPr>
                          <w:pStyle w:val="TableParagraph"/>
                          <w:spacing w:before="56"/>
                          <w:ind w:left="69"/>
                          <w:jc w:val="left"/>
                          <w:rPr>
                            <w:sz w:val="24"/>
                          </w:rPr>
                        </w:pPr>
                        <w:r>
                          <w:rPr>
                            <w:sz w:val="24"/>
                          </w:rPr>
                          <w:t>GDP, kg</w:t>
                        </w:r>
                      </w:p>
                    </w:tc>
                    <w:tc>
                      <w:tcPr>
                        <w:tcW w:w="1296" w:type="dxa"/>
                      </w:tcPr>
                      <w:p>
                        <w:pPr>
                          <w:pStyle w:val="TableParagraph"/>
                          <w:spacing w:before="56"/>
                          <w:ind w:left="343" w:right="252"/>
                          <w:rPr>
                            <w:sz w:val="24"/>
                          </w:rPr>
                        </w:pPr>
                        <w:r>
                          <w:rPr>
                            <w:sz w:val="24"/>
                          </w:rPr>
                          <w:t>0.262</w:t>
                        </w:r>
                      </w:p>
                    </w:tc>
                    <w:tc>
                      <w:tcPr>
                        <w:tcW w:w="1205" w:type="dxa"/>
                      </w:tcPr>
                      <w:p>
                        <w:pPr>
                          <w:pStyle w:val="TableParagraph"/>
                          <w:spacing w:before="56"/>
                          <w:ind w:left="252" w:right="252"/>
                          <w:rPr>
                            <w:sz w:val="24"/>
                          </w:rPr>
                        </w:pPr>
                        <w:r>
                          <w:rPr>
                            <w:sz w:val="24"/>
                          </w:rPr>
                          <w:t>0.277</w:t>
                        </w:r>
                      </w:p>
                    </w:tc>
                    <w:tc>
                      <w:tcPr>
                        <w:tcW w:w="1206" w:type="dxa"/>
                      </w:tcPr>
                      <w:p>
                        <w:pPr>
                          <w:pStyle w:val="TableParagraph"/>
                          <w:spacing w:before="56"/>
                          <w:ind w:left="252" w:right="253"/>
                          <w:rPr>
                            <w:sz w:val="24"/>
                          </w:rPr>
                        </w:pPr>
                        <w:r>
                          <w:rPr>
                            <w:sz w:val="24"/>
                          </w:rPr>
                          <w:t>0.278</w:t>
                        </w:r>
                      </w:p>
                    </w:tc>
                    <w:tc>
                      <w:tcPr>
                        <w:tcW w:w="1205" w:type="dxa"/>
                      </w:tcPr>
                      <w:p>
                        <w:pPr>
                          <w:pStyle w:val="TableParagraph"/>
                          <w:spacing w:before="56"/>
                          <w:ind w:left="253" w:right="251"/>
                          <w:rPr>
                            <w:sz w:val="24"/>
                          </w:rPr>
                        </w:pPr>
                        <w:r>
                          <w:rPr>
                            <w:sz w:val="24"/>
                          </w:rPr>
                          <w:t>0.275</w:t>
                        </w:r>
                      </w:p>
                    </w:tc>
                    <w:tc>
                      <w:tcPr>
                        <w:tcW w:w="1055" w:type="dxa"/>
                      </w:tcPr>
                      <w:p>
                        <w:pPr>
                          <w:pStyle w:val="TableParagraph"/>
                          <w:spacing w:before="56"/>
                          <w:ind w:left="252" w:right="342"/>
                          <w:rPr>
                            <w:sz w:val="24"/>
                          </w:rPr>
                        </w:pPr>
                        <w:r>
                          <w:rPr>
                            <w:sz w:val="24"/>
                          </w:rPr>
                          <w:t>0.03</w:t>
                        </w:r>
                      </w:p>
                    </w:tc>
                    <w:tc>
                      <w:tcPr>
                        <w:tcW w:w="1247" w:type="dxa"/>
                      </w:tcPr>
                      <w:p>
                        <w:pPr>
                          <w:pStyle w:val="TableParagraph"/>
                          <w:spacing w:before="56"/>
                          <w:ind w:left="344" w:right="442"/>
                          <w:rPr>
                            <w:sz w:val="24"/>
                          </w:rPr>
                        </w:pPr>
                        <w:r>
                          <w:rPr>
                            <w:sz w:val="24"/>
                          </w:rPr>
                          <w:t>0.96</w:t>
                        </w:r>
                      </w:p>
                    </w:tc>
                  </w:tr>
                  <w:tr>
                    <w:trPr>
                      <w:trHeight w:val="414" w:hRule="exact"/>
                    </w:trPr>
                    <w:tc>
                      <w:tcPr>
                        <w:tcW w:w="1766" w:type="dxa"/>
                      </w:tcPr>
                      <w:p>
                        <w:pPr>
                          <w:pStyle w:val="TableParagraph"/>
                          <w:spacing w:before="55"/>
                          <w:ind w:left="69"/>
                          <w:jc w:val="left"/>
                          <w:rPr>
                            <w:sz w:val="24"/>
                          </w:rPr>
                        </w:pPr>
                        <w:r>
                          <w:rPr>
                            <w:sz w:val="24"/>
                          </w:rPr>
                          <w:t>CMS, kg/d</w:t>
                        </w:r>
                      </w:p>
                    </w:tc>
                    <w:tc>
                      <w:tcPr>
                        <w:tcW w:w="1296" w:type="dxa"/>
                      </w:tcPr>
                      <w:p>
                        <w:pPr>
                          <w:pStyle w:val="TableParagraph"/>
                          <w:spacing w:before="55"/>
                          <w:ind w:left="343" w:right="252"/>
                          <w:rPr>
                            <w:sz w:val="24"/>
                          </w:rPr>
                        </w:pPr>
                        <w:r>
                          <w:rPr>
                            <w:sz w:val="24"/>
                          </w:rPr>
                          <w:t>1.76</w:t>
                        </w:r>
                      </w:p>
                    </w:tc>
                    <w:tc>
                      <w:tcPr>
                        <w:tcW w:w="1205" w:type="dxa"/>
                      </w:tcPr>
                      <w:p>
                        <w:pPr>
                          <w:pStyle w:val="TableParagraph"/>
                          <w:spacing w:before="55"/>
                          <w:ind w:left="252" w:right="252"/>
                          <w:rPr>
                            <w:sz w:val="24"/>
                          </w:rPr>
                        </w:pPr>
                        <w:r>
                          <w:rPr>
                            <w:sz w:val="24"/>
                          </w:rPr>
                          <w:t>1.72</w:t>
                        </w:r>
                      </w:p>
                    </w:tc>
                    <w:tc>
                      <w:tcPr>
                        <w:tcW w:w="1206" w:type="dxa"/>
                      </w:tcPr>
                      <w:p>
                        <w:pPr>
                          <w:pStyle w:val="TableParagraph"/>
                          <w:spacing w:before="55"/>
                          <w:ind w:left="252" w:right="253"/>
                          <w:rPr>
                            <w:sz w:val="24"/>
                          </w:rPr>
                        </w:pPr>
                        <w:r>
                          <w:rPr>
                            <w:sz w:val="24"/>
                          </w:rPr>
                          <w:t>1.73</w:t>
                        </w:r>
                      </w:p>
                    </w:tc>
                    <w:tc>
                      <w:tcPr>
                        <w:tcW w:w="1205" w:type="dxa"/>
                      </w:tcPr>
                      <w:p>
                        <w:pPr>
                          <w:pStyle w:val="TableParagraph"/>
                          <w:spacing w:before="55"/>
                          <w:ind w:left="253" w:right="251"/>
                          <w:rPr>
                            <w:sz w:val="24"/>
                          </w:rPr>
                        </w:pPr>
                        <w:r>
                          <w:rPr>
                            <w:sz w:val="24"/>
                          </w:rPr>
                          <w:t>1.700</w:t>
                        </w:r>
                      </w:p>
                    </w:tc>
                    <w:tc>
                      <w:tcPr>
                        <w:tcW w:w="1055" w:type="dxa"/>
                      </w:tcPr>
                      <w:p>
                        <w:pPr>
                          <w:pStyle w:val="TableParagraph"/>
                          <w:spacing w:before="55"/>
                          <w:ind w:left="252" w:right="342"/>
                          <w:rPr>
                            <w:sz w:val="24"/>
                          </w:rPr>
                        </w:pPr>
                        <w:r>
                          <w:rPr>
                            <w:sz w:val="24"/>
                          </w:rPr>
                          <w:t>0.05</w:t>
                        </w:r>
                      </w:p>
                    </w:tc>
                    <w:tc>
                      <w:tcPr>
                        <w:tcW w:w="1247" w:type="dxa"/>
                      </w:tcPr>
                      <w:p>
                        <w:pPr>
                          <w:pStyle w:val="TableParagraph"/>
                          <w:spacing w:before="55"/>
                          <w:ind w:left="344" w:right="442"/>
                          <w:rPr>
                            <w:sz w:val="24"/>
                          </w:rPr>
                        </w:pPr>
                        <w:r>
                          <w:rPr>
                            <w:sz w:val="24"/>
                          </w:rPr>
                          <w:t>0.84</w:t>
                        </w:r>
                      </w:p>
                    </w:tc>
                  </w:tr>
                  <w:tr>
                    <w:trPr>
                      <w:trHeight w:val="414" w:hRule="exact"/>
                    </w:trPr>
                    <w:tc>
                      <w:tcPr>
                        <w:tcW w:w="1766" w:type="dxa"/>
                      </w:tcPr>
                      <w:p>
                        <w:pPr>
                          <w:pStyle w:val="TableParagraph"/>
                          <w:spacing w:before="56"/>
                          <w:ind w:left="69"/>
                          <w:jc w:val="left"/>
                          <w:rPr>
                            <w:sz w:val="24"/>
                          </w:rPr>
                        </w:pPr>
                        <w:r>
                          <w:rPr>
                            <w:sz w:val="24"/>
                          </w:rPr>
                          <w:t>CMST, kg</w:t>
                        </w:r>
                      </w:p>
                    </w:tc>
                    <w:tc>
                      <w:tcPr>
                        <w:tcW w:w="1296" w:type="dxa"/>
                      </w:tcPr>
                      <w:p>
                        <w:pPr>
                          <w:pStyle w:val="TableParagraph"/>
                          <w:spacing w:before="56"/>
                          <w:ind w:left="343" w:right="252"/>
                          <w:rPr>
                            <w:sz w:val="24"/>
                          </w:rPr>
                        </w:pPr>
                        <w:r>
                          <w:rPr>
                            <w:sz w:val="24"/>
                          </w:rPr>
                          <w:t>87.60</w:t>
                        </w:r>
                      </w:p>
                    </w:tc>
                    <w:tc>
                      <w:tcPr>
                        <w:tcW w:w="1205" w:type="dxa"/>
                      </w:tcPr>
                      <w:p>
                        <w:pPr>
                          <w:pStyle w:val="TableParagraph"/>
                          <w:spacing w:before="56"/>
                          <w:ind w:left="252" w:right="252"/>
                          <w:rPr>
                            <w:sz w:val="24"/>
                          </w:rPr>
                        </w:pPr>
                        <w:r>
                          <w:rPr>
                            <w:sz w:val="24"/>
                          </w:rPr>
                          <w:t>85.80</w:t>
                        </w:r>
                      </w:p>
                    </w:tc>
                    <w:tc>
                      <w:tcPr>
                        <w:tcW w:w="1206" w:type="dxa"/>
                      </w:tcPr>
                      <w:p>
                        <w:pPr>
                          <w:pStyle w:val="TableParagraph"/>
                          <w:spacing w:before="56"/>
                          <w:ind w:left="252" w:right="253"/>
                          <w:rPr>
                            <w:sz w:val="24"/>
                          </w:rPr>
                        </w:pPr>
                        <w:r>
                          <w:rPr>
                            <w:sz w:val="24"/>
                          </w:rPr>
                          <w:t>86.89</w:t>
                        </w:r>
                      </w:p>
                    </w:tc>
                    <w:tc>
                      <w:tcPr>
                        <w:tcW w:w="1205" w:type="dxa"/>
                      </w:tcPr>
                      <w:p>
                        <w:pPr>
                          <w:pStyle w:val="TableParagraph"/>
                          <w:spacing w:before="56"/>
                          <w:ind w:left="253" w:right="251"/>
                          <w:rPr>
                            <w:sz w:val="24"/>
                          </w:rPr>
                        </w:pPr>
                        <w:r>
                          <w:rPr>
                            <w:sz w:val="24"/>
                          </w:rPr>
                          <w:t>85.50</w:t>
                        </w:r>
                      </w:p>
                    </w:tc>
                    <w:tc>
                      <w:tcPr>
                        <w:tcW w:w="1055" w:type="dxa"/>
                      </w:tcPr>
                      <w:p>
                        <w:pPr>
                          <w:pStyle w:val="TableParagraph"/>
                          <w:spacing w:before="56"/>
                          <w:ind w:left="252" w:right="342"/>
                          <w:rPr>
                            <w:sz w:val="24"/>
                          </w:rPr>
                        </w:pPr>
                        <w:r>
                          <w:rPr>
                            <w:sz w:val="24"/>
                          </w:rPr>
                          <w:t>3.21</w:t>
                        </w:r>
                      </w:p>
                    </w:tc>
                    <w:tc>
                      <w:tcPr>
                        <w:tcW w:w="1247" w:type="dxa"/>
                      </w:tcPr>
                      <w:p>
                        <w:pPr>
                          <w:pStyle w:val="TableParagraph"/>
                          <w:spacing w:before="56"/>
                          <w:ind w:left="344" w:right="442"/>
                          <w:rPr>
                            <w:sz w:val="24"/>
                          </w:rPr>
                        </w:pPr>
                        <w:r>
                          <w:rPr>
                            <w:sz w:val="24"/>
                          </w:rPr>
                          <w:t>0.64</w:t>
                        </w:r>
                      </w:p>
                    </w:tc>
                  </w:tr>
                  <w:tr>
                    <w:trPr>
                      <w:trHeight w:val="414" w:hRule="exact"/>
                    </w:trPr>
                    <w:tc>
                      <w:tcPr>
                        <w:tcW w:w="1766" w:type="dxa"/>
                      </w:tcPr>
                      <w:p>
                        <w:pPr>
                          <w:pStyle w:val="TableParagraph"/>
                          <w:spacing w:before="55"/>
                          <w:ind w:left="69"/>
                          <w:jc w:val="left"/>
                          <w:rPr>
                            <w:sz w:val="24"/>
                          </w:rPr>
                        </w:pPr>
                        <w:r>
                          <w:rPr>
                            <w:sz w:val="24"/>
                          </w:rPr>
                          <w:t>CA, A/G</w:t>
                        </w:r>
                      </w:p>
                    </w:tc>
                    <w:tc>
                      <w:tcPr>
                        <w:tcW w:w="1296" w:type="dxa"/>
                      </w:tcPr>
                      <w:p>
                        <w:pPr>
                          <w:pStyle w:val="TableParagraph"/>
                          <w:spacing w:before="55"/>
                          <w:ind w:left="343" w:right="252"/>
                          <w:rPr>
                            <w:sz w:val="24"/>
                          </w:rPr>
                        </w:pPr>
                        <w:r>
                          <w:rPr>
                            <w:sz w:val="24"/>
                          </w:rPr>
                          <w:t>6.70</w:t>
                        </w:r>
                      </w:p>
                    </w:tc>
                    <w:tc>
                      <w:tcPr>
                        <w:tcW w:w="1205" w:type="dxa"/>
                      </w:tcPr>
                      <w:p>
                        <w:pPr>
                          <w:pStyle w:val="TableParagraph"/>
                          <w:spacing w:before="55"/>
                          <w:ind w:left="252" w:right="252"/>
                          <w:rPr>
                            <w:sz w:val="24"/>
                          </w:rPr>
                        </w:pPr>
                        <w:r>
                          <w:rPr>
                            <w:sz w:val="24"/>
                          </w:rPr>
                          <w:t>6.10</w:t>
                        </w:r>
                      </w:p>
                    </w:tc>
                    <w:tc>
                      <w:tcPr>
                        <w:tcW w:w="1206" w:type="dxa"/>
                      </w:tcPr>
                      <w:p>
                        <w:pPr>
                          <w:pStyle w:val="TableParagraph"/>
                          <w:spacing w:before="55"/>
                          <w:ind w:left="252" w:right="253"/>
                          <w:rPr>
                            <w:sz w:val="24"/>
                          </w:rPr>
                        </w:pPr>
                        <w:r>
                          <w:rPr>
                            <w:sz w:val="24"/>
                          </w:rPr>
                          <w:t>6.430</w:t>
                        </w:r>
                      </w:p>
                    </w:tc>
                    <w:tc>
                      <w:tcPr>
                        <w:tcW w:w="1205" w:type="dxa"/>
                      </w:tcPr>
                      <w:p>
                        <w:pPr>
                          <w:pStyle w:val="TableParagraph"/>
                          <w:spacing w:before="55"/>
                          <w:ind w:left="253" w:right="251"/>
                          <w:rPr>
                            <w:sz w:val="24"/>
                          </w:rPr>
                        </w:pPr>
                        <w:r>
                          <w:rPr>
                            <w:sz w:val="24"/>
                          </w:rPr>
                          <w:t>6.550</w:t>
                        </w:r>
                      </w:p>
                    </w:tc>
                    <w:tc>
                      <w:tcPr>
                        <w:tcW w:w="1055" w:type="dxa"/>
                      </w:tcPr>
                      <w:p>
                        <w:pPr>
                          <w:pStyle w:val="TableParagraph"/>
                          <w:spacing w:before="55"/>
                          <w:ind w:left="252" w:right="342"/>
                          <w:rPr>
                            <w:sz w:val="24"/>
                          </w:rPr>
                        </w:pPr>
                        <w:r>
                          <w:rPr>
                            <w:sz w:val="24"/>
                          </w:rPr>
                          <w:t>0.55</w:t>
                        </w:r>
                      </w:p>
                    </w:tc>
                    <w:tc>
                      <w:tcPr>
                        <w:tcW w:w="1247" w:type="dxa"/>
                      </w:tcPr>
                      <w:p>
                        <w:pPr>
                          <w:pStyle w:val="TableParagraph"/>
                          <w:spacing w:before="55"/>
                          <w:ind w:left="344" w:right="442"/>
                          <w:rPr>
                            <w:sz w:val="24"/>
                          </w:rPr>
                        </w:pPr>
                        <w:r>
                          <w:rPr>
                            <w:sz w:val="24"/>
                          </w:rPr>
                          <w:t>0.97</w:t>
                        </w:r>
                      </w:p>
                    </w:tc>
                  </w:tr>
                  <w:tr>
                    <w:trPr>
                      <w:trHeight w:val="487" w:hRule="exact"/>
                    </w:trPr>
                    <w:tc>
                      <w:tcPr>
                        <w:tcW w:w="1766" w:type="dxa"/>
                        <w:tcBorders>
                          <w:bottom w:val="single" w:sz="8" w:space="0" w:color="000000"/>
                        </w:tcBorders>
                      </w:tcPr>
                      <w:p>
                        <w:pPr>
                          <w:pStyle w:val="TableParagraph"/>
                          <w:spacing w:before="56"/>
                          <w:ind w:left="69"/>
                          <w:jc w:val="left"/>
                          <w:rPr>
                            <w:sz w:val="24"/>
                          </w:rPr>
                        </w:pPr>
                        <w:r>
                          <w:rPr>
                            <w:sz w:val="24"/>
                          </w:rPr>
                          <w:t>EA, G/A*100</w:t>
                        </w:r>
                      </w:p>
                    </w:tc>
                    <w:tc>
                      <w:tcPr>
                        <w:tcW w:w="1296" w:type="dxa"/>
                        <w:tcBorders>
                          <w:bottom w:val="single" w:sz="8" w:space="0" w:color="000000"/>
                        </w:tcBorders>
                      </w:tcPr>
                      <w:p>
                        <w:pPr>
                          <w:pStyle w:val="TableParagraph"/>
                          <w:spacing w:before="56"/>
                          <w:ind w:left="343" w:right="252"/>
                          <w:rPr>
                            <w:sz w:val="24"/>
                          </w:rPr>
                        </w:pPr>
                        <w:r>
                          <w:rPr>
                            <w:sz w:val="24"/>
                          </w:rPr>
                          <w:t>14.92</w:t>
                        </w:r>
                      </w:p>
                    </w:tc>
                    <w:tc>
                      <w:tcPr>
                        <w:tcW w:w="1205" w:type="dxa"/>
                        <w:tcBorders>
                          <w:bottom w:val="single" w:sz="8" w:space="0" w:color="000000"/>
                        </w:tcBorders>
                      </w:tcPr>
                      <w:p>
                        <w:pPr>
                          <w:pStyle w:val="TableParagraph"/>
                          <w:spacing w:before="56"/>
                          <w:ind w:left="252" w:right="252"/>
                          <w:rPr>
                            <w:sz w:val="24"/>
                          </w:rPr>
                        </w:pPr>
                        <w:r>
                          <w:rPr>
                            <w:sz w:val="24"/>
                          </w:rPr>
                          <w:t>16.14</w:t>
                        </w:r>
                      </w:p>
                    </w:tc>
                    <w:tc>
                      <w:tcPr>
                        <w:tcW w:w="1206" w:type="dxa"/>
                        <w:tcBorders>
                          <w:bottom w:val="single" w:sz="8" w:space="0" w:color="000000"/>
                        </w:tcBorders>
                      </w:tcPr>
                      <w:p>
                        <w:pPr>
                          <w:pStyle w:val="TableParagraph"/>
                          <w:spacing w:before="56"/>
                          <w:ind w:left="252" w:right="253"/>
                          <w:rPr>
                            <w:sz w:val="24"/>
                          </w:rPr>
                        </w:pPr>
                        <w:r>
                          <w:rPr>
                            <w:sz w:val="24"/>
                          </w:rPr>
                          <w:t>15.960</w:t>
                        </w:r>
                      </w:p>
                    </w:tc>
                    <w:tc>
                      <w:tcPr>
                        <w:tcW w:w="1205" w:type="dxa"/>
                        <w:tcBorders>
                          <w:bottom w:val="single" w:sz="8" w:space="0" w:color="000000"/>
                        </w:tcBorders>
                      </w:tcPr>
                      <w:p>
                        <w:pPr>
                          <w:pStyle w:val="TableParagraph"/>
                          <w:spacing w:before="56"/>
                          <w:ind w:left="253" w:right="251"/>
                          <w:rPr>
                            <w:sz w:val="24"/>
                          </w:rPr>
                        </w:pPr>
                        <w:r>
                          <w:rPr>
                            <w:sz w:val="24"/>
                          </w:rPr>
                          <w:t>16.240</w:t>
                        </w:r>
                      </w:p>
                    </w:tc>
                    <w:tc>
                      <w:tcPr>
                        <w:tcW w:w="1055" w:type="dxa"/>
                        <w:tcBorders>
                          <w:bottom w:val="single" w:sz="8" w:space="0" w:color="000000"/>
                        </w:tcBorders>
                      </w:tcPr>
                      <w:p>
                        <w:pPr>
                          <w:pStyle w:val="TableParagraph"/>
                          <w:spacing w:before="56"/>
                          <w:ind w:left="252" w:right="342"/>
                          <w:rPr>
                            <w:sz w:val="24"/>
                          </w:rPr>
                        </w:pPr>
                        <w:r>
                          <w:rPr>
                            <w:sz w:val="24"/>
                          </w:rPr>
                          <w:t>1.31</w:t>
                        </w:r>
                      </w:p>
                    </w:tc>
                    <w:tc>
                      <w:tcPr>
                        <w:tcW w:w="1247" w:type="dxa"/>
                        <w:tcBorders>
                          <w:bottom w:val="single" w:sz="8" w:space="0" w:color="000000"/>
                        </w:tcBorders>
                      </w:tcPr>
                      <w:p>
                        <w:pPr>
                          <w:pStyle w:val="TableParagraph"/>
                          <w:spacing w:before="56"/>
                          <w:ind w:left="344" w:right="442"/>
                          <w:rPr>
                            <w:sz w:val="24"/>
                          </w:rPr>
                        </w:pPr>
                        <w:r>
                          <w:rPr>
                            <w:sz w:val="24"/>
                          </w:rPr>
                          <w:t>0.89</w:t>
                        </w:r>
                      </w:p>
                    </w:tc>
                  </w:tr>
                </w:tbl>
                <w:p>
                  <w:pPr>
                    <w:pStyle w:val="BodyText"/>
                  </w:pPr>
                </w:p>
              </w:txbxContent>
            </v:textbox>
            <w10:wrap type="none"/>
          </v:shape>
        </w:pict>
      </w:r>
      <w:r>
        <w:rPr>
          <w:b/>
          <w:sz w:val="24"/>
        </w:rPr>
        <w:t>Variable</w:t>
        <w:tab/>
      </w:r>
      <w:r>
        <w:rPr>
          <w:b/>
          <w:sz w:val="24"/>
          <w:u w:val="single"/>
        </w:rPr>
        <w:tab/>
      </w:r>
      <w:r>
        <w:rPr>
          <w:b/>
          <w:sz w:val="24"/>
        </w:rPr>
        <w:t>EEM</w:t>
      </w:r>
      <w:r>
        <w:rPr>
          <w:b/>
          <w:position w:val="8"/>
          <w:sz w:val="16"/>
        </w:rPr>
        <w:t>1</w:t>
        <w:tab/>
      </w:r>
      <w:r>
        <w:rPr>
          <w:b/>
          <w:sz w:val="24"/>
        </w:rPr>
        <w:t>Valor</w:t>
      </w:r>
      <w:r>
        <w:rPr>
          <w:b/>
          <w:spacing w:val="-4"/>
          <w:sz w:val="24"/>
        </w:rPr>
        <w:t> </w:t>
      </w:r>
      <w:r>
        <w:rPr>
          <w:b/>
          <w:sz w:val="24"/>
        </w:rPr>
        <w:t>P</w:t>
      </w:r>
      <w:r>
        <w:rPr>
          <w:b/>
          <w:sz w:val="16"/>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5"/>
        </w:rPr>
      </w:pPr>
    </w:p>
    <w:p>
      <w:pPr>
        <w:spacing w:line="276" w:lineRule="auto" w:before="73"/>
        <w:ind w:left="212" w:right="185" w:firstLine="0"/>
        <w:jc w:val="both"/>
        <w:rPr>
          <w:sz w:val="22"/>
        </w:rPr>
      </w:pPr>
      <w:r>
        <w:rPr>
          <w:sz w:val="22"/>
        </w:rPr>
        <w:t>PVI: peso vivo Inicial; PVF: peso vivo final; CMS: consumo de materia seca; GDP: ganancia diaria de peso; GPT: ganancia de peso total; CMST: consumo de materia seca total; CA: conversión alimenticia; EA: eficiencia alimenticia; A: alimento; G: ganancia.</w:t>
      </w:r>
    </w:p>
    <w:p>
      <w:pPr>
        <w:spacing w:line="254" w:lineRule="exact" w:before="0"/>
        <w:ind w:left="212" w:right="0" w:firstLine="0"/>
        <w:jc w:val="both"/>
        <w:rPr>
          <w:sz w:val="22"/>
        </w:rPr>
      </w:pPr>
      <w:r>
        <w:rPr>
          <w:position w:val="8"/>
          <w:sz w:val="14"/>
        </w:rPr>
        <w:t>1 </w:t>
      </w:r>
      <w:r>
        <w:rPr>
          <w:sz w:val="22"/>
        </w:rPr>
        <w:t>Error Estándar de la Media.</w:t>
      </w:r>
    </w:p>
    <w:p>
      <w:pPr>
        <w:pStyle w:val="BodyText"/>
        <w:rPr>
          <w:sz w:val="22"/>
        </w:rPr>
      </w:pPr>
    </w:p>
    <w:p>
      <w:pPr>
        <w:pStyle w:val="BodyText"/>
        <w:spacing w:before="8"/>
        <w:rPr>
          <w:sz w:val="17"/>
        </w:rPr>
      </w:pPr>
    </w:p>
    <w:p>
      <w:pPr>
        <w:pStyle w:val="ListParagraph"/>
        <w:numPr>
          <w:ilvl w:val="2"/>
          <w:numId w:val="26"/>
        </w:numPr>
        <w:tabs>
          <w:tab w:pos="710" w:val="left" w:leader="none"/>
        </w:tabs>
        <w:spacing w:line="240" w:lineRule="auto" w:before="1" w:after="0"/>
        <w:ind w:left="709" w:right="0" w:hanging="497"/>
        <w:jc w:val="both"/>
        <w:rPr>
          <w:b/>
          <w:i/>
          <w:sz w:val="22"/>
        </w:rPr>
      </w:pPr>
      <w:bookmarkStart w:name="_bookmark69" w:id="133"/>
      <w:bookmarkEnd w:id="133"/>
      <w:r>
        <w:rPr/>
      </w:r>
      <w:bookmarkStart w:name="_bookmark69" w:id="134"/>
      <w:bookmarkEnd w:id="134"/>
      <w:r>
        <w:rPr>
          <w:b/>
          <w:i/>
          <w:sz w:val="22"/>
        </w:rPr>
        <w:t>E</w:t>
      </w:r>
      <w:r>
        <w:rPr>
          <w:b/>
          <w:i/>
          <w:sz w:val="22"/>
        </w:rPr>
        <w:t>nsayo metabólico (metabolitos en</w:t>
      </w:r>
      <w:r>
        <w:rPr>
          <w:b/>
          <w:i/>
          <w:spacing w:val="-12"/>
          <w:sz w:val="22"/>
        </w:rPr>
        <w:t> </w:t>
      </w:r>
      <w:r>
        <w:rPr>
          <w:b/>
          <w:i/>
          <w:sz w:val="22"/>
        </w:rPr>
        <w:t>plasma)</w:t>
      </w:r>
    </w:p>
    <w:p>
      <w:pPr>
        <w:pStyle w:val="BodyText"/>
        <w:rPr>
          <w:b/>
          <w:i/>
          <w:sz w:val="22"/>
        </w:rPr>
      </w:pPr>
    </w:p>
    <w:p>
      <w:pPr>
        <w:pStyle w:val="BodyText"/>
        <w:spacing w:before="5"/>
        <w:rPr>
          <w:b/>
          <w:i/>
        </w:rPr>
      </w:pPr>
    </w:p>
    <w:p>
      <w:pPr>
        <w:pStyle w:val="BodyText"/>
        <w:spacing w:line="362" w:lineRule="auto"/>
        <w:ind w:left="354" w:right="798" w:firstLine="566"/>
        <w:jc w:val="both"/>
        <w:rPr>
          <w:b/>
        </w:rPr>
      </w:pPr>
      <w:r>
        <w:rPr/>
        <w:t>El efecto del Cr orgánico en la dieta sobre las concentraciones plasmáticas de triglicéridos, glucosa y urea se presentan en el </w:t>
      </w:r>
      <w:r>
        <w:rPr>
          <w:b/>
        </w:rPr>
        <w:t>Cuadro 16.</w:t>
      </w:r>
    </w:p>
    <w:p>
      <w:pPr>
        <w:pStyle w:val="BodyText"/>
        <w:spacing w:line="360" w:lineRule="auto" w:before="1"/>
        <w:ind w:left="354" w:right="804" w:firstLine="566"/>
        <w:jc w:val="both"/>
      </w:pPr>
      <w:r>
        <w:rPr/>
        <w:t>El nivel de triglicéridos en plasma en la semana siete mostró una respuesta cuadrática (P&lt;0.05) en los animales antes de recibir el alimento; se encontraron valores más bajos en los corderos que recibieron dosis de Cr suplementario entre</w:t>
      </w:r>
    </w:p>
    <w:p>
      <w:pPr>
        <w:spacing w:after="0" w:line="360" w:lineRule="auto"/>
        <w:jc w:val="both"/>
        <w:sectPr>
          <w:pgSz w:w="12240" w:h="15840"/>
          <w:pgMar w:header="1154" w:footer="1503" w:top="1620" w:bottom="1700" w:left="1660" w:right="1340"/>
        </w:sectPr>
      </w:pPr>
    </w:p>
    <w:p>
      <w:pPr>
        <w:pStyle w:val="BodyText"/>
        <w:spacing w:line="360" w:lineRule="auto" w:before="159"/>
        <w:ind w:left="354" w:right="929"/>
      </w:pPr>
      <w:r>
        <w:rPr/>
        <w:t>0.2 y 0.4 mg kg</w:t>
      </w:r>
      <w:r>
        <w:rPr>
          <w:position w:val="9"/>
          <w:sz w:val="16"/>
        </w:rPr>
        <w:t>-1 </w:t>
      </w:r>
      <w:r>
        <w:rPr/>
        <w:t>MS. No se encontró efecto (P&gt;0.05) de los otros niveles de Cr sobre la concentración de triglicéridos en plasma.</w:t>
      </w:r>
    </w:p>
    <w:p>
      <w:pPr>
        <w:pStyle w:val="BodyText"/>
        <w:spacing w:line="357" w:lineRule="auto" w:before="6"/>
        <w:ind w:left="212" w:right="719" w:firstLine="707"/>
        <w:jc w:val="both"/>
      </w:pPr>
      <w:r>
        <w:rPr/>
        <w:t>La concentración de glucosa en plasma de corderos en la semana 11 del experimento, 3 h después de recibir el alimento, presentó una respuesta cuadrática (P&lt;0.05) al aumentar el nivel de Cr adicional en la dieta; los niveles de glucosa más bajos se presentaron en los corderos que recibieron dosis de 0.2 a 0.4 mg kg</w:t>
      </w:r>
      <w:r>
        <w:rPr>
          <w:position w:val="9"/>
          <w:sz w:val="16"/>
        </w:rPr>
        <w:t>-1  </w:t>
      </w:r>
      <w:r>
        <w:rPr/>
        <w:t>MS.  No se observó efecto del nivel de Cr adicional en la concentración de glucosa en plasma en el resto de los niveles de Cr</w:t>
      </w:r>
      <w:r>
        <w:rPr>
          <w:spacing w:val="-10"/>
        </w:rPr>
        <w:t> </w:t>
      </w:r>
      <w:r>
        <w:rPr/>
        <w:t>estudiados.</w:t>
      </w:r>
    </w:p>
    <w:p>
      <w:pPr>
        <w:pStyle w:val="BodyText"/>
        <w:spacing w:line="357" w:lineRule="auto" w:before="9"/>
        <w:ind w:left="212" w:right="717" w:firstLine="707"/>
        <w:jc w:val="both"/>
      </w:pPr>
      <w:r>
        <w:rPr/>
        <w:t>La concentración de urea en plasma de los corderos en la semana 11 del experimento, 3 h posteriores a la alimentación, presentó una respuesta cuadrática (P&lt;0.05) por efecto del nivel de Cr en la dieta; el nivel más bajo de urea se presentó en los corderos que recibieron la dosis más alta de Cr (0.6 mg kg</w:t>
      </w:r>
      <w:r>
        <w:rPr>
          <w:position w:val="9"/>
          <w:sz w:val="16"/>
        </w:rPr>
        <w:t>-1 </w:t>
      </w:r>
      <w:r>
        <w:rPr/>
        <w:t>de MS). En los otros niveles de Cr no se encontró efecto (P&gt;0.05) sobre la concentración de urea en plasma.</w:t>
      </w:r>
    </w:p>
    <w:p>
      <w:pPr>
        <w:spacing w:after="0" w:line="357" w:lineRule="auto"/>
        <w:jc w:val="both"/>
        <w:sectPr>
          <w:pgSz w:w="12240" w:h="15840"/>
          <w:pgMar w:header="1154" w:footer="1503" w:top="1620" w:bottom="1700" w:left="1660" w:right="1420"/>
        </w:sectPr>
      </w:pPr>
    </w:p>
    <w:p>
      <w:pPr>
        <w:pStyle w:val="BodyText"/>
        <w:spacing w:line="345" w:lineRule="auto" w:before="159" w:after="19"/>
        <w:ind w:left="632" w:right="471"/>
      </w:pPr>
      <w:r>
        <w:rPr>
          <w:b/>
        </w:rPr>
        <w:t>Cuadro 16. </w:t>
      </w:r>
      <w:r>
        <w:rPr/>
        <w:t>Efecto del Cr orgánico dietario sobre la concentración plasmática (mg dL</w:t>
      </w:r>
      <w:r>
        <w:rPr>
          <w:position w:val="9"/>
          <w:sz w:val="16"/>
        </w:rPr>
        <w:t>-1</w:t>
      </w:r>
      <w:r>
        <w:rPr/>
        <w:t>) de triglicéridos, glucosa y urea (mg/dL</w:t>
      </w:r>
      <w:r>
        <w:rPr>
          <w:position w:val="9"/>
          <w:sz w:val="16"/>
        </w:rPr>
        <w:t>-1</w:t>
      </w:r>
      <w:r>
        <w:rPr/>
        <w:t>) de ovinos en engorda intensiva.</w:t>
      </w:r>
    </w:p>
    <w:p>
      <w:pPr>
        <w:pStyle w:val="BodyText"/>
        <w:spacing w:line="20" w:lineRule="exact"/>
        <w:ind w:left="113"/>
        <w:rPr>
          <w:sz w:val="2"/>
        </w:rPr>
      </w:pPr>
      <w:r>
        <w:rPr>
          <w:sz w:val="2"/>
        </w:rPr>
        <w:pict>
          <v:group style="width:493.95pt;height:1pt;mso-position-horizontal-relative:char;mso-position-vertical-relative:line" coordorigin="0,0" coordsize="9879,20">
            <v:line style="position:absolute" from="10,10" to="2242,10" stroked="true" strokeweight=".96001pt" strokecolor="#000000"/>
            <v:line style="position:absolute" from="2243,10" to="2262,10" stroked="true" strokeweight=".96001pt" strokecolor="#000000"/>
            <v:line style="position:absolute" from="2262,10" to="5277,10" stroked="true" strokeweight=".96001pt" strokecolor="#000000"/>
            <v:line style="position:absolute" from="5277,10" to="5296,10" stroked="true" strokeweight=".96001pt" strokecolor="#000000"/>
            <v:line style="position:absolute" from="5296,10" to="5932,10" stroked="true" strokeweight=".96001pt" strokecolor="#000000"/>
            <v:line style="position:absolute" from="5932,10" to="5951,10" stroked="true" strokeweight=".96001pt" strokecolor="#000000"/>
            <v:line style="position:absolute" from="5951,10" to="6472,10" stroked="true" strokeweight=".96001pt" strokecolor="#000000"/>
            <v:line style="position:absolute" from="6472,10" to="6491,10" stroked="true" strokeweight=".96001pt" strokecolor="#000000"/>
            <v:line style="position:absolute" from="6491,10" to="9058,10" stroked="true" strokeweight=".96001pt" strokecolor="#000000"/>
            <v:line style="position:absolute" from="9058,10" to="9077,10" stroked="true" strokeweight=".96001pt" strokecolor="#000000"/>
            <v:line style="position:absolute" from="9077,10" to="9869,10" stroked="true" strokeweight=".96001pt" strokecolor="#000000"/>
          </v:group>
        </w:pict>
      </w:r>
      <w:r>
        <w:rPr>
          <w:sz w:val="2"/>
        </w:rPr>
      </w:r>
    </w:p>
    <w:p>
      <w:pPr>
        <w:pStyle w:val="BodyText"/>
        <w:spacing w:before="6"/>
        <w:rPr>
          <w:sz w:val="7"/>
        </w:rPr>
      </w:pPr>
    </w:p>
    <w:p>
      <w:pPr>
        <w:spacing w:after="0"/>
        <w:rPr>
          <w:sz w:val="7"/>
        </w:rPr>
        <w:sectPr>
          <w:pgSz w:w="12240" w:h="15840"/>
          <w:pgMar w:header="1154" w:footer="1503" w:top="1620" w:bottom="1700" w:left="1240" w:right="900"/>
        </w:sectPr>
      </w:pPr>
    </w:p>
    <w:p>
      <w:pPr>
        <w:spacing w:before="136"/>
        <w:ind w:left="884" w:right="-11" w:hanging="562"/>
        <w:jc w:val="left"/>
        <w:rPr>
          <w:b/>
          <w:sz w:val="18"/>
        </w:rPr>
      </w:pPr>
      <w:r>
        <w:rPr/>
        <w:pict>
          <v:shape style="position:absolute;margin-left:68.183998pt;margin-top:22.402376pt;width:492.95pt;height:388.25pt;mso-position-horizontal-relative:page;mso-position-vertical-relative:paragraph;z-index:2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3"/>
                    <w:gridCol w:w="866"/>
                    <w:gridCol w:w="755"/>
                    <w:gridCol w:w="738"/>
                    <w:gridCol w:w="674"/>
                    <w:gridCol w:w="614"/>
                    <w:gridCol w:w="576"/>
                    <w:gridCol w:w="1040"/>
                    <w:gridCol w:w="891"/>
                    <w:gridCol w:w="764"/>
                    <w:gridCol w:w="708"/>
                  </w:tblGrid>
                  <w:tr>
                    <w:trPr>
                      <w:trHeight w:val="334" w:hRule="exact"/>
                    </w:trPr>
                    <w:tc>
                      <w:tcPr>
                        <w:tcW w:w="2233" w:type="dxa"/>
                        <w:tcBorders>
                          <w:bottom w:val="single" w:sz="8" w:space="0" w:color="000000"/>
                        </w:tcBorders>
                      </w:tcPr>
                      <w:p>
                        <w:pPr/>
                      </w:p>
                    </w:tc>
                    <w:tc>
                      <w:tcPr>
                        <w:tcW w:w="866" w:type="dxa"/>
                        <w:tcBorders>
                          <w:top w:val="single" w:sz="8" w:space="0" w:color="000000"/>
                          <w:bottom w:val="single" w:sz="8" w:space="0" w:color="000000"/>
                        </w:tcBorders>
                      </w:tcPr>
                      <w:p>
                        <w:pPr>
                          <w:pStyle w:val="TableParagraph"/>
                          <w:spacing w:before="55"/>
                          <w:ind w:left="49"/>
                          <w:rPr>
                            <w:b/>
                            <w:sz w:val="18"/>
                          </w:rPr>
                        </w:pPr>
                        <w:r>
                          <w:rPr>
                            <w:b/>
                            <w:sz w:val="18"/>
                          </w:rPr>
                          <w:t>0</w:t>
                        </w:r>
                      </w:p>
                    </w:tc>
                    <w:tc>
                      <w:tcPr>
                        <w:tcW w:w="755" w:type="dxa"/>
                        <w:tcBorders>
                          <w:top w:val="single" w:sz="8" w:space="0" w:color="000000"/>
                          <w:bottom w:val="single" w:sz="8" w:space="0" w:color="000000"/>
                        </w:tcBorders>
                      </w:tcPr>
                      <w:p>
                        <w:pPr>
                          <w:pStyle w:val="TableParagraph"/>
                          <w:spacing w:before="55"/>
                          <w:ind w:left="126" w:right="122"/>
                          <w:rPr>
                            <w:b/>
                            <w:sz w:val="18"/>
                          </w:rPr>
                        </w:pPr>
                        <w:r>
                          <w:rPr>
                            <w:b/>
                            <w:sz w:val="18"/>
                          </w:rPr>
                          <w:t>0.2</w:t>
                        </w:r>
                      </w:p>
                    </w:tc>
                    <w:tc>
                      <w:tcPr>
                        <w:tcW w:w="738" w:type="dxa"/>
                        <w:tcBorders>
                          <w:top w:val="single" w:sz="8" w:space="0" w:color="000000"/>
                          <w:bottom w:val="single" w:sz="8" w:space="0" w:color="000000"/>
                        </w:tcBorders>
                      </w:tcPr>
                      <w:p>
                        <w:pPr>
                          <w:pStyle w:val="TableParagraph"/>
                          <w:spacing w:before="64"/>
                          <w:ind w:left="117" w:right="111"/>
                          <w:rPr>
                            <w:b/>
                            <w:sz w:val="16"/>
                          </w:rPr>
                        </w:pPr>
                        <w:r>
                          <w:rPr>
                            <w:b/>
                            <w:sz w:val="16"/>
                          </w:rPr>
                          <w:t>0.4</w:t>
                        </w:r>
                      </w:p>
                    </w:tc>
                    <w:tc>
                      <w:tcPr>
                        <w:tcW w:w="674" w:type="dxa"/>
                        <w:tcBorders>
                          <w:top w:val="single" w:sz="8" w:space="0" w:color="000000"/>
                          <w:bottom w:val="single" w:sz="8" w:space="0" w:color="000000"/>
                        </w:tcBorders>
                      </w:tcPr>
                      <w:p>
                        <w:pPr>
                          <w:pStyle w:val="TableParagraph"/>
                          <w:spacing w:before="64"/>
                          <w:ind w:left="261"/>
                          <w:jc w:val="left"/>
                          <w:rPr>
                            <w:b/>
                            <w:sz w:val="16"/>
                          </w:rPr>
                        </w:pPr>
                        <w:r>
                          <w:rPr>
                            <w:b/>
                            <w:sz w:val="16"/>
                          </w:rPr>
                          <w:t>0.6</w:t>
                        </w:r>
                      </w:p>
                    </w:tc>
                    <w:tc>
                      <w:tcPr>
                        <w:tcW w:w="614" w:type="dxa"/>
                        <w:tcBorders>
                          <w:bottom w:val="single" w:sz="8" w:space="0" w:color="000000"/>
                        </w:tcBorders>
                      </w:tcPr>
                      <w:p>
                        <w:pPr/>
                      </w:p>
                    </w:tc>
                    <w:tc>
                      <w:tcPr>
                        <w:tcW w:w="576" w:type="dxa"/>
                        <w:tcBorders>
                          <w:bottom w:val="single" w:sz="8" w:space="0" w:color="000000"/>
                        </w:tcBorders>
                      </w:tcPr>
                      <w:p>
                        <w:pPr/>
                      </w:p>
                    </w:tc>
                    <w:tc>
                      <w:tcPr>
                        <w:tcW w:w="1040" w:type="dxa"/>
                        <w:tcBorders>
                          <w:bottom w:val="single" w:sz="8" w:space="0" w:color="000000"/>
                        </w:tcBorders>
                      </w:tcPr>
                      <w:p>
                        <w:pPr>
                          <w:pStyle w:val="TableParagraph"/>
                          <w:spacing w:before="83"/>
                          <w:ind w:left="65" w:right="65"/>
                          <w:rPr>
                            <w:sz w:val="14"/>
                          </w:rPr>
                        </w:pPr>
                        <w:r>
                          <w:rPr>
                            <w:sz w:val="14"/>
                          </w:rPr>
                          <w:t>0</w:t>
                        </w:r>
                        <w:r>
                          <w:rPr>
                            <w:i/>
                            <w:sz w:val="14"/>
                          </w:rPr>
                          <w:t>vs</w:t>
                        </w:r>
                        <w:r>
                          <w:rPr>
                            <w:sz w:val="14"/>
                          </w:rPr>
                          <w:t>0.2+0.4+0.6</w:t>
                        </w:r>
                      </w:p>
                    </w:tc>
                    <w:tc>
                      <w:tcPr>
                        <w:tcW w:w="891" w:type="dxa"/>
                        <w:tcBorders>
                          <w:bottom w:val="single" w:sz="8" w:space="0" w:color="000000"/>
                        </w:tcBorders>
                      </w:tcPr>
                      <w:p>
                        <w:pPr>
                          <w:pStyle w:val="TableParagraph"/>
                          <w:spacing w:before="83"/>
                          <w:ind w:left="64" w:right="64"/>
                          <w:rPr>
                            <w:sz w:val="14"/>
                          </w:rPr>
                        </w:pPr>
                        <w:r>
                          <w:rPr>
                            <w:sz w:val="14"/>
                          </w:rPr>
                          <w:t>0.2</w:t>
                        </w:r>
                        <w:r>
                          <w:rPr>
                            <w:i/>
                            <w:sz w:val="14"/>
                          </w:rPr>
                          <w:t>vs</w:t>
                        </w:r>
                        <w:r>
                          <w:rPr>
                            <w:sz w:val="14"/>
                          </w:rPr>
                          <w:t>0.4+0.6</w:t>
                        </w:r>
                      </w:p>
                    </w:tc>
                    <w:tc>
                      <w:tcPr>
                        <w:tcW w:w="764" w:type="dxa"/>
                        <w:tcBorders>
                          <w:bottom w:val="single" w:sz="8" w:space="0" w:color="000000"/>
                        </w:tcBorders>
                      </w:tcPr>
                      <w:p>
                        <w:pPr>
                          <w:pStyle w:val="TableParagraph"/>
                          <w:spacing w:before="83"/>
                          <w:ind w:left="98"/>
                          <w:jc w:val="left"/>
                          <w:rPr>
                            <w:sz w:val="14"/>
                          </w:rPr>
                        </w:pPr>
                        <w:r>
                          <w:rPr>
                            <w:sz w:val="14"/>
                          </w:rPr>
                          <w:t>0.4</w:t>
                        </w:r>
                        <w:r>
                          <w:rPr>
                            <w:i/>
                            <w:sz w:val="14"/>
                          </w:rPr>
                          <w:t>vs</w:t>
                        </w:r>
                        <w:r>
                          <w:rPr>
                            <w:sz w:val="14"/>
                          </w:rPr>
                          <w:t>0.6</w:t>
                        </w:r>
                      </w:p>
                    </w:tc>
                    <w:tc>
                      <w:tcPr>
                        <w:tcW w:w="708" w:type="dxa"/>
                        <w:vMerge w:val="restart"/>
                      </w:tcPr>
                      <w:p>
                        <w:pPr/>
                      </w:p>
                    </w:tc>
                  </w:tr>
                  <w:tr>
                    <w:trPr>
                      <w:trHeight w:val="336" w:hRule="exact"/>
                    </w:trPr>
                    <w:tc>
                      <w:tcPr>
                        <w:tcW w:w="2233" w:type="dxa"/>
                        <w:tcBorders>
                          <w:top w:val="single" w:sz="8" w:space="0" w:color="000000"/>
                        </w:tcBorders>
                      </w:tcPr>
                      <w:p>
                        <w:pPr>
                          <w:pStyle w:val="TableParagraph"/>
                          <w:spacing w:before="55"/>
                          <w:ind w:left="69"/>
                          <w:jc w:val="left"/>
                          <w:rPr>
                            <w:b/>
                            <w:sz w:val="18"/>
                          </w:rPr>
                        </w:pPr>
                        <w:r>
                          <w:rPr>
                            <w:b/>
                            <w:sz w:val="18"/>
                          </w:rPr>
                          <w:t>Triglicéridos:</w:t>
                        </w:r>
                      </w:p>
                    </w:tc>
                    <w:tc>
                      <w:tcPr>
                        <w:tcW w:w="866" w:type="dxa"/>
                        <w:tcBorders>
                          <w:top w:val="single" w:sz="8" w:space="0" w:color="000000"/>
                          <w:bottom w:val="single" w:sz="8" w:space="0" w:color="000000"/>
                        </w:tcBorders>
                      </w:tcPr>
                      <w:p>
                        <w:pPr/>
                      </w:p>
                    </w:tc>
                    <w:tc>
                      <w:tcPr>
                        <w:tcW w:w="755" w:type="dxa"/>
                        <w:tcBorders>
                          <w:top w:val="single" w:sz="8" w:space="0" w:color="000000"/>
                          <w:bottom w:val="single" w:sz="8" w:space="0" w:color="000000"/>
                        </w:tcBorders>
                      </w:tcPr>
                      <w:p>
                        <w:pPr/>
                      </w:p>
                    </w:tc>
                    <w:tc>
                      <w:tcPr>
                        <w:tcW w:w="738" w:type="dxa"/>
                        <w:tcBorders>
                          <w:top w:val="single" w:sz="8" w:space="0" w:color="000000"/>
                          <w:bottom w:val="single" w:sz="8" w:space="0" w:color="000000"/>
                        </w:tcBorders>
                      </w:tcPr>
                      <w:p>
                        <w:pPr/>
                      </w:p>
                    </w:tc>
                    <w:tc>
                      <w:tcPr>
                        <w:tcW w:w="674" w:type="dxa"/>
                        <w:tcBorders>
                          <w:top w:val="single" w:sz="8" w:space="0" w:color="000000"/>
                          <w:bottom w:val="single" w:sz="8" w:space="0" w:color="000000"/>
                        </w:tcBorders>
                      </w:tcPr>
                      <w:p>
                        <w:pPr/>
                      </w:p>
                    </w:tc>
                    <w:tc>
                      <w:tcPr>
                        <w:tcW w:w="614" w:type="dxa"/>
                        <w:tcBorders>
                          <w:top w:val="single" w:sz="8" w:space="0" w:color="000000"/>
                          <w:bottom w:val="single" w:sz="8" w:space="0" w:color="000000"/>
                        </w:tcBorders>
                      </w:tcPr>
                      <w:p>
                        <w:pPr/>
                      </w:p>
                    </w:tc>
                    <w:tc>
                      <w:tcPr>
                        <w:tcW w:w="576" w:type="dxa"/>
                        <w:tcBorders>
                          <w:top w:val="single" w:sz="8" w:space="0" w:color="000000"/>
                          <w:bottom w:val="single" w:sz="8" w:space="0" w:color="000000"/>
                        </w:tcBorders>
                      </w:tcPr>
                      <w:p>
                        <w:pPr/>
                      </w:p>
                    </w:tc>
                    <w:tc>
                      <w:tcPr>
                        <w:tcW w:w="1040" w:type="dxa"/>
                        <w:tcBorders>
                          <w:top w:val="single" w:sz="8" w:space="0" w:color="000000"/>
                          <w:bottom w:val="single" w:sz="8" w:space="0" w:color="000000"/>
                        </w:tcBorders>
                      </w:tcPr>
                      <w:p>
                        <w:pPr/>
                      </w:p>
                    </w:tc>
                    <w:tc>
                      <w:tcPr>
                        <w:tcW w:w="891" w:type="dxa"/>
                        <w:tcBorders>
                          <w:top w:val="single" w:sz="8" w:space="0" w:color="000000"/>
                          <w:bottom w:val="single" w:sz="8" w:space="0" w:color="000000"/>
                        </w:tcBorders>
                      </w:tcPr>
                      <w:p>
                        <w:pPr/>
                      </w:p>
                    </w:tc>
                    <w:tc>
                      <w:tcPr>
                        <w:tcW w:w="764" w:type="dxa"/>
                        <w:tcBorders>
                          <w:top w:val="single" w:sz="8" w:space="0" w:color="000000"/>
                          <w:bottom w:val="single" w:sz="8" w:space="0" w:color="000000"/>
                        </w:tcBorders>
                      </w:tcPr>
                      <w:p>
                        <w:pPr/>
                      </w:p>
                    </w:tc>
                    <w:tc>
                      <w:tcPr>
                        <w:tcW w:w="708" w:type="dxa"/>
                        <w:vMerge/>
                        <w:tcBorders>
                          <w:bottom w:val="single" w:sz="8" w:space="0" w:color="000000"/>
                        </w:tcBorders>
                      </w:tcPr>
                      <w:p>
                        <w:pPr/>
                      </w:p>
                    </w:tc>
                  </w:tr>
                  <w:tr>
                    <w:trPr>
                      <w:trHeight w:val="316" w:hRule="exact"/>
                    </w:trPr>
                    <w:tc>
                      <w:tcPr>
                        <w:tcW w:w="2233" w:type="dxa"/>
                      </w:tcPr>
                      <w:p>
                        <w:pPr>
                          <w:pStyle w:val="TableParagraph"/>
                          <w:spacing w:before="52"/>
                          <w:ind w:left="69"/>
                          <w:jc w:val="left"/>
                          <w:rPr>
                            <w:sz w:val="18"/>
                          </w:rPr>
                        </w:pPr>
                        <w:r>
                          <w:rPr>
                            <w:sz w:val="18"/>
                          </w:rPr>
                          <w:t>Semana 2 h 0</w:t>
                        </w:r>
                      </w:p>
                    </w:tc>
                    <w:tc>
                      <w:tcPr>
                        <w:tcW w:w="866" w:type="dxa"/>
                        <w:tcBorders>
                          <w:top w:val="single" w:sz="8" w:space="0" w:color="000000"/>
                        </w:tcBorders>
                      </w:tcPr>
                      <w:p>
                        <w:pPr>
                          <w:pStyle w:val="TableParagraph"/>
                          <w:spacing w:before="43"/>
                          <w:ind w:right="246"/>
                          <w:jc w:val="right"/>
                          <w:rPr>
                            <w:sz w:val="18"/>
                          </w:rPr>
                        </w:pPr>
                        <w:r>
                          <w:rPr>
                            <w:sz w:val="18"/>
                          </w:rPr>
                          <w:t>25.7</w:t>
                        </w:r>
                      </w:p>
                    </w:tc>
                    <w:tc>
                      <w:tcPr>
                        <w:tcW w:w="755" w:type="dxa"/>
                        <w:tcBorders>
                          <w:top w:val="single" w:sz="8" w:space="0" w:color="000000"/>
                        </w:tcBorders>
                      </w:tcPr>
                      <w:p>
                        <w:pPr>
                          <w:pStyle w:val="TableParagraph"/>
                          <w:spacing w:before="43"/>
                          <w:ind w:left="128" w:right="121"/>
                          <w:rPr>
                            <w:sz w:val="18"/>
                          </w:rPr>
                        </w:pPr>
                        <w:r>
                          <w:rPr>
                            <w:sz w:val="18"/>
                          </w:rPr>
                          <w:t>29.3</w:t>
                        </w:r>
                      </w:p>
                    </w:tc>
                    <w:tc>
                      <w:tcPr>
                        <w:tcW w:w="738" w:type="dxa"/>
                        <w:tcBorders>
                          <w:top w:val="single" w:sz="8" w:space="0" w:color="000000"/>
                        </w:tcBorders>
                      </w:tcPr>
                      <w:p>
                        <w:pPr>
                          <w:pStyle w:val="TableParagraph"/>
                          <w:spacing w:before="43"/>
                          <w:ind w:left="117" w:right="111"/>
                          <w:rPr>
                            <w:sz w:val="18"/>
                          </w:rPr>
                        </w:pPr>
                        <w:r>
                          <w:rPr>
                            <w:sz w:val="18"/>
                          </w:rPr>
                          <w:t>27.5</w:t>
                        </w:r>
                      </w:p>
                    </w:tc>
                    <w:tc>
                      <w:tcPr>
                        <w:tcW w:w="674" w:type="dxa"/>
                        <w:tcBorders>
                          <w:top w:val="single" w:sz="8" w:space="0" w:color="000000"/>
                        </w:tcBorders>
                      </w:tcPr>
                      <w:p>
                        <w:pPr>
                          <w:pStyle w:val="TableParagraph"/>
                          <w:spacing w:before="43"/>
                          <w:ind w:left="203"/>
                          <w:jc w:val="left"/>
                          <w:rPr>
                            <w:sz w:val="18"/>
                          </w:rPr>
                        </w:pPr>
                        <w:r>
                          <w:rPr>
                            <w:sz w:val="18"/>
                          </w:rPr>
                          <w:t>27.7</w:t>
                        </w:r>
                      </w:p>
                    </w:tc>
                    <w:tc>
                      <w:tcPr>
                        <w:tcW w:w="614" w:type="dxa"/>
                        <w:tcBorders>
                          <w:top w:val="single" w:sz="8" w:space="0" w:color="000000"/>
                        </w:tcBorders>
                      </w:tcPr>
                      <w:p>
                        <w:pPr>
                          <w:pStyle w:val="TableParagraph"/>
                          <w:spacing w:before="43"/>
                          <w:ind w:right="171"/>
                          <w:jc w:val="right"/>
                          <w:rPr>
                            <w:sz w:val="18"/>
                          </w:rPr>
                        </w:pPr>
                        <w:r>
                          <w:rPr>
                            <w:sz w:val="18"/>
                          </w:rPr>
                          <w:t>1.1</w:t>
                        </w:r>
                      </w:p>
                    </w:tc>
                    <w:tc>
                      <w:tcPr>
                        <w:tcW w:w="576" w:type="dxa"/>
                        <w:tcBorders>
                          <w:top w:val="single" w:sz="8" w:space="0" w:color="000000"/>
                        </w:tcBorders>
                      </w:tcPr>
                      <w:p>
                        <w:pPr>
                          <w:pStyle w:val="TableParagraph"/>
                          <w:spacing w:before="54"/>
                          <w:ind w:right="82"/>
                          <w:jc w:val="right"/>
                          <w:rPr>
                            <w:sz w:val="16"/>
                          </w:rPr>
                        </w:pPr>
                        <w:r>
                          <w:rPr>
                            <w:sz w:val="16"/>
                          </w:rPr>
                          <w:t>0.189</w:t>
                        </w:r>
                      </w:p>
                    </w:tc>
                    <w:tc>
                      <w:tcPr>
                        <w:tcW w:w="1040" w:type="dxa"/>
                        <w:tcBorders>
                          <w:top w:val="single" w:sz="8" w:space="0" w:color="000000"/>
                        </w:tcBorders>
                      </w:tcPr>
                      <w:p>
                        <w:pPr>
                          <w:pStyle w:val="TableParagraph"/>
                          <w:spacing w:before="43"/>
                          <w:ind w:left="65" w:right="63"/>
                          <w:rPr>
                            <w:sz w:val="18"/>
                          </w:rPr>
                        </w:pPr>
                        <w:r>
                          <w:rPr>
                            <w:sz w:val="18"/>
                          </w:rPr>
                          <w:t>0.070</w:t>
                        </w:r>
                      </w:p>
                    </w:tc>
                    <w:tc>
                      <w:tcPr>
                        <w:tcW w:w="891" w:type="dxa"/>
                        <w:tcBorders>
                          <w:top w:val="single" w:sz="8" w:space="0" w:color="000000"/>
                        </w:tcBorders>
                      </w:tcPr>
                      <w:p>
                        <w:pPr>
                          <w:pStyle w:val="TableParagraph"/>
                          <w:spacing w:before="43"/>
                          <w:ind w:left="64" w:right="63"/>
                          <w:rPr>
                            <w:sz w:val="18"/>
                          </w:rPr>
                        </w:pPr>
                        <w:r>
                          <w:rPr>
                            <w:sz w:val="18"/>
                          </w:rPr>
                          <w:t>0.225</w:t>
                        </w:r>
                      </w:p>
                    </w:tc>
                    <w:tc>
                      <w:tcPr>
                        <w:tcW w:w="764" w:type="dxa"/>
                        <w:tcBorders>
                          <w:top w:val="single" w:sz="8" w:space="0" w:color="000000"/>
                        </w:tcBorders>
                      </w:tcPr>
                      <w:p>
                        <w:pPr>
                          <w:pStyle w:val="TableParagraph"/>
                          <w:spacing w:before="43"/>
                          <w:ind w:left="127"/>
                          <w:jc w:val="left"/>
                          <w:rPr>
                            <w:sz w:val="18"/>
                          </w:rPr>
                        </w:pPr>
                        <w:r>
                          <w:rPr>
                            <w:sz w:val="18"/>
                          </w:rPr>
                          <w:t>0.899</w:t>
                        </w:r>
                      </w:p>
                    </w:tc>
                    <w:tc>
                      <w:tcPr>
                        <w:tcW w:w="708" w:type="dxa"/>
                        <w:tcBorders>
                          <w:top w:val="single" w:sz="8" w:space="0" w:color="000000"/>
                        </w:tcBorders>
                      </w:tcPr>
                      <w:p>
                        <w:pPr>
                          <w:pStyle w:val="TableParagraph"/>
                          <w:spacing w:before="43"/>
                          <w:ind w:left="164" w:right="271"/>
                          <w:rPr>
                            <w:sz w:val="18"/>
                          </w:rPr>
                        </w:pPr>
                        <w:r>
                          <w:rPr>
                            <w:sz w:val="18"/>
                          </w:rPr>
                          <w:t>NS</w:t>
                        </w:r>
                      </w:p>
                    </w:tc>
                  </w:tr>
                  <w:tr>
                    <w:trPr>
                      <w:trHeight w:val="301" w:hRule="exact"/>
                    </w:trPr>
                    <w:tc>
                      <w:tcPr>
                        <w:tcW w:w="2233" w:type="dxa"/>
                      </w:tcPr>
                      <w:p>
                        <w:pPr>
                          <w:pStyle w:val="TableParagraph"/>
                          <w:spacing w:before="36"/>
                          <w:ind w:left="69"/>
                          <w:jc w:val="left"/>
                          <w:rPr>
                            <w:sz w:val="18"/>
                          </w:rPr>
                        </w:pPr>
                        <w:r>
                          <w:rPr>
                            <w:sz w:val="18"/>
                          </w:rPr>
                          <w:t>Semana 2 h 3</w:t>
                        </w:r>
                      </w:p>
                    </w:tc>
                    <w:tc>
                      <w:tcPr>
                        <w:tcW w:w="866" w:type="dxa"/>
                      </w:tcPr>
                      <w:p>
                        <w:pPr>
                          <w:pStyle w:val="TableParagraph"/>
                          <w:spacing w:before="36"/>
                          <w:ind w:right="246"/>
                          <w:jc w:val="right"/>
                          <w:rPr>
                            <w:sz w:val="18"/>
                          </w:rPr>
                        </w:pPr>
                        <w:r>
                          <w:rPr>
                            <w:sz w:val="18"/>
                          </w:rPr>
                          <w:t>30.2</w:t>
                        </w:r>
                      </w:p>
                    </w:tc>
                    <w:tc>
                      <w:tcPr>
                        <w:tcW w:w="755" w:type="dxa"/>
                      </w:tcPr>
                      <w:p>
                        <w:pPr>
                          <w:pStyle w:val="TableParagraph"/>
                          <w:spacing w:before="36"/>
                          <w:ind w:left="128" w:right="121"/>
                          <w:rPr>
                            <w:sz w:val="18"/>
                          </w:rPr>
                        </w:pPr>
                        <w:r>
                          <w:rPr>
                            <w:sz w:val="18"/>
                          </w:rPr>
                          <w:t>32.1</w:t>
                        </w:r>
                      </w:p>
                    </w:tc>
                    <w:tc>
                      <w:tcPr>
                        <w:tcW w:w="738" w:type="dxa"/>
                      </w:tcPr>
                      <w:p>
                        <w:pPr>
                          <w:pStyle w:val="TableParagraph"/>
                          <w:spacing w:before="36"/>
                          <w:ind w:left="117" w:right="111"/>
                          <w:rPr>
                            <w:sz w:val="18"/>
                          </w:rPr>
                        </w:pPr>
                        <w:r>
                          <w:rPr>
                            <w:sz w:val="18"/>
                          </w:rPr>
                          <w:t>27.1</w:t>
                        </w:r>
                      </w:p>
                    </w:tc>
                    <w:tc>
                      <w:tcPr>
                        <w:tcW w:w="674" w:type="dxa"/>
                      </w:tcPr>
                      <w:p>
                        <w:pPr>
                          <w:pStyle w:val="TableParagraph"/>
                          <w:spacing w:before="36"/>
                          <w:ind w:left="203"/>
                          <w:jc w:val="left"/>
                          <w:rPr>
                            <w:sz w:val="18"/>
                          </w:rPr>
                        </w:pPr>
                        <w:r>
                          <w:rPr>
                            <w:sz w:val="18"/>
                          </w:rPr>
                          <w:t>27.9</w:t>
                        </w:r>
                      </w:p>
                    </w:tc>
                    <w:tc>
                      <w:tcPr>
                        <w:tcW w:w="614" w:type="dxa"/>
                      </w:tcPr>
                      <w:p>
                        <w:pPr>
                          <w:pStyle w:val="TableParagraph"/>
                          <w:spacing w:before="36"/>
                          <w:ind w:right="128"/>
                          <w:jc w:val="right"/>
                          <w:rPr>
                            <w:sz w:val="18"/>
                          </w:rPr>
                        </w:pPr>
                        <w:r>
                          <w:rPr>
                            <w:sz w:val="18"/>
                          </w:rPr>
                          <w:t>2.55</w:t>
                        </w:r>
                      </w:p>
                    </w:tc>
                    <w:tc>
                      <w:tcPr>
                        <w:tcW w:w="576" w:type="dxa"/>
                      </w:tcPr>
                      <w:p>
                        <w:pPr>
                          <w:pStyle w:val="TableParagraph"/>
                          <w:spacing w:before="48"/>
                          <w:ind w:right="82"/>
                          <w:jc w:val="right"/>
                          <w:rPr>
                            <w:sz w:val="16"/>
                          </w:rPr>
                        </w:pPr>
                        <w:r>
                          <w:rPr>
                            <w:sz w:val="16"/>
                          </w:rPr>
                          <w:t>0.519</w:t>
                        </w:r>
                      </w:p>
                    </w:tc>
                    <w:tc>
                      <w:tcPr>
                        <w:tcW w:w="1040" w:type="dxa"/>
                      </w:tcPr>
                      <w:p>
                        <w:pPr>
                          <w:pStyle w:val="TableParagraph"/>
                          <w:spacing w:before="36"/>
                          <w:ind w:left="65" w:right="63"/>
                          <w:rPr>
                            <w:sz w:val="18"/>
                          </w:rPr>
                        </w:pPr>
                        <w:r>
                          <w:rPr>
                            <w:sz w:val="18"/>
                          </w:rPr>
                          <w:t>0.698</w:t>
                        </w:r>
                      </w:p>
                    </w:tc>
                    <w:tc>
                      <w:tcPr>
                        <w:tcW w:w="891" w:type="dxa"/>
                      </w:tcPr>
                      <w:p>
                        <w:pPr>
                          <w:pStyle w:val="TableParagraph"/>
                          <w:spacing w:before="36"/>
                          <w:ind w:left="64" w:right="63"/>
                          <w:rPr>
                            <w:sz w:val="18"/>
                          </w:rPr>
                        </w:pPr>
                        <w:r>
                          <w:rPr>
                            <w:sz w:val="18"/>
                          </w:rPr>
                          <w:t>0.161</w:t>
                        </w:r>
                      </w:p>
                    </w:tc>
                    <w:tc>
                      <w:tcPr>
                        <w:tcW w:w="764" w:type="dxa"/>
                      </w:tcPr>
                      <w:p>
                        <w:pPr>
                          <w:pStyle w:val="TableParagraph"/>
                          <w:spacing w:before="36"/>
                          <w:ind w:left="127"/>
                          <w:jc w:val="left"/>
                          <w:rPr>
                            <w:sz w:val="18"/>
                          </w:rPr>
                        </w:pPr>
                        <w:r>
                          <w:rPr>
                            <w:sz w:val="18"/>
                          </w:rPr>
                          <w:t>0.827</w:t>
                        </w:r>
                      </w:p>
                    </w:tc>
                    <w:tc>
                      <w:tcPr>
                        <w:tcW w:w="708" w:type="dxa"/>
                      </w:tcPr>
                      <w:p>
                        <w:pPr>
                          <w:pStyle w:val="TableParagraph"/>
                          <w:spacing w:before="36"/>
                          <w:ind w:left="165" w:right="271"/>
                          <w:rPr>
                            <w:sz w:val="18"/>
                          </w:rPr>
                        </w:pPr>
                        <w:r>
                          <w:rPr>
                            <w:sz w:val="18"/>
                          </w:rPr>
                          <w:t>NS</w:t>
                        </w:r>
                      </w:p>
                    </w:tc>
                  </w:tr>
                  <w:tr>
                    <w:trPr>
                      <w:trHeight w:val="320" w:hRule="exact"/>
                    </w:trPr>
                    <w:tc>
                      <w:tcPr>
                        <w:tcW w:w="2233" w:type="dxa"/>
                      </w:tcPr>
                      <w:p>
                        <w:pPr>
                          <w:pStyle w:val="TableParagraph"/>
                          <w:spacing w:before="50"/>
                          <w:ind w:left="69"/>
                          <w:jc w:val="left"/>
                          <w:rPr>
                            <w:sz w:val="18"/>
                          </w:rPr>
                        </w:pPr>
                        <w:r>
                          <w:rPr>
                            <w:sz w:val="18"/>
                          </w:rPr>
                          <w:t>Semana 7 h 0</w:t>
                        </w:r>
                      </w:p>
                    </w:tc>
                    <w:tc>
                      <w:tcPr>
                        <w:tcW w:w="866" w:type="dxa"/>
                      </w:tcPr>
                      <w:p>
                        <w:pPr>
                          <w:pStyle w:val="TableParagraph"/>
                          <w:spacing w:before="46"/>
                          <w:ind w:right="172"/>
                          <w:jc w:val="right"/>
                          <w:rPr>
                            <w:sz w:val="12"/>
                          </w:rPr>
                        </w:pPr>
                        <w:r>
                          <w:rPr>
                            <w:sz w:val="18"/>
                          </w:rPr>
                          <w:t>35.40</w:t>
                        </w:r>
                        <w:r>
                          <w:rPr>
                            <w:position w:val="6"/>
                            <w:sz w:val="12"/>
                          </w:rPr>
                          <w:t>a</w:t>
                        </w:r>
                      </w:p>
                    </w:tc>
                    <w:tc>
                      <w:tcPr>
                        <w:tcW w:w="755" w:type="dxa"/>
                      </w:tcPr>
                      <w:p>
                        <w:pPr>
                          <w:pStyle w:val="TableParagraph"/>
                          <w:spacing w:before="46"/>
                          <w:ind w:left="128" w:right="122"/>
                          <w:rPr>
                            <w:sz w:val="12"/>
                          </w:rPr>
                        </w:pPr>
                        <w:r>
                          <w:rPr>
                            <w:sz w:val="18"/>
                          </w:rPr>
                          <w:t>29.60</w:t>
                        </w:r>
                        <w:r>
                          <w:rPr>
                            <w:position w:val="6"/>
                            <w:sz w:val="12"/>
                          </w:rPr>
                          <w:t>b</w:t>
                        </w:r>
                      </w:p>
                    </w:tc>
                    <w:tc>
                      <w:tcPr>
                        <w:tcW w:w="738" w:type="dxa"/>
                      </w:tcPr>
                      <w:p>
                        <w:pPr>
                          <w:pStyle w:val="TableParagraph"/>
                          <w:spacing w:before="46"/>
                          <w:ind w:left="121" w:right="111"/>
                          <w:rPr>
                            <w:sz w:val="12"/>
                          </w:rPr>
                        </w:pPr>
                        <w:r>
                          <w:rPr>
                            <w:sz w:val="18"/>
                          </w:rPr>
                          <w:t>29.50</w:t>
                        </w:r>
                        <w:r>
                          <w:rPr>
                            <w:position w:val="6"/>
                            <w:sz w:val="12"/>
                          </w:rPr>
                          <w:t>b</w:t>
                        </w:r>
                      </w:p>
                    </w:tc>
                    <w:tc>
                      <w:tcPr>
                        <w:tcW w:w="674" w:type="dxa"/>
                      </w:tcPr>
                      <w:p>
                        <w:pPr>
                          <w:pStyle w:val="TableParagraph"/>
                          <w:spacing w:before="46"/>
                          <w:ind w:left="129"/>
                          <w:jc w:val="left"/>
                          <w:rPr>
                            <w:sz w:val="12"/>
                          </w:rPr>
                        </w:pPr>
                        <w:r>
                          <w:rPr>
                            <w:sz w:val="18"/>
                          </w:rPr>
                          <w:t>30.00</w:t>
                        </w:r>
                        <w:r>
                          <w:rPr>
                            <w:position w:val="6"/>
                            <w:sz w:val="12"/>
                          </w:rPr>
                          <w:t>b</w:t>
                        </w:r>
                      </w:p>
                    </w:tc>
                    <w:tc>
                      <w:tcPr>
                        <w:tcW w:w="614" w:type="dxa"/>
                      </w:tcPr>
                      <w:p>
                        <w:pPr>
                          <w:pStyle w:val="TableParagraph"/>
                          <w:spacing w:before="50"/>
                          <w:ind w:right="128"/>
                          <w:jc w:val="right"/>
                          <w:rPr>
                            <w:sz w:val="18"/>
                          </w:rPr>
                        </w:pPr>
                        <w:r>
                          <w:rPr>
                            <w:sz w:val="18"/>
                          </w:rPr>
                          <w:t>1.07</w:t>
                        </w:r>
                      </w:p>
                    </w:tc>
                    <w:tc>
                      <w:tcPr>
                        <w:tcW w:w="576" w:type="dxa"/>
                      </w:tcPr>
                      <w:p>
                        <w:pPr>
                          <w:pStyle w:val="TableParagraph"/>
                          <w:spacing w:before="61"/>
                          <w:ind w:right="82"/>
                          <w:jc w:val="right"/>
                          <w:rPr>
                            <w:sz w:val="16"/>
                          </w:rPr>
                        </w:pPr>
                        <w:r>
                          <w:rPr>
                            <w:sz w:val="16"/>
                          </w:rPr>
                          <w:t>0.003</w:t>
                        </w:r>
                      </w:p>
                    </w:tc>
                    <w:tc>
                      <w:tcPr>
                        <w:tcW w:w="1040" w:type="dxa"/>
                      </w:tcPr>
                      <w:p>
                        <w:pPr>
                          <w:pStyle w:val="TableParagraph"/>
                          <w:spacing w:before="50"/>
                          <w:ind w:left="65" w:right="63"/>
                          <w:rPr>
                            <w:sz w:val="18"/>
                          </w:rPr>
                        </w:pPr>
                        <w:r>
                          <w:rPr>
                            <w:sz w:val="18"/>
                          </w:rPr>
                          <w:t>0.003</w:t>
                        </w:r>
                      </w:p>
                    </w:tc>
                    <w:tc>
                      <w:tcPr>
                        <w:tcW w:w="891" w:type="dxa"/>
                      </w:tcPr>
                      <w:p>
                        <w:pPr>
                          <w:pStyle w:val="TableParagraph"/>
                          <w:spacing w:before="50"/>
                          <w:ind w:left="64" w:right="63"/>
                          <w:rPr>
                            <w:sz w:val="18"/>
                          </w:rPr>
                        </w:pPr>
                        <w:r>
                          <w:rPr>
                            <w:sz w:val="18"/>
                          </w:rPr>
                          <w:t>0.910</w:t>
                        </w:r>
                      </w:p>
                    </w:tc>
                    <w:tc>
                      <w:tcPr>
                        <w:tcW w:w="764" w:type="dxa"/>
                      </w:tcPr>
                      <w:p>
                        <w:pPr>
                          <w:pStyle w:val="TableParagraph"/>
                          <w:spacing w:before="50"/>
                          <w:ind w:left="127"/>
                          <w:jc w:val="left"/>
                          <w:rPr>
                            <w:sz w:val="18"/>
                          </w:rPr>
                        </w:pPr>
                        <w:r>
                          <w:rPr>
                            <w:sz w:val="18"/>
                          </w:rPr>
                          <w:t>0.747</w:t>
                        </w:r>
                      </w:p>
                    </w:tc>
                    <w:tc>
                      <w:tcPr>
                        <w:tcW w:w="708" w:type="dxa"/>
                      </w:tcPr>
                      <w:p>
                        <w:pPr>
                          <w:pStyle w:val="TableParagraph"/>
                          <w:spacing w:before="50"/>
                          <w:ind w:right="105"/>
                          <w:rPr>
                            <w:sz w:val="18"/>
                          </w:rPr>
                        </w:pPr>
                        <w:r>
                          <w:rPr>
                            <w:w w:val="99"/>
                            <w:sz w:val="18"/>
                          </w:rPr>
                          <w:t>Q</w:t>
                        </w:r>
                      </w:p>
                    </w:tc>
                  </w:tr>
                  <w:tr>
                    <w:trPr>
                      <w:trHeight w:val="308" w:hRule="exact"/>
                    </w:trPr>
                    <w:tc>
                      <w:tcPr>
                        <w:tcW w:w="2233" w:type="dxa"/>
                      </w:tcPr>
                      <w:p>
                        <w:pPr>
                          <w:pStyle w:val="TableParagraph"/>
                          <w:spacing w:before="44"/>
                          <w:ind w:left="69"/>
                          <w:jc w:val="left"/>
                          <w:rPr>
                            <w:sz w:val="18"/>
                          </w:rPr>
                        </w:pPr>
                        <w:r>
                          <w:rPr>
                            <w:sz w:val="18"/>
                          </w:rPr>
                          <w:t>Semana 7 h 3</w:t>
                        </w:r>
                      </w:p>
                    </w:tc>
                    <w:tc>
                      <w:tcPr>
                        <w:tcW w:w="866" w:type="dxa"/>
                      </w:tcPr>
                      <w:p>
                        <w:pPr>
                          <w:pStyle w:val="TableParagraph"/>
                          <w:spacing w:before="44"/>
                          <w:ind w:right="246"/>
                          <w:jc w:val="right"/>
                          <w:rPr>
                            <w:sz w:val="18"/>
                          </w:rPr>
                        </w:pPr>
                        <w:r>
                          <w:rPr>
                            <w:sz w:val="18"/>
                          </w:rPr>
                          <w:t>29.8</w:t>
                        </w:r>
                      </w:p>
                    </w:tc>
                    <w:tc>
                      <w:tcPr>
                        <w:tcW w:w="755" w:type="dxa"/>
                      </w:tcPr>
                      <w:p>
                        <w:pPr>
                          <w:pStyle w:val="TableParagraph"/>
                          <w:spacing w:before="44"/>
                          <w:ind w:left="128" w:right="121"/>
                          <w:rPr>
                            <w:sz w:val="18"/>
                          </w:rPr>
                        </w:pPr>
                        <w:r>
                          <w:rPr>
                            <w:sz w:val="18"/>
                          </w:rPr>
                          <w:t>32.2</w:t>
                        </w:r>
                      </w:p>
                    </w:tc>
                    <w:tc>
                      <w:tcPr>
                        <w:tcW w:w="738" w:type="dxa"/>
                      </w:tcPr>
                      <w:p>
                        <w:pPr>
                          <w:pStyle w:val="TableParagraph"/>
                          <w:spacing w:before="44"/>
                          <w:ind w:left="119" w:right="111"/>
                          <w:rPr>
                            <w:sz w:val="18"/>
                          </w:rPr>
                        </w:pPr>
                        <w:r>
                          <w:rPr>
                            <w:sz w:val="18"/>
                          </w:rPr>
                          <w:t>37</w:t>
                        </w:r>
                      </w:p>
                    </w:tc>
                    <w:tc>
                      <w:tcPr>
                        <w:tcW w:w="674" w:type="dxa"/>
                      </w:tcPr>
                      <w:p>
                        <w:pPr>
                          <w:pStyle w:val="TableParagraph"/>
                          <w:spacing w:before="44"/>
                          <w:ind w:left="203"/>
                          <w:jc w:val="left"/>
                          <w:rPr>
                            <w:sz w:val="18"/>
                          </w:rPr>
                        </w:pPr>
                        <w:r>
                          <w:rPr>
                            <w:sz w:val="18"/>
                          </w:rPr>
                          <w:t>33.5</w:t>
                        </w:r>
                      </w:p>
                    </w:tc>
                    <w:tc>
                      <w:tcPr>
                        <w:tcW w:w="614" w:type="dxa"/>
                      </w:tcPr>
                      <w:p>
                        <w:pPr>
                          <w:pStyle w:val="TableParagraph"/>
                          <w:spacing w:before="44"/>
                          <w:ind w:right="128"/>
                          <w:jc w:val="right"/>
                          <w:rPr>
                            <w:sz w:val="18"/>
                          </w:rPr>
                        </w:pPr>
                        <w:r>
                          <w:rPr>
                            <w:sz w:val="18"/>
                          </w:rPr>
                          <w:t>4.52</w:t>
                        </w:r>
                      </w:p>
                    </w:tc>
                    <w:tc>
                      <w:tcPr>
                        <w:tcW w:w="576" w:type="dxa"/>
                      </w:tcPr>
                      <w:p>
                        <w:pPr>
                          <w:pStyle w:val="TableParagraph"/>
                          <w:spacing w:before="55"/>
                          <w:ind w:right="82"/>
                          <w:jc w:val="right"/>
                          <w:rPr>
                            <w:sz w:val="16"/>
                          </w:rPr>
                        </w:pPr>
                        <w:r>
                          <w:rPr>
                            <w:sz w:val="16"/>
                          </w:rPr>
                          <w:t>0.726</w:t>
                        </w:r>
                      </w:p>
                    </w:tc>
                    <w:tc>
                      <w:tcPr>
                        <w:tcW w:w="1040" w:type="dxa"/>
                      </w:tcPr>
                      <w:p>
                        <w:pPr>
                          <w:pStyle w:val="TableParagraph"/>
                          <w:spacing w:before="44"/>
                          <w:ind w:left="65" w:right="63"/>
                          <w:rPr>
                            <w:sz w:val="18"/>
                          </w:rPr>
                        </w:pPr>
                        <w:r>
                          <w:rPr>
                            <w:sz w:val="18"/>
                          </w:rPr>
                          <w:t>0.408</w:t>
                        </w:r>
                      </w:p>
                    </w:tc>
                    <w:tc>
                      <w:tcPr>
                        <w:tcW w:w="891" w:type="dxa"/>
                      </w:tcPr>
                      <w:p>
                        <w:pPr>
                          <w:pStyle w:val="TableParagraph"/>
                          <w:spacing w:before="44"/>
                          <w:ind w:left="64" w:right="63"/>
                          <w:rPr>
                            <w:sz w:val="18"/>
                          </w:rPr>
                        </w:pPr>
                        <w:r>
                          <w:rPr>
                            <w:sz w:val="18"/>
                          </w:rPr>
                          <w:t>0.598</w:t>
                        </w:r>
                      </w:p>
                    </w:tc>
                    <w:tc>
                      <w:tcPr>
                        <w:tcW w:w="764" w:type="dxa"/>
                      </w:tcPr>
                      <w:p>
                        <w:pPr>
                          <w:pStyle w:val="TableParagraph"/>
                          <w:spacing w:before="44"/>
                          <w:ind w:left="127"/>
                          <w:jc w:val="left"/>
                          <w:rPr>
                            <w:sz w:val="18"/>
                          </w:rPr>
                        </w:pPr>
                        <w:r>
                          <w:rPr>
                            <w:sz w:val="18"/>
                          </w:rPr>
                          <w:t>0.591</w:t>
                        </w:r>
                      </w:p>
                    </w:tc>
                    <w:tc>
                      <w:tcPr>
                        <w:tcW w:w="708" w:type="dxa"/>
                      </w:tcPr>
                      <w:p>
                        <w:pPr>
                          <w:pStyle w:val="TableParagraph"/>
                          <w:spacing w:before="44"/>
                          <w:ind w:left="164" w:right="271"/>
                          <w:rPr>
                            <w:sz w:val="18"/>
                          </w:rPr>
                        </w:pPr>
                        <w:r>
                          <w:rPr>
                            <w:sz w:val="18"/>
                          </w:rPr>
                          <w:t>NS</w:t>
                        </w:r>
                      </w:p>
                    </w:tc>
                  </w:tr>
                  <w:tr>
                    <w:trPr>
                      <w:trHeight w:val="300" w:hRule="exact"/>
                    </w:trPr>
                    <w:tc>
                      <w:tcPr>
                        <w:tcW w:w="2233" w:type="dxa"/>
                      </w:tcPr>
                      <w:p>
                        <w:pPr>
                          <w:pStyle w:val="TableParagraph"/>
                          <w:spacing w:before="37"/>
                          <w:ind w:left="69"/>
                          <w:jc w:val="left"/>
                          <w:rPr>
                            <w:sz w:val="18"/>
                          </w:rPr>
                        </w:pPr>
                        <w:r>
                          <w:rPr>
                            <w:sz w:val="18"/>
                          </w:rPr>
                          <w:t>Semana 11 h 0</w:t>
                        </w:r>
                      </w:p>
                    </w:tc>
                    <w:tc>
                      <w:tcPr>
                        <w:tcW w:w="866" w:type="dxa"/>
                      </w:tcPr>
                      <w:p>
                        <w:pPr>
                          <w:pStyle w:val="TableParagraph"/>
                          <w:spacing w:before="37"/>
                          <w:ind w:right="246"/>
                          <w:jc w:val="right"/>
                          <w:rPr>
                            <w:sz w:val="18"/>
                          </w:rPr>
                        </w:pPr>
                        <w:r>
                          <w:rPr>
                            <w:sz w:val="18"/>
                          </w:rPr>
                          <w:t>30.8</w:t>
                        </w:r>
                      </w:p>
                    </w:tc>
                    <w:tc>
                      <w:tcPr>
                        <w:tcW w:w="755" w:type="dxa"/>
                      </w:tcPr>
                      <w:p>
                        <w:pPr>
                          <w:pStyle w:val="TableParagraph"/>
                          <w:spacing w:before="37"/>
                          <w:ind w:left="128" w:right="121"/>
                          <w:rPr>
                            <w:sz w:val="18"/>
                          </w:rPr>
                        </w:pPr>
                        <w:r>
                          <w:rPr>
                            <w:sz w:val="18"/>
                          </w:rPr>
                          <w:t>31.4</w:t>
                        </w:r>
                      </w:p>
                    </w:tc>
                    <w:tc>
                      <w:tcPr>
                        <w:tcW w:w="738" w:type="dxa"/>
                      </w:tcPr>
                      <w:p>
                        <w:pPr>
                          <w:pStyle w:val="TableParagraph"/>
                          <w:spacing w:before="37"/>
                          <w:ind w:left="117" w:right="111"/>
                          <w:rPr>
                            <w:sz w:val="18"/>
                          </w:rPr>
                        </w:pPr>
                        <w:r>
                          <w:rPr>
                            <w:sz w:val="18"/>
                          </w:rPr>
                          <w:t>31.2</w:t>
                        </w:r>
                      </w:p>
                    </w:tc>
                    <w:tc>
                      <w:tcPr>
                        <w:tcW w:w="674" w:type="dxa"/>
                      </w:tcPr>
                      <w:p>
                        <w:pPr>
                          <w:pStyle w:val="TableParagraph"/>
                          <w:spacing w:before="37"/>
                          <w:ind w:left="271"/>
                          <w:jc w:val="left"/>
                          <w:rPr>
                            <w:sz w:val="18"/>
                          </w:rPr>
                        </w:pPr>
                        <w:r>
                          <w:rPr>
                            <w:sz w:val="18"/>
                          </w:rPr>
                          <w:t>32</w:t>
                        </w:r>
                      </w:p>
                    </w:tc>
                    <w:tc>
                      <w:tcPr>
                        <w:tcW w:w="614" w:type="dxa"/>
                      </w:tcPr>
                      <w:p>
                        <w:pPr>
                          <w:pStyle w:val="TableParagraph"/>
                          <w:spacing w:before="37"/>
                          <w:ind w:right="128"/>
                          <w:jc w:val="right"/>
                          <w:rPr>
                            <w:sz w:val="18"/>
                          </w:rPr>
                        </w:pPr>
                        <w:r>
                          <w:rPr>
                            <w:sz w:val="18"/>
                          </w:rPr>
                          <w:t>1.47</w:t>
                        </w:r>
                      </w:p>
                    </w:tc>
                    <w:tc>
                      <w:tcPr>
                        <w:tcW w:w="576" w:type="dxa"/>
                      </w:tcPr>
                      <w:p>
                        <w:pPr>
                          <w:pStyle w:val="TableParagraph"/>
                          <w:spacing w:before="48"/>
                          <w:ind w:right="82"/>
                          <w:jc w:val="right"/>
                          <w:rPr>
                            <w:sz w:val="16"/>
                          </w:rPr>
                        </w:pPr>
                        <w:r>
                          <w:rPr>
                            <w:sz w:val="16"/>
                          </w:rPr>
                          <w:t>0.950</w:t>
                        </w:r>
                      </w:p>
                    </w:tc>
                    <w:tc>
                      <w:tcPr>
                        <w:tcW w:w="1040" w:type="dxa"/>
                      </w:tcPr>
                      <w:p>
                        <w:pPr>
                          <w:pStyle w:val="TableParagraph"/>
                          <w:spacing w:before="37"/>
                          <w:ind w:left="65" w:right="63"/>
                          <w:rPr>
                            <w:sz w:val="18"/>
                          </w:rPr>
                        </w:pPr>
                        <w:r>
                          <w:rPr>
                            <w:sz w:val="18"/>
                          </w:rPr>
                          <w:t>0.672</w:t>
                        </w:r>
                      </w:p>
                    </w:tc>
                    <w:tc>
                      <w:tcPr>
                        <w:tcW w:w="891" w:type="dxa"/>
                      </w:tcPr>
                      <w:p>
                        <w:pPr>
                          <w:pStyle w:val="TableParagraph"/>
                          <w:spacing w:before="37"/>
                          <w:ind w:left="64" w:right="63"/>
                          <w:rPr>
                            <w:sz w:val="18"/>
                          </w:rPr>
                        </w:pPr>
                        <w:r>
                          <w:rPr>
                            <w:sz w:val="18"/>
                          </w:rPr>
                          <w:t>0.913</w:t>
                        </w:r>
                      </w:p>
                    </w:tc>
                    <w:tc>
                      <w:tcPr>
                        <w:tcW w:w="764" w:type="dxa"/>
                      </w:tcPr>
                      <w:p>
                        <w:pPr>
                          <w:pStyle w:val="TableParagraph"/>
                          <w:spacing w:before="37"/>
                          <w:ind w:left="127"/>
                          <w:jc w:val="left"/>
                          <w:rPr>
                            <w:sz w:val="18"/>
                          </w:rPr>
                        </w:pPr>
                        <w:r>
                          <w:rPr>
                            <w:sz w:val="18"/>
                          </w:rPr>
                          <w:t>0.706</w:t>
                        </w:r>
                      </w:p>
                    </w:tc>
                    <w:tc>
                      <w:tcPr>
                        <w:tcW w:w="708" w:type="dxa"/>
                      </w:tcPr>
                      <w:p>
                        <w:pPr>
                          <w:pStyle w:val="TableParagraph"/>
                          <w:spacing w:before="37"/>
                          <w:ind w:left="164" w:right="271"/>
                          <w:rPr>
                            <w:sz w:val="18"/>
                          </w:rPr>
                        </w:pPr>
                        <w:r>
                          <w:rPr>
                            <w:sz w:val="18"/>
                          </w:rPr>
                          <w:t>NS</w:t>
                        </w:r>
                      </w:p>
                    </w:tc>
                  </w:tr>
                  <w:tr>
                    <w:trPr>
                      <w:trHeight w:val="300" w:hRule="exact"/>
                    </w:trPr>
                    <w:tc>
                      <w:tcPr>
                        <w:tcW w:w="2233" w:type="dxa"/>
                      </w:tcPr>
                      <w:p>
                        <w:pPr>
                          <w:pStyle w:val="TableParagraph"/>
                          <w:spacing w:before="36"/>
                          <w:ind w:left="69"/>
                          <w:jc w:val="left"/>
                          <w:rPr>
                            <w:sz w:val="18"/>
                          </w:rPr>
                        </w:pPr>
                        <w:r>
                          <w:rPr>
                            <w:sz w:val="18"/>
                          </w:rPr>
                          <w:t>Semana 11 h 3</w:t>
                        </w:r>
                      </w:p>
                    </w:tc>
                    <w:tc>
                      <w:tcPr>
                        <w:tcW w:w="866" w:type="dxa"/>
                      </w:tcPr>
                      <w:p>
                        <w:pPr>
                          <w:pStyle w:val="TableParagraph"/>
                          <w:spacing w:before="36"/>
                          <w:ind w:left="350" w:right="295"/>
                          <w:rPr>
                            <w:sz w:val="18"/>
                          </w:rPr>
                        </w:pPr>
                        <w:r>
                          <w:rPr>
                            <w:sz w:val="18"/>
                          </w:rPr>
                          <w:t>32</w:t>
                        </w:r>
                      </w:p>
                    </w:tc>
                    <w:tc>
                      <w:tcPr>
                        <w:tcW w:w="755" w:type="dxa"/>
                      </w:tcPr>
                      <w:p>
                        <w:pPr>
                          <w:pStyle w:val="TableParagraph"/>
                          <w:spacing w:before="36"/>
                          <w:ind w:left="128" w:right="121"/>
                          <w:rPr>
                            <w:sz w:val="18"/>
                          </w:rPr>
                        </w:pPr>
                        <w:r>
                          <w:rPr>
                            <w:sz w:val="18"/>
                          </w:rPr>
                          <w:t>33.2</w:t>
                        </w:r>
                      </w:p>
                    </w:tc>
                    <w:tc>
                      <w:tcPr>
                        <w:tcW w:w="738" w:type="dxa"/>
                      </w:tcPr>
                      <w:p>
                        <w:pPr>
                          <w:pStyle w:val="TableParagraph"/>
                          <w:spacing w:before="36"/>
                          <w:ind w:left="117" w:right="111"/>
                          <w:rPr>
                            <w:sz w:val="18"/>
                          </w:rPr>
                        </w:pPr>
                        <w:r>
                          <w:rPr>
                            <w:sz w:val="18"/>
                          </w:rPr>
                          <w:t>32.8</w:t>
                        </w:r>
                      </w:p>
                    </w:tc>
                    <w:tc>
                      <w:tcPr>
                        <w:tcW w:w="674" w:type="dxa"/>
                      </w:tcPr>
                      <w:p>
                        <w:pPr>
                          <w:pStyle w:val="TableParagraph"/>
                          <w:spacing w:before="36"/>
                          <w:ind w:left="203"/>
                          <w:jc w:val="left"/>
                          <w:rPr>
                            <w:sz w:val="18"/>
                          </w:rPr>
                        </w:pPr>
                        <w:r>
                          <w:rPr>
                            <w:sz w:val="18"/>
                          </w:rPr>
                          <w:t>35.9</w:t>
                        </w:r>
                      </w:p>
                    </w:tc>
                    <w:tc>
                      <w:tcPr>
                        <w:tcW w:w="614" w:type="dxa"/>
                      </w:tcPr>
                      <w:p>
                        <w:pPr>
                          <w:pStyle w:val="TableParagraph"/>
                          <w:spacing w:before="36"/>
                          <w:ind w:right="128"/>
                          <w:jc w:val="right"/>
                          <w:rPr>
                            <w:sz w:val="18"/>
                          </w:rPr>
                        </w:pPr>
                        <w:r>
                          <w:rPr>
                            <w:sz w:val="18"/>
                          </w:rPr>
                          <w:t>1.22</w:t>
                        </w:r>
                      </w:p>
                    </w:tc>
                    <w:tc>
                      <w:tcPr>
                        <w:tcW w:w="576" w:type="dxa"/>
                      </w:tcPr>
                      <w:p>
                        <w:pPr>
                          <w:pStyle w:val="TableParagraph"/>
                          <w:spacing w:before="48"/>
                          <w:ind w:right="83"/>
                          <w:jc w:val="right"/>
                          <w:rPr>
                            <w:sz w:val="16"/>
                          </w:rPr>
                        </w:pPr>
                        <w:r>
                          <w:rPr>
                            <w:sz w:val="16"/>
                          </w:rPr>
                          <w:t>0.808</w:t>
                        </w:r>
                      </w:p>
                    </w:tc>
                    <w:tc>
                      <w:tcPr>
                        <w:tcW w:w="1040" w:type="dxa"/>
                      </w:tcPr>
                      <w:p>
                        <w:pPr>
                          <w:pStyle w:val="TableParagraph"/>
                          <w:spacing w:before="36"/>
                          <w:ind w:left="65" w:right="63"/>
                          <w:rPr>
                            <w:sz w:val="18"/>
                          </w:rPr>
                        </w:pPr>
                        <w:r>
                          <w:rPr>
                            <w:sz w:val="18"/>
                          </w:rPr>
                          <w:t>0.020</w:t>
                        </w:r>
                      </w:p>
                    </w:tc>
                    <w:tc>
                      <w:tcPr>
                        <w:tcW w:w="891" w:type="dxa"/>
                      </w:tcPr>
                      <w:p>
                        <w:pPr>
                          <w:pStyle w:val="TableParagraph"/>
                          <w:spacing w:before="36"/>
                          <w:ind w:left="64" w:right="63"/>
                          <w:rPr>
                            <w:sz w:val="18"/>
                          </w:rPr>
                        </w:pPr>
                        <w:r>
                          <w:rPr>
                            <w:sz w:val="18"/>
                          </w:rPr>
                          <w:t>0.020</w:t>
                        </w:r>
                      </w:p>
                    </w:tc>
                    <w:tc>
                      <w:tcPr>
                        <w:tcW w:w="764" w:type="dxa"/>
                      </w:tcPr>
                      <w:p>
                        <w:pPr>
                          <w:pStyle w:val="TableParagraph"/>
                          <w:spacing w:before="36"/>
                          <w:ind w:left="127"/>
                          <w:jc w:val="left"/>
                          <w:rPr>
                            <w:sz w:val="18"/>
                          </w:rPr>
                        </w:pPr>
                        <w:r>
                          <w:rPr>
                            <w:sz w:val="18"/>
                          </w:rPr>
                          <w:t>0.092</w:t>
                        </w:r>
                      </w:p>
                    </w:tc>
                    <w:tc>
                      <w:tcPr>
                        <w:tcW w:w="708" w:type="dxa"/>
                      </w:tcPr>
                      <w:p>
                        <w:pPr>
                          <w:pStyle w:val="TableParagraph"/>
                          <w:spacing w:before="36"/>
                          <w:ind w:left="164" w:right="271"/>
                          <w:rPr>
                            <w:sz w:val="18"/>
                          </w:rPr>
                        </w:pPr>
                        <w:r>
                          <w:rPr>
                            <w:sz w:val="18"/>
                          </w:rPr>
                          <w:t>NS</w:t>
                        </w:r>
                      </w:p>
                    </w:tc>
                  </w:tr>
                  <w:tr>
                    <w:trPr>
                      <w:trHeight w:val="601" w:hRule="exact"/>
                    </w:trPr>
                    <w:tc>
                      <w:tcPr>
                        <w:tcW w:w="2233" w:type="dxa"/>
                      </w:tcPr>
                      <w:p>
                        <w:pPr>
                          <w:pStyle w:val="TableParagraph"/>
                          <w:spacing w:before="36"/>
                          <w:ind w:left="69"/>
                          <w:jc w:val="left"/>
                          <w:rPr>
                            <w:sz w:val="18"/>
                          </w:rPr>
                        </w:pPr>
                        <w:r>
                          <w:rPr>
                            <w:sz w:val="18"/>
                          </w:rPr>
                          <w:t>Promedio de tratamiento</w:t>
                        </w:r>
                      </w:p>
                      <w:p>
                        <w:pPr>
                          <w:pStyle w:val="TableParagraph"/>
                          <w:spacing w:before="98"/>
                          <w:ind w:left="69"/>
                          <w:jc w:val="left"/>
                          <w:rPr>
                            <w:b/>
                            <w:sz w:val="18"/>
                          </w:rPr>
                        </w:pPr>
                        <w:r>
                          <w:rPr>
                            <w:b/>
                            <w:sz w:val="18"/>
                          </w:rPr>
                          <w:t>Glucosa:</w:t>
                        </w:r>
                      </w:p>
                    </w:tc>
                    <w:tc>
                      <w:tcPr>
                        <w:tcW w:w="866" w:type="dxa"/>
                        <w:tcBorders>
                          <w:bottom w:val="single" w:sz="4" w:space="0" w:color="000000"/>
                        </w:tcBorders>
                      </w:tcPr>
                      <w:p>
                        <w:pPr>
                          <w:pStyle w:val="TableParagraph"/>
                          <w:spacing w:before="36"/>
                          <w:ind w:right="200"/>
                          <w:jc w:val="right"/>
                          <w:rPr>
                            <w:sz w:val="18"/>
                          </w:rPr>
                        </w:pPr>
                        <w:r>
                          <w:rPr>
                            <w:sz w:val="18"/>
                          </w:rPr>
                          <w:t>29.13</w:t>
                        </w:r>
                      </w:p>
                    </w:tc>
                    <w:tc>
                      <w:tcPr>
                        <w:tcW w:w="755" w:type="dxa"/>
                        <w:tcBorders>
                          <w:bottom w:val="single" w:sz="4" w:space="0" w:color="000000"/>
                        </w:tcBorders>
                      </w:tcPr>
                      <w:p>
                        <w:pPr>
                          <w:pStyle w:val="TableParagraph"/>
                          <w:spacing w:before="36"/>
                          <w:ind w:left="128" w:right="121"/>
                          <w:rPr>
                            <w:sz w:val="18"/>
                          </w:rPr>
                        </w:pPr>
                        <w:r>
                          <w:rPr>
                            <w:sz w:val="18"/>
                          </w:rPr>
                          <w:t>31.25</w:t>
                        </w:r>
                      </w:p>
                    </w:tc>
                    <w:tc>
                      <w:tcPr>
                        <w:tcW w:w="738" w:type="dxa"/>
                        <w:tcBorders>
                          <w:bottom w:val="single" w:sz="4" w:space="0" w:color="000000"/>
                        </w:tcBorders>
                      </w:tcPr>
                      <w:p>
                        <w:pPr>
                          <w:pStyle w:val="TableParagraph"/>
                          <w:spacing w:before="36"/>
                          <w:ind w:left="117" w:right="111"/>
                          <w:rPr>
                            <w:sz w:val="18"/>
                          </w:rPr>
                        </w:pPr>
                        <w:r>
                          <w:rPr>
                            <w:sz w:val="18"/>
                          </w:rPr>
                          <w:t>30.7</w:t>
                        </w:r>
                      </w:p>
                    </w:tc>
                    <w:tc>
                      <w:tcPr>
                        <w:tcW w:w="674" w:type="dxa"/>
                        <w:tcBorders>
                          <w:bottom w:val="single" w:sz="4" w:space="0" w:color="000000"/>
                        </w:tcBorders>
                      </w:tcPr>
                      <w:p>
                        <w:pPr>
                          <w:pStyle w:val="TableParagraph"/>
                          <w:spacing w:before="36"/>
                          <w:ind w:left="158"/>
                          <w:jc w:val="left"/>
                          <w:rPr>
                            <w:sz w:val="18"/>
                          </w:rPr>
                        </w:pPr>
                        <w:r>
                          <w:rPr>
                            <w:sz w:val="18"/>
                          </w:rPr>
                          <w:t>30.28</w:t>
                        </w:r>
                      </w:p>
                    </w:tc>
                    <w:tc>
                      <w:tcPr>
                        <w:tcW w:w="614" w:type="dxa"/>
                        <w:tcBorders>
                          <w:bottom w:val="single" w:sz="4" w:space="0" w:color="000000"/>
                        </w:tcBorders>
                      </w:tcPr>
                      <w:p>
                        <w:pPr>
                          <w:pStyle w:val="TableParagraph"/>
                          <w:spacing w:before="36"/>
                          <w:ind w:right="128"/>
                          <w:jc w:val="right"/>
                          <w:rPr>
                            <w:sz w:val="18"/>
                          </w:rPr>
                        </w:pPr>
                        <w:r>
                          <w:rPr>
                            <w:sz w:val="18"/>
                          </w:rPr>
                          <w:t>1.99</w:t>
                        </w:r>
                      </w:p>
                    </w:tc>
                    <w:tc>
                      <w:tcPr>
                        <w:tcW w:w="576" w:type="dxa"/>
                        <w:tcBorders>
                          <w:bottom w:val="single" w:sz="4" w:space="0" w:color="000000"/>
                        </w:tcBorders>
                      </w:tcPr>
                      <w:p>
                        <w:pPr>
                          <w:pStyle w:val="TableParagraph"/>
                          <w:spacing w:before="48"/>
                          <w:ind w:right="164"/>
                          <w:jc w:val="right"/>
                          <w:rPr>
                            <w:sz w:val="16"/>
                          </w:rPr>
                        </w:pPr>
                        <w:r>
                          <w:rPr>
                            <w:sz w:val="16"/>
                          </w:rPr>
                          <w:t>0.4</w:t>
                        </w:r>
                      </w:p>
                    </w:tc>
                    <w:tc>
                      <w:tcPr>
                        <w:tcW w:w="1040" w:type="dxa"/>
                        <w:tcBorders>
                          <w:bottom w:val="single" w:sz="4" w:space="0" w:color="000000"/>
                        </w:tcBorders>
                      </w:tcPr>
                      <w:p>
                        <w:pPr/>
                      </w:p>
                    </w:tc>
                    <w:tc>
                      <w:tcPr>
                        <w:tcW w:w="891" w:type="dxa"/>
                        <w:tcBorders>
                          <w:bottom w:val="single" w:sz="4" w:space="0" w:color="000000"/>
                        </w:tcBorders>
                      </w:tcPr>
                      <w:p>
                        <w:pPr/>
                      </w:p>
                    </w:tc>
                    <w:tc>
                      <w:tcPr>
                        <w:tcW w:w="764" w:type="dxa"/>
                        <w:tcBorders>
                          <w:bottom w:val="single" w:sz="4" w:space="0" w:color="000000"/>
                        </w:tcBorders>
                      </w:tcPr>
                      <w:p>
                        <w:pPr/>
                      </w:p>
                    </w:tc>
                    <w:tc>
                      <w:tcPr>
                        <w:tcW w:w="708" w:type="dxa"/>
                        <w:tcBorders>
                          <w:bottom w:val="single" w:sz="4" w:space="0" w:color="000000"/>
                        </w:tcBorders>
                      </w:tcPr>
                      <w:p>
                        <w:pPr/>
                      </w:p>
                    </w:tc>
                  </w:tr>
                  <w:tr>
                    <w:trPr>
                      <w:trHeight w:val="309" w:hRule="exact"/>
                    </w:trPr>
                    <w:tc>
                      <w:tcPr>
                        <w:tcW w:w="2233" w:type="dxa"/>
                      </w:tcPr>
                      <w:p>
                        <w:pPr>
                          <w:pStyle w:val="TableParagraph"/>
                          <w:spacing w:before="45"/>
                          <w:ind w:left="69"/>
                          <w:jc w:val="left"/>
                          <w:rPr>
                            <w:sz w:val="18"/>
                          </w:rPr>
                        </w:pPr>
                        <w:r>
                          <w:rPr>
                            <w:sz w:val="18"/>
                          </w:rPr>
                          <w:t>Semana 2 h 0</w:t>
                        </w:r>
                      </w:p>
                    </w:tc>
                    <w:tc>
                      <w:tcPr>
                        <w:tcW w:w="866" w:type="dxa"/>
                        <w:tcBorders>
                          <w:top w:val="single" w:sz="4" w:space="0" w:color="000000"/>
                        </w:tcBorders>
                      </w:tcPr>
                      <w:p>
                        <w:pPr>
                          <w:pStyle w:val="TableParagraph"/>
                          <w:spacing w:before="40"/>
                          <w:ind w:right="246"/>
                          <w:jc w:val="right"/>
                          <w:rPr>
                            <w:sz w:val="18"/>
                          </w:rPr>
                        </w:pPr>
                        <w:r>
                          <w:rPr>
                            <w:sz w:val="18"/>
                          </w:rPr>
                          <w:t>72.9</w:t>
                        </w:r>
                      </w:p>
                    </w:tc>
                    <w:tc>
                      <w:tcPr>
                        <w:tcW w:w="755" w:type="dxa"/>
                        <w:tcBorders>
                          <w:top w:val="single" w:sz="4" w:space="0" w:color="000000"/>
                        </w:tcBorders>
                      </w:tcPr>
                      <w:p>
                        <w:pPr>
                          <w:pStyle w:val="TableParagraph"/>
                          <w:spacing w:before="40"/>
                          <w:ind w:left="128" w:right="121"/>
                          <w:rPr>
                            <w:sz w:val="18"/>
                          </w:rPr>
                        </w:pPr>
                        <w:r>
                          <w:rPr>
                            <w:sz w:val="18"/>
                          </w:rPr>
                          <w:t>70.6</w:t>
                        </w:r>
                      </w:p>
                    </w:tc>
                    <w:tc>
                      <w:tcPr>
                        <w:tcW w:w="738" w:type="dxa"/>
                        <w:tcBorders>
                          <w:top w:val="single" w:sz="4" w:space="0" w:color="000000"/>
                        </w:tcBorders>
                      </w:tcPr>
                      <w:p>
                        <w:pPr>
                          <w:pStyle w:val="TableParagraph"/>
                          <w:spacing w:before="40"/>
                          <w:ind w:left="117" w:right="111"/>
                          <w:rPr>
                            <w:sz w:val="18"/>
                          </w:rPr>
                        </w:pPr>
                        <w:r>
                          <w:rPr>
                            <w:sz w:val="18"/>
                          </w:rPr>
                          <w:t>72.9</w:t>
                        </w:r>
                      </w:p>
                    </w:tc>
                    <w:tc>
                      <w:tcPr>
                        <w:tcW w:w="674" w:type="dxa"/>
                        <w:tcBorders>
                          <w:top w:val="single" w:sz="4" w:space="0" w:color="000000"/>
                        </w:tcBorders>
                      </w:tcPr>
                      <w:p>
                        <w:pPr>
                          <w:pStyle w:val="TableParagraph"/>
                          <w:spacing w:before="40"/>
                          <w:ind w:left="203"/>
                          <w:jc w:val="left"/>
                          <w:rPr>
                            <w:sz w:val="18"/>
                          </w:rPr>
                        </w:pPr>
                        <w:r>
                          <w:rPr>
                            <w:sz w:val="18"/>
                          </w:rPr>
                          <w:t>67.3</w:t>
                        </w:r>
                      </w:p>
                    </w:tc>
                    <w:tc>
                      <w:tcPr>
                        <w:tcW w:w="614" w:type="dxa"/>
                        <w:tcBorders>
                          <w:top w:val="single" w:sz="4" w:space="0" w:color="000000"/>
                        </w:tcBorders>
                      </w:tcPr>
                      <w:p>
                        <w:pPr>
                          <w:pStyle w:val="TableParagraph"/>
                          <w:spacing w:before="40"/>
                          <w:ind w:right="128"/>
                          <w:jc w:val="right"/>
                          <w:rPr>
                            <w:sz w:val="18"/>
                          </w:rPr>
                        </w:pPr>
                        <w:r>
                          <w:rPr>
                            <w:sz w:val="18"/>
                          </w:rPr>
                          <w:t>2.51</w:t>
                        </w:r>
                      </w:p>
                    </w:tc>
                    <w:tc>
                      <w:tcPr>
                        <w:tcW w:w="576" w:type="dxa"/>
                        <w:tcBorders>
                          <w:top w:val="single" w:sz="4" w:space="0" w:color="000000"/>
                        </w:tcBorders>
                      </w:tcPr>
                      <w:p>
                        <w:pPr>
                          <w:pStyle w:val="TableParagraph"/>
                          <w:spacing w:before="40"/>
                          <w:ind w:right="107"/>
                          <w:jc w:val="right"/>
                          <w:rPr>
                            <w:sz w:val="18"/>
                          </w:rPr>
                        </w:pPr>
                        <w:r>
                          <w:rPr>
                            <w:sz w:val="18"/>
                          </w:rPr>
                          <w:t>0.37</w:t>
                        </w:r>
                      </w:p>
                    </w:tc>
                    <w:tc>
                      <w:tcPr>
                        <w:tcW w:w="1040" w:type="dxa"/>
                        <w:tcBorders>
                          <w:top w:val="single" w:sz="4" w:space="0" w:color="000000"/>
                        </w:tcBorders>
                      </w:tcPr>
                      <w:p>
                        <w:pPr>
                          <w:pStyle w:val="TableParagraph"/>
                          <w:spacing w:before="40"/>
                          <w:ind w:left="65" w:right="63"/>
                          <w:rPr>
                            <w:sz w:val="18"/>
                          </w:rPr>
                        </w:pPr>
                        <w:r>
                          <w:rPr>
                            <w:sz w:val="18"/>
                          </w:rPr>
                          <w:t>0.377</w:t>
                        </w:r>
                      </w:p>
                    </w:tc>
                    <w:tc>
                      <w:tcPr>
                        <w:tcW w:w="891" w:type="dxa"/>
                        <w:tcBorders>
                          <w:top w:val="single" w:sz="4" w:space="0" w:color="000000"/>
                        </w:tcBorders>
                      </w:tcPr>
                      <w:p>
                        <w:pPr>
                          <w:pStyle w:val="TableParagraph"/>
                          <w:spacing w:before="40"/>
                          <w:ind w:left="64" w:right="63"/>
                          <w:rPr>
                            <w:sz w:val="18"/>
                          </w:rPr>
                        </w:pPr>
                        <w:r>
                          <w:rPr>
                            <w:sz w:val="18"/>
                          </w:rPr>
                          <w:t>0.872</w:t>
                        </w:r>
                      </w:p>
                    </w:tc>
                    <w:tc>
                      <w:tcPr>
                        <w:tcW w:w="764" w:type="dxa"/>
                        <w:tcBorders>
                          <w:top w:val="single" w:sz="4" w:space="0" w:color="000000"/>
                        </w:tcBorders>
                      </w:tcPr>
                      <w:p>
                        <w:pPr>
                          <w:pStyle w:val="TableParagraph"/>
                          <w:spacing w:before="40"/>
                          <w:ind w:left="84"/>
                          <w:jc w:val="left"/>
                          <w:rPr>
                            <w:sz w:val="18"/>
                          </w:rPr>
                        </w:pPr>
                        <w:r>
                          <w:rPr>
                            <w:sz w:val="18"/>
                          </w:rPr>
                          <w:t>0.1345</w:t>
                        </w:r>
                      </w:p>
                    </w:tc>
                    <w:tc>
                      <w:tcPr>
                        <w:tcW w:w="708" w:type="dxa"/>
                        <w:tcBorders>
                          <w:top w:val="single" w:sz="4" w:space="0" w:color="000000"/>
                        </w:tcBorders>
                      </w:tcPr>
                      <w:p>
                        <w:pPr>
                          <w:pStyle w:val="TableParagraph"/>
                          <w:spacing w:before="40"/>
                          <w:ind w:left="164" w:right="271"/>
                          <w:rPr>
                            <w:sz w:val="18"/>
                          </w:rPr>
                        </w:pPr>
                        <w:r>
                          <w:rPr>
                            <w:sz w:val="18"/>
                          </w:rPr>
                          <w:t>NS</w:t>
                        </w:r>
                      </w:p>
                    </w:tc>
                  </w:tr>
                  <w:tr>
                    <w:trPr>
                      <w:trHeight w:val="300" w:hRule="exact"/>
                    </w:trPr>
                    <w:tc>
                      <w:tcPr>
                        <w:tcW w:w="2233" w:type="dxa"/>
                      </w:tcPr>
                      <w:p>
                        <w:pPr>
                          <w:pStyle w:val="TableParagraph"/>
                          <w:spacing w:before="36"/>
                          <w:ind w:left="69"/>
                          <w:jc w:val="left"/>
                          <w:rPr>
                            <w:sz w:val="18"/>
                          </w:rPr>
                        </w:pPr>
                        <w:r>
                          <w:rPr>
                            <w:sz w:val="18"/>
                          </w:rPr>
                          <w:t>Semana 2 h 3</w:t>
                        </w:r>
                      </w:p>
                    </w:tc>
                    <w:tc>
                      <w:tcPr>
                        <w:tcW w:w="866" w:type="dxa"/>
                      </w:tcPr>
                      <w:p>
                        <w:pPr>
                          <w:pStyle w:val="TableParagraph"/>
                          <w:spacing w:before="36"/>
                          <w:ind w:right="246"/>
                          <w:jc w:val="right"/>
                          <w:rPr>
                            <w:sz w:val="18"/>
                          </w:rPr>
                        </w:pPr>
                        <w:r>
                          <w:rPr>
                            <w:sz w:val="18"/>
                          </w:rPr>
                          <w:t>77.7</w:t>
                        </w:r>
                      </w:p>
                    </w:tc>
                    <w:tc>
                      <w:tcPr>
                        <w:tcW w:w="755" w:type="dxa"/>
                      </w:tcPr>
                      <w:p>
                        <w:pPr>
                          <w:pStyle w:val="TableParagraph"/>
                          <w:spacing w:before="36"/>
                          <w:ind w:left="128" w:right="121"/>
                          <w:rPr>
                            <w:sz w:val="18"/>
                          </w:rPr>
                        </w:pPr>
                        <w:r>
                          <w:rPr>
                            <w:sz w:val="18"/>
                          </w:rPr>
                          <w:t>76.3</w:t>
                        </w:r>
                      </w:p>
                    </w:tc>
                    <w:tc>
                      <w:tcPr>
                        <w:tcW w:w="738" w:type="dxa"/>
                      </w:tcPr>
                      <w:p>
                        <w:pPr>
                          <w:pStyle w:val="TableParagraph"/>
                          <w:spacing w:before="36"/>
                          <w:ind w:left="117" w:right="111"/>
                          <w:rPr>
                            <w:sz w:val="18"/>
                          </w:rPr>
                        </w:pPr>
                        <w:r>
                          <w:rPr>
                            <w:sz w:val="18"/>
                          </w:rPr>
                          <w:t>73.5</w:t>
                        </w:r>
                      </w:p>
                    </w:tc>
                    <w:tc>
                      <w:tcPr>
                        <w:tcW w:w="674" w:type="dxa"/>
                      </w:tcPr>
                      <w:p>
                        <w:pPr>
                          <w:pStyle w:val="TableParagraph"/>
                          <w:spacing w:before="36"/>
                          <w:ind w:left="203"/>
                          <w:jc w:val="left"/>
                          <w:rPr>
                            <w:sz w:val="18"/>
                          </w:rPr>
                        </w:pPr>
                        <w:r>
                          <w:rPr>
                            <w:sz w:val="18"/>
                          </w:rPr>
                          <w:t>66.7</w:t>
                        </w:r>
                      </w:p>
                    </w:tc>
                    <w:tc>
                      <w:tcPr>
                        <w:tcW w:w="614" w:type="dxa"/>
                      </w:tcPr>
                      <w:p>
                        <w:pPr>
                          <w:pStyle w:val="TableParagraph"/>
                          <w:spacing w:before="36"/>
                          <w:ind w:right="128"/>
                          <w:jc w:val="right"/>
                          <w:rPr>
                            <w:sz w:val="18"/>
                          </w:rPr>
                        </w:pPr>
                        <w:r>
                          <w:rPr>
                            <w:sz w:val="18"/>
                          </w:rPr>
                          <w:t>3.82</w:t>
                        </w:r>
                      </w:p>
                    </w:tc>
                    <w:tc>
                      <w:tcPr>
                        <w:tcW w:w="576" w:type="dxa"/>
                      </w:tcPr>
                      <w:p>
                        <w:pPr>
                          <w:pStyle w:val="TableParagraph"/>
                          <w:spacing w:before="36"/>
                          <w:ind w:right="107"/>
                          <w:jc w:val="right"/>
                          <w:rPr>
                            <w:sz w:val="18"/>
                          </w:rPr>
                        </w:pPr>
                        <w:r>
                          <w:rPr>
                            <w:sz w:val="18"/>
                          </w:rPr>
                          <w:t>0.22</w:t>
                        </w:r>
                      </w:p>
                    </w:tc>
                    <w:tc>
                      <w:tcPr>
                        <w:tcW w:w="1040" w:type="dxa"/>
                      </w:tcPr>
                      <w:p>
                        <w:pPr>
                          <w:pStyle w:val="TableParagraph"/>
                          <w:spacing w:before="36"/>
                          <w:ind w:left="65" w:right="63"/>
                          <w:rPr>
                            <w:sz w:val="18"/>
                          </w:rPr>
                        </w:pPr>
                        <w:r>
                          <w:rPr>
                            <w:sz w:val="18"/>
                          </w:rPr>
                          <w:t>0.228</w:t>
                        </w:r>
                      </w:p>
                    </w:tc>
                    <w:tc>
                      <w:tcPr>
                        <w:tcW w:w="891" w:type="dxa"/>
                      </w:tcPr>
                      <w:p>
                        <w:pPr>
                          <w:pStyle w:val="TableParagraph"/>
                          <w:spacing w:before="36"/>
                          <w:ind w:left="64" w:right="63"/>
                          <w:rPr>
                            <w:sz w:val="18"/>
                          </w:rPr>
                        </w:pPr>
                        <w:r>
                          <w:rPr>
                            <w:sz w:val="18"/>
                          </w:rPr>
                          <w:t>0.706</w:t>
                        </w:r>
                      </w:p>
                    </w:tc>
                    <w:tc>
                      <w:tcPr>
                        <w:tcW w:w="764" w:type="dxa"/>
                      </w:tcPr>
                      <w:p>
                        <w:pPr>
                          <w:pStyle w:val="TableParagraph"/>
                          <w:spacing w:before="36"/>
                          <w:ind w:left="127"/>
                          <w:jc w:val="left"/>
                          <w:rPr>
                            <w:sz w:val="18"/>
                          </w:rPr>
                        </w:pPr>
                        <w:r>
                          <w:rPr>
                            <w:sz w:val="18"/>
                          </w:rPr>
                          <w:t>0.342</w:t>
                        </w:r>
                      </w:p>
                    </w:tc>
                    <w:tc>
                      <w:tcPr>
                        <w:tcW w:w="708" w:type="dxa"/>
                      </w:tcPr>
                      <w:p>
                        <w:pPr>
                          <w:pStyle w:val="TableParagraph"/>
                          <w:spacing w:before="36"/>
                          <w:ind w:left="164" w:right="271"/>
                          <w:rPr>
                            <w:sz w:val="18"/>
                          </w:rPr>
                        </w:pPr>
                        <w:r>
                          <w:rPr>
                            <w:sz w:val="18"/>
                          </w:rPr>
                          <w:t>NS</w:t>
                        </w:r>
                      </w:p>
                    </w:tc>
                  </w:tr>
                  <w:tr>
                    <w:trPr>
                      <w:trHeight w:val="300" w:hRule="exact"/>
                    </w:trPr>
                    <w:tc>
                      <w:tcPr>
                        <w:tcW w:w="2233" w:type="dxa"/>
                      </w:tcPr>
                      <w:p>
                        <w:pPr>
                          <w:pStyle w:val="TableParagraph"/>
                          <w:spacing w:before="36"/>
                          <w:ind w:left="69"/>
                          <w:jc w:val="left"/>
                          <w:rPr>
                            <w:sz w:val="18"/>
                          </w:rPr>
                        </w:pPr>
                        <w:r>
                          <w:rPr>
                            <w:sz w:val="18"/>
                          </w:rPr>
                          <w:t>Semana 7 h 0</w:t>
                        </w:r>
                      </w:p>
                    </w:tc>
                    <w:tc>
                      <w:tcPr>
                        <w:tcW w:w="866" w:type="dxa"/>
                      </w:tcPr>
                      <w:p>
                        <w:pPr>
                          <w:pStyle w:val="TableParagraph"/>
                          <w:spacing w:before="36"/>
                          <w:ind w:right="246"/>
                          <w:jc w:val="right"/>
                          <w:rPr>
                            <w:sz w:val="18"/>
                          </w:rPr>
                        </w:pPr>
                        <w:r>
                          <w:rPr>
                            <w:sz w:val="18"/>
                          </w:rPr>
                          <w:t>69.6</w:t>
                        </w:r>
                      </w:p>
                    </w:tc>
                    <w:tc>
                      <w:tcPr>
                        <w:tcW w:w="755" w:type="dxa"/>
                      </w:tcPr>
                      <w:p>
                        <w:pPr>
                          <w:pStyle w:val="TableParagraph"/>
                          <w:spacing w:before="36"/>
                          <w:ind w:left="128" w:right="121"/>
                          <w:rPr>
                            <w:sz w:val="18"/>
                          </w:rPr>
                        </w:pPr>
                        <w:r>
                          <w:rPr>
                            <w:sz w:val="18"/>
                          </w:rPr>
                          <w:t>74.6</w:t>
                        </w:r>
                      </w:p>
                    </w:tc>
                    <w:tc>
                      <w:tcPr>
                        <w:tcW w:w="738" w:type="dxa"/>
                      </w:tcPr>
                      <w:p>
                        <w:pPr>
                          <w:pStyle w:val="TableParagraph"/>
                          <w:spacing w:before="36"/>
                          <w:ind w:left="117" w:right="111"/>
                          <w:rPr>
                            <w:sz w:val="18"/>
                          </w:rPr>
                        </w:pPr>
                        <w:r>
                          <w:rPr>
                            <w:sz w:val="18"/>
                          </w:rPr>
                          <w:t>83.1</w:t>
                        </w:r>
                      </w:p>
                    </w:tc>
                    <w:tc>
                      <w:tcPr>
                        <w:tcW w:w="674" w:type="dxa"/>
                      </w:tcPr>
                      <w:p>
                        <w:pPr>
                          <w:pStyle w:val="TableParagraph"/>
                          <w:spacing w:before="36"/>
                          <w:ind w:left="203"/>
                          <w:jc w:val="left"/>
                          <w:rPr>
                            <w:sz w:val="18"/>
                          </w:rPr>
                        </w:pPr>
                        <w:r>
                          <w:rPr>
                            <w:sz w:val="18"/>
                          </w:rPr>
                          <w:t>77.1</w:t>
                        </w:r>
                      </w:p>
                    </w:tc>
                    <w:tc>
                      <w:tcPr>
                        <w:tcW w:w="614" w:type="dxa"/>
                      </w:tcPr>
                      <w:p>
                        <w:pPr>
                          <w:pStyle w:val="TableParagraph"/>
                          <w:spacing w:before="36"/>
                          <w:ind w:right="128"/>
                          <w:jc w:val="right"/>
                          <w:rPr>
                            <w:sz w:val="18"/>
                          </w:rPr>
                        </w:pPr>
                        <w:r>
                          <w:rPr>
                            <w:sz w:val="18"/>
                          </w:rPr>
                          <w:t>6.58</w:t>
                        </w:r>
                      </w:p>
                    </w:tc>
                    <w:tc>
                      <w:tcPr>
                        <w:tcW w:w="576" w:type="dxa"/>
                      </w:tcPr>
                      <w:p>
                        <w:pPr>
                          <w:pStyle w:val="TableParagraph"/>
                          <w:spacing w:before="36"/>
                          <w:ind w:right="107"/>
                          <w:jc w:val="right"/>
                          <w:rPr>
                            <w:sz w:val="18"/>
                          </w:rPr>
                        </w:pPr>
                        <w:r>
                          <w:rPr>
                            <w:sz w:val="18"/>
                          </w:rPr>
                          <w:t>0.55</w:t>
                        </w:r>
                      </w:p>
                    </w:tc>
                    <w:tc>
                      <w:tcPr>
                        <w:tcW w:w="1040" w:type="dxa"/>
                      </w:tcPr>
                      <w:p>
                        <w:pPr>
                          <w:pStyle w:val="TableParagraph"/>
                          <w:spacing w:before="36"/>
                          <w:ind w:left="65" w:right="63"/>
                          <w:rPr>
                            <w:sz w:val="18"/>
                          </w:rPr>
                        </w:pPr>
                        <w:r>
                          <w:rPr>
                            <w:sz w:val="18"/>
                          </w:rPr>
                          <w:t>0.271</w:t>
                        </w:r>
                      </w:p>
                    </w:tc>
                    <w:tc>
                      <w:tcPr>
                        <w:tcW w:w="891" w:type="dxa"/>
                      </w:tcPr>
                      <w:p>
                        <w:pPr>
                          <w:pStyle w:val="TableParagraph"/>
                          <w:spacing w:before="36"/>
                          <w:ind w:left="64" w:right="63"/>
                          <w:rPr>
                            <w:sz w:val="18"/>
                          </w:rPr>
                        </w:pPr>
                        <w:r>
                          <w:rPr>
                            <w:sz w:val="18"/>
                          </w:rPr>
                          <w:t>0.502</w:t>
                        </w:r>
                      </w:p>
                    </w:tc>
                    <w:tc>
                      <w:tcPr>
                        <w:tcW w:w="764" w:type="dxa"/>
                      </w:tcPr>
                      <w:p>
                        <w:pPr>
                          <w:pStyle w:val="TableParagraph"/>
                          <w:spacing w:before="36"/>
                          <w:ind w:left="127"/>
                          <w:jc w:val="left"/>
                          <w:rPr>
                            <w:sz w:val="18"/>
                          </w:rPr>
                        </w:pPr>
                        <w:r>
                          <w:rPr>
                            <w:sz w:val="18"/>
                          </w:rPr>
                          <w:t>0.528</w:t>
                        </w:r>
                      </w:p>
                    </w:tc>
                    <w:tc>
                      <w:tcPr>
                        <w:tcW w:w="708" w:type="dxa"/>
                      </w:tcPr>
                      <w:p>
                        <w:pPr>
                          <w:pStyle w:val="TableParagraph"/>
                          <w:spacing w:before="36"/>
                          <w:ind w:left="164" w:right="271"/>
                          <w:rPr>
                            <w:sz w:val="18"/>
                          </w:rPr>
                        </w:pPr>
                        <w:r>
                          <w:rPr>
                            <w:sz w:val="18"/>
                          </w:rPr>
                          <w:t>NS</w:t>
                        </w:r>
                      </w:p>
                    </w:tc>
                  </w:tr>
                  <w:tr>
                    <w:trPr>
                      <w:trHeight w:val="300" w:hRule="exact"/>
                    </w:trPr>
                    <w:tc>
                      <w:tcPr>
                        <w:tcW w:w="2233" w:type="dxa"/>
                      </w:tcPr>
                      <w:p>
                        <w:pPr>
                          <w:pStyle w:val="TableParagraph"/>
                          <w:spacing w:before="36"/>
                          <w:ind w:left="69"/>
                          <w:jc w:val="left"/>
                          <w:rPr>
                            <w:sz w:val="18"/>
                          </w:rPr>
                        </w:pPr>
                        <w:r>
                          <w:rPr>
                            <w:sz w:val="18"/>
                          </w:rPr>
                          <w:t>Semana 7 h 3</w:t>
                        </w:r>
                      </w:p>
                    </w:tc>
                    <w:tc>
                      <w:tcPr>
                        <w:tcW w:w="866" w:type="dxa"/>
                      </w:tcPr>
                      <w:p>
                        <w:pPr>
                          <w:pStyle w:val="TableParagraph"/>
                          <w:spacing w:before="36"/>
                          <w:ind w:right="246"/>
                          <w:jc w:val="right"/>
                          <w:rPr>
                            <w:sz w:val="18"/>
                          </w:rPr>
                        </w:pPr>
                        <w:r>
                          <w:rPr>
                            <w:sz w:val="18"/>
                          </w:rPr>
                          <w:t>77.6</w:t>
                        </w:r>
                      </w:p>
                    </w:tc>
                    <w:tc>
                      <w:tcPr>
                        <w:tcW w:w="755" w:type="dxa"/>
                      </w:tcPr>
                      <w:p>
                        <w:pPr>
                          <w:pStyle w:val="TableParagraph"/>
                          <w:spacing w:before="36"/>
                          <w:ind w:left="128" w:right="121"/>
                          <w:rPr>
                            <w:sz w:val="18"/>
                          </w:rPr>
                        </w:pPr>
                        <w:r>
                          <w:rPr>
                            <w:sz w:val="18"/>
                          </w:rPr>
                          <w:t>75.6</w:t>
                        </w:r>
                      </w:p>
                    </w:tc>
                    <w:tc>
                      <w:tcPr>
                        <w:tcW w:w="738" w:type="dxa"/>
                      </w:tcPr>
                      <w:p>
                        <w:pPr>
                          <w:pStyle w:val="TableParagraph"/>
                          <w:spacing w:before="36"/>
                          <w:ind w:left="117" w:right="111"/>
                          <w:rPr>
                            <w:sz w:val="18"/>
                          </w:rPr>
                        </w:pPr>
                        <w:r>
                          <w:rPr>
                            <w:sz w:val="18"/>
                          </w:rPr>
                          <w:t>81.8</w:t>
                        </w:r>
                      </w:p>
                    </w:tc>
                    <w:tc>
                      <w:tcPr>
                        <w:tcW w:w="674" w:type="dxa"/>
                      </w:tcPr>
                      <w:p>
                        <w:pPr>
                          <w:pStyle w:val="TableParagraph"/>
                          <w:spacing w:before="36"/>
                          <w:ind w:left="203"/>
                          <w:jc w:val="left"/>
                          <w:rPr>
                            <w:sz w:val="18"/>
                          </w:rPr>
                        </w:pPr>
                        <w:r>
                          <w:rPr>
                            <w:sz w:val="18"/>
                          </w:rPr>
                          <w:t>70.2</w:t>
                        </w:r>
                      </w:p>
                    </w:tc>
                    <w:tc>
                      <w:tcPr>
                        <w:tcW w:w="614" w:type="dxa"/>
                      </w:tcPr>
                      <w:p>
                        <w:pPr>
                          <w:pStyle w:val="TableParagraph"/>
                          <w:spacing w:before="36"/>
                          <w:ind w:right="128"/>
                          <w:jc w:val="right"/>
                          <w:rPr>
                            <w:sz w:val="18"/>
                          </w:rPr>
                        </w:pPr>
                        <w:r>
                          <w:rPr>
                            <w:sz w:val="18"/>
                          </w:rPr>
                          <w:t>4.84</w:t>
                        </w:r>
                      </w:p>
                    </w:tc>
                    <w:tc>
                      <w:tcPr>
                        <w:tcW w:w="576" w:type="dxa"/>
                      </w:tcPr>
                      <w:p>
                        <w:pPr>
                          <w:pStyle w:val="TableParagraph"/>
                          <w:spacing w:before="36"/>
                          <w:ind w:right="107"/>
                          <w:jc w:val="right"/>
                          <w:rPr>
                            <w:sz w:val="18"/>
                          </w:rPr>
                        </w:pPr>
                        <w:r>
                          <w:rPr>
                            <w:sz w:val="18"/>
                          </w:rPr>
                          <w:t>0.42</w:t>
                        </w:r>
                      </w:p>
                    </w:tc>
                    <w:tc>
                      <w:tcPr>
                        <w:tcW w:w="1040" w:type="dxa"/>
                      </w:tcPr>
                      <w:p>
                        <w:pPr>
                          <w:pStyle w:val="TableParagraph"/>
                          <w:spacing w:before="36"/>
                          <w:ind w:left="65" w:right="63"/>
                          <w:rPr>
                            <w:sz w:val="18"/>
                          </w:rPr>
                        </w:pPr>
                        <w:r>
                          <w:rPr>
                            <w:sz w:val="18"/>
                          </w:rPr>
                          <w:t>0.204</w:t>
                        </w:r>
                      </w:p>
                    </w:tc>
                    <w:tc>
                      <w:tcPr>
                        <w:tcW w:w="891" w:type="dxa"/>
                      </w:tcPr>
                      <w:p>
                        <w:pPr>
                          <w:pStyle w:val="TableParagraph"/>
                          <w:spacing w:before="36"/>
                          <w:ind w:left="64" w:right="63"/>
                          <w:rPr>
                            <w:sz w:val="18"/>
                          </w:rPr>
                        </w:pPr>
                        <w:r>
                          <w:rPr>
                            <w:sz w:val="18"/>
                          </w:rPr>
                          <w:t>0.947</w:t>
                        </w:r>
                      </w:p>
                    </w:tc>
                    <w:tc>
                      <w:tcPr>
                        <w:tcW w:w="764" w:type="dxa"/>
                      </w:tcPr>
                      <w:p>
                        <w:pPr>
                          <w:pStyle w:val="TableParagraph"/>
                          <w:spacing w:before="36"/>
                          <w:ind w:left="127"/>
                          <w:jc w:val="left"/>
                          <w:rPr>
                            <w:sz w:val="18"/>
                          </w:rPr>
                        </w:pPr>
                        <w:r>
                          <w:rPr>
                            <w:sz w:val="18"/>
                          </w:rPr>
                          <w:t>0.026</w:t>
                        </w:r>
                      </w:p>
                    </w:tc>
                    <w:tc>
                      <w:tcPr>
                        <w:tcW w:w="708" w:type="dxa"/>
                      </w:tcPr>
                      <w:p>
                        <w:pPr>
                          <w:pStyle w:val="TableParagraph"/>
                          <w:spacing w:before="36"/>
                          <w:ind w:left="164" w:right="271"/>
                          <w:rPr>
                            <w:sz w:val="18"/>
                          </w:rPr>
                        </w:pPr>
                        <w:r>
                          <w:rPr>
                            <w:sz w:val="18"/>
                          </w:rPr>
                          <w:t>NS</w:t>
                        </w:r>
                      </w:p>
                    </w:tc>
                  </w:tr>
                  <w:tr>
                    <w:trPr>
                      <w:trHeight w:val="303" w:hRule="exact"/>
                    </w:trPr>
                    <w:tc>
                      <w:tcPr>
                        <w:tcW w:w="2233" w:type="dxa"/>
                      </w:tcPr>
                      <w:p>
                        <w:pPr>
                          <w:pStyle w:val="TableParagraph"/>
                          <w:spacing w:before="36"/>
                          <w:ind w:left="69"/>
                          <w:jc w:val="left"/>
                          <w:rPr>
                            <w:sz w:val="18"/>
                          </w:rPr>
                        </w:pPr>
                        <w:r>
                          <w:rPr>
                            <w:sz w:val="18"/>
                          </w:rPr>
                          <w:t>Semana 11 h 0</w:t>
                        </w:r>
                      </w:p>
                    </w:tc>
                    <w:tc>
                      <w:tcPr>
                        <w:tcW w:w="866" w:type="dxa"/>
                      </w:tcPr>
                      <w:p>
                        <w:pPr>
                          <w:pStyle w:val="TableParagraph"/>
                          <w:spacing w:before="36"/>
                          <w:ind w:right="246"/>
                          <w:jc w:val="right"/>
                          <w:rPr>
                            <w:sz w:val="18"/>
                          </w:rPr>
                        </w:pPr>
                        <w:r>
                          <w:rPr>
                            <w:sz w:val="18"/>
                          </w:rPr>
                          <w:t>75.1</w:t>
                        </w:r>
                      </w:p>
                    </w:tc>
                    <w:tc>
                      <w:tcPr>
                        <w:tcW w:w="755" w:type="dxa"/>
                      </w:tcPr>
                      <w:p>
                        <w:pPr>
                          <w:pStyle w:val="TableParagraph"/>
                          <w:spacing w:before="36"/>
                          <w:ind w:left="128" w:right="121"/>
                          <w:rPr>
                            <w:sz w:val="18"/>
                          </w:rPr>
                        </w:pPr>
                        <w:r>
                          <w:rPr>
                            <w:sz w:val="18"/>
                          </w:rPr>
                          <w:t>81.3</w:t>
                        </w:r>
                      </w:p>
                    </w:tc>
                    <w:tc>
                      <w:tcPr>
                        <w:tcW w:w="738" w:type="dxa"/>
                      </w:tcPr>
                      <w:p>
                        <w:pPr>
                          <w:pStyle w:val="TableParagraph"/>
                          <w:spacing w:before="36"/>
                          <w:ind w:left="117" w:right="111"/>
                          <w:rPr>
                            <w:sz w:val="18"/>
                          </w:rPr>
                        </w:pPr>
                        <w:r>
                          <w:rPr>
                            <w:sz w:val="18"/>
                          </w:rPr>
                          <w:t>80.5</w:t>
                        </w:r>
                      </w:p>
                    </w:tc>
                    <w:tc>
                      <w:tcPr>
                        <w:tcW w:w="674" w:type="dxa"/>
                      </w:tcPr>
                      <w:p>
                        <w:pPr>
                          <w:pStyle w:val="TableParagraph"/>
                          <w:spacing w:before="36"/>
                          <w:ind w:left="203"/>
                          <w:jc w:val="left"/>
                          <w:rPr>
                            <w:sz w:val="18"/>
                          </w:rPr>
                        </w:pPr>
                        <w:r>
                          <w:rPr>
                            <w:sz w:val="18"/>
                          </w:rPr>
                          <w:t>89.5</w:t>
                        </w:r>
                      </w:p>
                    </w:tc>
                    <w:tc>
                      <w:tcPr>
                        <w:tcW w:w="614" w:type="dxa"/>
                      </w:tcPr>
                      <w:p>
                        <w:pPr>
                          <w:pStyle w:val="TableParagraph"/>
                          <w:spacing w:before="36"/>
                          <w:ind w:right="128"/>
                          <w:jc w:val="right"/>
                          <w:rPr>
                            <w:sz w:val="18"/>
                          </w:rPr>
                        </w:pPr>
                        <w:r>
                          <w:rPr>
                            <w:sz w:val="18"/>
                          </w:rPr>
                          <w:t>2.84</w:t>
                        </w:r>
                      </w:p>
                    </w:tc>
                    <w:tc>
                      <w:tcPr>
                        <w:tcW w:w="576" w:type="dxa"/>
                      </w:tcPr>
                      <w:p>
                        <w:pPr>
                          <w:pStyle w:val="TableParagraph"/>
                          <w:spacing w:before="48"/>
                          <w:ind w:right="82"/>
                          <w:jc w:val="right"/>
                          <w:rPr>
                            <w:sz w:val="16"/>
                          </w:rPr>
                        </w:pPr>
                        <w:r>
                          <w:rPr>
                            <w:sz w:val="16"/>
                          </w:rPr>
                          <w:t>0.200</w:t>
                        </w:r>
                      </w:p>
                    </w:tc>
                    <w:tc>
                      <w:tcPr>
                        <w:tcW w:w="1040" w:type="dxa"/>
                      </w:tcPr>
                      <w:p>
                        <w:pPr>
                          <w:pStyle w:val="TableParagraph"/>
                          <w:spacing w:before="36"/>
                          <w:ind w:left="65" w:right="63"/>
                          <w:rPr>
                            <w:sz w:val="18"/>
                          </w:rPr>
                        </w:pPr>
                        <w:r>
                          <w:rPr>
                            <w:sz w:val="18"/>
                          </w:rPr>
                          <w:t>0.001</w:t>
                        </w:r>
                      </w:p>
                    </w:tc>
                    <w:tc>
                      <w:tcPr>
                        <w:tcW w:w="891" w:type="dxa"/>
                      </w:tcPr>
                      <w:p>
                        <w:pPr>
                          <w:pStyle w:val="TableParagraph"/>
                          <w:spacing w:before="36"/>
                          <w:ind w:left="64" w:right="63"/>
                          <w:rPr>
                            <w:sz w:val="18"/>
                          </w:rPr>
                        </w:pPr>
                        <w:r>
                          <w:rPr>
                            <w:sz w:val="18"/>
                          </w:rPr>
                          <w:t>0.304</w:t>
                        </w:r>
                      </w:p>
                    </w:tc>
                    <w:tc>
                      <w:tcPr>
                        <w:tcW w:w="764" w:type="dxa"/>
                      </w:tcPr>
                      <w:p>
                        <w:pPr>
                          <w:pStyle w:val="TableParagraph"/>
                          <w:spacing w:before="36"/>
                          <w:ind w:left="127"/>
                          <w:jc w:val="left"/>
                          <w:rPr>
                            <w:sz w:val="18"/>
                          </w:rPr>
                        </w:pPr>
                        <w:r>
                          <w:rPr>
                            <w:sz w:val="18"/>
                          </w:rPr>
                          <w:t>0.040</w:t>
                        </w:r>
                      </w:p>
                    </w:tc>
                    <w:tc>
                      <w:tcPr>
                        <w:tcW w:w="708" w:type="dxa"/>
                      </w:tcPr>
                      <w:p>
                        <w:pPr>
                          <w:pStyle w:val="TableParagraph"/>
                          <w:spacing w:before="36"/>
                          <w:ind w:left="164" w:right="271"/>
                          <w:rPr>
                            <w:sz w:val="18"/>
                          </w:rPr>
                        </w:pPr>
                        <w:r>
                          <w:rPr>
                            <w:sz w:val="18"/>
                          </w:rPr>
                          <w:t>NS</w:t>
                        </w:r>
                      </w:p>
                    </w:tc>
                  </w:tr>
                  <w:tr>
                    <w:trPr>
                      <w:trHeight w:val="321" w:hRule="exact"/>
                    </w:trPr>
                    <w:tc>
                      <w:tcPr>
                        <w:tcW w:w="2233" w:type="dxa"/>
                      </w:tcPr>
                      <w:p>
                        <w:pPr>
                          <w:pStyle w:val="TableParagraph"/>
                          <w:spacing w:before="51"/>
                          <w:ind w:left="69"/>
                          <w:jc w:val="left"/>
                          <w:rPr>
                            <w:sz w:val="18"/>
                          </w:rPr>
                        </w:pPr>
                        <w:r>
                          <w:rPr>
                            <w:sz w:val="18"/>
                          </w:rPr>
                          <w:t>Semana 11 h 3</w:t>
                        </w:r>
                      </w:p>
                    </w:tc>
                    <w:tc>
                      <w:tcPr>
                        <w:tcW w:w="866" w:type="dxa"/>
                      </w:tcPr>
                      <w:p>
                        <w:pPr>
                          <w:pStyle w:val="TableParagraph"/>
                          <w:spacing w:before="47"/>
                          <w:ind w:right="144"/>
                          <w:jc w:val="right"/>
                          <w:rPr>
                            <w:sz w:val="12"/>
                          </w:rPr>
                        </w:pPr>
                        <w:r>
                          <w:rPr>
                            <w:sz w:val="18"/>
                          </w:rPr>
                          <w:t>86.80</w:t>
                        </w:r>
                        <w:r>
                          <w:rPr>
                            <w:position w:val="6"/>
                            <w:sz w:val="12"/>
                          </w:rPr>
                          <w:t>ab</w:t>
                        </w:r>
                      </w:p>
                    </w:tc>
                    <w:tc>
                      <w:tcPr>
                        <w:tcW w:w="755" w:type="dxa"/>
                      </w:tcPr>
                      <w:p>
                        <w:pPr>
                          <w:pStyle w:val="TableParagraph"/>
                          <w:spacing w:before="47"/>
                          <w:ind w:left="128" w:right="119"/>
                          <w:rPr>
                            <w:sz w:val="12"/>
                          </w:rPr>
                        </w:pPr>
                        <w:r>
                          <w:rPr>
                            <w:sz w:val="18"/>
                          </w:rPr>
                          <w:t>81.00</w:t>
                        </w:r>
                        <w:r>
                          <w:rPr>
                            <w:position w:val="6"/>
                            <w:sz w:val="12"/>
                          </w:rPr>
                          <w:t>a</w:t>
                        </w:r>
                      </w:p>
                    </w:tc>
                    <w:tc>
                      <w:tcPr>
                        <w:tcW w:w="738" w:type="dxa"/>
                      </w:tcPr>
                      <w:p>
                        <w:pPr>
                          <w:pStyle w:val="TableParagraph"/>
                          <w:spacing w:before="47"/>
                          <w:ind w:left="119" w:right="111"/>
                          <w:rPr>
                            <w:sz w:val="12"/>
                          </w:rPr>
                        </w:pPr>
                        <w:r>
                          <w:rPr>
                            <w:sz w:val="18"/>
                          </w:rPr>
                          <w:t>82.40</w:t>
                        </w:r>
                        <w:r>
                          <w:rPr>
                            <w:position w:val="6"/>
                            <w:sz w:val="12"/>
                          </w:rPr>
                          <w:t>a</w:t>
                        </w:r>
                      </w:p>
                    </w:tc>
                    <w:tc>
                      <w:tcPr>
                        <w:tcW w:w="674" w:type="dxa"/>
                      </w:tcPr>
                      <w:p>
                        <w:pPr>
                          <w:pStyle w:val="TableParagraph"/>
                          <w:spacing w:before="47"/>
                          <w:ind w:left="129"/>
                          <w:jc w:val="left"/>
                          <w:rPr>
                            <w:sz w:val="12"/>
                          </w:rPr>
                        </w:pPr>
                        <w:r>
                          <w:rPr>
                            <w:sz w:val="18"/>
                          </w:rPr>
                          <w:t>90.70</w:t>
                        </w:r>
                        <w:r>
                          <w:rPr>
                            <w:position w:val="6"/>
                            <w:sz w:val="12"/>
                          </w:rPr>
                          <w:t>b</w:t>
                        </w:r>
                      </w:p>
                    </w:tc>
                    <w:tc>
                      <w:tcPr>
                        <w:tcW w:w="614" w:type="dxa"/>
                      </w:tcPr>
                      <w:p>
                        <w:pPr>
                          <w:pStyle w:val="TableParagraph"/>
                          <w:spacing w:before="51"/>
                          <w:ind w:right="128"/>
                          <w:jc w:val="right"/>
                          <w:rPr>
                            <w:sz w:val="18"/>
                          </w:rPr>
                        </w:pPr>
                        <w:r>
                          <w:rPr>
                            <w:sz w:val="18"/>
                          </w:rPr>
                          <w:t>1.86</w:t>
                        </w:r>
                      </w:p>
                    </w:tc>
                    <w:tc>
                      <w:tcPr>
                        <w:tcW w:w="576" w:type="dxa"/>
                      </w:tcPr>
                      <w:p>
                        <w:pPr>
                          <w:pStyle w:val="TableParagraph"/>
                          <w:spacing w:before="51"/>
                          <w:ind w:right="107"/>
                          <w:jc w:val="right"/>
                          <w:rPr>
                            <w:sz w:val="18"/>
                          </w:rPr>
                        </w:pPr>
                        <w:r>
                          <w:rPr>
                            <w:sz w:val="18"/>
                          </w:rPr>
                          <w:t>0.01</w:t>
                        </w:r>
                      </w:p>
                    </w:tc>
                    <w:tc>
                      <w:tcPr>
                        <w:tcW w:w="1040" w:type="dxa"/>
                      </w:tcPr>
                      <w:p>
                        <w:pPr>
                          <w:pStyle w:val="TableParagraph"/>
                          <w:spacing w:before="51"/>
                          <w:ind w:left="65" w:right="63"/>
                          <w:rPr>
                            <w:sz w:val="18"/>
                          </w:rPr>
                        </w:pPr>
                        <w:r>
                          <w:rPr>
                            <w:sz w:val="18"/>
                          </w:rPr>
                          <w:t>0.227</w:t>
                        </w:r>
                      </w:p>
                    </w:tc>
                    <w:tc>
                      <w:tcPr>
                        <w:tcW w:w="891" w:type="dxa"/>
                      </w:tcPr>
                      <w:p>
                        <w:pPr>
                          <w:pStyle w:val="TableParagraph"/>
                          <w:spacing w:before="51"/>
                          <w:ind w:left="64" w:right="63"/>
                          <w:rPr>
                            <w:sz w:val="18"/>
                          </w:rPr>
                        </w:pPr>
                        <w:r>
                          <w:rPr>
                            <w:sz w:val="18"/>
                          </w:rPr>
                          <w:t>0.109</w:t>
                        </w:r>
                      </w:p>
                    </w:tc>
                    <w:tc>
                      <w:tcPr>
                        <w:tcW w:w="764" w:type="dxa"/>
                      </w:tcPr>
                      <w:p>
                        <w:pPr>
                          <w:pStyle w:val="TableParagraph"/>
                          <w:spacing w:before="51"/>
                          <w:ind w:left="127"/>
                          <w:jc w:val="left"/>
                          <w:rPr>
                            <w:sz w:val="18"/>
                          </w:rPr>
                        </w:pPr>
                        <w:r>
                          <w:rPr>
                            <w:sz w:val="18"/>
                          </w:rPr>
                          <w:t>0.006</w:t>
                        </w:r>
                      </w:p>
                    </w:tc>
                    <w:tc>
                      <w:tcPr>
                        <w:tcW w:w="708" w:type="dxa"/>
                      </w:tcPr>
                      <w:p>
                        <w:pPr>
                          <w:pStyle w:val="TableParagraph"/>
                          <w:spacing w:before="51"/>
                          <w:ind w:right="105"/>
                          <w:rPr>
                            <w:sz w:val="18"/>
                          </w:rPr>
                        </w:pPr>
                        <w:r>
                          <w:rPr>
                            <w:w w:val="99"/>
                            <w:sz w:val="18"/>
                          </w:rPr>
                          <w:t>Q</w:t>
                        </w:r>
                      </w:p>
                    </w:tc>
                  </w:tr>
                  <w:tr>
                    <w:trPr>
                      <w:trHeight w:val="310" w:hRule="exact"/>
                    </w:trPr>
                    <w:tc>
                      <w:tcPr>
                        <w:tcW w:w="2233" w:type="dxa"/>
                      </w:tcPr>
                      <w:p>
                        <w:pPr>
                          <w:pStyle w:val="TableParagraph"/>
                          <w:spacing w:before="44"/>
                          <w:ind w:left="69"/>
                          <w:jc w:val="left"/>
                          <w:rPr>
                            <w:sz w:val="18"/>
                          </w:rPr>
                        </w:pPr>
                        <w:r>
                          <w:rPr>
                            <w:sz w:val="18"/>
                          </w:rPr>
                          <w:t>Promedio de tratamiento</w:t>
                        </w:r>
                      </w:p>
                    </w:tc>
                    <w:tc>
                      <w:tcPr>
                        <w:tcW w:w="866" w:type="dxa"/>
                      </w:tcPr>
                      <w:p>
                        <w:pPr>
                          <w:pStyle w:val="TableParagraph"/>
                          <w:spacing w:before="44"/>
                          <w:ind w:right="200"/>
                          <w:jc w:val="right"/>
                          <w:rPr>
                            <w:sz w:val="18"/>
                          </w:rPr>
                        </w:pPr>
                        <w:r>
                          <w:rPr>
                            <w:sz w:val="18"/>
                          </w:rPr>
                          <w:t>74.45</w:t>
                        </w:r>
                      </w:p>
                    </w:tc>
                    <w:tc>
                      <w:tcPr>
                        <w:tcW w:w="755" w:type="dxa"/>
                      </w:tcPr>
                      <w:p>
                        <w:pPr>
                          <w:pStyle w:val="TableParagraph"/>
                          <w:spacing w:before="44"/>
                          <w:ind w:left="128" w:right="121"/>
                          <w:rPr>
                            <w:sz w:val="18"/>
                          </w:rPr>
                        </w:pPr>
                        <w:r>
                          <w:rPr>
                            <w:sz w:val="18"/>
                          </w:rPr>
                          <w:t>74.28</w:t>
                        </w:r>
                      </w:p>
                    </w:tc>
                    <w:tc>
                      <w:tcPr>
                        <w:tcW w:w="738" w:type="dxa"/>
                      </w:tcPr>
                      <w:p>
                        <w:pPr>
                          <w:pStyle w:val="TableParagraph"/>
                          <w:spacing w:before="44"/>
                          <w:ind w:left="117" w:right="111"/>
                          <w:rPr>
                            <w:sz w:val="18"/>
                          </w:rPr>
                        </w:pPr>
                        <w:r>
                          <w:rPr>
                            <w:sz w:val="18"/>
                          </w:rPr>
                          <w:t>77.83</w:t>
                        </w:r>
                      </w:p>
                    </w:tc>
                    <w:tc>
                      <w:tcPr>
                        <w:tcW w:w="674" w:type="dxa"/>
                      </w:tcPr>
                      <w:p>
                        <w:pPr>
                          <w:pStyle w:val="TableParagraph"/>
                          <w:spacing w:before="44"/>
                          <w:ind w:left="158"/>
                          <w:jc w:val="left"/>
                          <w:rPr>
                            <w:sz w:val="18"/>
                          </w:rPr>
                        </w:pPr>
                        <w:r>
                          <w:rPr>
                            <w:sz w:val="18"/>
                          </w:rPr>
                          <w:t>70.33</w:t>
                        </w:r>
                      </w:p>
                    </w:tc>
                    <w:tc>
                      <w:tcPr>
                        <w:tcW w:w="614" w:type="dxa"/>
                      </w:tcPr>
                      <w:p>
                        <w:pPr>
                          <w:pStyle w:val="TableParagraph"/>
                          <w:spacing w:before="44"/>
                          <w:ind w:right="128"/>
                          <w:jc w:val="right"/>
                          <w:rPr>
                            <w:sz w:val="18"/>
                          </w:rPr>
                        </w:pPr>
                        <w:r>
                          <w:rPr>
                            <w:sz w:val="18"/>
                          </w:rPr>
                          <w:t>3.74</w:t>
                        </w:r>
                      </w:p>
                    </w:tc>
                    <w:tc>
                      <w:tcPr>
                        <w:tcW w:w="576" w:type="dxa"/>
                      </w:tcPr>
                      <w:p>
                        <w:pPr>
                          <w:pStyle w:val="TableParagraph"/>
                          <w:spacing w:before="44"/>
                          <w:ind w:right="107"/>
                          <w:jc w:val="right"/>
                          <w:rPr>
                            <w:sz w:val="18"/>
                          </w:rPr>
                        </w:pPr>
                        <w:r>
                          <w:rPr>
                            <w:sz w:val="18"/>
                          </w:rPr>
                          <w:t>0.26</w:t>
                        </w:r>
                      </w:p>
                    </w:tc>
                    <w:tc>
                      <w:tcPr>
                        <w:tcW w:w="1040" w:type="dxa"/>
                      </w:tcPr>
                      <w:p>
                        <w:pPr/>
                      </w:p>
                    </w:tc>
                    <w:tc>
                      <w:tcPr>
                        <w:tcW w:w="891" w:type="dxa"/>
                      </w:tcPr>
                      <w:p>
                        <w:pPr/>
                      </w:p>
                    </w:tc>
                    <w:tc>
                      <w:tcPr>
                        <w:tcW w:w="764" w:type="dxa"/>
                      </w:tcPr>
                      <w:p>
                        <w:pPr/>
                      </w:p>
                    </w:tc>
                    <w:tc>
                      <w:tcPr>
                        <w:tcW w:w="708" w:type="dxa"/>
                      </w:tcPr>
                      <w:p>
                        <w:pPr/>
                      </w:p>
                    </w:tc>
                  </w:tr>
                  <w:tr>
                    <w:trPr>
                      <w:trHeight w:val="299" w:hRule="exact"/>
                    </w:trPr>
                    <w:tc>
                      <w:tcPr>
                        <w:tcW w:w="2233" w:type="dxa"/>
                      </w:tcPr>
                      <w:p>
                        <w:pPr>
                          <w:pStyle w:val="TableParagraph"/>
                          <w:spacing w:before="39"/>
                          <w:ind w:left="69"/>
                          <w:jc w:val="left"/>
                          <w:rPr>
                            <w:b/>
                            <w:sz w:val="18"/>
                          </w:rPr>
                        </w:pPr>
                        <w:r>
                          <w:rPr>
                            <w:b/>
                            <w:sz w:val="18"/>
                          </w:rPr>
                          <w:t>Urea:</w:t>
                        </w:r>
                      </w:p>
                    </w:tc>
                    <w:tc>
                      <w:tcPr>
                        <w:tcW w:w="866" w:type="dxa"/>
                        <w:tcBorders>
                          <w:bottom w:val="single" w:sz="4" w:space="0" w:color="000000"/>
                        </w:tcBorders>
                      </w:tcPr>
                      <w:p>
                        <w:pPr/>
                      </w:p>
                    </w:tc>
                    <w:tc>
                      <w:tcPr>
                        <w:tcW w:w="755" w:type="dxa"/>
                        <w:tcBorders>
                          <w:bottom w:val="single" w:sz="4" w:space="0" w:color="000000"/>
                        </w:tcBorders>
                      </w:tcPr>
                      <w:p>
                        <w:pPr/>
                      </w:p>
                    </w:tc>
                    <w:tc>
                      <w:tcPr>
                        <w:tcW w:w="738" w:type="dxa"/>
                        <w:tcBorders>
                          <w:bottom w:val="single" w:sz="4" w:space="0" w:color="000000"/>
                        </w:tcBorders>
                      </w:tcPr>
                      <w:p>
                        <w:pPr/>
                      </w:p>
                    </w:tc>
                    <w:tc>
                      <w:tcPr>
                        <w:tcW w:w="674" w:type="dxa"/>
                        <w:tcBorders>
                          <w:bottom w:val="single" w:sz="4" w:space="0" w:color="000000"/>
                        </w:tcBorders>
                      </w:tcPr>
                      <w:p>
                        <w:pPr/>
                      </w:p>
                    </w:tc>
                    <w:tc>
                      <w:tcPr>
                        <w:tcW w:w="614" w:type="dxa"/>
                        <w:tcBorders>
                          <w:bottom w:val="single" w:sz="4" w:space="0" w:color="000000"/>
                        </w:tcBorders>
                      </w:tcPr>
                      <w:p>
                        <w:pPr/>
                      </w:p>
                    </w:tc>
                    <w:tc>
                      <w:tcPr>
                        <w:tcW w:w="576" w:type="dxa"/>
                        <w:tcBorders>
                          <w:bottom w:val="single" w:sz="4" w:space="0" w:color="000000"/>
                        </w:tcBorders>
                      </w:tcPr>
                      <w:p>
                        <w:pPr/>
                      </w:p>
                    </w:tc>
                    <w:tc>
                      <w:tcPr>
                        <w:tcW w:w="1040" w:type="dxa"/>
                        <w:tcBorders>
                          <w:bottom w:val="single" w:sz="4" w:space="0" w:color="000000"/>
                        </w:tcBorders>
                      </w:tcPr>
                      <w:p>
                        <w:pPr/>
                      </w:p>
                    </w:tc>
                    <w:tc>
                      <w:tcPr>
                        <w:tcW w:w="891" w:type="dxa"/>
                        <w:tcBorders>
                          <w:bottom w:val="single" w:sz="4" w:space="0" w:color="000000"/>
                        </w:tcBorders>
                      </w:tcPr>
                      <w:p>
                        <w:pPr/>
                      </w:p>
                    </w:tc>
                    <w:tc>
                      <w:tcPr>
                        <w:tcW w:w="764" w:type="dxa"/>
                        <w:tcBorders>
                          <w:bottom w:val="single" w:sz="4" w:space="0" w:color="000000"/>
                        </w:tcBorders>
                      </w:tcPr>
                      <w:p>
                        <w:pPr/>
                      </w:p>
                    </w:tc>
                    <w:tc>
                      <w:tcPr>
                        <w:tcW w:w="708" w:type="dxa"/>
                        <w:tcBorders>
                          <w:bottom w:val="single" w:sz="4" w:space="0" w:color="000000"/>
                        </w:tcBorders>
                      </w:tcPr>
                      <w:p>
                        <w:pPr/>
                      </w:p>
                    </w:tc>
                  </w:tr>
                  <w:tr>
                    <w:trPr>
                      <w:trHeight w:val="309" w:hRule="exact"/>
                    </w:trPr>
                    <w:tc>
                      <w:tcPr>
                        <w:tcW w:w="2233" w:type="dxa"/>
                      </w:tcPr>
                      <w:p>
                        <w:pPr>
                          <w:pStyle w:val="TableParagraph"/>
                          <w:spacing w:before="45"/>
                          <w:ind w:left="69"/>
                          <w:jc w:val="left"/>
                          <w:rPr>
                            <w:sz w:val="18"/>
                          </w:rPr>
                        </w:pPr>
                        <w:r>
                          <w:rPr>
                            <w:sz w:val="18"/>
                          </w:rPr>
                          <w:t>Semana 2 h 0</w:t>
                        </w:r>
                      </w:p>
                    </w:tc>
                    <w:tc>
                      <w:tcPr>
                        <w:tcW w:w="866" w:type="dxa"/>
                        <w:tcBorders>
                          <w:top w:val="single" w:sz="4" w:space="0" w:color="000000"/>
                        </w:tcBorders>
                      </w:tcPr>
                      <w:p>
                        <w:pPr>
                          <w:pStyle w:val="TableParagraph"/>
                          <w:spacing w:before="40"/>
                          <w:ind w:right="246"/>
                          <w:jc w:val="right"/>
                          <w:rPr>
                            <w:sz w:val="18"/>
                          </w:rPr>
                        </w:pPr>
                        <w:r>
                          <w:rPr>
                            <w:sz w:val="18"/>
                          </w:rPr>
                          <w:t>34.5</w:t>
                        </w:r>
                      </w:p>
                    </w:tc>
                    <w:tc>
                      <w:tcPr>
                        <w:tcW w:w="755" w:type="dxa"/>
                        <w:tcBorders>
                          <w:top w:val="single" w:sz="4" w:space="0" w:color="000000"/>
                        </w:tcBorders>
                      </w:tcPr>
                      <w:p>
                        <w:pPr>
                          <w:pStyle w:val="TableParagraph"/>
                          <w:spacing w:before="40"/>
                          <w:ind w:left="128" w:right="121"/>
                          <w:rPr>
                            <w:sz w:val="18"/>
                          </w:rPr>
                        </w:pPr>
                        <w:r>
                          <w:rPr>
                            <w:sz w:val="18"/>
                          </w:rPr>
                          <w:t>35.4</w:t>
                        </w:r>
                      </w:p>
                    </w:tc>
                    <w:tc>
                      <w:tcPr>
                        <w:tcW w:w="738" w:type="dxa"/>
                        <w:tcBorders>
                          <w:top w:val="single" w:sz="4" w:space="0" w:color="000000"/>
                        </w:tcBorders>
                      </w:tcPr>
                      <w:p>
                        <w:pPr>
                          <w:pStyle w:val="TableParagraph"/>
                          <w:spacing w:before="40"/>
                          <w:ind w:left="119" w:right="111"/>
                          <w:rPr>
                            <w:sz w:val="18"/>
                          </w:rPr>
                        </w:pPr>
                        <w:r>
                          <w:rPr>
                            <w:sz w:val="18"/>
                          </w:rPr>
                          <w:t>38</w:t>
                        </w:r>
                      </w:p>
                    </w:tc>
                    <w:tc>
                      <w:tcPr>
                        <w:tcW w:w="674" w:type="dxa"/>
                        <w:tcBorders>
                          <w:top w:val="single" w:sz="4" w:space="0" w:color="000000"/>
                        </w:tcBorders>
                      </w:tcPr>
                      <w:p>
                        <w:pPr>
                          <w:pStyle w:val="TableParagraph"/>
                          <w:spacing w:before="40"/>
                          <w:ind w:left="271"/>
                          <w:jc w:val="left"/>
                          <w:rPr>
                            <w:sz w:val="18"/>
                          </w:rPr>
                        </w:pPr>
                        <w:r>
                          <w:rPr>
                            <w:sz w:val="18"/>
                          </w:rPr>
                          <w:t>33</w:t>
                        </w:r>
                      </w:p>
                    </w:tc>
                    <w:tc>
                      <w:tcPr>
                        <w:tcW w:w="614" w:type="dxa"/>
                        <w:tcBorders>
                          <w:top w:val="single" w:sz="4" w:space="0" w:color="000000"/>
                        </w:tcBorders>
                      </w:tcPr>
                      <w:p>
                        <w:pPr>
                          <w:pStyle w:val="TableParagraph"/>
                          <w:spacing w:before="40"/>
                          <w:ind w:right="128"/>
                          <w:jc w:val="right"/>
                          <w:rPr>
                            <w:sz w:val="18"/>
                          </w:rPr>
                        </w:pPr>
                        <w:r>
                          <w:rPr>
                            <w:sz w:val="18"/>
                          </w:rPr>
                          <w:t>2.74</w:t>
                        </w:r>
                      </w:p>
                    </w:tc>
                    <w:tc>
                      <w:tcPr>
                        <w:tcW w:w="576" w:type="dxa"/>
                        <w:tcBorders>
                          <w:top w:val="single" w:sz="4" w:space="0" w:color="000000"/>
                        </w:tcBorders>
                      </w:tcPr>
                      <w:p>
                        <w:pPr>
                          <w:pStyle w:val="TableParagraph"/>
                          <w:spacing w:before="40"/>
                          <w:ind w:right="107"/>
                          <w:jc w:val="right"/>
                          <w:rPr>
                            <w:sz w:val="18"/>
                          </w:rPr>
                        </w:pPr>
                        <w:r>
                          <w:rPr>
                            <w:sz w:val="18"/>
                          </w:rPr>
                          <w:t>0.63</w:t>
                        </w:r>
                      </w:p>
                    </w:tc>
                    <w:tc>
                      <w:tcPr>
                        <w:tcW w:w="1040" w:type="dxa"/>
                        <w:tcBorders>
                          <w:top w:val="single" w:sz="4" w:space="0" w:color="000000"/>
                        </w:tcBorders>
                      </w:tcPr>
                      <w:p>
                        <w:pPr>
                          <w:pStyle w:val="TableParagraph"/>
                          <w:spacing w:before="40"/>
                          <w:ind w:left="65" w:right="63"/>
                          <w:rPr>
                            <w:sz w:val="18"/>
                          </w:rPr>
                        </w:pPr>
                        <w:r>
                          <w:rPr>
                            <w:sz w:val="18"/>
                          </w:rPr>
                          <w:t>0.764</w:t>
                        </w:r>
                      </w:p>
                    </w:tc>
                    <w:tc>
                      <w:tcPr>
                        <w:tcW w:w="891" w:type="dxa"/>
                        <w:tcBorders>
                          <w:top w:val="single" w:sz="4" w:space="0" w:color="000000"/>
                        </w:tcBorders>
                      </w:tcPr>
                      <w:p>
                        <w:pPr>
                          <w:pStyle w:val="TableParagraph"/>
                          <w:spacing w:before="40"/>
                          <w:ind w:left="64" w:right="63"/>
                          <w:rPr>
                            <w:sz w:val="18"/>
                          </w:rPr>
                        </w:pPr>
                        <w:r>
                          <w:rPr>
                            <w:sz w:val="18"/>
                          </w:rPr>
                          <w:t>0.976</w:t>
                        </w:r>
                      </w:p>
                    </w:tc>
                    <w:tc>
                      <w:tcPr>
                        <w:tcW w:w="764" w:type="dxa"/>
                        <w:tcBorders>
                          <w:top w:val="single" w:sz="4" w:space="0" w:color="000000"/>
                        </w:tcBorders>
                      </w:tcPr>
                      <w:p>
                        <w:pPr>
                          <w:pStyle w:val="TableParagraph"/>
                          <w:spacing w:before="40"/>
                          <w:ind w:left="127"/>
                          <w:jc w:val="left"/>
                          <w:rPr>
                            <w:sz w:val="18"/>
                          </w:rPr>
                        </w:pPr>
                        <w:r>
                          <w:rPr>
                            <w:sz w:val="18"/>
                          </w:rPr>
                          <w:t>0.216</w:t>
                        </w:r>
                      </w:p>
                    </w:tc>
                    <w:tc>
                      <w:tcPr>
                        <w:tcW w:w="708" w:type="dxa"/>
                        <w:tcBorders>
                          <w:top w:val="single" w:sz="4" w:space="0" w:color="000000"/>
                        </w:tcBorders>
                      </w:tcPr>
                      <w:p>
                        <w:pPr>
                          <w:pStyle w:val="TableParagraph"/>
                          <w:spacing w:before="40"/>
                          <w:ind w:left="164" w:right="271"/>
                          <w:rPr>
                            <w:sz w:val="18"/>
                          </w:rPr>
                        </w:pPr>
                        <w:r>
                          <w:rPr>
                            <w:sz w:val="18"/>
                          </w:rPr>
                          <w:t>NS</w:t>
                        </w:r>
                      </w:p>
                    </w:tc>
                  </w:tr>
                  <w:tr>
                    <w:trPr>
                      <w:trHeight w:val="300" w:hRule="exact"/>
                    </w:trPr>
                    <w:tc>
                      <w:tcPr>
                        <w:tcW w:w="2233" w:type="dxa"/>
                      </w:tcPr>
                      <w:p>
                        <w:pPr>
                          <w:pStyle w:val="TableParagraph"/>
                          <w:spacing w:before="36"/>
                          <w:ind w:left="69"/>
                          <w:jc w:val="left"/>
                          <w:rPr>
                            <w:sz w:val="18"/>
                          </w:rPr>
                        </w:pPr>
                        <w:r>
                          <w:rPr>
                            <w:sz w:val="18"/>
                          </w:rPr>
                          <w:t>Semana 2 h 3</w:t>
                        </w:r>
                      </w:p>
                    </w:tc>
                    <w:tc>
                      <w:tcPr>
                        <w:tcW w:w="866" w:type="dxa"/>
                      </w:tcPr>
                      <w:p>
                        <w:pPr>
                          <w:pStyle w:val="TableParagraph"/>
                          <w:spacing w:before="36"/>
                          <w:ind w:right="246"/>
                          <w:jc w:val="right"/>
                          <w:rPr>
                            <w:sz w:val="18"/>
                          </w:rPr>
                        </w:pPr>
                        <w:r>
                          <w:rPr>
                            <w:sz w:val="18"/>
                          </w:rPr>
                          <w:t>41.2</w:t>
                        </w:r>
                      </w:p>
                    </w:tc>
                    <w:tc>
                      <w:tcPr>
                        <w:tcW w:w="755" w:type="dxa"/>
                      </w:tcPr>
                      <w:p>
                        <w:pPr>
                          <w:pStyle w:val="TableParagraph"/>
                          <w:spacing w:before="36"/>
                          <w:ind w:left="128" w:right="121"/>
                          <w:rPr>
                            <w:sz w:val="18"/>
                          </w:rPr>
                        </w:pPr>
                        <w:r>
                          <w:rPr>
                            <w:sz w:val="18"/>
                          </w:rPr>
                          <w:t>39.9</w:t>
                        </w:r>
                      </w:p>
                    </w:tc>
                    <w:tc>
                      <w:tcPr>
                        <w:tcW w:w="738" w:type="dxa"/>
                      </w:tcPr>
                      <w:p>
                        <w:pPr>
                          <w:pStyle w:val="TableParagraph"/>
                          <w:spacing w:before="36"/>
                          <w:ind w:left="117" w:right="111"/>
                          <w:rPr>
                            <w:sz w:val="18"/>
                          </w:rPr>
                        </w:pPr>
                        <w:r>
                          <w:rPr>
                            <w:sz w:val="18"/>
                          </w:rPr>
                          <w:t>44.9</w:t>
                        </w:r>
                      </w:p>
                    </w:tc>
                    <w:tc>
                      <w:tcPr>
                        <w:tcW w:w="674" w:type="dxa"/>
                      </w:tcPr>
                      <w:p>
                        <w:pPr>
                          <w:pStyle w:val="TableParagraph"/>
                          <w:spacing w:before="36"/>
                          <w:ind w:left="203"/>
                          <w:jc w:val="left"/>
                          <w:rPr>
                            <w:sz w:val="18"/>
                          </w:rPr>
                        </w:pPr>
                        <w:r>
                          <w:rPr>
                            <w:sz w:val="18"/>
                          </w:rPr>
                          <w:t>39.5</w:t>
                        </w:r>
                      </w:p>
                    </w:tc>
                    <w:tc>
                      <w:tcPr>
                        <w:tcW w:w="614" w:type="dxa"/>
                      </w:tcPr>
                      <w:p>
                        <w:pPr>
                          <w:pStyle w:val="TableParagraph"/>
                          <w:spacing w:before="36"/>
                          <w:ind w:right="128"/>
                          <w:jc w:val="right"/>
                          <w:rPr>
                            <w:sz w:val="18"/>
                          </w:rPr>
                        </w:pPr>
                        <w:r>
                          <w:rPr>
                            <w:sz w:val="18"/>
                          </w:rPr>
                          <w:t>3.85</w:t>
                        </w:r>
                      </w:p>
                    </w:tc>
                    <w:tc>
                      <w:tcPr>
                        <w:tcW w:w="576" w:type="dxa"/>
                      </w:tcPr>
                      <w:p>
                        <w:pPr>
                          <w:pStyle w:val="TableParagraph"/>
                          <w:spacing w:before="36"/>
                          <w:ind w:right="107"/>
                          <w:jc w:val="right"/>
                          <w:rPr>
                            <w:sz w:val="18"/>
                          </w:rPr>
                        </w:pPr>
                        <w:r>
                          <w:rPr>
                            <w:sz w:val="18"/>
                          </w:rPr>
                          <w:t>0.75</w:t>
                        </w:r>
                      </w:p>
                    </w:tc>
                    <w:tc>
                      <w:tcPr>
                        <w:tcW w:w="1040" w:type="dxa"/>
                      </w:tcPr>
                      <w:p>
                        <w:pPr>
                          <w:pStyle w:val="TableParagraph"/>
                          <w:spacing w:before="36"/>
                          <w:ind w:left="65" w:right="63"/>
                          <w:rPr>
                            <w:sz w:val="18"/>
                          </w:rPr>
                        </w:pPr>
                        <w:r>
                          <w:rPr>
                            <w:sz w:val="18"/>
                          </w:rPr>
                          <w:t>0.958</w:t>
                        </w:r>
                      </w:p>
                    </w:tc>
                    <w:tc>
                      <w:tcPr>
                        <w:tcW w:w="891" w:type="dxa"/>
                      </w:tcPr>
                      <w:p>
                        <w:pPr>
                          <w:pStyle w:val="TableParagraph"/>
                          <w:spacing w:before="36"/>
                          <w:ind w:left="64" w:right="63"/>
                          <w:rPr>
                            <w:sz w:val="18"/>
                          </w:rPr>
                        </w:pPr>
                        <w:r>
                          <w:rPr>
                            <w:sz w:val="18"/>
                          </w:rPr>
                          <w:t>0.632</w:t>
                        </w:r>
                      </w:p>
                    </w:tc>
                    <w:tc>
                      <w:tcPr>
                        <w:tcW w:w="764" w:type="dxa"/>
                      </w:tcPr>
                      <w:p>
                        <w:pPr>
                          <w:pStyle w:val="TableParagraph"/>
                          <w:spacing w:before="36"/>
                          <w:ind w:left="127"/>
                          <w:jc w:val="left"/>
                          <w:rPr>
                            <w:sz w:val="18"/>
                          </w:rPr>
                        </w:pPr>
                        <w:r>
                          <w:rPr>
                            <w:sz w:val="18"/>
                          </w:rPr>
                          <w:t>0.336</w:t>
                        </w:r>
                      </w:p>
                    </w:tc>
                    <w:tc>
                      <w:tcPr>
                        <w:tcW w:w="708" w:type="dxa"/>
                      </w:tcPr>
                      <w:p>
                        <w:pPr>
                          <w:pStyle w:val="TableParagraph"/>
                          <w:spacing w:before="36"/>
                          <w:ind w:left="164" w:right="271"/>
                          <w:rPr>
                            <w:sz w:val="18"/>
                          </w:rPr>
                        </w:pPr>
                        <w:r>
                          <w:rPr>
                            <w:sz w:val="18"/>
                          </w:rPr>
                          <w:t>NS</w:t>
                        </w:r>
                      </w:p>
                    </w:tc>
                  </w:tr>
                  <w:tr>
                    <w:trPr>
                      <w:trHeight w:val="300" w:hRule="exact"/>
                    </w:trPr>
                    <w:tc>
                      <w:tcPr>
                        <w:tcW w:w="2233" w:type="dxa"/>
                      </w:tcPr>
                      <w:p>
                        <w:pPr>
                          <w:pStyle w:val="TableParagraph"/>
                          <w:spacing w:before="36"/>
                          <w:ind w:left="69"/>
                          <w:jc w:val="left"/>
                          <w:rPr>
                            <w:sz w:val="18"/>
                          </w:rPr>
                        </w:pPr>
                        <w:r>
                          <w:rPr>
                            <w:sz w:val="18"/>
                          </w:rPr>
                          <w:t>Semana 7 h 0</w:t>
                        </w:r>
                      </w:p>
                    </w:tc>
                    <w:tc>
                      <w:tcPr>
                        <w:tcW w:w="866" w:type="dxa"/>
                      </w:tcPr>
                      <w:p>
                        <w:pPr>
                          <w:pStyle w:val="TableParagraph"/>
                          <w:spacing w:before="36"/>
                          <w:ind w:right="246"/>
                          <w:jc w:val="right"/>
                          <w:rPr>
                            <w:sz w:val="18"/>
                          </w:rPr>
                        </w:pPr>
                        <w:r>
                          <w:rPr>
                            <w:sz w:val="18"/>
                          </w:rPr>
                          <w:t>41.8</w:t>
                        </w:r>
                      </w:p>
                    </w:tc>
                    <w:tc>
                      <w:tcPr>
                        <w:tcW w:w="755" w:type="dxa"/>
                      </w:tcPr>
                      <w:p>
                        <w:pPr>
                          <w:pStyle w:val="TableParagraph"/>
                          <w:spacing w:before="36"/>
                          <w:ind w:left="128" w:right="121"/>
                          <w:rPr>
                            <w:sz w:val="18"/>
                          </w:rPr>
                        </w:pPr>
                        <w:r>
                          <w:rPr>
                            <w:sz w:val="18"/>
                          </w:rPr>
                          <w:t>46.8</w:t>
                        </w:r>
                      </w:p>
                    </w:tc>
                    <w:tc>
                      <w:tcPr>
                        <w:tcW w:w="738" w:type="dxa"/>
                      </w:tcPr>
                      <w:p>
                        <w:pPr>
                          <w:pStyle w:val="TableParagraph"/>
                          <w:spacing w:before="36"/>
                          <w:ind w:left="117" w:right="111"/>
                          <w:rPr>
                            <w:sz w:val="18"/>
                          </w:rPr>
                        </w:pPr>
                        <w:r>
                          <w:rPr>
                            <w:sz w:val="18"/>
                          </w:rPr>
                          <w:t>31.9</w:t>
                        </w:r>
                      </w:p>
                    </w:tc>
                    <w:tc>
                      <w:tcPr>
                        <w:tcW w:w="674" w:type="dxa"/>
                      </w:tcPr>
                      <w:p>
                        <w:pPr>
                          <w:pStyle w:val="TableParagraph"/>
                          <w:spacing w:before="36"/>
                          <w:ind w:left="203"/>
                          <w:jc w:val="left"/>
                          <w:rPr>
                            <w:sz w:val="18"/>
                          </w:rPr>
                        </w:pPr>
                        <w:r>
                          <w:rPr>
                            <w:sz w:val="18"/>
                          </w:rPr>
                          <w:t>34.8</w:t>
                        </w:r>
                      </w:p>
                    </w:tc>
                    <w:tc>
                      <w:tcPr>
                        <w:tcW w:w="614" w:type="dxa"/>
                      </w:tcPr>
                      <w:p>
                        <w:pPr>
                          <w:pStyle w:val="TableParagraph"/>
                          <w:spacing w:before="36"/>
                          <w:ind w:right="128"/>
                          <w:jc w:val="right"/>
                          <w:rPr>
                            <w:sz w:val="18"/>
                          </w:rPr>
                        </w:pPr>
                        <w:r>
                          <w:rPr>
                            <w:sz w:val="18"/>
                          </w:rPr>
                          <w:t>3.91</w:t>
                        </w:r>
                      </w:p>
                    </w:tc>
                    <w:tc>
                      <w:tcPr>
                        <w:tcW w:w="576" w:type="dxa"/>
                      </w:tcPr>
                      <w:p>
                        <w:pPr>
                          <w:pStyle w:val="TableParagraph"/>
                          <w:spacing w:before="36"/>
                          <w:ind w:right="107"/>
                          <w:jc w:val="right"/>
                          <w:rPr>
                            <w:sz w:val="18"/>
                          </w:rPr>
                        </w:pPr>
                        <w:r>
                          <w:rPr>
                            <w:sz w:val="18"/>
                          </w:rPr>
                          <w:t>0.06</w:t>
                        </w:r>
                      </w:p>
                    </w:tc>
                    <w:tc>
                      <w:tcPr>
                        <w:tcW w:w="1040" w:type="dxa"/>
                      </w:tcPr>
                      <w:p>
                        <w:pPr>
                          <w:pStyle w:val="TableParagraph"/>
                          <w:spacing w:before="36"/>
                          <w:ind w:left="65" w:right="63"/>
                          <w:rPr>
                            <w:sz w:val="18"/>
                          </w:rPr>
                        </w:pPr>
                        <w:r>
                          <w:rPr>
                            <w:sz w:val="18"/>
                          </w:rPr>
                          <w:t>0.393</w:t>
                        </w:r>
                      </w:p>
                    </w:tc>
                    <w:tc>
                      <w:tcPr>
                        <w:tcW w:w="891" w:type="dxa"/>
                      </w:tcPr>
                      <w:p>
                        <w:pPr>
                          <w:pStyle w:val="TableParagraph"/>
                          <w:spacing w:before="36"/>
                          <w:ind w:left="64" w:right="63"/>
                          <w:rPr>
                            <w:sz w:val="18"/>
                          </w:rPr>
                        </w:pPr>
                        <w:r>
                          <w:rPr>
                            <w:sz w:val="18"/>
                          </w:rPr>
                          <w:t>0.01</w:t>
                        </w:r>
                      </w:p>
                    </w:tc>
                    <w:tc>
                      <w:tcPr>
                        <w:tcW w:w="764" w:type="dxa"/>
                      </w:tcPr>
                      <w:p>
                        <w:pPr>
                          <w:pStyle w:val="TableParagraph"/>
                          <w:spacing w:before="36"/>
                          <w:ind w:left="127"/>
                          <w:jc w:val="left"/>
                          <w:rPr>
                            <w:sz w:val="18"/>
                          </w:rPr>
                        </w:pPr>
                        <w:r>
                          <w:rPr>
                            <w:sz w:val="18"/>
                          </w:rPr>
                          <w:t>0.067</w:t>
                        </w:r>
                      </w:p>
                    </w:tc>
                    <w:tc>
                      <w:tcPr>
                        <w:tcW w:w="708" w:type="dxa"/>
                      </w:tcPr>
                      <w:p>
                        <w:pPr>
                          <w:pStyle w:val="TableParagraph"/>
                          <w:spacing w:before="36"/>
                          <w:ind w:left="164" w:right="271"/>
                          <w:rPr>
                            <w:sz w:val="18"/>
                          </w:rPr>
                        </w:pPr>
                        <w:r>
                          <w:rPr>
                            <w:sz w:val="18"/>
                          </w:rPr>
                          <w:t>NS</w:t>
                        </w:r>
                      </w:p>
                    </w:tc>
                  </w:tr>
                  <w:tr>
                    <w:trPr>
                      <w:trHeight w:val="300" w:hRule="exact"/>
                    </w:trPr>
                    <w:tc>
                      <w:tcPr>
                        <w:tcW w:w="2233" w:type="dxa"/>
                      </w:tcPr>
                      <w:p>
                        <w:pPr>
                          <w:pStyle w:val="TableParagraph"/>
                          <w:spacing w:before="36"/>
                          <w:ind w:left="69"/>
                          <w:jc w:val="left"/>
                          <w:rPr>
                            <w:sz w:val="18"/>
                          </w:rPr>
                        </w:pPr>
                        <w:r>
                          <w:rPr>
                            <w:sz w:val="18"/>
                          </w:rPr>
                          <w:t>Semana 7 h 3</w:t>
                        </w:r>
                      </w:p>
                    </w:tc>
                    <w:tc>
                      <w:tcPr>
                        <w:tcW w:w="866" w:type="dxa"/>
                      </w:tcPr>
                      <w:p>
                        <w:pPr>
                          <w:pStyle w:val="TableParagraph"/>
                          <w:spacing w:before="36"/>
                          <w:ind w:right="246"/>
                          <w:jc w:val="right"/>
                          <w:rPr>
                            <w:sz w:val="18"/>
                          </w:rPr>
                        </w:pPr>
                        <w:r>
                          <w:rPr>
                            <w:sz w:val="18"/>
                          </w:rPr>
                          <w:t>42.6</w:t>
                        </w:r>
                      </w:p>
                    </w:tc>
                    <w:tc>
                      <w:tcPr>
                        <w:tcW w:w="755" w:type="dxa"/>
                      </w:tcPr>
                      <w:p>
                        <w:pPr>
                          <w:pStyle w:val="TableParagraph"/>
                          <w:spacing w:before="36"/>
                          <w:ind w:left="128" w:right="121"/>
                          <w:rPr>
                            <w:sz w:val="18"/>
                          </w:rPr>
                        </w:pPr>
                        <w:r>
                          <w:rPr>
                            <w:sz w:val="18"/>
                          </w:rPr>
                          <w:t>35.2</w:t>
                        </w:r>
                      </w:p>
                    </w:tc>
                    <w:tc>
                      <w:tcPr>
                        <w:tcW w:w="738" w:type="dxa"/>
                      </w:tcPr>
                      <w:p>
                        <w:pPr>
                          <w:pStyle w:val="TableParagraph"/>
                          <w:spacing w:before="36"/>
                          <w:ind w:left="117" w:right="111"/>
                          <w:rPr>
                            <w:sz w:val="18"/>
                          </w:rPr>
                        </w:pPr>
                        <w:r>
                          <w:rPr>
                            <w:sz w:val="18"/>
                          </w:rPr>
                          <w:t>42.8</w:t>
                        </w:r>
                      </w:p>
                    </w:tc>
                    <w:tc>
                      <w:tcPr>
                        <w:tcW w:w="674" w:type="dxa"/>
                      </w:tcPr>
                      <w:p>
                        <w:pPr>
                          <w:pStyle w:val="TableParagraph"/>
                          <w:spacing w:before="36"/>
                          <w:ind w:left="203"/>
                          <w:jc w:val="left"/>
                          <w:rPr>
                            <w:sz w:val="18"/>
                          </w:rPr>
                        </w:pPr>
                        <w:r>
                          <w:rPr>
                            <w:sz w:val="18"/>
                          </w:rPr>
                          <w:t>43.2</w:t>
                        </w:r>
                      </w:p>
                    </w:tc>
                    <w:tc>
                      <w:tcPr>
                        <w:tcW w:w="614" w:type="dxa"/>
                      </w:tcPr>
                      <w:p>
                        <w:pPr>
                          <w:pStyle w:val="TableParagraph"/>
                          <w:spacing w:before="36"/>
                          <w:ind w:right="128"/>
                          <w:jc w:val="right"/>
                          <w:rPr>
                            <w:sz w:val="18"/>
                          </w:rPr>
                        </w:pPr>
                        <w:r>
                          <w:rPr>
                            <w:sz w:val="18"/>
                          </w:rPr>
                          <w:t>4.08</w:t>
                        </w:r>
                      </w:p>
                    </w:tc>
                    <w:tc>
                      <w:tcPr>
                        <w:tcW w:w="576" w:type="dxa"/>
                      </w:tcPr>
                      <w:p>
                        <w:pPr>
                          <w:pStyle w:val="TableParagraph"/>
                          <w:spacing w:before="36"/>
                          <w:ind w:right="107"/>
                          <w:jc w:val="right"/>
                          <w:rPr>
                            <w:sz w:val="18"/>
                          </w:rPr>
                        </w:pPr>
                        <w:r>
                          <w:rPr>
                            <w:sz w:val="18"/>
                          </w:rPr>
                          <w:t>0.46</w:t>
                        </w:r>
                      </w:p>
                    </w:tc>
                    <w:tc>
                      <w:tcPr>
                        <w:tcW w:w="1040" w:type="dxa"/>
                      </w:tcPr>
                      <w:p>
                        <w:pPr>
                          <w:pStyle w:val="TableParagraph"/>
                          <w:spacing w:before="36"/>
                          <w:ind w:left="65" w:right="63"/>
                          <w:rPr>
                            <w:sz w:val="18"/>
                          </w:rPr>
                        </w:pPr>
                        <w:r>
                          <w:rPr>
                            <w:sz w:val="18"/>
                          </w:rPr>
                          <w:t>0.647</w:t>
                        </w:r>
                      </w:p>
                    </w:tc>
                    <w:tc>
                      <w:tcPr>
                        <w:tcW w:w="891" w:type="dxa"/>
                      </w:tcPr>
                      <w:p>
                        <w:pPr>
                          <w:pStyle w:val="TableParagraph"/>
                          <w:spacing w:before="36"/>
                          <w:ind w:left="64" w:right="63"/>
                          <w:rPr>
                            <w:sz w:val="18"/>
                          </w:rPr>
                        </w:pPr>
                        <w:r>
                          <w:rPr>
                            <w:sz w:val="18"/>
                          </w:rPr>
                          <w:t>0.138</w:t>
                        </w:r>
                      </w:p>
                    </w:tc>
                    <w:tc>
                      <w:tcPr>
                        <w:tcW w:w="764" w:type="dxa"/>
                      </w:tcPr>
                      <w:p>
                        <w:pPr>
                          <w:pStyle w:val="TableParagraph"/>
                          <w:spacing w:before="36"/>
                          <w:ind w:left="127"/>
                          <w:jc w:val="left"/>
                          <w:rPr>
                            <w:sz w:val="18"/>
                          </w:rPr>
                        </w:pPr>
                        <w:r>
                          <w:rPr>
                            <w:sz w:val="18"/>
                          </w:rPr>
                          <w:t>0.945</w:t>
                        </w:r>
                      </w:p>
                    </w:tc>
                    <w:tc>
                      <w:tcPr>
                        <w:tcW w:w="708" w:type="dxa"/>
                      </w:tcPr>
                      <w:p>
                        <w:pPr>
                          <w:pStyle w:val="TableParagraph"/>
                          <w:spacing w:before="36"/>
                          <w:ind w:left="164" w:right="271"/>
                          <w:rPr>
                            <w:sz w:val="18"/>
                          </w:rPr>
                        </w:pPr>
                        <w:r>
                          <w:rPr>
                            <w:sz w:val="18"/>
                          </w:rPr>
                          <w:t>NS</w:t>
                        </w:r>
                      </w:p>
                    </w:tc>
                  </w:tr>
                  <w:tr>
                    <w:trPr>
                      <w:trHeight w:val="310" w:hRule="exact"/>
                    </w:trPr>
                    <w:tc>
                      <w:tcPr>
                        <w:tcW w:w="2233" w:type="dxa"/>
                      </w:tcPr>
                      <w:p>
                        <w:pPr>
                          <w:pStyle w:val="TableParagraph"/>
                          <w:spacing w:before="36"/>
                          <w:ind w:left="69"/>
                          <w:jc w:val="left"/>
                          <w:rPr>
                            <w:sz w:val="18"/>
                          </w:rPr>
                        </w:pPr>
                        <w:r>
                          <w:rPr>
                            <w:sz w:val="18"/>
                          </w:rPr>
                          <w:t>Semana 11 h 0</w:t>
                        </w:r>
                      </w:p>
                    </w:tc>
                    <w:tc>
                      <w:tcPr>
                        <w:tcW w:w="866" w:type="dxa"/>
                      </w:tcPr>
                      <w:p>
                        <w:pPr>
                          <w:pStyle w:val="TableParagraph"/>
                          <w:spacing w:before="36"/>
                          <w:ind w:right="200"/>
                          <w:jc w:val="right"/>
                          <w:rPr>
                            <w:sz w:val="18"/>
                          </w:rPr>
                        </w:pPr>
                        <w:r>
                          <w:rPr>
                            <w:sz w:val="18"/>
                          </w:rPr>
                          <w:t>42.76</w:t>
                        </w:r>
                      </w:p>
                    </w:tc>
                    <w:tc>
                      <w:tcPr>
                        <w:tcW w:w="755" w:type="dxa"/>
                      </w:tcPr>
                      <w:p>
                        <w:pPr>
                          <w:pStyle w:val="TableParagraph"/>
                          <w:spacing w:before="36"/>
                          <w:ind w:left="128" w:right="121"/>
                          <w:rPr>
                            <w:sz w:val="18"/>
                          </w:rPr>
                        </w:pPr>
                        <w:r>
                          <w:rPr>
                            <w:sz w:val="18"/>
                          </w:rPr>
                          <w:t>46.7</w:t>
                        </w:r>
                      </w:p>
                    </w:tc>
                    <w:tc>
                      <w:tcPr>
                        <w:tcW w:w="738" w:type="dxa"/>
                      </w:tcPr>
                      <w:p>
                        <w:pPr>
                          <w:pStyle w:val="TableParagraph"/>
                          <w:spacing w:before="36"/>
                          <w:ind w:left="117" w:right="111"/>
                          <w:rPr>
                            <w:sz w:val="18"/>
                          </w:rPr>
                        </w:pPr>
                        <w:r>
                          <w:rPr>
                            <w:sz w:val="18"/>
                          </w:rPr>
                          <w:t>46.2</w:t>
                        </w:r>
                      </w:p>
                    </w:tc>
                    <w:tc>
                      <w:tcPr>
                        <w:tcW w:w="674" w:type="dxa"/>
                      </w:tcPr>
                      <w:p>
                        <w:pPr>
                          <w:pStyle w:val="TableParagraph"/>
                          <w:spacing w:before="36"/>
                          <w:ind w:left="203"/>
                          <w:jc w:val="left"/>
                          <w:rPr>
                            <w:sz w:val="18"/>
                          </w:rPr>
                        </w:pPr>
                        <w:r>
                          <w:rPr>
                            <w:sz w:val="18"/>
                          </w:rPr>
                          <w:t>33.8</w:t>
                        </w:r>
                      </w:p>
                    </w:tc>
                    <w:tc>
                      <w:tcPr>
                        <w:tcW w:w="614" w:type="dxa"/>
                      </w:tcPr>
                      <w:p>
                        <w:pPr>
                          <w:pStyle w:val="TableParagraph"/>
                          <w:spacing w:before="36"/>
                          <w:ind w:right="128"/>
                          <w:jc w:val="right"/>
                          <w:rPr>
                            <w:sz w:val="18"/>
                          </w:rPr>
                        </w:pPr>
                        <w:r>
                          <w:rPr>
                            <w:sz w:val="18"/>
                          </w:rPr>
                          <w:t>3.13</w:t>
                        </w:r>
                      </w:p>
                    </w:tc>
                    <w:tc>
                      <w:tcPr>
                        <w:tcW w:w="576" w:type="dxa"/>
                      </w:tcPr>
                      <w:p>
                        <w:pPr>
                          <w:pStyle w:val="TableParagraph"/>
                          <w:spacing w:before="36"/>
                          <w:ind w:right="107"/>
                          <w:jc w:val="right"/>
                          <w:rPr>
                            <w:sz w:val="18"/>
                          </w:rPr>
                        </w:pPr>
                        <w:r>
                          <w:rPr>
                            <w:sz w:val="18"/>
                          </w:rPr>
                          <w:t>0.30</w:t>
                        </w:r>
                      </w:p>
                    </w:tc>
                    <w:tc>
                      <w:tcPr>
                        <w:tcW w:w="1040" w:type="dxa"/>
                      </w:tcPr>
                      <w:p>
                        <w:pPr>
                          <w:pStyle w:val="TableParagraph"/>
                          <w:spacing w:before="36"/>
                          <w:ind w:left="65" w:right="63"/>
                          <w:rPr>
                            <w:sz w:val="18"/>
                          </w:rPr>
                        </w:pPr>
                        <w:r>
                          <w:rPr>
                            <w:sz w:val="18"/>
                          </w:rPr>
                          <w:t>0.886</w:t>
                        </w:r>
                      </w:p>
                    </w:tc>
                    <w:tc>
                      <w:tcPr>
                        <w:tcW w:w="891" w:type="dxa"/>
                      </w:tcPr>
                      <w:p>
                        <w:pPr>
                          <w:pStyle w:val="TableParagraph"/>
                          <w:spacing w:before="36"/>
                          <w:ind w:left="64" w:right="63"/>
                          <w:rPr>
                            <w:sz w:val="18"/>
                          </w:rPr>
                        </w:pPr>
                        <w:r>
                          <w:rPr>
                            <w:sz w:val="18"/>
                          </w:rPr>
                          <w:t>0.099</w:t>
                        </w:r>
                      </w:p>
                    </w:tc>
                    <w:tc>
                      <w:tcPr>
                        <w:tcW w:w="764" w:type="dxa"/>
                      </w:tcPr>
                      <w:p>
                        <w:pPr>
                          <w:pStyle w:val="TableParagraph"/>
                          <w:spacing w:before="36"/>
                          <w:ind w:left="127"/>
                          <w:jc w:val="left"/>
                          <w:rPr>
                            <w:sz w:val="18"/>
                          </w:rPr>
                        </w:pPr>
                        <w:r>
                          <w:rPr>
                            <w:sz w:val="18"/>
                          </w:rPr>
                          <w:t>0.012</w:t>
                        </w:r>
                      </w:p>
                    </w:tc>
                    <w:tc>
                      <w:tcPr>
                        <w:tcW w:w="708" w:type="dxa"/>
                      </w:tcPr>
                      <w:p>
                        <w:pPr>
                          <w:pStyle w:val="TableParagraph"/>
                          <w:spacing w:before="36"/>
                          <w:ind w:left="164" w:right="271"/>
                          <w:rPr>
                            <w:sz w:val="18"/>
                          </w:rPr>
                        </w:pPr>
                        <w:r>
                          <w:rPr>
                            <w:sz w:val="18"/>
                          </w:rPr>
                          <w:t>NS</w:t>
                        </w:r>
                      </w:p>
                    </w:tc>
                  </w:tr>
                  <w:tr>
                    <w:trPr>
                      <w:trHeight w:val="339" w:hRule="exact"/>
                    </w:trPr>
                    <w:tc>
                      <w:tcPr>
                        <w:tcW w:w="2233" w:type="dxa"/>
                      </w:tcPr>
                      <w:p>
                        <w:pPr>
                          <w:pStyle w:val="TableParagraph"/>
                          <w:spacing w:before="58"/>
                          <w:ind w:left="69"/>
                          <w:jc w:val="left"/>
                          <w:rPr>
                            <w:sz w:val="18"/>
                          </w:rPr>
                        </w:pPr>
                        <w:r>
                          <w:rPr>
                            <w:sz w:val="18"/>
                          </w:rPr>
                          <w:t>Semana 11 h 3</w:t>
                        </w:r>
                      </w:p>
                    </w:tc>
                    <w:tc>
                      <w:tcPr>
                        <w:tcW w:w="866" w:type="dxa"/>
                      </w:tcPr>
                      <w:p>
                        <w:pPr>
                          <w:pStyle w:val="TableParagraph"/>
                          <w:spacing w:before="54"/>
                          <w:ind w:right="172"/>
                          <w:jc w:val="right"/>
                          <w:rPr>
                            <w:sz w:val="12"/>
                          </w:rPr>
                        </w:pPr>
                        <w:r>
                          <w:rPr>
                            <w:sz w:val="18"/>
                          </w:rPr>
                          <w:t>40.40</w:t>
                        </w:r>
                        <w:r>
                          <w:rPr>
                            <w:position w:val="6"/>
                            <w:sz w:val="12"/>
                          </w:rPr>
                          <w:t>a</w:t>
                        </w:r>
                      </w:p>
                    </w:tc>
                    <w:tc>
                      <w:tcPr>
                        <w:tcW w:w="755" w:type="dxa"/>
                      </w:tcPr>
                      <w:p>
                        <w:pPr>
                          <w:pStyle w:val="TableParagraph"/>
                          <w:spacing w:before="54"/>
                          <w:ind w:left="128" w:right="119"/>
                          <w:rPr>
                            <w:sz w:val="12"/>
                          </w:rPr>
                        </w:pPr>
                        <w:r>
                          <w:rPr>
                            <w:sz w:val="18"/>
                          </w:rPr>
                          <w:t>52.40</w:t>
                        </w:r>
                        <w:r>
                          <w:rPr>
                            <w:position w:val="6"/>
                            <w:sz w:val="12"/>
                          </w:rPr>
                          <w:t>a</w:t>
                        </w:r>
                      </w:p>
                    </w:tc>
                    <w:tc>
                      <w:tcPr>
                        <w:tcW w:w="738" w:type="dxa"/>
                      </w:tcPr>
                      <w:p>
                        <w:pPr>
                          <w:pStyle w:val="TableParagraph"/>
                          <w:spacing w:before="54"/>
                          <w:ind w:left="119" w:right="111"/>
                          <w:rPr>
                            <w:sz w:val="12"/>
                          </w:rPr>
                        </w:pPr>
                        <w:r>
                          <w:rPr>
                            <w:sz w:val="18"/>
                          </w:rPr>
                          <w:t>53.00</w:t>
                        </w:r>
                        <w:r>
                          <w:rPr>
                            <w:position w:val="6"/>
                            <w:sz w:val="12"/>
                          </w:rPr>
                          <w:t>a</w:t>
                        </w:r>
                      </w:p>
                    </w:tc>
                    <w:tc>
                      <w:tcPr>
                        <w:tcW w:w="674" w:type="dxa"/>
                      </w:tcPr>
                      <w:p>
                        <w:pPr>
                          <w:pStyle w:val="TableParagraph"/>
                          <w:spacing w:before="54"/>
                          <w:ind w:left="129"/>
                          <w:jc w:val="left"/>
                          <w:rPr>
                            <w:sz w:val="12"/>
                          </w:rPr>
                        </w:pPr>
                        <w:r>
                          <w:rPr>
                            <w:sz w:val="18"/>
                          </w:rPr>
                          <w:t>35.90</w:t>
                        </w:r>
                        <w:r>
                          <w:rPr>
                            <w:position w:val="6"/>
                            <w:sz w:val="12"/>
                          </w:rPr>
                          <w:t>b</w:t>
                        </w:r>
                      </w:p>
                    </w:tc>
                    <w:tc>
                      <w:tcPr>
                        <w:tcW w:w="614" w:type="dxa"/>
                      </w:tcPr>
                      <w:p>
                        <w:pPr>
                          <w:pStyle w:val="TableParagraph"/>
                          <w:spacing w:before="58"/>
                          <w:ind w:right="128"/>
                          <w:jc w:val="right"/>
                          <w:rPr>
                            <w:sz w:val="18"/>
                          </w:rPr>
                        </w:pPr>
                        <w:r>
                          <w:rPr>
                            <w:sz w:val="18"/>
                          </w:rPr>
                          <w:t>4.45</w:t>
                        </w:r>
                      </w:p>
                    </w:tc>
                    <w:tc>
                      <w:tcPr>
                        <w:tcW w:w="576" w:type="dxa"/>
                      </w:tcPr>
                      <w:p>
                        <w:pPr>
                          <w:pStyle w:val="TableParagraph"/>
                          <w:spacing w:before="58"/>
                          <w:ind w:right="107"/>
                          <w:jc w:val="right"/>
                          <w:rPr>
                            <w:sz w:val="18"/>
                          </w:rPr>
                        </w:pPr>
                        <w:r>
                          <w:rPr>
                            <w:sz w:val="18"/>
                          </w:rPr>
                          <w:t>0.03</w:t>
                        </w:r>
                      </w:p>
                    </w:tc>
                    <w:tc>
                      <w:tcPr>
                        <w:tcW w:w="1040" w:type="dxa"/>
                      </w:tcPr>
                      <w:p>
                        <w:pPr>
                          <w:pStyle w:val="TableParagraph"/>
                          <w:spacing w:before="58"/>
                          <w:ind w:left="65" w:right="63"/>
                          <w:rPr>
                            <w:sz w:val="18"/>
                          </w:rPr>
                        </w:pPr>
                        <w:r>
                          <w:rPr>
                            <w:sz w:val="18"/>
                          </w:rPr>
                          <w:t>0.211</w:t>
                        </w:r>
                      </w:p>
                    </w:tc>
                    <w:tc>
                      <w:tcPr>
                        <w:tcW w:w="891" w:type="dxa"/>
                      </w:tcPr>
                      <w:p>
                        <w:pPr>
                          <w:pStyle w:val="TableParagraph"/>
                          <w:spacing w:before="58"/>
                          <w:ind w:left="64" w:right="63"/>
                          <w:rPr>
                            <w:sz w:val="18"/>
                          </w:rPr>
                        </w:pPr>
                        <w:r>
                          <w:rPr>
                            <w:sz w:val="18"/>
                          </w:rPr>
                          <w:t>0.164</w:t>
                        </w:r>
                      </w:p>
                    </w:tc>
                    <w:tc>
                      <w:tcPr>
                        <w:tcW w:w="764" w:type="dxa"/>
                      </w:tcPr>
                      <w:p>
                        <w:pPr>
                          <w:pStyle w:val="TableParagraph"/>
                          <w:spacing w:before="58"/>
                          <w:ind w:left="127"/>
                          <w:jc w:val="left"/>
                          <w:rPr>
                            <w:sz w:val="18"/>
                          </w:rPr>
                        </w:pPr>
                        <w:r>
                          <w:rPr>
                            <w:sz w:val="18"/>
                          </w:rPr>
                          <w:t>0.015</w:t>
                        </w:r>
                      </w:p>
                    </w:tc>
                    <w:tc>
                      <w:tcPr>
                        <w:tcW w:w="708" w:type="dxa"/>
                      </w:tcPr>
                      <w:p>
                        <w:pPr>
                          <w:pStyle w:val="TableParagraph"/>
                          <w:spacing w:before="58"/>
                          <w:ind w:right="105"/>
                          <w:rPr>
                            <w:sz w:val="18"/>
                          </w:rPr>
                        </w:pPr>
                        <w:r>
                          <w:rPr>
                            <w:w w:val="99"/>
                            <w:sz w:val="18"/>
                          </w:rPr>
                          <w:t>Q</w:t>
                        </w:r>
                      </w:p>
                    </w:tc>
                  </w:tr>
                  <w:tr>
                    <w:trPr>
                      <w:trHeight w:val="331" w:hRule="exact"/>
                    </w:trPr>
                    <w:tc>
                      <w:tcPr>
                        <w:tcW w:w="2233" w:type="dxa"/>
                        <w:tcBorders>
                          <w:bottom w:val="single" w:sz="8" w:space="0" w:color="000000"/>
                        </w:tcBorders>
                      </w:tcPr>
                      <w:p>
                        <w:pPr>
                          <w:pStyle w:val="TableParagraph"/>
                          <w:spacing w:before="54"/>
                          <w:ind w:left="69"/>
                          <w:jc w:val="left"/>
                          <w:rPr>
                            <w:sz w:val="18"/>
                          </w:rPr>
                        </w:pPr>
                        <w:r>
                          <w:rPr>
                            <w:sz w:val="18"/>
                          </w:rPr>
                          <w:t>Promedio de tratamiento</w:t>
                        </w:r>
                      </w:p>
                    </w:tc>
                    <w:tc>
                      <w:tcPr>
                        <w:tcW w:w="866" w:type="dxa"/>
                        <w:tcBorders>
                          <w:bottom w:val="single" w:sz="8" w:space="0" w:color="000000"/>
                        </w:tcBorders>
                      </w:tcPr>
                      <w:p>
                        <w:pPr>
                          <w:pStyle w:val="TableParagraph"/>
                          <w:spacing w:before="54"/>
                          <w:ind w:right="200"/>
                          <w:jc w:val="right"/>
                          <w:rPr>
                            <w:sz w:val="18"/>
                          </w:rPr>
                        </w:pPr>
                        <w:r>
                          <w:rPr>
                            <w:sz w:val="18"/>
                          </w:rPr>
                          <w:t>40.57</w:t>
                        </w:r>
                      </w:p>
                    </w:tc>
                    <w:tc>
                      <w:tcPr>
                        <w:tcW w:w="755" w:type="dxa"/>
                        <w:tcBorders>
                          <w:bottom w:val="single" w:sz="8" w:space="0" w:color="000000"/>
                        </w:tcBorders>
                      </w:tcPr>
                      <w:p>
                        <w:pPr>
                          <w:pStyle w:val="TableParagraph"/>
                          <w:spacing w:before="54"/>
                          <w:ind w:left="128" w:right="121"/>
                          <w:rPr>
                            <w:sz w:val="18"/>
                          </w:rPr>
                        </w:pPr>
                        <w:r>
                          <w:rPr>
                            <w:sz w:val="18"/>
                          </w:rPr>
                          <w:t>40.8</w:t>
                        </w:r>
                      </w:p>
                    </w:tc>
                    <w:tc>
                      <w:tcPr>
                        <w:tcW w:w="738" w:type="dxa"/>
                        <w:tcBorders>
                          <w:bottom w:val="single" w:sz="8" w:space="0" w:color="000000"/>
                        </w:tcBorders>
                      </w:tcPr>
                      <w:p>
                        <w:pPr>
                          <w:pStyle w:val="TableParagraph"/>
                          <w:spacing w:before="54"/>
                          <w:ind w:left="117" w:right="111"/>
                          <w:rPr>
                            <w:sz w:val="18"/>
                          </w:rPr>
                        </w:pPr>
                        <w:r>
                          <w:rPr>
                            <w:sz w:val="18"/>
                          </w:rPr>
                          <w:t>40.76</w:t>
                        </w:r>
                      </w:p>
                    </w:tc>
                    <w:tc>
                      <w:tcPr>
                        <w:tcW w:w="674" w:type="dxa"/>
                        <w:tcBorders>
                          <w:bottom w:val="single" w:sz="8" w:space="0" w:color="000000"/>
                        </w:tcBorders>
                      </w:tcPr>
                      <w:p>
                        <w:pPr>
                          <w:pStyle w:val="TableParagraph"/>
                          <w:spacing w:before="54"/>
                          <w:ind w:left="158"/>
                          <w:jc w:val="left"/>
                          <w:rPr>
                            <w:sz w:val="18"/>
                          </w:rPr>
                        </w:pPr>
                        <w:r>
                          <w:rPr>
                            <w:sz w:val="18"/>
                          </w:rPr>
                          <w:t>36.86</w:t>
                        </w:r>
                      </w:p>
                    </w:tc>
                    <w:tc>
                      <w:tcPr>
                        <w:tcW w:w="614" w:type="dxa"/>
                        <w:tcBorders>
                          <w:bottom w:val="single" w:sz="8" w:space="0" w:color="000000"/>
                        </w:tcBorders>
                      </w:tcPr>
                      <w:p>
                        <w:pPr>
                          <w:pStyle w:val="TableParagraph"/>
                          <w:spacing w:before="54"/>
                          <w:ind w:right="128"/>
                          <w:jc w:val="right"/>
                          <w:rPr>
                            <w:sz w:val="18"/>
                          </w:rPr>
                        </w:pPr>
                        <w:r>
                          <w:rPr>
                            <w:sz w:val="18"/>
                          </w:rPr>
                          <w:t>3.69</w:t>
                        </w:r>
                      </w:p>
                    </w:tc>
                    <w:tc>
                      <w:tcPr>
                        <w:tcW w:w="576" w:type="dxa"/>
                        <w:tcBorders>
                          <w:bottom w:val="single" w:sz="8" w:space="0" w:color="000000"/>
                        </w:tcBorders>
                      </w:tcPr>
                      <w:p>
                        <w:pPr>
                          <w:pStyle w:val="TableParagraph"/>
                          <w:spacing w:before="54"/>
                          <w:ind w:right="107"/>
                          <w:jc w:val="right"/>
                          <w:rPr>
                            <w:sz w:val="18"/>
                          </w:rPr>
                        </w:pPr>
                        <w:r>
                          <w:rPr>
                            <w:sz w:val="18"/>
                          </w:rPr>
                          <w:t>0.33</w:t>
                        </w:r>
                      </w:p>
                    </w:tc>
                    <w:tc>
                      <w:tcPr>
                        <w:tcW w:w="1040" w:type="dxa"/>
                        <w:tcBorders>
                          <w:bottom w:val="single" w:sz="8" w:space="0" w:color="000000"/>
                        </w:tcBorders>
                      </w:tcPr>
                      <w:p>
                        <w:pPr/>
                      </w:p>
                    </w:tc>
                    <w:tc>
                      <w:tcPr>
                        <w:tcW w:w="891" w:type="dxa"/>
                        <w:tcBorders>
                          <w:bottom w:val="single" w:sz="8" w:space="0" w:color="000000"/>
                        </w:tcBorders>
                      </w:tcPr>
                      <w:p>
                        <w:pPr/>
                      </w:p>
                    </w:tc>
                    <w:tc>
                      <w:tcPr>
                        <w:tcW w:w="764" w:type="dxa"/>
                        <w:tcBorders>
                          <w:bottom w:val="single" w:sz="8" w:space="0" w:color="000000"/>
                        </w:tcBorders>
                      </w:tcPr>
                      <w:p>
                        <w:pPr/>
                      </w:p>
                    </w:tc>
                    <w:tc>
                      <w:tcPr>
                        <w:tcW w:w="708" w:type="dxa"/>
                        <w:tcBorders>
                          <w:bottom w:val="single" w:sz="8" w:space="0" w:color="000000"/>
                        </w:tcBorders>
                      </w:tcPr>
                      <w:p>
                        <w:pPr/>
                      </w:p>
                    </w:tc>
                  </w:tr>
                </w:tbl>
                <w:p>
                  <w:pPr>
                    <w:pStyle w:val="BodyText"/>
                  </w:pPr>
                </w:p>
              </w:txbxContent>
            </v:textbox>
            <w10:wrap type="none"/>
          </v:shape>
        </w:pict>
      </w:r>
      <w:r>
        <w:rPr>
          <w:b/>
          <w:sz w:val="18"/>
        </w:rPr>
        <w:t>Metabolito y periodo</w:t>
      </w:r>
      <w:r>
        <w:rPr>
          <w:b/>
          <w:spacing w:val="-10"/>
          <w:sz w:val="18"/>
        </w:rPr>
        <w:t> </w:t>
      </w:r>
      <w:r>
        <w:rPr>
          <w:b/>
          <w:sz w:val="18"/>
        </w:rPr>
        <w:t>de muestreo</w:t>
      </w:r>
    </w:p>
    <w:p>
      <w:pPr>
        <w:spacing w:before="80"/>
        <w:ind w:left="322" w:right="-3" w:firstLine="0"/>
        <w:jc w:val="left"/>
        <w:rPr>
          <w:b/>
          <w:sz w:val="16"/>
        </w:rPr>
      </w:pPr>
      <w:r>
        <w:rPr/>
        <w:br w:type="column"/>
      </w:r>
      <w:r>
        <w:rPr>
          <w:b/>
          <w:sz w:val="16"/>
        </w:rPr>
        <w:t>Tratamiento (Cromo Orgánico,</w:t>
      </w:r>
      <w:r>
        <w:rPr>
          <w:b/>
          <w:spacing w:val="-18"/>
          <w:sz w:val="16"/>
        </w:rPr>
        <w:t> </w:t>
      </w:r>
      <w:r>
        <w:rPr>
          <w:b/>
          <w:sz w:val="16"/>
        </w:rPr>
        <w:t>ppm)</w:t>
      </w:r>
    </w:p>
    <w:p>
      <w:pPr>
        <w:pStyle w:val="BodyText"/>
        <w:spacing w:before="3"/>
        <w:rPr>
          <w:b/>
          <w:sz w:val="21"/>
        </w:rPr>
      </w:pPr>
      <w:r>
        <w:rPr/>
        <w:br w:type="column"/>
      </w:r>
      <w:r>
        <w:rPr>
          <w:b/>
          <w:sz w:val="21"/>
        </w:rPr>
      </w:r>
    </w:p>
    <w:p>
      <w:pPr>
        <w:spacing w:before="0"/>
        <w:ind w:left="318" w:right="-17" w:firstLine="0"/>
        <w:jc w:val="left"/>
        <w:rPr>
          <w:b/>
          <w:sz w:val="10"/>
        </w:rPr>
      </w:pPr>
      <w:r>
        <w:rPr>
          <w:b/>
          <w:sz w:val="16"/>
        </w:rPr>
        <w:t>EEM</w:t>
      </w:r>
      <w:r>
        <w:rPr>
          <w:b/>
          <w:position w:val="6"/>
          <w:sz w:val="10"/>
        </w:rPr>
        <w:t>1</w:t>
      </w:r>
    </w:p>
    <w:p>
      <w:pPr>
        <w:pStyle w:val="BodyText"/>
        <w:spacing w:before="7"/>
        <w:rPr>
          <w:b/>
          <w:sz w:val="21"/>
        </w:rPr>
      </w:pPr>
      <w:r>
        <w:rPr/>
        <w:br w:type="column"/>
      </w:r>
      <w:r>
        <w:rPr>
          <w:b/>
          <w:sz w:val="21"/>
        </w:rPr>
      </w:r>
    </w:p>
    <w:p>
      <w:pPr>
        <w:spacing w:before="0"/>
        <w:ind w:left="219" w:right="-18" w:firstLine="0"/>
        <w:jc w:val="left"/>
        <w:rPr>
          <w:b/>
          <w:sz w:val="16"/>
        </w:rPr>
      </w:pPr>
      <w:r>
        <w:rPr>
          <w:b/>
          <w:sz w:val="16"/>
        </w:rPr>
        <w:t>Pr≤</w:t>
      </w:r>
    </w:p>
    <w:p>
      <w:pPr>
        <w:spacing w:before="80"/>
        <w:ind w:left="322" w:right="-18" w:firstLine="0"/>
        <w:jc w:val="left"/>
        <w:rPr>
          <w:b/>
          <w:sz w:val="16"/>
        </w:rPr>
      </w:pPr>
      <w:r>
        <w:rPr/>
        <w:br w:type="column"/>
      </w:r>
      <w:r>
        <w:rPr>
          <w:b/>
          <w:sz w:val="16"/>
        </w:rPr>
        <w:t>Contrastes</w:t>
      </w:r>
    </w:p>
    <w:p>
      <w:pPr>
        <w:pStyle w:val="BodyText"/>
        <w:spacing w:before="7"/>
        <w:rPr>
          <w:b/>
          <w:sz w:val="21"/>
        </w:rPr>
      </w:pPr>
      <w:r>
        <w:rPr/>
        <w:br w:type="column"/>
      </w:r>
      <w:r>
        <w:rPr>
          <w:b/>
          <w:sz w:val="21"/>
        </w:rPr>
      </w:r>
    </w:p>
    <w:p>
      <w:pPr>
        <w:spacing w:before="0"/>
        <w:ind w:left="322" w:right="0" w:firstLine="0"/>
        <w:jc w:val="left"/>
        <w:rPr>
          <w:sz w:val="9"/>
        </w:rPr>
      </w:pPr>
      <w:r>
        <w:rPr>
          <w:b/>
          <w:sz w:val="16"/>
        </w:rPr>
        <w:t>P</w:t>
      </w:r>
      <w:r>
        <w:rPr>
          <w:b/>
          <w:sz w:val="14"/>
        </w:rPr>
        <w:t>olinomio</w:t>
      </w:r>
      <w:r>
        <w:rPr>
          <w:position w:val="5"/>
          <w:sz w:val="9"/>
        </w:rPr>
        <w:t>2</w:t>
      </w:r>
    </w:p>
    <w:p>
      <w:pPr>
        <w:spacing w:after="0"/>
        <w:jc w:val="left"/>
        <w:rPr>
          <w:sz w:val="9"/>
        </w:rPr>
        <w:sectPr>
          <w:type w:val="continuous"/>
          <w:pgSz w:w="12240" w:h="15840"/>
          <w:pgMar w:top="1500" w:bottom="280" w:left="1240" w:right="900"/>
          <w:cols w:num="6" w:equalWidth="0">
            <w:col w:w="2156" w:space="113"/>
            <w:col w:w="2881" w:space="40"/>
            <w:col w:w="736" w:space="40"/>
            <w:col w:w="478" w:space="741"/>
            <w:col w:w="1062" w:space="674"/>
            <w:col w:w="117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spacing w:before="72"/>
        <w:ind w:left="632" w:right="1151" w:firstLine="0"/>
        <w:jc w:val="left"/>
        <w:rPr>
          <w:sz w:val="22"/>
        </w:rPr>
      </w:pPr>
      <w:r>
        <w:rPr>
          <w:sz w:val="22"/>
        </w:rPr>
        <w:t>Los datos son promedios de cinco ovinos, por tratamiento muestreados en cada hora y en cada semana.</w:t>
      </w:r>
    </w:p>
    <w:p>
      <w:pPr>
        <w:spacing w:line="242" w:lineRule="auto" w:before="0"/>
        <w:ind w:left="632" w:right="471" w:firstLine="0"/>
        <w:jc w:val="left"/>
        <w:rPr>
          <w:sz w:val="22"/>
        </w:rPr>
      </w:pPr>
      <w:r>
        <w:rPr>
          <w:position w:val="8"/>
          <w:sz w:val="14"/>
        </w:rPr>
        <w:t>1</w:t>
      </w:r>
      <w:r>
        <w:rPr>
          <w:sz w:val="22"/>
        </w:rPr>
        <w:t>Error Estándar de la Media; </w:t>
      </w:r>
      <w:r>
        <w:rPr>
          <w:position w:val="8"/>
          <w:sz w:val="14"/>
        </w:rPr>
        <w:t>2</w:t>
      </w:r>
      <w:r>
        <w:rPr>
          <w:sz w:val="22"/>
        </w:rPr>
        <w:t>Efectos L, Lineal; Q, Cuadrático (P&lt;0.05); NS=no significativo (P&gt;0.05)</w:t>
      </w:r>
    </w:p>
    <w:p>
      <w:pPr>
        <w:spacing w:line="250" w:lineRule="exact" w:before="0"/>
        <w:ind w:left="632" w:right="471" w:firstLine="0"/>
        <w:jc w:val="left"/>
        <w:rPr>
          <w:sz w:val="22"/>
        </w:rPr>
      </w:pPr>
      <w:r>
        <w:rPr>
          <w:position w:val="8"/>
          <w:sz w:val="14"/>
        </w:rPr>
        <w:t>ab </w:t>
      </w:r>
      <w:r>
        <w:rPr>
          <w:sz w:val="22"/>
        </w:rPr>
        <w:t>Medias con literales diferentes en la misma fila, difieren estadísticamente (P≤0.05).</w:t>
      </w:r>
    </w:p>
    <w:p>
      <w:pPr>
        <w:spacing w:after="0" w:line="250" w:lineRule="exact"/>
        <w:jc w:val="left"/>
        <w:rPr>
          <w:sz w:val="22"/>
        </w:rPr>
        <w:sectPr>
          <w:type w:val="continuous"/>
          <w:pgSz w:w="12240" w:h="15840"/>
          <w:pgMar w:top="1500" w:bottom="280" w:left="1240" w:right="900"/>
        </w:sectPr>
      </w:pPr>
    </w:p>
    <w:p>
      <w:pPr>
        <w:pStyle w:val="BodyText"/>
        <w:spacing w:before="3"/>
        <w:rPr>
          <w:sz w:val="9"/>
        </w:rPr>
      </w:pPr>
    </w:p>
    <w:p>
      <w:pPr>
        <w:spacing w:before="73"/>
        <w:ind w:left="212" w:right="0" w:firstLine="0"/>
        <w:jc w:val="left"/>
        <w:rPr>
          <w:b/>
          <w:i/>
          <w:sz w:val="22"/>
        </w:rPr>
      </w:pPr>
      <w:bookmarkStart w:name="_bookmark70" w:id="135"/>
      <w:bookmarkEnd w:id="135"/>
      <w:r>
        <w:rPr/>
      </w:r>
      <w:r>
        <w:rPr>
          <w:b/>
          <w:i/>
          <w:sz w:val="22"/>
        </w:rPr>
        <w:t>7.5.3 Ensayo metabólico (Concentración de macro y microminerales en órganos y tejidos)</w:t>
      </w:r>
    </w:p>
    <w:p>
      <w:pPr>
        <w:pStyle w:val="BodyText"/>
        <w:spacing w:line="357" w:lineRule="auto" w:before="122"/>
        <w:ind w:left="212" w:right="106" w:firstLine="427"/>
        <w:jc w:val="both"/>
      </w:pPr>
      <w:r>
        <w:rPr/>
        <w:t>En el </w:t>
      </w:r>
      <w:r>
        <w:rPr>
          <w:b/>
        </w:rPr>
        <w:t>Cuadro 17 </w:t>
      </w:r>
      <w:r>
        <w:rPr/>
        <w:t>se observan los resultados del efecto de la concentración de Cr en la dieta sobre el contenido de minerales en hígado. La concentración Ca, P, Mg y Na no fue afectada (P&gt;0.05) por el nivel de Cr en la dieta. La concentración de K mostró  una respuesta cuadrática (P&lt;0.05) tanto en hígado como en hueso; en hígado, la concentración de K fue mayor con el nivel de 0.4 ppm LevCr con respecto al testigo y al T4 (0.6 ppm LevCr). En hueso, la concentracion más baja de K se encontró con 0.2 y 0.4 ppm LevCr  con respecto al control y al nivel de 0.6 ppm LevCr. </w:t>
      </w:r>
      <w:r>
        <w:rPr>
          <w:spacing w:val="-3"/>
        </w:rPr>
        <w:t>La </w:t>
      </w:r>
      <w:r>
        <w:rPr/>
        <w:t>concentración de P, Mg y Na en hueso no fue afectada (P&gt;0.05) por el nivel de Cr; en cambio, el contenido de Ca en hueso fue afectado (P&lt;0.05) por el nivel de Cr en la dieta, el valor menor fue para los corderos  que recibieron 0.4 mg Cr kg</w:t>
      </w:r>
      <w:r>
        <w:rPr>
          <w:position w:val="9"/>
          <w:sz w:val="16"/>
        </w:rPr>
        <w:t>-1</w:t>
      </w:r>
      <w:r>
        <w:rPr>
          <w:spacing w:val="15"/>
          <w:position w:val="9"/>
          <w:sz w:val="16"/>
        </w:rPr>
        <w:t> </w:t>
      </w:r>
      <w:r>
        <w:rPr/>
        <w:t>MS.</w:t>
      </w:r>
    </w:p>
    <w:p>
      <w:pPr>
        <w:spacing w:after="0" w:line="357" w:lineRule="auto"/>
        <w:jc w:val="both"/>
        <w:sectPr>
          <w:pgSz w:w="12240" w:h="15840"/>
          <w:pgMar w:header="1154" w:footer="1503" w:top="1620" w:bottom="1700" w:left="1660" w:right="1420"/>
        </w:sectPr>
      </w:pPr>
    </w:p>
    <w:p>
      <w:pPr>
        <w:pStyle w:val="BodyText"/>
        <w:spacing w:before="2"/>
        <w:rPr>
          <w:sz w:val="9"/>
        </w:rPr>
      </w:pPr>
    </w:p>
    <w:p>
      <w:pPr>
        <w:pStyle w:val="BodyText"/>
        <w:spacing w:line="360" w:lineRule="auto" w:before="69" w:after="12"/>
        <w:ind w:left="212" w:right="231"/>
      </w:pPr>
      <w:r>
        <w:rPr>
          <w:b/>
        </w:rPr>
        <w:t>Cuadro 17. </w:t>
      </w:r>
      <w:r>
        <w:rPr/>
        <w:t>Efecto del Cr orgánico sobre el contenido de Ca, P, Mg, Na y K en hígado y hueso de ovinos en engorda intensiva.</w:t>
      </w:r>
    </w:p>
    <w:tbl>
      <w:tblPr>
        <w:tblW w:w="0" w:type="auto"/>
        <w:jc w:val="left"/>
        <w:tblInd w:w="1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22"/>
        <w:gridCol w:w="1001"/>
        <w:gridCol w:w="919"/>
        <w:gridCol w:w="1044"/>
        <w:gridCol w:w="1006"/>
        <w:gridCol w:w="558"/>
        <w:gridCol w:w="981"/>
        <w:gridCol w:w="1364"/>
      </w:tblGrid>
      <w:tr>
        <w:trPr>
          <w:trHeight w:val="847" w:hRule="exact"/>
        </w:trPr>
        <w:tc>
          <w:tcPr>
            <w:tcW w:w="2122" w:type="dxa"/>
            <w:tcBorders>
              <w:left w:val="nil"/>
              <w:bottom w:val="nil"/>
              <w:right w:val="nil"/>
            </w:tcBorders>
          </w:tcPr>
          <w:p>
            <w:pPr>
              <w:pStyle w:val="TableParagraph"/>
              <w:jc w:val="left"/>
              <w:rPr>
                <w:sz w:val="24"/>
              </w:rPr>
            </w:pPr>
          </w:p>
          <w:p>
            <w:pPr>
              <w:pStyle w:val="TableParagraph"/>
              <w:spacing w:before="148"/>
              <w:ind w:left="296" w:right="283"/>
              <w:rPr>
                <w:b/>
                <w:sz w:val="24"/>
              </w:rPr>
            </w:pPr>
            <w:r>
              <w:rPr>
                <w:b/>
                <w:sz w:val="24"/>
              </w:rPr>
              <w:t>Variable</w:t>
            </w:r>
          </w:p>
        </w:tc>
        <w:tc>
          <w:tcPr>
            <w:tcW w:w="3970" w:type="dxa"/>
            <w:gridSpan w:val="4"/>
            <w:tcBorders>
              <w:left w:val="nil"/>
              <w:right w:val="nil"/>
            </w:tcBorders>
          </w:tcPr>
          <w:p>
            <w:pPr>
              <w:pStyle w:val="TableParagraph"/>
              <w:spacing w:line="360" w:lineRule="auto"/>
              <w:ind w:left="1708" w:right="351" w:hanging="1342"/>
              <w:jc w:val="left"/>
              <w:rPr>
                <w:b/>
                <w:sz w:val="24"/>
              </w:rPr>
            </w:pPr>
            <w:r>
              <w:rPr>
                <w:b/>
                <w:sz w:val="24"/>
              </w:rPr>
              <w:t>Tratamiento (Cromo Orgánico, ppm)</w:t>
            </w:r>
          </w:p>
        </w:tc>
        <w:tc>
          <w:tcPr>
            <w:tcW w:w="558" w:type="dxa"/>
            <w:tcBorders>
              <w:left w:val="nil"/>
              <w:bottom w:val="nil"/>
              <w:right w:val="nil"/>
            </w:tcBorders>
          </w:tcPr>
          <w:p>
            <w:pPr>
              <w:pStyle w:val="TableParagraph"/>
              <w:spacing w:before="7"/>
              <w:jc w:val="left"/>
              <w:rPr>
                <w:sz w:val="35"/>
              </w:rPr>
            </w:pPr>
          </w:p>
          <w:p>
            <w:pPr>
              <w:pStyle w:val="TableParagraph"/>
              <w:ind w:left="45" w:right="49"/>
              <w:rPr>
                <w:rFonts w:ascii="Calibri" w:hAnsi="Calibri"/>
                <w:b/>
                <w:sz w:val="24"/>
              </w:rPr>
            </w:pPr>
            <w:r>
              <w:rPr>
                <w:b/>
                <w:sz w:val="24"/>
              </w:rPr>
              <w:t>P</w:t>
            </w:r>
            <w:r>
              <w:rPr>
                <w:rFonts w:ascii="Calibri" w:hAnsi="Calibri"/>
                <w:b/>
                <w:sz w:val="24"/>
              </w:rPr>
              <w:t>≤</w:t>
            </w:r>
          </w:p>
        </w:tc>
        <w:tc>
          <w:tcPr>
            <w:tcW w:w="981" w:type="dxa"/>
            <w:tcBorders>
              <w:left w:val="nil"/>
              <w:bottom w:val="nil"/>
              <w:right w:val="nil"/>
            </w:tcBorders>
          </w:tcPr>
          <w:p>
            <w:pPr>
              <w:pStyle w:val="TableParagraph"/>
              <w:spacing w:before="4"/>
              <w:jc w:val="left"/>
              <w:rPr>
                <w:sz w:val="36"/>
              </w:rPr>
            </w:pPr>
          </w:p>
          <w:p>
            <w:pPr>
              <w:pStyle w:val="TableParagraph"/>
              <w:ind w:left="52" w:right="107"/>
              <w:rPr>
                <w:b/>
                <w:sz w:val="16"/>
              </w:rPr>
            </w:pPr>
            <w:r>
              <w:rPr>
                <w:b/>
                <w:sz w:val="24"/>
              </w:rPr>
              <w:t>EEM</w:t>
            </w:r>
            <w:r>
              <w:rPr>
                <w:b/>
                <w:position w:val="8"/>
                <w:sz w:val="16"/>
              </w:rPr>
              <w:t>1</w:t>
            </w:r>
          </w:p>
        </w:tc>
        <w:tc>
          <w:tcPr>
            <w:tcW w:w="1364" w:type="dxa"/>
            <w:tcBorders>
              <w:left w:val="nil"/>
              <w:bottom w:val="nil"/>
              <w:right w:val="nil"/>
            </w:tcBorders>
          </w:tcPr>
          <w:p>
            <w:pPr>
              <w:pStyle w:val="TableParagraph"/>
              <w:jc w:val="left"/>
              <w:rPr>
                <w:sz w:val="24"/>
              </w:rPr>
            </w:pPr>
          </w:p>
          <w:p>
            <w:pPr>
              <w:pStyle w:val="TableParagraph"/>
              <w:spacing w:before="148"/>
              <w:ind w:left="109" w:right="173"/>
              <w:rPr>
                <w:b/>
                <w:sz w:val="24"/>
              </w:rPr>
            </w:pPr>
            <w:r>
              <w:rPr>
                <w:b/>
                <w:sz w:val="24"/>
              </w:rPr>
              <w:t>Polinomio</w:t>
            </w:r>
          </w:p>
        </w:tc>
      </w:tr>
      <w:tr>
        <w:trPr>
          <w:trHeight w:val="434" w:hRule="exact"/>
        </w:trPr>
        <w:tc>
          <w:tcPr>
            <w:tcW w:w="2122" w:type="dxa"/>
            <w:tcBorders>
              <w:top w:val="nil"/>
              <w:left w:val="nil"/>
              <w:right w:val="nil"/>
            </w:tcBorders>
          </w:tcPr>
          <w:p>
            <w:pPr/>
          </w:p>
        </w:tc>
        <w:tc>
          <w:tcPr>
            <w:tcW w:w="1001" w:type="dxa"/>
            <w:tcBorders>
              <w:left w:val="nil"/>
              <w:right w:val="nil"/>
            </w:tcBorders>
          </w:tcPr>
          <w:p>
            <w:pPr>
              <w:pStyle w:val="TableParagraph"/>
              <w:spacing w:line="275" w:lineRule="exact"/>
              <w:ind w:left="2"/>
              <w:rPr>
                <w:b/>
                <w:sz w:val="24"/>
              </w:rPr>
            </w:pPr>
            <w:r>
              <w:rPr>
                <w:b/>
                <w:sz w:val="24"/>
              </w:rPr>
              <w:t>0</w:t>
            </w:r>
          </w:p>
        </w:tc>
        <w:tc>
          <w:tcPr>
            <w:tcW w:w="919" w:type="dxa"/>
            <w:tcBorders>
              <w:left w:val="nil"/>
              <w:right w:val="nil"/>
            </w:tcBorders>
          </w:tcPr>
          <w:p>
            <w:pPr>
              <w:pStyle w:val="TableParagraph"/>
              <w:spacing w:line="275" w:lineRule="exact"/>
              <w:ind w:left="72" w:right="74"/>
              <w:rPr>
                <w:b/>
                <w:sz w:val="24"/>
              </w:rPr>
            </w:pPr>
            <w:r>
              <w:rPr>
                <w:b/>
                <w:sz w:val="24"/>
              </w:rPr>
              <w:t>0.2</w:t>
            </w:r>
          </w:p>
        </w:tc>
        <w:tc>
          <w:tcPr>
            <w:tcW w:w="1044" w:type="dxa"/>
            <w:tcBorders>
              <w:left w:val="nil"/>
              <w:right w:val="nil"/>
            </w:tcBorders>
          </w:tcPr>
          <w:p>
            <w:pPr>
              <w:pStyle w:val="TableParagraph"/>
              <w:spacing w:line="275" w:lineRule="exact"/>
              <w:ind w:left="352" w:right="352"/>
              <w:rPr>
                <w:b/>
                <w:sz w:val="24"/>
              </w:rPr>
            </w:pPr>
            <w:r>
              <w:rPr>
                <w:b/>
                <w:sz w:val="24"/>
              </w:rPr>
              <w:t>0.4</w:t>
            </w:r>
          </w:p>
        </w:tc>
        <w:tc>
          <w:tcPr>
            <w:tcW w:w="1006" w:type="dxa"/>
            <w:tcBorders>
              <w:left w:val="nil"/>
              <w:right w:val="nil"/>
            </w:tcBorders>
          </w:tcPr>
          <w:p>
            <w:pPr>
              <w:pStyle w:val="TableParagraph"/>
              <w:spacing w:line="275" w:lineRule="exact"/>
              <w:ind w:left="75" w:right="77"/>
              <w:rPr>
                <w:b/>
                <w:sz w:val="24"/>
              </w:rPr>
            </w:pPr>
            <w:r>
              <w:rPr>
                <w:b/>
                <w:sz w:val="24"/>
              </w:rPr>
              <w:t>0.6</w:t>
            </w:r>
          </w:p>
        </w:tc>
        <w:tc>
          <w:tcPr>
            <w:tcW w:w="558" w:type="dxa"/>
            <w:tcBorders>
              <w:top w:val="nil"/>
              <w:left w:val="nil"/>
              <w:right w:val="nil"/>
            </w:tcBorders>
          </w:tcPr>
          <w:p>
            <w:pPr/>
          </w:p>
        </w:tc>
        <w:tc>
          <w:tcPr>
            <w:tcW w:w="981" w:type="dxa"/>
            <w:tcBorders>
              <w:top w:val="nil"/>
              <w:left w:val="nil"/>
              <w:right w:val="nil"/>
            </w:tcBorders>
          </w:tcPr>
          <w:p>
            <w:pPr/>
          </w:p>
        </w:tc>
        <w:tc>
          <w:tcPr>
            <w:tcW w:w="1364" w:type="dxa"/>
            <w:tcBorders>
              <w:top w:val="nil"/>
              <w:left w:val="nil"/>
              <w:right w:val="nil"/>
            </w:tcBorders>
          </w:tcPr>
          <w:p>
            <w:pPr/>
          </w:p>
        </w:tc>
      </w:tr>
      <w:tr>
        <w:trPr>
          <w:trHeight w:val="304" w:hRule="exact"/>
        </w:trPr>
        <w:tc>
          <w:tcPr>
            <w:tcW w:w="8995" w:type="dxa"/>
            <w:gridSpan w:val="8"/>
            <w:tcBorders>
              <w:left w:val="nil"/>
              <w:bottom w:val="nil"/>
              <w:right w:val="nil"/>
            </w:tcBorders>
          </w:tcPr>
          <w:p>
            <w:pPr>
              <w:pStyle w:val="TableParagraph"/>
              <w:spacing w:line="223" w:lineRule="exact"/>
              <w:ind w:left="208"/>
              <w:jc w:val="left"/>
              <w:rPr>
                <w:sz w:val="20"/>
              </w:rPr>
            </w:pPr>
            <w:r>
              <w:rPr>
                <w:sz w:val="20"/>
              </w:rPr>
              <w:t>Higado (mg/kg</w:t>
            </w:r>
            <w:r>
              <w:rPr>
                <w:position w:val="7"/>
                <w:sz w:val="13"/>
              </w:rPr>
              <w:t>-1 </w:t>
            </w:r>
            <w:r>
              <w:rPr>
                <w:sz w:val="20"/>
              </w:rPr>
              <w:t>BH)</w:t>
            </w:r>
          </w:p>
        </w:tc>
      </w:tr>
      <w:tr>
        <w:trPr>
          <w:trHeight w:val="408" w:hRule="exact"/>
        </w:trPr>
        <w:tc>
          <w:tcPr>
            <w:tcW w:w="2122" w:type="dxa"/>
            <w:tcBorders>
              <w:top w:val="nil"/>
              <w:left w:val="nil"/>
              <w:bottom w:val="nil"/>
              <w:right w:val="nil"/>
            </w:tcBorders>
          </w:tcPr>
          <w:p>
            <w:pPr>
              <w:pStyle w:val="TableParagraph"/>
              <w:spacing w:before="45"/>
              <w:ind w:left="296" w:right="284"/>
              <w:rPr>
                <w:sz w:val="24"/>
              </w:rPr>
            </w:pPr>
            <w:r>
              <w:rPr>
                <w:sz w:val="24"/>
              </w:rPr>
              <w:t>Ca</w:t>
            </w:r>
          </w:p>
        </w:tc>
        <w:tc>
          <w:tcPr>
            <w:tcW w:w="1001" w:type="dxa"/>
            <w:tcBorders>
              <w:top w:val="nil"/>
              <w:left w:val="nil"/>
              <w:bottom w:val="nil"/>
              <w:right w:val="nil"/>
            </w:tcBorders>
          </w:tcPr>
          <w:p>
            <w:pPr>
              <w:pStyle w:val="TableParagraph"/>
              <w:spacing w:before="45"/>
              <w:ind w:left="72" w:right="72"/>
              <w:rPr>
                <w:sz w:val="24"/>
              </w:rPr>
            </w:pPr>
            <w:r>
              <w:rPr>
                <w:sz w:val="24"/>
              </w:rPr>
              <w:t>198.59</w:t>
            </w:r>
          </w:p>
        </w:tc>
        <w:tc>
          <w:tcPr>
            <w:tcW w:w="919" w:type="dxa"/>
            <w:tcBorders>
              <w:top w:val="nil"/>
              <w:left w:val="nil"/>
              <w:bottom w:val="nil"/>
              <w:right w:val="nil"/>
            </w:tcBorders>
          </w:tcPr>
          <w:p>
            <w:pPr>
              <w:pStyle w:val="TableParagraph"/>
              <w:spacing w:before="45"/>
              <w:ind w:left="72" w:right="74"/>
              <w:rPr>
                <w:sz w:val="24"/>
              </w:rPr>
            </w:pPr>
            <w:r>
              <w:rPr>
                <w:sz w:val="24"/>
              </w:rPr>
              <w:t>154.78</w:t>
            </w:r>
          </w:p>
        </w:tc>
        <w:tc>
          <w:tcPr>
            <w:tcW w:w="1044" w:type="dxa"/>
            <w:tcBorders>
              <w:top w:val="nil"/>
              <w:left w:val="nil"/>
              <w:bottom w:val="nil"/>
              <w:right w:val="nil"/>
            </w:tcBorders>
          </w:tcPr>
          <w:p>
            <w:pPr>
              <w:pStyle w:val="TableParagraph"/>
              <w:spacing w:before="45"/>
              <w:ind w:left="192"/>
              <w:jc w:val="left"/>
              <w:rPr>
                <w:sz w:val="24"/>
              </w:rPr>
            </w:pPr>
            <w:r>
              <w:rPr>
                <w:sz w:val="24"/>
              </w:rPr>
              <w:t>204.15</w:t>
            </w:r>
          </w:p>
        </w:tc>
        <w:tc>
          <w:tcPr>
            <w:tcW w:w="1006" w:type="dxa"/>
            <w:tcBorders>
              <w:top w:val="nil"/>
              <w:left w:val="nil"/>
              <w:bottom w:val="nil"/>
              <w:right w:val="nil"/>
            </w:tcBorders>
          </w:tcPr>
          <w:p>
            <w:pPr>
              <w:pStyle w:val="TableParagraph"/>
              <w:spacing w:before="45"/>
              <w:ind w:left="75" w:right="77"/>
              <w:rPr>
                <w:sz w:val="24"/>
              </w:rPr>
            </w:pPr>
            <w:r>
              <w:rPr>
                <w:sz w:val="24"/>
              </w:rPr>
              <w:t>168.38</w:t>
            </w:r>
          </w:p>
        </w:tc>
        <w:tc>
          <w:tcPr>
            <w:tcW w:w="558" w:type="dxa"/>
            <w:tcBorders>
              <w:top w:val="nil"/>
              <w:left w:val="nil"/>
              <w:bottom w:val="nil"/>
              <w:right w:val="nil"/>
            </w:tcBorders>
          </w:tcPr>
          <w:p>
            <w:pPr>
              <w:pStyle w:val="TableParagraph"/>
              <w:spacing w:before="45"/>
              <w:ind w:left="48" w:right="49"/>
              <w:rPr>
                <w:sz w:val="24"/>
              </w:rPr>
            </w:pPr>
            <w:r>
              <w:rPr>
                <w:sz w:val="24"/>
              </w:rPr>
              <w:t>0.44</w:t>
            </w:r>
          </w:p>
        </w:tc>
        <w:tc>
          <w:tcPr>
            <w:tcW w:w="981" w:type="dxa"/>
            <w:tcBorders>
              <w:top w:val="nil"/>
              <w:left w:val="nil"/>
              <w:bottom w:val="nil"/>
              <w:right w:val="nil"/>
            </w:tcBorders>
          </w:tcPr>
          <w:p>
            <w:pPr>
              <w:pStyle w:val="TableParagraph"/>
              <w:spacing w:before="45"/>
              <w:ind w:left="52" w:right="108"/>
              <w:rPr>
                <w:sz w:val="24"/>
              </w:rPr>
            </w:pPr>
            <w:r>
              <w:rPr>
                <w:sz w:val="24"/>
              </w:rPr>
              <w:t>58.12</w:t>
            </w:r>
          </w:p>
        </w:tc>
        <w:tc>
          <w:tcPr>
            <w:tcW w:w="1364" w:type="dxa"/>
            <w:tcBorders>
              <w:top w:val="nil"/>
              <w:left w:val="nil"/>
              <w:bottom w:val="nil"/>
              <w:right w:val="nil"/>
            </w:tcBorders>
          </w:tcPr>
          <w:p>
            <w:pPr>
              <w:pStyle w:val="TableParagraph"/>
              <w:spacing w:before="78"/>
              <w:ind w:left="109" w:right="172"/>
              <w:rPr>
                <w:sz w:val="22"/>
              </w:rPr>
            </w:pPr>
            <w:r>
              <w:rPr>
                <w:sz w:val="22"/>
              </w:rPr>
              <w:t>NS</w:t>
            </w:r>
          </w:p>
        </w:tc>
      </w:tr>
      <w:tr>
        <w:trPr>
          <w:trHeight w:val="415" w:hRule="exact"/>
        </w:trPr>
        <w:tc>
          <w:tcPr>
            <w:tcW w:w="2122" w:type="dxa"/>
            <w:tcBorders>
              <w:top w:val="nil"/>
              <w:left w:val="nil"/>
              <w:bottom w:val="nil"/>
              <w:right w:val="nil"/>
            </w:tcBorders>
          </w:tcPr>
          <w:p>
            <w:pPr>
              <w:pStyle w:val="TableParagraph"/>
              <w:spacing w:before="50"/>
              <w:ind w:left="12"/>
              <w:rPr>
                <w:sz w:val="24"/>
              </w:rPr>
            </w:pPr>
            <w:r>
              <w:rPr>
                <w:w w:val="99"/>
                <w:sz w:val="24"/>
              </w:rPr>
              <w:t>P</w:t>
            </w:r>
          </w:p>
        </w:tc>
        <w:tc>
          <w:tcPr>
            <w:tcW w:w="1001" w:type="dxa"/>
            <w:tcBorders>
              <w:top w:val="nil"/>
              <w:left w:val="nil"/>
              <w:bottom w:val="nil"/>
              <w:right w:val="nil"/>
            </w:tcBorders>
          </w:tcPr>
          <w:p>
            <w:pPr>
              <w:pStyle w:val="TableParagraph"/>
              <w:spacing w:before="50"/>
              <w:ind w:left="74" w:right="72"/>
              <w:rPr>
                <w:sz w:val="24"/>
              </w:rPr>
            </w:pPr>
            <w:r>
              <w:rPr>
                <w:sz w:val="24"/>
              </w:rPr>
              <w:t>21833</w:t>
            </w:r>
          </w:p>
        </w:tc>
        <w:tc>
          <w:tcPr>
            <w:tcW w:w="919" w:type="dxa"/>
            <w:tcBorders>
              <w:top w:val="nil"/>
              <w:left w:val="nil"/>
              <w:bottom w:val="nil"/>
              <w:right w:val="nil"/>
            </w:tcBorders>
          </w:tcPr>
          <w:p>
            <w:pPr>
              <w:pStyle w:val="TableParagraph"/>
              <w:spacing w:before="50"/>
              <w:ind w:left="72" w:right="73"/>
              <w:rPr>
                <w:sz w:val="24"/>
              </w:rPr>
            </w:pPr>
            <w:r>
              <w:rPr>
                <w:sz w:val="24"/>
              </w:rPr>
              <w:t>21205</w:t>
            </w:r>
          </w:p>
        </w:tc>
        <w:tc>
          <w:tcPr>
            <w:tcW w:w="1044" w:type="dxa"/>
            <w:tcBorders>
              <w:top w:val="nil"/>
              <w:left w:val="nil"/>
              <w:bottom w:val="nil"/>
              <w:right w:val="nil"/>
            </w:tcBorders>
          </w:tcPr>
          <w:p>
            <w:pPr>
              <w:pStyle w:val="TableParagraph"/>
              <w:spacing w:before="50"/>
              <w:ind w:left="221"/>
              <w:jc w:val="left"/>
              <w:rPr>
                <w:sz w:val="24"/>
              </w:rPr>
            </w:pPr>
            <w:r>
              <w:rPr>
                <w:sz w:val="24"/>
              </w:rPr>
              <w:t>21553</w:t>
            </w:r>
          </w:p>
        </w:tc>
        <w:tc>
          <w:tcPr>
            <w:tcW w:w="1006" w:type="dxa"/>
            <w:tcBorders>
              <w:top w:val="nil"/>
              <w:left w:val="nil"/>
              <w:bottom w:val="nil"/>
              <w:right w:val="nil"/>
            </w:tcBorders>
          </w:tcPr>
          <w:p>
            <w:pPr>
              <w:pStyle w:val="TableParagraph"/>
              <w:spacing w:before="50"/>
              <w:ind w:left="77" w:right="77"/>
              <w:rPr>
                <w:sz w:val="24"/>
              </w:rPr>
            </w:pPr>
            <w:r>
              <w:rPr>
                <w:sz w:val="24"/>
              </w:rPr>
              <w:t>20064</w:t>
            </w:r>
          </w:p>
        </w:tc>
        <w:tc>
          <w:tcPr>
            <w:tcW w:w="558" w:type="dxa"/>
            <w:tcBorders>
              <w:top w:val="nil"/>
              <w:left w:val="nil"/>
              <w:bottom w:val="nil"/>
              <w:right w:val="nil"/>
            </w:tcBorders>
          </w:tcPr>
          <w:p>
            <w:pPr>
              <w:pStyle w:val="TableParagraph"/>
              <w:spacing w:before="50"/>
              <w:ind w:left="48" w:right="49"/>
              <w:rPr>
                <w:sz w:val="24"/>
              </w:rPr>
            </w:pPr>
            <w:r>
              <w:rPr>
                <w:sz w:val="24"/>
              </w:rPr>
              <w:t>0.44</w:t>
            </w:r>
          </w:p>
        </w:tc>
        <w:tc>
          <w:tcPr>
            <w:tcW w:w="981" w:type="dxa"/>
            <w:tcBorders>
              <w:top w:val="nil"/>
              <w:left w:val="nil"/>
              <w:bottom w:val="nil"/>
              <w:right w:val="nil"/>
            </w:tcBorders>
          </w:tcPr>
          <w:p>
            <w:pPr>
              <w:pStyle w:val="TableParagraph"/>
              <w:spacing w:before="50"/>
              <w:ind w:left="52" w:right="108"/>
              <w:rPr>
                <w:sz w:val="24"/>
              </w:rPr>
            </w:pPr>
            <w:r>
              <w:rPr>
                <w:sz w:val="24"/>
              </w:rPr>
              <w:t>804.5</w:t>
            </w:r>
          </w:p>
        </w:tc>
        <w:tc>
          <w:tcPr>
            <w:tcW w:w="1364" w:type="dxa"/>
            <w:tcBorders>
              <w:top w:val="nil"/>
              <w:left w:val="nil"/>
              <w:bottom w:val="nil"/>
              <w:right w:val="nil"/>
            </w:tcBorders>
          </w:tcPr>
          <w:p>
            <w:pPr>
              <w:pStyle w:val="TableParagraph"/>
              <w:spacing w:before="85"/>
              <w:ind w:left="109" w:right="172"/>
              <w:rPr>
                <w:sz w:val="22"/>
              </w:rPr>
            </w:pPr>
            <w:r>
              <w:rPr>
                <w:sz w:val="22"/>
              </w:rPr>
              <w:t>NS</w:t>
            </w:r>
          </w:p>
        </w:tc>
      </w:tr>
      <w:tr>
        <w:trPr>
          <w:trHeight w:val="413" w:hRule="exact"/>
        </w:trPr>
        <w:tc>
          <w:tcPr>
            <w:tcW w:w="2122" w:type="dxa"/>
            <w:tcBorders>
              <w:top w:val="nil"/>
              <w:left w:val="nil"/>
              <w:bottom w:val="nil"/>
              <w:right w:val="nil"/>
            </w:tcBorders>
          </w:tcPr>
          <w:p>
            <w:pPr>
              <w:pStyle w:val="TableParagraph"/>
              <w:spacing w:before="50"/>
              <w:ind w:left="296" w:right="285"/>
              <w:rPr>
                <w:sz w:val="24"/>
              </w:rPr>
            </w:pPr>
            <w:r>
              <w:rPr>
                <w:sz w:val="24"/>
              </w:rPr>
              <w:t>Mg</w:t>
            </w:r>
          </w:p>
        </w:tc>
        <w:tc>
          <w:tcPr>
            <w:tcW w:w="1001" w:type="dxa"/>
            <w:tcBorders>
              <w:top w:val="nil"/>
              <w:left w:val="nil"/>
              <w:bottom w:val="nil"/>
              <w:right w:val="nil"/>
            </w:tcBorders>
          </w:tcPr>
          <w:p>
            <w:pPr>
              <w:pStyle w:val="TableParagraph"/>
              <w:spacing w:before="50"/>
              <w:ind w:left="72" w:right="72"/>
              <w:rPr>
                <w:sz w:val="24"/>
              </w:rPr>
            </w:pPr>
            <w:r>
              <w:rPr>
                <w:sz w:val="24"/>
              </w:rPr>
              <w:t>484.2</w:t>
            </w:r>
          </w:p>
        </w:tc>
        <w:tc>
          <w:tcPr>
            <w:tcW w:w="919" w:type="dxa"/>
            <w:tcBorders>
              <w:top w:val="nil"/>
              <w:left w:val="nil"/>
              <w:bottom w:val="nil"/>
              <w:right w:val="nil"/>
            </w:tcBorders>
          </w:tcPr>
          <w:p>
            <w:pPr>
              <w:pStyle w:val="TableParagraph"/>
              <w:spacing w:before="50"/>
              <w:ind w:left="72" w:right="74"/>
              <w:rPr>
                <w:sz w:val="24"/>
              </w:rPr>
            </w:pPr>
            <w:r>
              <w:rPr>
                <w:sz w:val="24"/>
              </w:rPr>
              <w:t>432.2</w:t>
            </w:r>
          </w:p>
        </w:tc>
        <w:tc>
          <w:tcPr>
            <w:tcW w:w="1044" w:type="dxa"/>
            <w:tcBorders>
              <w:top w:val="nil"/>
              <w:left w:val="nil"/>
              <w:bottom w:val="nil"/>
              <w:right w:val="nil"/>
            </w:tcBorders>
          </w:tcPr>
          <w:p>
            <w:pPr>
              <w:pStyle w:val="TableParagraph"/>
              <w:spacing w:before="50"/>
              <w:ind w:left="252"/>
              <w:jc w:val="left"/>
              <w:rPr>
                <w:sz w:val="24"/>
              </w:rPr>
            </w:pPr>
            <w:r>
              <w:rPr>
                <w:sz w:val="24"/>
              </w:rPr>
              <w:t>503.7</w:t>
            </w:r>
          </w:p>
        </w:tc>
        <w:tc>
          <w:tcPr>
            <w:tcW w:w="1006" w:type="dxa"/>
            <w:tcBorders>
              <w:top w:val="nil"/>
              <w:left w:val="nil"/>
              <w:bottom w:val="nil"/>
              <w:right w:val="nil"/>
            </w:tcBorders>
          </w:tcPr>
          <w:p>
            <w:pPr>
              <w:pStyle w:val="TableParagraph"/>
              <w:spacing w:before="50"/>
              <w:ind w:left="75" w:right="77"/>
              <w:rPr>
                <w:sz w:val="24"/>
              </w:rPr>
            </w:pPr>
            <w:r>
              <w:rPr>
                <w:sz w:val="24"/>
              </w:rPr>
              <w:t>428.9</w:t>
            </w:r>
          </w:p>
        </w:tc>
        <w:tc>
          <w:tcPr>
            <w:tcW w:w="558" w:type="dxa"/>
            <w:tcBorders>
              <w:top w:val="nil"/>
              <w:left w:val="nil"/>
              <w:bottom w:val="nil"/>
              <w:right w:val="nil"/>
            </w:tcBorders>
          </w:tcPr>
          <w:p>
            <w:pPr>
              <w:pStyle w:val="TableParagraph"/>
              <w:spacing w:before="50"/>
              <w:ind w:left="48" w:right="49"/>
              <w:rPr>
                <w:sz w:val="24"/>
              </w:rPr>
            </w:pPr>
            <w:r>
              <w:rPr>
                <w:sz w:val="24"/>
              </w:rPr>
              <w:t>0.90</w:t>
            </w:r>
          </w:p>
        </w:tc>
        <w:tc>
          <w:tcPr>
            <w:tcW w:w="981" w:type="dxa"/>
            <w:tcBorders>
              <w:top w:val="nil"/>
              <w:left w:val="nil"/>
              <w:bottom w:val="nil"/>
              <w:right w:val="nil"/>
            </w:tcBorders>
          </w:tcPr>
          <w:p>
            <w:pPr>
              <w:pStyle w:val="TableParagraph"/>
              <w:spacing w:before="50"/>
              <w:ind w:left="52" w:right="108"/>
              <w:rPr>
                <w:sz w:val="24"/>
              </w:rPr>
            </w:pPr>
            <w:r>
              <w:rPr>
                <w:sz w:val="24"/>
              </w:rPr>
              <w:t>89.18</w:t>
            </w:r>
          </w:p>
        </w:tc>
        <w:tc>
          <w:tcPr>
            <w:tcW w:w="1364" w:type="dxa"/>
            <w:tcBorders>
              <w:top w:val="nil"/>
              <w:left w:val="nil"/>
              <w:bottom w:val="nil"/>
              <w:right w:val="nil"/>
            </w:tcBorders>
          </w:tcPr>
          <w:p>
            <w:pPr>
              <w:pStyle w:val="TableParagraph"/>
              <w:spacing w:before="83"/>
              <w:ind w:left="109" w:right="172"/>
              <w:rPr>
                <w:sz w:val="22"/>
              </w:rPr>
            </w:pPr>
            <w:r>
              <w:rPr>
                <w:sz w:val="22"/>
              </w:rPr>
              <w:t>NS</w:t>
            </w:r>
          </w:p>
        </w:tc>
      </w:tr>
      <w:tr>
        <w:trPr>
          <w:trHeight w:val="401" w:hRule="exact"/>
        </w:trPr>
        <w:tc>
          <w:tcPr>
            <w:tcW w:w="2122" w:type="dxa"/>
            <w:tcBorders>
              <w:top w:val="nil"/>
              <w:left w:val="nil"/>
              <w:bottom w:val="nil"/>
              <w:right w:val="nil"/>
            </w:tcBorders>
          </w:tcPr>
          <w:p>
            <w:pPr>
              <w:pStyle w:val="TableParagraph"/>
              <w:spacing w:before="50"/>
              <w:ind w:left="295" w:right="286"/>
              <w:rPr>
                <w:sz w:val="24"/>
              </w:rPr>
            </w:pPr>
            <w:r>
              <w:rPr>
                <w:sz w:val="24"/>
              </w:rPr>
              <w:t>Na</w:t>
            </w:r>
          </w:p>
        </w:tc>
        <w:tc>
          <w:tcPr>
            <w:tcW w:w="1001" w:type="dxa"/>
            <w:tcBorders>
              <w:top w:val="nil"/>
              <w:left w:val="nil"/>
              <w:bottom w:val="nil"/>
              <w:right w:val="nil"/>
            </w:tcBorders>
          </w:tcPr>
          <w:p>
            <w:pPr>
              <w:pStyle w:val="TableParagraph"/>
              <w:spacing w:before="50"/>
              <w:ind w:left="72" w:right="72"/>
              <w:rPr>
                <w:sz w:val="24"/>
              </w:rPr>
            </w:pPr>
            <w:r>
              <w:rPr>
                <w:sz w:val="24"/>
              </w:rPr>
              <w:t>9317.8</w:t>
            </w:r>
          </w:p>
        </w:tc>
        <w:tc>
          <w:tcPr>
            <w:tcW w:w="919" w:type="dxa"/>
            <w:tcBorders>
              <w:top w:val="nil"/>
              <w:left w:val="nil"/>
              <w:bottom w:val="nil"/>
              <w:right w:val="nil"/>
            </w:tcBorders>
          </w:tcPr>
          <w:p>
            <w:pPr>
              <w:pStyle w:val="TableParagraph"/>
              <w:spacing w:before="50"/>
              <w:ind w:left="72" w:right="74"/>
              <w:rPr>
                <w:sz w:val="24"/>
              </w:rPr>
            </w:pPr>
            <w:r>
              <w:rPr>
                <w:sz w:val="24"/>
              </w:rPr>
              <w:t>8077.2</w:t>
            </w:r>
          </w:p>
        </w:tc>
        <w:tc>
          <w:tcPr>
            <w:tcW w:w="1044" w:type="dxa"/>
            <w:tcBorders>
              <w:top w:val="nil"/>
              <w:left w:val="nil"/>
              <w:bottom w:val="nil"/>
              <w:right w:val="nil"/>
            </w:tcBorders>
          </w:tcPr>
          <w:p>
            <w:pPr>
              <w:pStyle w:val="TableParagraph"/>
              <w:spacing w:before="50"/>
              <w:ind w:left="192"/>
              <w:jc w:val="left"/>
              <w:rPr>
                <w:sz w:val="24"/>
              </w:rPr>
            </w:pPr>
            <w:r>
              <w:rPr>
                <w:sz w:val="24"/>
              </w:rPr>
              <w:t>9236.6</w:t>
            </w:r>
          </w:p>
        </w:tc>
        <w:tc>
          <w:tcPr>
            <w:tcW w:w="1006" w:type="dxa"/>
            <w:tcBorders>
              <w:top w:val="nil"/>
              <w:left w:val="nil"/>
              <w:bottom w:val="nil"/>
              <w:right w:val="nil"/>
            </w:tcBorders>
          </w:tcPr>
          <w:p>
            <w:pPr>
              <w:pStyle w:val="TableParagraph"/>
              <w:spacing w:before="50"/>
              <w:ind w:left="75" w:right="77"/>
              <w:rPr>
                <w:sz w:val="24"/>
              </w:rPr>
            </w:pPr>
            <w:r>
              <w:rPr>
                <w:sz w:val="24"/>
              </w:rPr>
              <w:t>8581.4</w:t>
            </w:r>
          </w:p>
        </w:tc>
        <w:tc>
          <w:tcPr>
            <w:tcW w:w="558" w:type="dxa"/>
            <w:tcBorders>
              <w:top w:val="nil"/>
              <w:left w:val="nil"/>
              <w:bottom w:val="nil"/>
              <w:right w:val="nil"/>
            </w:tcBorders>
          </w:tcPr>
          <w:p>
            <w:pPr>
              <w:pStyle w:val="TableParagraph"/>
              <w:spacing w:before="50"/>
              <w:ind w:left="48" w:right="49"/>
              <w:rPr>
                <w:sz w:val="24"/>
              </w:rPr>
            </w:pPr>
            <w:r>
              <w:rPr>
                <w:sz w:val="24"/>
              </w:rPr>
              <w:t>0.40</w:t>
            </w:r>
          </w:p>
        </w:tc>
        <w:tc>
          <w:tcPr>
            <w:tcW w:w="981" w:type="dxa"/>
            <w:tcBorders>
              <w:top w:val="nil"/>
              <w:left w:val="nil"/>
              <w:bottom w:val="nil"/>
              <w:right w:val="nil"/>
            </w:tcBorders>
          </w:tcPr>
          <w:p>
            <w:pPr>
              <w:pStyle w:val="TableParagraph"/>
              <w:spacing w:before="50"/>
              <w:ind w:left="52" w:right="108"/>
              <w:rPr>
                <w:sz w:val="24"/>
              </w:rPr>
            </w:pPr>
            <w:r>
              <w:rPr>
                <w:sz w:val="24"/>
              </w:rPr>
              <w:t>578.1</w:t>
            </w:r>
          </w:p>
        </w:tc>
        <w:tc>
          <w:tcPr>
            <w:tcW w:w="1364" w:type="dxa"/>
            <w:tcBorders>
              <w:top w:val="nil"/>
              <w:left w:val="nil"/>
              <w:bottom w:val="nil"/>
              <w:right w:val="nil"/>
            </w:tcBorders>
          </w:tcPr>
          <w:p>
            <w:pPr>
              <w:pStyle w:val="TableParagraph"/>
              <w:spacing w:before="85"/>
              <w:ind w:left="109" w:right="172"/>
              <w:rPr>
                <w:sz w:val="22"/>
              </w:rPr>
            </w:pPr>
            <w:r>
              <w:rPr>
                <w:sz w:val="22"/>
              </w:rPr>
              <w:t>NS</w:t>
            </w:r>
          </w:p>
        </w:tc>
      </w:tr>
      <w:tr>
        <w:trPr>
          <w:trHeight w:val="413" w:hRule="exact"/>
        </w:trPr>
        <w:tc>
          <w:tcPr>
            <w:tcW w:w="2122" w:type="dxa"/>
            <w:tcBorders>
              <w:top w:val="nil"/>
              <w:left w:val="nil"/>
              <w:bottom w:val="nil"/>
              <w:right w:val="nil"/>
            </w:tcBorders>
          </w:tcPr>
          <w:p>
            <w:pPr>
              <w:pStyle w:val="TableParagraph"/>
              <w:spacing w:before="64"/>
              <w:ind w:left="14"/>
              <w:rPr>
                <w:sz w:val="24"/>
              </w:rPr>
            </w:pPr>
            <w:r>
              <w:rPr>
                <w:w w:val="99"/>
                <w:sz w:val="24"/>
              </w:rPr>
              <w:t>K</w:t>
            </w:r>
          </w:p>
        </w:tc>
        <w:tc>
          <w:tcPr>
            <w:tcW w:w="1001" w:type="dxa"/>
            <w:tcBorders>
              <w:top w:val="nil"/>
              <w:left w:val="nil"/>
              <w:bottom w:val="nil"/>
              <w:right w:val="nil"/>
            </w:tcBorders>
          </w:tcPr>
          <w:p>
            <w:pPr>
              <w:pStyle w:val="TableParagraph"/>
              <w:spacing w:before="48"/>
              <w:ind w:left="76" w:right="72"/>
              <w:rPr>
                <w:sz w:val="16"/>
              </w:rPr>
            </w:pPr>
            <w:r>
              <w:rPr>
                <w:sz w:val="24"/>
              </w:rPr>
              <w:t>966.84</w:t>
            </w:r>
            <w:r>
              <w:rPr>
                <w:position w:val="9"/>
                <w:sz w:val="16"/>
              </w:rPr>
              <w:t>ab</w:t>
            </w:r>
          </w:p>
        </w:tc>
        <w:tc>
          <w:tcPr>
            <w:tcW w:w="919" w:type="dxa"/>
            <w:tcBorders>
              <w:top w:val="nil"/>
              <w:left w:val="nil"/>
              <w:bottom w:val="nil"/>
              <w:right w:val="nil"/>
            </w:tcBorders>
          </w:tcPr>
          <w:p>
            <w:pPr>
              <w:pStyle w:val="TableParagraph"/>
              <w:spacing w:before="48"/>
              <w:ind w:left="72" w:right="72"/>
              <w:rPr>
                <w:sz w:val="16"/>
              </w:rPr>
            </w:pPr>
            <w:r>
              <w:rPr>
                <w:sz w:val="24"/>
              </w:rPr>
              <w:t>966.5</w:t>
            </w:r>
            <w:r>
              <w:rPr>
                <w:position w:val="9"/>
                <w:sz w:val="16"/>
              </w:rPr>
              <w:t>ab</w:t>
            </w:r>
          </w:p>
        </w:tc>
        <w:tc>
          <w:tcPr>
            <w:tcW w:w="1044" w:type="dxa"/>
            <w:tcBorders>
              <w:top w:val="nil"/>
              <w:left w:val="nil"/>
              <w:bottom w:val="nil"/>
              <w:right w:val="nil"/>
            </w:tcBorders>
          </w:tcPr>
          <w:p>
            <w:pPr>
              <w:pStyle w:val="TableParagraph"/>
              <w:spacing w:before="48"/>
              <w:ind w:right="94"/>
              <w:jc w:val="right"/>
              <w:rPr>
                <w:sz w:val="16"/>
              </w:rPr>
            </w:pPr>
            <w:r>
              <w:rPr>
                <w:sz w:val="24"/>
              </w:rPr>
              <w:t>1032.64</w:t>
            </w:r>
            <w:r>
              <w:rPr>
                <w:position w:val="9"/>
                <w:sz w:val="16"/>
              </w:rPr>
              <w:t>a</w:t>
            </w:r>
          </w:p>
        </w:tc>
        <w:tc>
          <w:tcPr>
            <w:tcW w:w="1006" w:type="dxa"/>
            <w:tcBorders>
              <w:top w:val="nil"/>
              <w:left w:val="nil"/>
              <w:bottom w:val="nil"/>
              <w:right w:val="nil"/>
            </w:tcBorders>
          </w:tcPr>
          <w:p>
            <w:pPr>
              <w:pStyle w:val="TableParagraph"/>
              <w:spacing w:before="48"/>
              <w:ind w:left="77" w:right="77"/>
              <w:rPr>
                <w:sz w:val="16"/>
              </w:rPr>
            </w:pPr>
            <w:r>
              <w:rPr>
                <w:sz w:val="24"/>
              </w:rPr>
              <w:t>918.14</w:t>
            </w:r>
            <w:r>
              <w:rPr>
                <w:position w:val="9"/>
                <w:sz w:val="16"/>
              </w:rPr>
              <w:t>b</w:t>
            </w:r>
          </w:p>
        </w:tc>
        <w:tc>
          <w:tcPr>
            <w:tcW w:w="558" w:type="dxa"/>
            <w:tcBorders>
              <w:top w:val="nil"/>
              <w:left w:val="nil"/>
              <w:bottom w:val="nil"/>
              <w:right w:val="nil"/>
            </w:tcBorders>
          </w:tcPr>
          <w:p>
            <w:pPr>
              <w:pStyle w:val="TableParagraph"/>
              <w:spacing w:before="64"/>
              <w:ind w:left="48" w:right="49"/>
              <w:rPr>
                <w:sz w:val="24"/>
              </w:rPr>
            </w:pPr>
            <w:r>
              <w:rPr>
                <w:sz w:val="24"/>
              </w:rPr>
              <w:t>0.05</w:t>
            </w:r>
          </w:p>
        </w:tc>
        <w:tc>
          <w:tcPr>
            <w:tcW w:w="981" w:type="dxa"/>
            <w:tcBorders>
              <w:top w:val="nil"/>
              <w:left w:val="nil"/>
              <w:bottom w:val="nil"/>
              <w:right w:val="nil"/>
            </w:tcBorders>
          </w:tcPr>
          <w:p>
            <w:pPr>
              <w:pStyle w:val="TableParagraph"/>
              <w:spacing w:before="64"/>
              <w:ind w:left="52" w:right="108"/>
              <w:rPr>
                <w:sz w:val="24"/>
              </w:rPr>
            </w:pPr>
            <w:r>
              <w:rPr>
                <w:sz w:val="24"/>
              </w:rPr>
              <w:t>30.66</w:t>
            </w:r>
          </w:p>
        </w:tc>
        <w:tc>
          <w:tcPr>
            <w:tcW w:w="1364" w:type="dxa"/>
            <w:tcBorders>
              <w:top w:val="nil"/>
              <w:left w:val="nil"/>
              <w:bottom w:val="nil"/>
              <w:right w:val="nil"/>
            </w:tcBorders>
          </w:tcPr>
          <w:p>
            <w:pPr>
              <w:pStyle w:val="TableParagraph"/>
              <w:spacing w:before="97"/>
              <w:ind w:right="59"/>
              <w:rPr>
                <w:sz w:val="22"/>
              </w:rPr>
            </w:pPr>
            <w:r>
              <w:rPr>
                <w:w w:val="100"/>
                <w:sz w:val="22"/>
              </w:rPr>
              <w:t>Q</w:t>
            </w:r>
          </w:p>
        </w:tc>
      </w:tr>
      <w:tr>
        <w:trPr>
          <w:trHeight w:val="823" w:hRule="exact"/>
        </w:trPr>
        <w:tc>
          <w:tcPr>
            <w:tcW w:w="2122" w:type="dxa"/>
            <w:tcBorders>
              <w:top w:val="nil"/>
              <w:left w:val="nil"/>
              <w:bottom w:val="nil"/>
              <w:right w:val="nil"/>
            </w:tcBorders>
          </w:tcPr>
          <w:p>
            <w:pPr>
              <w:pStyle w:val="TableParagraph"/>
              <w:spacing w:before="48"/>
              <w:ind w:left="296" w:right="286"/>
              <w:rPr>
                <w:sz w:val="16"/>
              </w:rPr>
            </w:pPr>
            <w:r>
              <w:rPr>
                <w:sz w:val="24"/>
              </w:rPr>
              <w:t>Hueso (mg/kg</w:t>
            </w:r>
            <w:r>
              <w:rPr>
                <w:position w:val="9"/>
                <w:sz w:val="16"/>
              </w:rPr>
              <w:t>-1</w:t>
            </w:r>
          </w:p>
          <w:p>
            <w:pPr>
              <w:pStyle w:val="TableParagraph"/>
              <w:spacing w:before="139"/>
              <w:ind w:left="296" w:right="284"/>
              <w:rPr>
                <w:sz w:val="24"/>
              </w:rPr>
            </w:pPr>
            <w:r>
              <w:rPr>
                <w:sz w:val="24"/>
              </w:rPr>
              <w:t>BH)</w:t>
            </w:r>
          </w:p>
        </w:tc>
        <w:tc>
          <w:tcPr>
            <w:tcW w:w="1001" w:type="dxa"/>
            <w:tcBorders>
              <w:top w:val="nil"/>
              <w:left w:val="nil"/>
              <w:bottom w:val="nil"/>
              <w:right w:val="nil"/>
            </w:tcBorders>
          </w:tcPr>
          <w:p>
            <w:pPr/>
          </w:p>
        </w:tc>
        <w:tc>
          <w:tcPr>
            <w:tcW w:w="919" w:type="dxa"/>
            <w:tcBorders>
              <w:top w:val="nil"/>
              <w:left w:val="nil"/>
              <w:bottom w:val="nil"/>
              <w:right w:val="nil"/>
            </w:tcBorders>
          </w:tcPr>
          <w:p>
            <w:pPr/>
          </w:p>
        </w:tc>
        <w:tc>
          <w:tcPr>
            <w:tcW w:w="1044" w:type="dxa"/>
            <w:tcBorders>
              <w:top w:val="nil"/>
              <w:left w:val="nil"/>
              <w:bottom w:val="nil"/>
              <w:right w:val="nil"/>
            </w:tcBorders>
          </w:tcPr>
          <w:p>
            <w:pPr/>
          </w:p>
        </w:tc>
        <w:tc>
          <w:tcPr>
            <w:tcW w:w="1006" w:type="dxa"/>
            <w:tcBorders>
              <w:top w:val="nil"/>
              <w:left w:val="nil"/>
              <w:bottom w:val="nil"/>
              <w:right w:val="nil"/>
            </w:tcBorders>
          </w:tcPr>
          <w:p>
            <w:pPr/>
          </w:p>
        </w:tc>
        <w:tc>
          <w:tcPr>
            <w:tcW w:w="558" w:type="dxa"/>
            <w:tcBorders>
              <w:top w:val="nil"/>
              <w:left w:val="nil"/>
              <w:bottom w:val="nil"/>
              <w:right w:val="nil"/>
            </w:tcBorders>
          </w:tcPr>
          <w:p>
            <w:pPr/>
          </w:p>
        </w:tc>
        <w:tc>
          <w:tcPr>
            <w:tcW w:w="981" w:type="dxa"/>
            <w:tcBorders>
              <w:top w:val="nil"/>
              <w:left w:val="nil"/>
              <w:bottom w:val="nil"/>
              <w:right w:val="nil"/>
            </w:tcBorders>
          </w:tcPr>
          <w:p>
            <w:pPr/>
          </w:p>
        </w:tc>
        <w:tc>
          <w:tcPr>
            <w:tcW w:w="1364" w:type="dxa"/>
            <w:tcBorders>
              <w:top w:val="nil"/>
              <w:left w:val="nil"/>
              <w:bottom w:val="nil"/>
              <w:right w:val="nil"/>
            </w:tcBorders>
          </w:tcPr>
          <w:p>
            <w:pPr/>
          </w:p>
        </w:tc>
      </w:tr>
      <w:tr>
        <w:trPr>
          <w:trHeight w:val="434" w:hRule="exact"/>
        </w:trPr>
        <w:tc>
          <w:tcPr>
            <w:tcW w:w="2122" w:type="dxa"/>
            <w:tcBorders>
              <w:top w:val="nil"/>
              <w:left w:val="nil"/>
              <w:bottom w:val="nil"/>
              <w:right w:val="nil"/>
            </w:tcBorders>
          </w:tcPr>
          <w:p>
            <w:pPr>
              <w:pStyle w:val="TableParagraph"/>
              <w:spacing w:before="69"/>
              <w:ind w:left="296" w:right="284"/>
              <w:rPr>
                <w:sz w:val="24"/>
              </w:rPr>
            </w:pPr>
            <w:r>
              <w:rPr>
                <w:sz w:val="24"/>
              </w:rPr>
              <w:t>Ca</w:t>
            </w:r>
          </w:p>
        </w:tc>
        <w:tc>
          <w:tcPr>
            <w:tcW w:w="1001" w:type="dxa"/>
            <w:tcBorders>
              <w:top w:val="nil"/>
              <w:left w:val="nil"/>
              <w:bottom w:val="nil"/>
              <w:right w:val="nil"/>
            </w:tcBorders>
          </w:tcPr>
          <w:p>
            <w:pPr>
              <w:pStyle w:val="TableParagraph"/>
              <w:spacing w:before="54"/>
              <w:ind w:left="72" w:right="72"/>
              <w:rPr>
                <w:sz w:val="16"/>
              </w:rPr>
            </w:pPr>
            <w:r>
              <w:rPr>
                <w:sz w:val="24"/>
              </w:rPr>
              <w:t>292.15</w:t>
            </w:r>
            <w:r>
              <w:rPr>
                <w:position w:val="9"/>
                <w:sz w:val="16"/>
              </w:rPr>
              <w:t>a</w:t>
            </w:r>
          </w:p>
        </w:tc>
        <w:tc>
          <w:tcPr>
            <w:tcW w:w="919" w:type="dxa"/>
            <w:tcBorders>
              <w:top w:val="nil"/>
              <w:left w:val="nil"/>
              <w:bottom w:val="nil"/>
              <w:right w:val="nil"/>
            </w:tcBorders>
          </w:tcPr>
          <w:p>
            <w:pPr>
              <w:pStyle w:val="TableParagraph"/>
              <w:spacing w:before="54"/>
              <w:ind w:left="72" w:right="75"/>
              <w:rPr>
                <w:sz w:val="16"/>
              </w:rPr>
            </w:pPr>
            <w:r>
              <w:rPr>
                <w:sz w:val="24"/>
              </w:rPr>
              <w:t>314.32</w:t>
            </w:r>
            <w:r>
              <w:rPr>
                <w:position w:val="9"/>
                <w:sz w:val="16"/>
              </w:rPr>
              <w:t>a</w:t>
            </w:r>
          </w:p>
        </w:tc>
        <w:tc>
          <w:tcPr>
            <w:tcW w:w="1044" w:type="dxa"/>
            <w:tcBorders>
              <w:top w:val="nil"/>
              <w:left w:val="nil"/>
              <w:bottom w:val="nil"/>
              <w:right w:val="nil"/>
            </w:tcBorders>
          </w:tcPr>
          <w:p>
            <w:pPr>
              <w:pStyle w:val="TableParagraph"/>
              <w:spacing w:before="54"/>
              <w:ind w:right="150"/>
              <w:jc w:val="right"/>
              <w:rPr>
                <w:sz w:val="16"/>
              </w:rPr>
            </w:pPr>
            <w:r>
              <w:rPr>
                <w:sz w:val="24"/>
              </w:rPr>
              <w:t>248.55</w:t>
            </w:r>
            <w:r>
              <w:rPr>
                <w:position w:val="9"/>
                <w:sz w:val="16"/>
              </w:rPr>
              <w:t>b</w:t>
            </w:r>
          </w:p>
        </w:tc>
        <w:tc>
          <w:tcPr>
            <w:tcW w:w="1006" w:type="dxa"/>
            <w:tcBorders>
              <w:top w:val="nil"/>
              <w:left w:val="nil"/>
              <w:bottom w:val="nil"/>
              <w:right w:val="nil"/>
            </w:tcBorders>
          </w:tcPr>
          <w:p>
            <w:pPr>
              <w:pStyle w:val="TableParagraph"/>
              <w:spacing w:before="54"/>
              <w:ind w:left="77" w:right="77"/>
              <w:rPr>
                <w:sz w:val="16"/>
              </w:rPr>
            </w:pPr>
            <w:r>
              <w:rPr>
                <w:sz w:val="24"/>
              </w:rPr>
              <w:t>309.74</w:t>
            </w:r>
            <w:r>
              <w:rPr>
                <w:position w:val="9"/>
                <w:sz w:val="16"/>
              </w:rPr>
              <w:t>ab</w:t>
            </w:r>
          </w:p>
        </w:tc>
        <w:tc>
          <w:tcPr>
            <w:tcW w:w="558" w:type="dxa"/>
            <w:tcBorders>
              <w:top w:val="nil"/>
              <w:left w:val="nil"/>
              <w:bottom w:val="nil"/>
              <w:right w:val="nil"/>
            </w:tcBorders>
          </w:tcPr>
          <w:p>
            <w:pPr>
              <w:pStyle w:val="TableParagraph"/>
              <w:spacing w:before="69"/>
              <w:ind w:left="48" w:right="49"/>
              <w:rPr>
                <w:sz w:val="24"/>
              </w:rPr>
            </w:pPr>
            <w:r>
              <w:rPr>
                <w:sz w:val="24"/>
              </w:rPr>
              <w:t>0.03</w:t>
            </w:r>
          </w:p>
        </w:tc>
        <w:tc>
          <w:tcPr>
            <w:tcW w:w="981" w:type="dxa"/>
            <w:tcBorders>
              <w:top w:val="nil"/>
              <w:left w:val="nil"/>
              <w:bottom w:val="nil"/>
              <w:right w:val="nil"/>
            </w:tcBorders>
          </w:tcPr>
          <w:p>
            <w:pPr>
              <w:pStyle w:val="TableParagraph"/>
              <w:spacing w:before="69"/>
              <w:ind w:left="52" w:right="108"/>
              <w:rPr>
                <w:sz w:val="24"/>
              </w:rPr>
            </w:pPr>
            <w:r>
              <w:rPr>
                <w:sz w:val="24"/>
              </w:rPr>
              <w:t>24.41</w:t>
            </w:r>
          </w:p>
        </w:tc>
        <w:tc>
          <w:tcPr>
            <w:tcW w:w="1364" w:type="dxa"/>
            <w:tcBorders>
              <w:top w:val="nil"/>
              <w:left w:val="nil"/>
              <w:bottom w:val="nil"/>
              <w:right w:val="nil"/>
            </w:tcBorders>
          </w:tcPr>
          <w:p>
            <w:pPr>
              <w:pStyle w:val="TableParagraph"/>
              <w:spacing w:before="104"/>
              <w:ind w:left="109" w:right="172"/>
              <w:rPr>
                <w:sz w:val="22"/>
              </w:rPr>
            </w:pPr>
            <w:r>
              <w:rPr>
                <w:sz w:val="22"/>
              </w:rPr>
              <w:t>NS</w:t>
            </w:r>
          </w:p>
        </w:tc>
      </w:tr>
      <w:tr>
        <w:trPr>
          <w:trHeight w:val="413" w:hRule="exact"/>
        </w:trPr>
        <w:tc>
          <w:tcPr>
            <w:tcW w:w="2122" w:type="dxa"/>
            <w:tcBorders>
              <w:top w:val="nil"/>
              <w:left w:val="nil"/>
              <w:bottom w:val="nil"/>
              <w:right w:val="nil"/>
            </w:tcBorders>
          </w:tcPr>
          <w:p>
            <w:pPr>
              <w:pStyle w:val="TableParagraph"/>
              <w:spacing w:before="50"/>
              <w:ind w:left="12"/>
              <w:rPr>
                <w:sz w:val="24"/>
              </w:rPr>
            </w:pPr>
            <w:r>
              <w:rPr>
                <w:w w:val="99"/>
                <w:sz w:val="24"/>
              </w:rPr>
              <w:t>P</w:t>
            </w:r>
          </w:p>
        </w:tc>
        <w:tc>
          <w:tcPr>
            <w:tcW w:w="1001" w:type="dxa"/>
            <w:tcBorders>
              <w:top w:val="nil"/>
              <w:left w:val="nil"/>
              <w:bottom w:val="nil"/>
              <w:right w:val="nil"/>
            </w:tcBorders>
          </w:tcPr>
          <w:p>
            <w:pPr>
              <w:pStyle w:val="TableParagraph"/>
              <w:spacing w:before="50"/>
              <w:ind w:left="74" w:right="72"/>
              <w:rPr>
                <w:sz w:val="24"/>
              </w:rPr>
            </w:pPr>
            <w:r>
              <w:rPr>
                <w:sz w:val="24"/>
              </w:rPr>
              <w:t>78620</w:t>
            </w:r>
          </w:p>
        </w:tc>
        <w:tc>
          <w:tcPr>
            <w:tcW w:w="919" w:type="dxa"/>
            <w:tcBorders>
              <w:top w:val="nil"/>
              <w:left w:val="nil"/>
              <w:bottom w:val="nil"/>
              <w:right w:val="nil"/>
            </w:tcBorders>
          </w:tcPr>
          <w:p>
            <w:pPr>
              <w:pStyle w:val="TableParagraph"/>
              <w:spacing w:before="50"/>
              <w:ind w:left="72" w:right="73"/>
              <w:rPr>
                <w:sz w:val="24"/>
              </w:rPr>
            </w:pPr>
            <w:r>
              <w:rPr>
                <w:sz w:val="24"/>
              </w:rPr>
              <w:t>81924</w:t>
            </w:r>
          </w:p>
        </w:tc>
        <w:tc>
          <w:tcPr>
            <w:tcW w:w="1044" w:type="dxa"/>
            <w:tcBorders>
              <w:top w:val="nil"/>
              <w:left w:val="nil"/>
              <w:bottom w:val="nil"/>
              <w:right w:val="nil"/>
            </w:tcBorders>
          </w:tcPr>
          <w:p>
            <w:pPr>
              <w:pStyle w:val="TableParagraph"/>
              <w:spacing w:before="50"/>
              <w:ind w:left="221"/>
              <w:jc w:val="left"/>
              <w:rPr>
                <w:sz w:val="24"/>
              </w:rPr>
            </w:pPr>
            <w:r>
              <w:rPr>
                <w:sz w:val="24"/>
              </w:rPr>
              <w:t>80130</w:t>
            </w:r>
          </w:p>
        </w:tc>
        <w:tc>
          <w:tcPr>
            <w:tcW w:w="1006" w:type="dxa"/>
            <w:tcBorders>
              <w:top w:val="nil"/>
              <w:left w:val="nil"/>
              <w:bottom w:val="nil"/>
              <w:right w:val="nil"/>
            </w:tcBorders>
          </w:tcPr>
          <w:p>
            <w:pPr>
              <w:pStyle w:val="TableParagraph"/>
              <w:spacing w:before="50"/>
              <w:ind w:left="77" w:right="77"/>
              <w:rPr>
                <w:sz w:val="24"/>
              </w:rPr>
            </w:pPr>
            <w:r>
              <w:rPr>
                <w:sz w:val="24"/>
              </w:rPr>
              <w:t>77330</w:t>
            </w:r>
          </w:p>
        </w:tc>
        <w:tc>
          <w:tcPr>
            <w:tcW w:w="558" w:type="dxa"/>
            <w:tcBorders>
              <w:top w:val="nil"/>
              <w:left w:val="nil"/>
              <w:bottom w:val="nil"/>
              <w:right w:val="nil"/>
            </w:tcBorders>
          </w:tcPr>
          <w:p>
            <w:pPr>
              <w:pStyle w:val="TableParagraph"/>
              <w:spacing w:before="50"/>
              <w:ind w:left="48" w:right="49"/>
              <w:rPr>
                <w:sz w:val="24"/>
              </w:rPr>
            </w:pPr>
            <w:r>
              <w:rPr>
                <w:sz w:val="24"/>
              </w:rPr>
              <w:t>0.55</w:t>
            </w:r>
          </w:p>
        </w:tc>
        <w:tc>
          <w:tcPr>
            <w:tcW w:w="981" w:type="dxa"/>
            <w:tcBorders>
              <w:top w:val="nil"/>
              <w:left w:val="nil"/>
              <w:bottom w:val="nil"/>
              <w:right w:val="nil"/>
            </w:tcBorders>
          </w:tcPr>
          <w:p>
            <w:pPr>
              <w:pStyle w:val="TableParagraph"/>
              <w:spacing w:before="50"/>
              <w:ind w:left="52" w:right="108"/>
              <w:rPr>
                <w:sz w:val="24"/>
              </w:rPr>
            </w:pPr>
            <w:r>
              <w:rPr>
                <w:sz w:val="24"/>
              </w:rPr>
              <w:t>2355.15</w:t>
            </w:r>
          </w:p>
        </w:tc>
        <w:tc>
          <w:tcPr>
            <w:tcW w:w="1364" w:type="dxa"/>
            <w:tcBorders>
              <w:top w:val="nil"/>
              <w:left w:val="nil"/>
              <w:bottom w:val="nil"/>
              <w:right w:val="nil"/>
            </w:tcBorders>
          </w:tcPr>
          <w:p>
            <w:pPr>
              <w:pStyle w:val="TableParagraph"/>
              <w:spacing w:before="83"/>
              <w:ind w:left="109" w:right="172"/>
              <w:rPr>
                <w:sz w:val="22"/>
              </w:rPr>
            </w:pPr>
            <w:r>
              <w:rPr>
                <w:sz w:val="22"/>
              </w:rPr>
              <w:t>NS</w:t>
            </w:r>
          </w:p>
        </w:tc>
      </w:tr>
      <w:tr>
        <w:trPr>
          <w:trHeight w:val="415" w:hRule="exact"/>
        </w:trPr>
        <w:tc>
          <w:tcPr>
            <w:tcW w:w="2122" w:type="dxa"/>
            <w:tcBorders>
              <w:top w:val="nil"/>
              <w:left w:val="nil"/>
              <w:bottom w:val="nil"/>
              <w:right w:val="nil"/>
            </w:tcBorders>
          </w:tcPr>
          <w:p>
            <w:pPr>
              <w:pStyle w:val="TableParagraph"/>
              <w:spacing w:before="50"/>
              <w:ind w:left="296" w:right="285"/>
              <w:rPr>
                <w:sz w:val="24"/>
              </w:rPr>
            </w:pPr>
            <w:r>
              <w:rPr>
                <w:sz w:val="24"/>
              </w:rPr>
              <w:t>Mg</w:t>
            </w:r>
          </w:p>
        </w:tc>
        <w:tc>
          <w:tcPr>
            <w:tcW w:w="1001" w:type="dxa"/>
            <w:tcBorders>
              <w:top w:val="nil"/>
              <w:left w:val="nil"/>
              <w:bottom w:val="nil"/>
              <w:right w:val="nil"/>
            </w:tcBorders>
          </w:tcPr>
          <w:p>
            <w:pPr>
              <w:pStyle w:val="TableParagraph"/>
              <w:spacing w:before="50"/>
              <w:ind w:left="74" w:right="72"/>
              <w:rPr>
                <w:sz w:val="24"/>
              </w:rPr>
            </w:pPr>
            <w:r>
              <w:rPr>
                <w:sz w:val="24"/>
              </w:rPr>
              <w:t>23243</w:t>
            </w:r>
          </w:p>
        </w:tc>
        <w:tc>
          <w:tcPr>
            <w:tcW w:w="919" w:type="dxa"/>
            <w:tcBorders>
              <w:top w:val="nil"/>
              <w:left w:val="nil"/>
              <w:bottom w:val="nil"/>
              <w:right w:val="nil"/>
            </w:tcBorders>
          </w:tcPr>
          <w:p>
            <w:pPr>
              <w:pStyle w:val="TableParagraph"/>
              <w:spacing w:before="50"/>
              <w:ind w:left="72" w:right="73"/>
              <w:rPr>
                <w:sz w:val="24"/>
              </w:rPr>
            </w:pPr>
            <w:r>
              <w:rPr>
                <w:sz w:val="24"/>
              </w:rPr>
              <w:t>21885</w:t>
            </w:r>
          </w:p>
        </w:tc>
        <w:tc>
          <w:tcPr>
            <w:tcW w:w="1044" w:type="dxa"/>
            <w:tcBorders>
              <w:top w:val="nil"/>
              <w:left w:val="nil"/>
              <w:bottom w:val="nil"/>
              <w:right w:val="nil"/>
            </w:tcBorders>
          </w:tcPr>
          <w:p>
            <w:pPr>
              <w:pStyle w:val="TableParagraph"/>
              <w:spacing w:before="50"/>
              <w:ind w:left="221"/>
              <w:jc w:val="left"/>
              <w:rPr>
                <w:sz w:val="24"/>
              </w:rPr>
            </w:pPr>
            <w:r>
              <w:rPr>
                <w:sz w:val="24"/>
              </w:rPr>
              <w:t>22468</w:t>
            </w:r>
          </w:p>
        </w:tc>
        <w:tc>
          <w:tcPr>
            <w:tcW w:w="1006" w:type="dxa"/>
            <w:tcBorders>
              <w:top w:val="nil"/>
              <w:left w:val="nil"/>
              <w:bottom w:val="nil"/>
              <w:right w:val="nil"/>
            </w:tcBorders>
          </w:tcPr>
          <w:p>
            <w:pPr>
              <w:pStyle w:val="TableParagraph"/>
              <w:spacing w:before="50"/>
              <w:ind w:left="77" w:right="77"/>
              <w:rPr>
                <w:sz w:val="24"/>
              </w:rPr>
            </w:pPr>
            <w:r>
              <w:rPr>
                <w:sz w:val="24"/>
              </w:rPr>
              <w:t>23056</w:t>
            </w:r>
          </w:p>
        </w:tc>
        <w:tc>
          <w:tcPr>
            <w:tcW w:w="558" w:type="dxa"/>
            <w:tcBorders>
              <w:top w:val="nil"/>
              <w:left w:val="nil"/>
              <w:bottom w:val="nil"/>
              <w:right w:val="nil"/>
            </w:tcBorders>
          </w:tcPr>
          <w:p>
            <w:pPr>
              <w:pStyle w:val="TableParagraph"/>
              <w:spacing w:before="50"/>
              <w:ind w:left="48" w:right="49"/>
              <w:rPr>
                <w:sz w:val="24"/>
              </w:rPr>
            </w:pPr>
            <w:r>
              <w:rPr>
                <w:sz w:val="24"/>
              </w:rPr>
              <w:t>0.99</w:t>
            </w:r>
          </w:p>
        </w:tc>
        <w:tc>
          <w:tcPr>
            <w:tcW w:w="981" w:type="dxa"/>
            <w:tcBorders>
              <w:top w:val="nil"/>
              <w:left w:val="nil"/>
              <w:bottom w:val="nil"/>
              <w:right w:val="nil"/>
            </w:tcBorders>
          </w:tcPr>
          <w:p>
            <w:pPr>
              <w:pStyle w:val="TableParagraph"/>
              <w:spacing w:before="50"/>
              <w:ind w:left="52" w:right="108"/>
              <w:rPr>
                <w:sz w:val="24"/>
              </w:rPr>
            </w:pPr>
            <w:r>
              <w:rPr>
                <w:sz w:val="24"/>
              </w:rPr>
              <w:t>3296.34</w:t>
            </w:r>
          </w:p>
        </w:tc>
        <w:tc>
          <w:tcPr>
            <w:tcW w:w="1364" w:type="dxa"/>
            <w:tcBorders>
              <w:top w:val="nil"/>
              <w:left w:val="nil"/>
              <w:bottom w:val="nil"/>
              <w:right w:val="nil"/>
            </w:tcBorders>
          </w:tcPr>
          <w:p>
            <w:pPr>
              <w:pStyle w:val="TableParagraph"/>
              <w:spacing w:before="85"/>
              <w:ind w:left="109" w:right="172"/>
              <w:rPr>
                <w:sz w:val="22"/>
              </w:rPr>
            </w:pPr>
            <w:r>
              <w:rPr>
                <w:sz w:val="22"/>
              </w:rPr>
              <w:t>NS</w:t>
            </w:r>
          </w:p>
        </w:tc>
      </w:tr>
      <w:tr>
        <w:trPr>
          <w:trHeight w:val="413" w:hRule="exact"/>
        </w:trPr>
        <w:tc>
          <w:tcPr>
            <w:tcW w:w="2122" w:type="dxa"/>
            <w:tcBorders>
              <w:top w:val="nil"/>
              <w:left w:val="nil"/>
              <w:bottom w:val="nil"/>
              <w:right w:val="nil"/>
            </w:tcBorders>
          </w:tcPr>
          <w:p>
            <w:pPr>
              <w:pStyle w:val="TableParagraph"/>
              <w:spacing w:before="50"/>
              <w:ind w:left="295" w:right="286"/>
              <w:rPr>
                <w:sz w:val="24"/>
              </w:rPr>
            </w:pPr>
            <w:r>
              <w:rPr>
                <w:sz w:val="24"/>
              </w:rPr>
              <w:t>Na</w:t>
            </w:r>
          </w:p>
        </w:tc>
        <w:tc>
          <w:tcPr>
            <w:tcW w:w="1001" w:type="dxa"/>
            <w:tcBorders>
              <w:top w:val="nil"/>
              <w:left w:val="nil"/>
              <w:bottom w:val="nil"/>
              <w:right w:val="nil"/>
            </w:tcBorders>
          </w:tcPr>
          <w:p>
            <w:pPr>
              <w:pStyle w:val="TableParagraph"/>
              <w:spacing w:before="50"/>
              <w:ind w:left="72" w:right="72"/>
              <w:rPr>
                <w:sz w:val="24"/>
              </w:rPr>
            </w:pPr>
            <w:r>
              <w:rPr>
                <w:sz w:val="24"/>
              </w:rPr>
              <w:t>5599.5</w:t>
            </w:r>
          </w:p>
        </w:tc>
        <w:tc>
          <w:tcPr>
            <w:tcW w:w="919" w:type="dxa"/>
            <w:tcBorders>
              <w:top w:val="nil"/>
              <w:left w:val="nil"/>
              <w:bottom w:val="nil"/>
              <w:right w:val="nil"/>
            </w:tcBorders>
          </w:tcPr>
          <w:p>
            <w:pPr>
              <w:pStyle w:val="TableParagraph"/>
              <w:spacing w:before="50"/>
              <w:ind w:left="72" w:right="74"/>
              <w:rPr>
                <w:sz w:val="24"/>
              </w:rPr>
            </w:pPr>
            <w:r>
              <w:rPr>
                <w:sz w:val="24"/>
              </w:rPr>
              <w:t>5806.2</w:t>
            </w:r>
          </w:p>
        </w:tc>
        <w:tc>
          <w:tcPr>
            <w:tcW w:w="1044" w:type="dxa"/>
            <w:tcBorders>
              <w:top w:val="nil"/>
              <w:left w:val="nil"/>
              <w:bottom w:val="nil"/>
              <w:right w:val="nil"/>
            </w:tcBorders>
          </w:tcPr>
          <w:p>
            <w:pPr>
              <w:pStyle w:val="TableParagraph"/>
              <w:spacing w:before="50"/>
              <w:ind w:left="192"/>
              <w:jc w:val="left"/>
              <w:rPr>
                <w:sz w:val="24"/>
              </w:rPr>
            </w:pPr>
            <w:r>
              <w:rPr>
                <w:sz w:val="24"/>
              </w:rPr>
              <w:t>5941.8</w:t>
            </w:r>
          </w:p>
        </w:tc>
        <w:tc>
          <w:tcPr>
            <w:tcW w:w="1006" w:type="dxa"/>
            <w:tcBorders>
              <w:top w:val="nil"/>
              <w:left w:val="nil"/>
              <w:bottom w:val="nil"/>
              <w:right w:val="nil"/>
            </w:tcBorders>
          </w:tcPr>
          <w:p>
            <w:pPr>
              <w:pStyle w:val="TableParagraph"/>
              <w:spacing w:before="50"/>
              <w:ind w:left="75" w:right="77"/>
              <w:rPr>
                <w:sz w:val="24"/>
              </w:rPr>
            </w:pPr>
            <w:r>
              <w:rPr>
                <w:sz w:val="24"/>
              </w:rPr>
              <w:t>6301.4</w:t>
            </w:r>
          </w:p>
        </w:tc>
        <w:tc>
          <w:tcPr>
            <w:tcW w:w="558" w:type="dxa"/>
            <w:tcBorders>
              <w:top w:val="nil"/>
              <w:left w:val="nil"/>
              <w:bottom w:val="nil"/>
              <w:right w:val="nil"/>
            </w:tcBorders>
          </w:tcPr>
          <w:p>
            <w:pPr>
              <w:pStyle w:val="TableParagraph"/>
              <w:spacing w:before="50"/>
              <w:ind w:left="48" w:right="49"/>
              <w:rPr>
                <w:sz w:val="24"/>
              </w:rPr>
            </w:pPr>
            <w:r>
              <w:rPr>
                <w:sz w:val="24"/>
              </w:rPr>
              <w:t>0.73</w:t>
            </w:r>
          </w:p>
        </w:tc>
        <w:tc>
          <w:tcPr>
            <w:tcW w:w="981" w:type="dxa"/>
            <w:tcBorders>
              <w:top w:val="nil"/>
              <w:left w:val="nil"/>
              <w:bottom w:val="nil"/>
              <w:right w:val="nil"/>
            </w:tcBorders>
          </w:tcPr>
          <w:p>
            <w:pPr>
              <w:pStyle w:val="TableParagraph"/>
              <w:spacing w:before="50"/>
              <w:ind w:left="52" w:right="108"/>
              <w:rPr>
                <w:sz w:val="24"/>
              </w:rPr>
            </w:pPr>
            <w:r>
              <w:rPr>
                <w:sz w:val="24"/>
              </w:rPr>
              <w:t>450.39</w:t>
            </w:r>
          </w:p>
        </w:tc>
        <w:tc>
          <w:tcPr>
            <w:tcW w:w="1364" w:type="dxa"/>
            <w:tcBorders>
              <w:top w:val="nil"/>
              <w:left w:val="nil"/>
              <w:bottom w:val="nil"/>
              <w:right w:val="nil"/>
            </w:tcBorders>
          </w:tcPr>
          <w:p>
            <w:pPr>
              <w:pStyle w:val="TableParagraph"/>
              <w:spacing w:before="83"/>
              <w:ind w:left="109" w:right="172"/>
              <w:rPr>
                <w:sz w:val="22"/>
              </w:rPr>
            </w:pPr>
            <w:r>
              <w:rPr>
                <w:sz w:val="22"/>
              </w:rPr>
              <w:t>NS</w:t>
            </w:r>
          </w:p>
        </w:tc>
      </w:tr>
      <w:tr>
        <w:trPr>
          <w:trHeight w:val="481" w:hRule="exact"/>
        </w:trPr>
        <w:tc>
          <w:tcPr>
            <w:tcW w:w="2122" w:type="dxa"/>
            <w:tcBorders>
              <w:top w:val="nil"/>
              <w:left w:val="nil"/>
              <w:right w:val="nil"/>
            </w:tcBorders>
          </w:tcPr>
          <w:p>
            <w:pPr>
              <w:pStyle w:val="TableParagraph"/>
              <w:spacing w:before="50"/>
              <w:ind w:left="14"/>
              <w:rPr>
                <w:sz w:val="24"/>
              </w:rPr>
            </w:pPr>
            <w:r>
              <w:rPr>
                <w:w w:val="99"/>
                <w:sz w:val="24"/>
              </w:rPr>
              <w:t>K</w:t>
            </w:r>
          </w:p>
        </w:tc>
        <w:tc>
          <w:tcPr>
            <w:tcW w:w="1001" w:type="dxa"/>
            <w:tcBorders>
              <w:top w:val="nil"/>
              <w:left w:val="nil"/>
              <w:right w:val="nil"/>
            </w:tcBorders>
          </w:tcPr>
          <w:p>
            <w:pPr>
              <w:pStyle w:val="TableParagraph"/>
              <w:spacing w:before="50"/>
              <w:ind w:left="72" w:right="72"/>
              <w:rPr>
                <w:sz w:val="24"/>
              </w:rPr>
            </w:pPr>
            <w:r>
              <w:rPr>
                <w:sz w:val="24"/>
              </w:rPr>
              <w:t>275.07</w:t>
            </w:r>
          </w:p>
        </w:tc>
        <w:tc>
          <w:tcPr>
            <w:tcW w:w="919" w:type="dxa"/>
            <w:tcBorders>
              <w:top w:val="nil"/>
              <w:left w:val="nil"/>
              <w:right w:val="nil"/>
            </w:tcBorders>
          </w:tcPr>
          <w:p>
            <w:pPr>
              <w:pStyle w:val="TableParagraph"/>
              <w:spacing w:before="50"/>
              <w:ind w:left="72" w:right="74"/>
              <w:rPr>
                <w:sz w:val="24"/>
              </w:rPr>
            </w:pPr>
            <w:r>
              <w:rPr>
                <w:sz w:val="24"/>
              </w:rPr>
              <w:t>222.11</w:t>
            </w:r>
          </w:p>
        </w:tc>
        <w:tc>
          <w:tcPr>
            <w:tcW w:w="1044" w:type="dxa"/>
            <w:tcBorders>
              <w:top w:val="nil"/>
              <w:left w:val="nil"/>
              <w:right w:val="nil"/>
            </w:tcBorders>
          </w:tcPr>
          <w:p>
            <w:pPr>
              <w:pStyle w:val="TableParagraph"/>
              <w:spacing w:before="50"/>
              <w:ind w:left="192"/>
              <w:jc w:val="left"/>
              <w:rPr>
                <w:sz w:val="24"/>
              </w:rPr>
            </w:pPr>
            <w:r>
              <w:rPr>
                <w:sz w:val="24"/>
              </w:rPr>
              <w:t>253.33</w:t>
            </w:r>
          </w:p>
        </w:tc>
        <w:tc>
          <w:tcPr>
            <w:tcW w:w="1006" w:type="dxa"/>
            <w:tcBorders>
              <w:top w:val="nil"/>
              <w:left w:val="nil"/>
              <w:right w:val="nil"/>
            </w:tcBorders>
          </w:tcPr>
          <w:p>
            <w:pPr>
              <w:pStyle w:val="TableParagraph"/>
              <w:spacing w:before="50"/>
              <w:ind w:left="75" w:right="77"/>
              <w:rPr>
                <w:sz w:val="24"/>
              </w:rPr>
            </w:pPr>
            <w:r>
              <w:rPr>
                <w:sz w:val="24"/>
              </w:rPr>
              <w:t>267.91</w:t>
            </w:r>
          </w:p>
        </w:tc>
        <w:tc>
          <w:tcPr>
            <w:tcW w:w="558" w:type="dxa"/>
            <w:tcBorders>
              <w:top w:val="nil"/>
              <w:left w:val="nil"/>
              <w:right w:val="nil"/>
            </w:tcBorders>
          </w:tcPr>
          <w:p>
            <w:pPr>
              <w:pStyle w:val="TableParagraph"/>
              <w:spacing w:before="50"/>
              <w:ind w:left="48" w:right="49"/>
              <w:rPr>
                <w:sz w:val="24"/>
              </w:rPr>
            </w:pPr>
            <w:r>
              <w:rPr>
                <w:sz w:val="24"/>
              </w:rPr>
              <w:t>0.06</w:t>
            </w:r>
          </w:p>
        </w:tc>
        <w:tc>
          <w:tcPr>
            <w:tcW w:w="981" w:type="dxa"/>
            <w:tcBorders>
              <w:top w:val="nil"/>
              <w:left w:val="nil"/>
              <w:right w:val="nil"/>
            </w:tcBorders>
          </w:tcPr>
          <w:p>
            <w:pPr>
              <w:pStyle w:val="TableParagraph"/>
              <w:spacing w:before="50"/>
              <w:ind w:left="52" w:right="108"/>
              <w:rPr>
                <w:sz w:val="24"/>
              </w:rPr>
            </w:pPr>
            <w:r>
              <w:rPr>
                <w:sz w:val="24"/>
              </w:rPr>
              <w:t>21.44</w:t>
            </w:r>
          </w:p>
        </w:tc>
        <w:tc>
          <w:tcPr>
            <w:tcW w:w="1364" w:type="dxa"/>
            <w:tcBorders>
              <w:top w:val="nil"/>
              <w:left w:val="nil"/>
              <w:right w:val="nil"/>
            </w:tcBorders>
          </w:tcPr>
          <w:p>
            <w:pPr>
              <w:pStyle w:val="TableParagraph"/>
              <w:spacing w:before="85"/>
              <w:ind w:right="59"/>
              <w:rPr>
                <w:sz w:val="22"/>
              </w:rPr>
            </w:pPr>
            <w:r>
              <w:rPr>
                <w:w w:val="100"/>
                <w:sz w:val="22"/>
              </w:rPr>
              <w:t>Q</w:t>
            </w:r>
          </w:p>
        </w:tc>
      </w:tr>
    </w:tbl>
    <w:p>
      <w:pPr>
        <w:spacing w:line="247" w:lineRule="exact" w:before="0"/>
        <w:ind w:left="212" w:right="231" w:firstLine="0"/>
        <w:jc w:val="left"/>
        <w:rPr>
          <w:sz w:val="22"/>
        </w:rPr>
      </w:pPr>
      <w:r>
        <w:rPr>
          <w:sz w:val="22"/>
        </w:rPr>
        <w:t>Medias con distinta literal en la misma hilera, son diferentes (P≤0.05).</w:t>
      </w:r>
    </w:p>
    <w:p>
      <w:pPr>
        <w:spacing w:before="32"/>
        <w:ind w:left="212" w:right="231" w:firstLine="0"/>
        <w:jc w:val="left"/>
        <w:rPr>
          <w:sz w:val="22"/>
        </w:rPr>
      </w:pPr>
      <w:r>
        <w:rPr>
          <w:position w:val="8"/>
          <w:sz w:val="14"/>
        </w:rPr>
        <w:t>1  </w:t>
      </w:r>
      <w:r>
        <w:rPr>
          <w:sz w:val="22"/>
        </w:rPr>
        <w:t>Error Estándar de la Media.</w:t>
      </w:r>
    </w:p>
    <w:p>
      <w:pPr>
        <w:spacing w:before="34"/>
        <w:ind w:left="212" w:right="231" w:firstLine="0"/>
        <w:jc w:val="left"/>
        <w:rPr>
          <w:sz w:val="22"/>
        </w:rPr>
      </w:pPr>
      <w:r>
        <w:rPr>
          <w:position w:val="8"/>
          <w:sz w:val="14"/>
        </w:rPr>
        <w:t>e   </w:t>
      </w:r>
      <w:r>
        <w:rPr>
          <w:sz w:val="22"/>
        </w:rPr>
        <w:t>Efectos L, Lineal; Q, Cuadrático (P&lt;0.05)</w:t>
      </w:r>
    </w:p>
    <w:p>
      <w:pPr>
        <w:spacing w:line="276" w:lineRule="auto" w:before="32"/>
        <w:ind w:left="212" w:right="182" w:firstLine="0"/>
        <w:jc w:val="left"/>
        <w:rPr>
          <w:sz w:val="22"/>
        </w:rPr>
      </w:pPr>
      <w:r>
        <w:rPr>
          <w:position w:val="8"/>
          <w:sz w:val="14"/>
        </w:rPr>
        <w:t>3</w:t>
      </w:r>
      <w:r>
        <w:rPr>
          <w:sz w:val="22"/>
        </w:rPr>
        <w:t>Valores de referencia en ovinos: contenido adecuado en hígado, mg/kg BH (Ca, 30-80; P, 7-14; Mg,</w:t>
      </w:r>
      <w:r>
        <w:rPr>
          <w:spacing w:val="19"/>
          <w:sz w:val="22"/>
        </w:rPr>
        <w:t> </w:t>
      </w:r>
      <w:r>
        <w:rPr>
          <w:sz w:val="22"/>
        </w:rPr>
        <w:t>118-200;</w:t>
      </w:r>
      <w:r>
        <w:rPr>
          <w:spacing w:val="20"/>
          <w:sz w:val="22"/>
        </w:rPr>
        <w:t> </w:t>
      </w:r>
      <w:r>
        <w:rPr>
          <w:sz w:val="22"/>
        </w:rPr>
        <w:t>Na,</w:t>
      </w:r>
      <w:r>
        <w:rPr>
          <w:spacing w:val="19"/>
          <w:sz w:val="22"/>
        </w:rPr>
        <w:t> </w:t>
      </w:r>
      <w:r>
        <w:rPr>
          <w:sz w:val="22"/>
        </w:rPr>
        <w:t>2.0,</w:t>
      </w:r>
      <w:r>
        <w:rPr>
          <w:spacing w:val="19"/>
          <w:sz w:val="22"/>
        </w:rPr>
        <w:t> </w:t>
      </w:r>
      <w:r>
        <w:rPr>
          <w:sz w:val="22"/>
        </w:rPr>
        <w:t>K,</w:t>
      </w:r>
      <w:r>
        <w:rPr>
          <w:spacing w:val="16"/>
          <w:sz w:val="22"/>
        </w:rPr>
        <w:t> </w:t>
      </w:r>
      <w:r>
        <w:rPr>
          <w:sz w:val="22"/>
        </w:rPr>
        <w:t>8.9-9.3);</w:t>
      </w:r>
      <w:r>
        <w:rPr>
          <w:spacing w:val="20"/>
          <w:sz w:val="22"/>
        </w:rPr>
        <w:t> </w:t>
      </w:r>
      <w:r>
        <w:rPr>
          <w:sz w:val="22"/>
        </w:rPr>
        <w:t>contenido</w:t>
      </w:r>
      <w:r>
        <w:rPr>
          <w:spacing w:val="19"/>
          <w:sz w:val="22"/>
        </w:rPr>
        <w:t> </w:t>
      </w:r>
      <w:r>
        <w:rPr>
          <w:sz w:val="22"/>
        </w:rPr>
        <w:t>adecuado</w:t>
      </w:r>
      <w:r>
        <w:rPr>
          <w:spacing w:val="19"/>
          <w:sz w:val="22"/>
        </w:rPr>
        <w:t> </w:t>
      </w:r>
      <w:r>
        <w:rPr>
          <w:sz w:val="22"/>
        </w:rPr>
        <w:t>en</w:t>
      </w:r>
      <w:r>
        <w:rPr>
          <w:spacing w:val="19"/>
          <w:sz w:val="22"/>
        </w:rPr>
        <w:t> </w:t>
      </w:r>
      <w:r>
        <w:rPr>
          <w:sz w:val="22"/>
        </w:rPr>
        <w:t>hueso,</w:t>
      </w:r>
      <w:r>
        <w:rPr>
          <w:spacing w:val="19"/>
          <w:sz w:val="22"/>
        </w:rPr>
        <w:t> </w:t>
      </w:r>
      <w:r>
        <w:rPr>
          <w:sz w:val="22"/>
        </w:rPr>
        <w:t>mg/kg</w:t>
      </w:r>
      <w:r>
        <w:rPr>
          <w:spacing w:val="19"/>
          <w:sz w:val="22"/>
        </w:rPr>
        <w:t> </w:t>
      </w:r>
      <w:r>
        <w:rPr>
          <w:sz w:val="22"/>
        </w:rPr>
        <w:t>BH</w:t>
      </w:r>
      <w:r>
        <w:rPr>
          <w:spacing w:val="18"/>
          <w:sz w:val="22"/>
        </w:rPr>
        <w:t> </w:t>
      </w:r>
      <w:r>
        <w:rPr>
          <w:sz w:val="22"/>
        </w:rPr>
        <w:t>(Ca,</w:t>
      </w:r>
      <w:r>
        <w:rPr>
          <w:spacing w:val="19"/>
          <w:sz w:val="22"/>
        </w:rPr>
        <w:t> </w:t>
      </w:r>
      <w:r>
        <w:rPr>
          <w:sz w:val="22"/>
        </w:rPr>
        <w:t>35-37%;</w:t>
      </w:r>
      <w:r>
        <w:rPr>
          <w:spacing w:val="20"/>
          <w:sz w:val="22"/>
        </w:rPr>
        <w:t> </w:t>
      </w:r>
      <w:r>
        <w:rPr>
          <w:sz w:val="22"/>
        </w:rPr>
        <w:t>P,</w:t>
      </w:r>
      <w:r>
        <w:rPr>
          <w:spacing w:val="18"/>
          <w:sz w:val="22"/>
        </w:rPr>
        <w:t> </w:t>
      </w:r>
      <w:r>
        <w:rPr>
          <w:sz w:val="22"/>
        </w:rPr>
        <w:t>59-</w:t>
      </w:r>
    </w:p>
    <w:p>
      <w:pPr>
        <w:spacing w:before="1"/>
        <w:ind w:left="212" w:right="231" w:firstLine="0"/>
        <w:jc w:val="left"/>
        <w:rPr>
          <w:sz w:val="22"/>
        </w:rPr>
      </w:pPr>
      <w:r>
        <w:rPr>
          <w:sz w:val="22"/>
        </w:rPr>
        <w:t>63%, Mg, 0.4-0.8%, Na, 6.7-6.8; K, 420-455) (Puls, 1988).</w:t>
      </w:r>
    </w:p>
    <w:p>
      <w:pPr>
        <w:pStyle w:val="BodyText"/>
        <w:spacing w:before="8"/>
        <w:rPr>
          <w:sz w:val="28"/>
        </w:rPr>
      </w:pPr>
    </w:p>
    <w:p>
      <w:pPr>
        <w:pStyle w:val="BodyText"/>
        <w:spacing w:line="357" w:lineRule="auto"/>
        <w:ind w:left="212" w:right="185" w:firstLine="707"/>
        <w:jc w:val="both"/>
      </w:pPr>
      <w:r>
        <w:rPr/>
        <w:t>En el </w:t>
      </w:r>
      <w:r>
        <w:rPr>
          <w:b/>
        </w:rPr>
        <w:t>Cuadro 18 </w:t>
      </w:r>
      <w:r>
        <w:rPr/>
        <w:t>se muestra el efecto de la concentración de Cr en la dieta sobre el contenido de Fe, Cu, Cr y Zn en hígado y hueso de los corderos. El contenido de Fe en el hígado mostró una respuesta cuadrática (P&lt;0.05) en relación al nivel de Cr en la dieta; los menores valores correspondieron a los corderos que recibieron 0.4 mg Cr kg</w:t>
      </w:r>
      <w:r>
        <w:rPr>
          <w:position w:val="9"/>
          <w:sz w:val="16"/>
        </w:rPr>
        <w:t>-1 </w:t>
      </w:r>
      <w:r>
        <w:rPr/>
        <w:t>MS. El contenido de Cu en el hígado también mostró una respuesta cuadrática (P&lt;0.05) en relación a la concentración de Cr en la dieta; la concentración más baja de Cu se observó en los</w:t>
      </w:r>
    </w:p>
    <w:p>
      <w:pPr>
        <w:spacing w:after="0" w:line="357" w:lineRule="auto"/>
        <w:jc w:val="both"/>
        <w:sectPr>
          <w:pgSz w:w="12240" w:h="15840"/>
          <w:pgMar w:header="1154" w:footer="1503" w:top="1620" w:bottom="1700" w:left="1660" w:right="1340"/>
        </w:sectPr>
      </w:pPr>
    </w:p>
    <w:p>
      <w:pPr>
        <w:pStyle w:val="BodyText"/>
        <w:spacing w:line="357" w:lineRule="auto" w:before="159"/>
        <w:ind w:left="292" w:right="286"/>
        <w:jc w:val="both"/>
      </w:pPr>
      <w:r>
        <w:rPr/>
        <w:t>corderos que recibieron 0.2 mg Cr kg</w:t>
      </w:r>
      <w:r>
        <w:rPr>
          <w:position w:val="9"/>
          <w:sz w:val="16"/>
        </w:rPr>
        <w:t>-1 </w:t>
      </w:r>
      <w:r>
        <w:rPr/>
        <w:t>MS. La concentración de Cr en tejido hepático aumentó (P&lt;0.05) de manera lineal cuando se incrementó el Cr en la dieta. El contenido de Zn en el hígado no fue afectado (P&gt;0.05) por los tratamientos. En el hueso, el contenido de Fe descendió de manera lineal (P&lt;0.05) conforme aumentó el Cr en la dieta. La presencia de Cr en el tejido óseo respondió cuadráticamente (</w:t>
      </w:r>
      <w:r>
        <w:rPr>
          <w:i/>
        </w:rPr>
        <w:t>P</w:t>
      </w:r>
      <w:r>
        <w:rPr/>
        <w:t>&lt;0.05) en relación al Cr suplementado en la dieta; las mayores concentraciones de Cr en hueso se encontraron en los corderos que recibieron 0.2 y 0.4 mg Cr kg</w:t>
      </w:r>
      <w:r>
        <w:rPr>
          <w:position w:val="9"/>
          <w:sz w:val="16"/>
        </w:rPr>
        <w:t>-1 </w:t>
      </w:r>
      <w:r>
        <w:rPr/>
        <w:t>MS. El contenido de Zn en el hueso no fue afectado (P&gt;0.05) por la concentración de Cr adicionado en el</w:t>
      </w:r>
      <w:r>
        <w:rPr>
          <w:spacing w:val="-7"/>
        </w:rPr>
        <w:t> </w:t>
      </w:r>
      <w:r>
        <w:rPr/>
        <w:t>alimento.</w:t>
      </w:r>
    </w:p>
    <w:p>
      <w:pPr>
        <w:pStyle w:val="BodyText"/>
      </w:pPr>
    </w:p>
    <w:p>
      <w:pPr>
        <w:pStyle w:val="BodyText"/>
        <w:spacing w:line="360" w:lineRule="auto" w:before="146" w:after="9"/>
        <w:ind w:left="292" w:right="254"/>
        <w:jc w:val="both"/>
      </w:pPr>
      <w:r>
        <w:rPr>
          <w:b/>
        </w:rPr>
        <w:t>Cuadro 18. </w:t>
      </w:r>
      <w:r>
        <w:rPr/>
        <w:t>Efecto de la concentración dietaría de Cr orgánico sobre el contenido de Fe,  Cu, Cr y Zn en hígado y hueso de ovinos en engorda</w:t>
      </w:r>
      <w:r>
        <w:rPr>
          <w:spacing w:val="-11"/>
        </w:rPr>
        <w:t> </w:t>
      </w:r>
      <w:r>
        <w:rPr/>
        <w:t>intensiva.</w:t>
      </w:r>
    </w:p>
    <w:p>
      <w:pPr>
        <w:pStyle w:val="BodyText"/>
        <w:spacing w:line="20" w:lineRule="exact"/>
        <w:ind w:left="109"/>
        <w:rPr>
          <w:sz w:val="2"/>
        </w:rPr>
      </w:pPr>
      <w:r>
        <w:rPr>
          <w:sz w:val="2"/>
        </w:rPr>
        <w:pict>
          <v:group style="width:460.25pt;height:1pt;mso-position-horizontal-relative:char;mso-position-vertical-relative:line" coordorigin="0,0" coordsize="9205,20">
            <v:line style="position:absolute" from="10,10" to="1861,10" stroked="true" strokeweight=".96002pt" strokecolor="#000000"/>
            <v:line style="position:absolute" from="1861,10" to="1880,10" stroked="true" strokeweight=".96002pt" strokecolor="#000000"/>
            <v:line style="position:absolute" from="1880,10" to="5838,10" stroked="true" strokeweight=".96002pt" strokecolor="#000000"/>
            <v:line style="position:absolute" from="5838,10" to="5857,10" stroked="true" strokeweight=".96002pt" strokecolor="#000000"/>
            <v:line style="position:absolute" from="5857,10" to="6731,10" stroked="true" strokeweight=".96002pt" strokecolor="#000000"/>
            <v:line style="position:absolute" from="6732,10" to="6751,10" stroked="true" strokeweight=".96002pt" strokecolor="#000000"/>
            <v:line style="position:absolute" from="6751,10" to="7804,10" stroked="true" strokeweight=".96002pt" strokecolor="#000000"/>
            <v:line style="position:absolute" from="7804,10" to="7824,10" stroked="true" strokeweight=".96002pt" strokecolor="#000000"/>
            <v:line style="position:absolute" from="7824,10" to="9194,10" stroked="true" strokeweight=".96002pt" strokecolor="#000000"/>
          </v:group>
        </w:pict>
      </w:r>
      <w:r>
        <w:rPr>
          <w:sz w:val="2"/>
        </w:rPr>
      </w:r>
    </w:p>
    <w:p>
      <w:pPr>
        <w:spacing w:line="209" w:lineRule="exact" w:before="0"/>
        <w:ind w:left="2198" w:right="0" w:firstLine="0"/>
        <w:jc w:val="left"/>
        <w:rPr>
          <w:b/>
          <w:sz w:val="22"/>
        </w:rPr>
      </w:pPr>
      <w:r>
        <w:rPr>
          <w:b/>
          <w:sz w:val="22"/>
        </w:rPr>
        <w:t>Tratamiento (Cromo Orgánico, ppm)</w:t>
      </w:r>
    </w:p>
    <w:p>
      <w:pPr>
        <w:tabs>
          <w:tab w:pos="1970" w:val="left" w:leader="none"/>
          <w:tab w:pos="5997" w:val="left" w:leader="none"/>
          <w:tab w:pos="7198" w:val="left" w:leader="none"/>
          <w:tab w:pos="8101" w:val="left" w:leader="none"/>
        </w:tabs>
        <w:spacing w:line="244" w:lineRule="exact" w:before="0"/>
        <w:ind w:left="635" w:right="0" w:firstLine="0"/>
        <w:jc w:val="left"/>
        <w:rPr>
          <w:sz w:val="14"/>
        </w:rPr>
      </w:pPr>
      <w:r>
        <w:rPr/>
        <w:pict>
          <v:shape style="position:absolute;margin-left:84.984001pt;margin-top:10.876931pt;width:459.25pt;height:211.15pt;mso-position-horizontal-relative:page;mso-position-vertical-relative:paragraph;z-index:20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61"/>
                    <w:gridCol w:w="960"/>
                    <w:gridCol w:w="981"/>
                    <w:gridCol w:w="1049"/>
                    <w:gridCol w:w="971"/>
                    <w:gridCol w:w="997"/>
                    <w:gridCol w:w="1057"/>
                    <w:gridCol w:w="1307"/>
                  </w:tblGrid>
                  <w:tr>
                    <w:trPr>
                      <w:trHeight w:val="362" w:hRule="exact"/>
                    </w:trPr>
                    <w:tc>
                      <w:tcPr>
                        <w:tcW w:w="1861" w:type="dxa"/>
                        <w:tcBorders>
                          <w:bottom w:val="single" w:sz="8" w:space="0" w:color="000000"/>
                        </w:tcBorders>
                      </w:tcPr>
                      <w:p>
                        <w:pPr/>
                      </w:p>
                    </w:tc>
                    <w:tc>
                      <w:tcPr>
                        <w:tcW w:w="960" w:type="dxa"/>
                        <w:tcBorders>
                          <w:bottom w:val="single" w:sz="8" w:space="0" w:color="000000"/>
                        </w:tcBorders>
                      </w:tcPr>
                      <w:p>
                        <w:pPr>
                          <w:pStyle w:val="TableParagraph"/>
                          <w:spacing w:line="225" w:lineRule="exact"/>
                          <w:ind w:right="8"/>
                          <w:rPr>
                            <w:b/>
                            <w:sz w:val="22"/>
                          </w:rPr>
                        </w:pPr>
                        <w:r>
                          <w:rPr>
                            <w:b/>
                            <w:w w:val="100"/>
                            <w:sz w:val="22"/>
                          </w:rPr>
                          <w:t>0</w:t>
                        </w:r>
                      </w:p>
                    </w:tc>
                    <w:tc>
                      <w:tcPr>
                        <w:tcW w:w="981" w:type="dxa"/>
                        <w:tcBorders>
                          <w:bottom w:val="single" w:sz="8" w:space="0" w:color="000000"/>
                        </w:tcBorders>
                      </w:tcPr>
                      <w:p>
                        <w:pPr>
                          <w:pStyle w:val="TableParagraph"/>
                          <w:spacing w:line="225" w:lineRule="exact"/>
                          <w:ind w:left="52" w:right="55"/>
                          <w:rPr>
                            <w:b/>
                            <w:sz w:val="22"/>
                          </w:rPr>
                        </w:pPr>
                        <w:r>
                          <w:rPr>
                            <w:b/>
                            <w:sz w:val="22"/>
                          </w:rPr>
                          <w:t>0.2</w:t>
                        </w:r>
                      </w:p>
                    </w:tc>
                    <w:tc>
                      <w:tcPr>
                        <w:tcW w:w="1049" w:type="dxa"/>
                        <w:tcBorders>
                          <w:bottom w:val="single" w:sz="8" w:space="0" w:color="000000"/>
                        </w:tcBorders>
                      </w:tcPr>
                      <w:p>
                        <w:pPr>
                          <w:pStyle w:val="TableParagraph"/>
                          <w:spacing w:line="225" w:lineRule="exact"/>
                          <w:ind w:left="366" w:right="368"/>
                          <w:rPr>
                            <w:b/>
                            <w:sz w:val="22"/>
                          </w:rPr>
                        </w:pPr>
                        <w:r>
                          <w:rPr>
                            <w:b/>
                            <w:sz w:val="22"/>
                          </w:rPr>
                          <w:t>0.4</w:t>
                        </w:r>
                      </w:p>
                    </w:tc>
                    <w:tc>
                      <w:tcPr>
                        <w:tcW w:w="971" w:type="dxa"/>
                        <w:tcBorders>
                          <w:bottom w:val="single" w:sz="8" w:space="0" w:color="000000"/>
                        </w:tcBorders>
                      </w:tcPr>
                      <w:p>
                        <w:pPr>
                          <w:pStyle w:val="TableParagraph"/>
                          <w:spacing w:line="225" w:lineRule="exact"/>
                          <w:ind w:left="136" w:right="127"/>
                          <w:rPr>
                            <w:b/>
                            <w:sz w:val="22"/>
                          </w:rPr>
                        </w:pPr>
                        <w:r>
                          <w:rPr>
                            <w:b/>
                            <w:sz w:val="22"/>
                          </w:rPr>
                          <w:t>0.6</w:t>
                        </w:r>
                      </w:p>
                    </w:tc>
                    <w:tc>
                      <w:tcPr>
                        <w:tcW w:w="3361" w:type="dxa"/>
                        <w:gridSpan w:val="3"/>
                        <w:vMerge w:val="restart"/>
                      </w:tcPr>
                      <w:p>
                        <w:pPr/>
                      </w:p>
                    </w:tc>
                  </w:tr>
                  <w:tr>
                    <w:trPr>
                      <w:trHeight w:val="326" w:hRule="exact"/>
                    </w:trPr>
                    <w:tc>
                      <w:tcPr>
                        <w:tcW w:w="1861" w:type="dxa"/>
                        <w:tcBorders>
                          <w:top w:val="single" w:sz="8" w:space="0" w:color="000000"/>
                        </w:tcBorders>
                      </w:tcPr>
                      <w:p>
                        <w:pPr>
                          <w:pStyle w:val="TableParagraph"/>
                          <w:spacing w:line="247" w:lineRule="exact"/>
                          <w:ind w:left="107" w:right="118"/>
                          <w:rPr>
                            <w:sz w:val="22"/>
                          </w:rPr>
                        </w:pPr>
                        <w:r>
                          <w:rPr>
                            <w:sz w:val="22"/>
                          </w:rPr>
                          <w:t>Hígado (mg/kg-1)</w:t>
                        </w:r>
                      </w:p>
                    </w:tc>
                    <w:tc>
                      <w:tcPr>
                        <w:tcW w:w="960" w:type="dxa"/>
                        <w:tcBorders>
                          <w:top w:val="single" w:sz="8" w:space="0" w:color="000000"/>
                        </w:tcBorders>
                      </w:tcPr>
                      <w:p>
                        <w:pPr/>
                      </w:p>
                    </w:tc>
                    <w:tc>
                      <w:tcPr>
                        <w:tcW w:w="981" w:type="dxa"/>
                        <w:tcBorders>
                          <w:top w:val="single" w:sz="8" w:space="0" w:color="000000"/>
                        </w:tcBorders>
                      </w:tcPr>
                      <w:p>
                        <w:pPr/>
                      </w:p>
                    </w:tc>
                    <w:tc>
                      <w:tcPr>
                        <w:tcW w:w="1049" w:type="dxa"/>
                        <w:tcBorders>
                          <w:top w:val="single" w:sz="8" w:space="0" w:color="000000"/>
                        </w:tcBorders>
                      </w:tcPr>
                      <w:p>
                        <w:pPr/>
                      </w:p>
                    </w:tc>
                    <w:tc>
                      <w:tcPr>
                        <w:tcW w:w="971" w:type="dxa"/>
                        <w:tcBorders>
                          <w:top w:val="single" w:sz="8" w:space="0" w:color="000000"/>
                        </w:tcBorders>
                      </w:tcPr>
                      <w:p>
                        <w:pPr/>
                      </w:p>
                    </w:tc>
                    <w:tc>
                      <w:tcPr>
                        <w:tcW w:w="3361" w:type="dxa"/>
                        <w:gridSpan w:val="3"/>
                        <w:vMerge/>
                      </w:tcPr>
                      <w:p>
                        <w:pPr/>
                      </w:p>
                    </w:tc>
                  </w:tr>
                  <w:tr>
                    <w:trPr>
                      <w:trHeight w:val="380" w:hRule="exact"/>
                    </w:trPr>
                    <w:tc>
                      <w:tcPr>
                        <w:tcW w:w="1861" w:type="dxa"/>
                      </w:tcPr>
                      <w:p>
                        <w:pPr>
                          <w:pStyle w:val="TableParagraph"/>
                          <w:spacing w:before="59"/>
                          <w:ind w:left="107" w:right="118"/>
                          <w:rPr>
                            <w:sz w:val="22"/>
                          </w:rPr>
                        </w:pPr>
                        <w:r>
                          <w:rPr>
                            <w:sz w:val="22"/>
                          </w:rPr>
                          <w:t>Fe</w:t>
                        </w:r>
                      </w:p>
                    </w:tc>
                    <w:tc>
                      <w:tcPr>
                        <w:tcW w:w="960" w:type="dxa"/>
                      </w:tcPr>
                      <w:p>
                        <w:pPr>
                          <w:pStyle w:val="TableParagraph"/>
                          <w:spacing w:before="54"/>
                          <w:ind w:right="203"/>
                          <w:jc w:val="right"/>
                          <w:rPr>
                            <w:sz w:val="14"/>
                          </w:rPr>
                        </w:pPr>
                        <w:r>
                          <w:rPr>
                            <w:sz w:val="22"/>
                          </w:rPr>
                          <w:t>685.4</w:t>
                        </w:r>
                        <w:r>
                          <w:rPr>
                            <w:position w:val="8"/>
                            <w:sz w:val="14"/>
                          </w:rPr>
                          <w:t>a</w:t>
                        </w:r>
                      </w:p>
                    </w:tc>
                    <w:tc>
                      <w:tcPr>
                        <w:tcW w:w="981" w:type="dxa"/>
                      </w:tcPr>
                      <w:p>
                        <w:pPr>
                          <w:pStyle w:val="TableParagraph"/>
                          <w:spacing w:before="54"/>
                          <w:ind w:right="175"/>
                          <w:jc w:val="right"/>
                          <w:rPr>
                            <w:sz w:val="14"/>
                          </w:rPr>
                        </w:pPr>
                        <w:r>
                          <w:rPr>
                            <w:sz w:val="22"/>
                          </w:rPr>
                          <w:t>576.3</w:t>
                        </w:r>
                        <w:r>
                          <w:rPr>
                            <w:position w:val="8"/>
                            <w:sz w:val="14"/>
                          </w:rPr>
                          <w:t>ab</w:t>
                        </w:r>
                      </w:p>
                    </w:tc>
                    <w:tc>
                      <w:tcPr>
                        <w:tcW w:w="1049" w:type="dxa"/>
                      </w:tcPr>
                      <w:p>
                        <w:pPr>
                          <w:pStyle w:val="TableParagraph"/>
                          <w:spacing w:before="54"/>
                          <w:ind w:right="240"/>
                          <w:jc w:val="right"/>
                          <w:rPr>
                            <w:sz w:val="14"/>
                          </w:rPr>
                        </w:pPr>
                        <w:r>
                          <w:rPr>
                            <w:sz w:val="22"/>
                          </w:rPr>
                          <w:t>419.9</w:t>
                        </w:r>
                        <w:r>
                          <w:rPr>
                            <w:position w:val="8"/>
                            <w:sz w:val="14"/>
                          </w:rPr>
                          <w:t>b</w:t>
                        </w:r>
                      </w:p>
                    </w:tc>
                    <w:tc>
                      <w:tcPr>
                        <w:tcW w:w="971" w:type="dxa"/>
                      </w:tcPr>
                      <w:p>
                        <w:pPr>
                          <w:pStyle w:val="TableParagraph"/>
                          <w:spacing w:before="54"/>
                          <w:ind w:left="136" w:right="124"/>
                          <w:rPr>
                            <w:sz w:val="14"/>
                          </w:rPr>
                        </w:pPr>
                        <w:r>
                          <w:rPr>
                            <w:sz w:val="22"/>
                          </w:rPr>
                          <w:t>590.0</w:t>
                        </w:r>
                        <w:r>
                          <w:rPr>
                            <w:position w:val="8"/>
                            <w:sz w:val="14"/>
                          </w:rPr>
                          <w:t>ab</w:t>
                        </w:r>
                      </w:p>
                    </w:tc>
                    <w:tc>
                      <w:tcPr>
                        <w:tcW w:w="997" w:type="dxa"/>
                      </w:tcPr>
                      <w:p>
                        <w:pPr>
                          <w:pStyle w:val="TableParagraph"/>
                          <w:spacing w:before="59"/>
                          <w:ind w:left="128" w:right="223"/>
                          <w:rPr>
                            <w:sz w:val="22"/>
                          </w:rPr>
                        </w:pPr>
                        <w:r>
                          <w:rPr>
                            <w:sz w:val="22"/>
                          </w:rPr>
                          <w:t>137.10</w:t>
                        </w:r>
                      </w:p>
                    </w:tc>
                    <w:tc>
                      <w:tcPr>
                        <w:tcW w:w="1057" w:type="dxa"/>
                      </w:tcPr>
                      <w:p>
                        <w:pPr>
                          <w:pStyle w:val="TableParagraph"/>
                          <w:spacing w:before="59"/>
                          <w:ind w:left="242"/>
                          <w:jc w:val="left"/>
                          <w:rPr>
                            <w:sz w:val="22"/>
                          </w:rPr>
                        </w:pPr>
                        <w:r>
                          <w:rPr>
                            <w:sz w:val="22"/>
                          </w:rPr>
                          <w:t>0.04</w:t>
                        </w:r>
                      </w:p>
                    </w:tc>
                    <w:tc>
                      <w:tcPr>
                        <w:tcW w:w="1307" w:type="dxa"/>
                      </w:tcPr>
                      <w:p>
                        <w:pPr>
                          <w:pStyle w:val="TableParagraph"/>
                          <w:spacing w:before="59"/>
                          <w:ind w:right="82"/>
                          <w:rPr>
                            <w:sz w:val="22"/>
                          </w:rPr>
                        </w:pPr>
                        <w:r>
                          <w:rPr>
                            <w:w w:val="100"/>
                            <w:sz w:val="22"/>
                          </w:rPr>
                          <w:t>Q</w:t>
                        </w:r>
                      </w:p>
                    </w:tc>
                  </w:tr>
                  <w:tr>
                    <w:trPr>
                      <w:trHeight w:val="386" w:hRule="exact"/>
                    </w:trPr>
                    <w:tc>
                      <w:tcPr>
                        <w:tcW w:w="1861" w:type="dxa"/>
                      </w:tcPr>
                      <w:p>
                        <w:pPr>
                          <w:pStyle w:val="TableParagraph"/>
                          <w:spacing w:before="58"/>
                          <w:ind w:left="107" w:right="116"/>
                          <w:rPr>
                            <w:sz w:val="22"/>
                          </w:rPr>
                        </w:pPr>
                        <w:r>
                          <w:rPr>
                            <w:sz w:val="22"/>
                          </w:rPr>
                          <w:t>Cu</w:t>
                        </w:r>
                      </w:p>
                    </w:tc>
                    <w:tc>
                      <w:tcPr>
                        <w:tcW w:w="960" w:type="dxa"/>
                      </w:tcPr>
                      <w:p>
                        <w:pPr>
                          <w:pStyle w:val="TableParagraph"/>
                          <w:spacing w:before="53"/>
                          <w:ind w:right="148"/>
                          <w:jc w:val="right"/>
                          <w:rPr>
                            <w:sz w:val="14"/>
                          </w:rPr>
                        </w:pPr>
                        <w:r>
                          <w:rPr>
                            <w:sz w:val="22"/>
                          </w:rPr>
                          <w:t>186.13</w:t>
                        </w:r>
                        <w:r>
                          <w:rPr>
                            <w:position w:val="8"/>
                            <w:sz w:val="14"/>
                          </w:rPr>
                          <w:t>a</w:t>
                        </w:r>
                      </w:p>
                    </w:tc>
                    <w:tc>
                      <w:tcPr>
                        <w:tcW w:w="981" w:type="dxa"/>
                      </w:tcPr>
                      <w:p>
                        <w:pPr>
                          <w:pStyle w:val="TableParagraph"/>
                          <w:spacing w:before="53"/>
                          <w:ind w:right="151"/>
                          <w:jc w:val="right"/>
                          <w:rPr>
                            <w:sz w:val="14"/>
                          </w:rPr>
                        </w:pPr>
                        <w:r>
                          <w:rPr>
                            <w:sz w:val="22"/>
                          </w:rPr>
                          <w:t>117.82</w:t>
                        </w:r>
                        <w:r>
                          <w:rPr>
                            <w:position w:val="8"/>
                            <w:sz w:val="14"/>
                          </w:rPr>
                          <w:t>b</w:t>
                        </w:r>
                      </w:p>
                    </w:tc>
                    <w:tc>
                      <w:tcPr>
                        <w:tcW w:w="1049" w:type="dxa"/>
                      </w:tcPr>
                      <w:p>
                        <w:pPr>
                          <w:pStyle w:val="TableParagraph"/>
                          <w:spacing w:before="53"/>
                          <w:ind w:right="153"/>
                          <w:jc w:val="right"/>
                          <w:rPr>
                            <w:sz w:val="14"/>
                          </w:rPr>
                        </w:pPr>
                        <w:r>
                          <w:rPr>
                            <w:sz w:val="22"/>
                          </w:rPr>
                          <w:t>169.08</w:t>
                        </w:r>
                        <w:r>
                          <w:rPr>
                            <w:position w:val="8"/>
                            <w:sz w:val="14"/>
                          </w:rPr>
                          <w:t>ab</w:t>
                        </w:r>
                      </w:p>
                    </w:tc>
                    <w:tc>
                      <w:tcPr>
                        <w:tcW w:w="971" w:type="dxa"/>
                      </w:tcPr>
                      <w:p>
                        <w:pPr>
                          <w:pStyle w:val="TableParagraph"/>
                          <w:spacing w:before="53"/>
                          <w:ind w:left="136" w:right="128"/>
                          <w:rPr>
                            <w:sz w:val="14"/>
                          </w:rPr>
                        </w:pPr>
                        <w:r>
                          <w:rPr>
                            <w:sz w:val="22"/>
                          </w:rPr>
                          <w:t>182.08</w:t>
                        </w:r>
                        <w:r>
                          <w:rPr>
                            <w:position w:val="8"/>
                            <w:sz w:val="14"/>
                          </w:rPr>
                          <w:t>a</w:t>
                        </w:r>
                      </w:p>
                    </w:tc>
                    <w:tc>
                      <w:tcPr>
                        <w:tcW w:w="997" w:type="dxa"/>
                      </w:tcPr>
                      <w:p>
                        <w:pPr>
                          <w:pStyle w:val="TableParagraph"/>
                          <w:spacing w:before="58"/>
                          <w:ind w:left="128" w:right="223"/>
                          <w:rPr>
                            <w:sz w:val="22"/>
                          </w:rPr>
                        </w:pPr>
                        <w:r>
                          <w:rPr>
                            <w:sz w:val="22"/>
                          </w:rPr>
                          <w:t>15.97</w:t>
                        </w:r>
                      </w:p>
                    </w:tc>
                    <w:tc>
                      <w:tcPr>
                        <w:tcW w:w="1057" w:type="dxa"/>
                      </w:tcPr>
                      <w:p>
                        <w:pPr>
                          <w:pStyle w:val="TableParagraph"/>
                          <w:spacing w:before="58"/>
                          <w:ind w:left="242"/>
                          <w:jc w:val="left"/>
                          <w:rPr>
                            <w:sz w:val="22"/>
                          </w:rPr>
                        </w:pPr>
                        <w:r>
                          <w:rPr>
                            <w:sz w:val="22"/>
                          </w:rPr>
                          <w:t>0.01</w:t>
                        </w:r>
                      </w:p>
                    </w:tc>
                    <w:tc>
                      <w:tcPr>
                        <w:tcW w:w="1307" w:type="dxa"/>
                      </w:tcPr>
                      <w:p>
                        <w:pPr>
                          <w:pStyle w:val="TableParagraph"/>
                          <w:spacing w:before="58"/>
                          <w:ind w:right="82"/>
                          <w:rPr>
                            <w:sz w:val="22"/>
                          </w:rPr>
                        </w:pPr>
                        <w:r>
                          <w:rPr>
                            <w:w w:val="100"/>
                            <w:sz w:val="22"/>
                          </w:rPr>
                          <w:t>Q</w:t>
                        </w:r>
                      </w:p>
                    </w:tc>
                  </w:tr>
                  <w:tr>
                    <w:trPr>
                      <w:trHeight w:val="379" w:hRule="exact"/>
                    </w:trPr>
                    <w:tc>
                      <w:tcPr>
                        <w:tcW w:w="1861" w:type="dxa"/>
                      </w:tcPr>
                      <w:p>
                        <w:pPr>
                          <w:pStyle w:val="TableParagraph"/>
                          <w:spacing w:before="51"/>
                          <w:ind w:left="106" w:right="118"/>
                          <w:rPr>
                            <w:sz w:val="22"/>
                          </w:rPr>
                        </w:pPr>
                        <w:r>
                          <w:rPr>
                            <w:sz w:val="22"/>
                          </w:rPr>
                          <w:t>Cr</w:t>
                        </w:r>
                      </w:p>
                    </w:tc>
                    <w:tc>
                      <w:tcPr>
                        <w:tcW w:w="960" w:type="dxa"/>
                      </w:tcPr>
                      <w:p>
                        <w:pPr>
                          <w:pStyle w:val="TableParagraph"/>
                          <w:spacing w:before="51"/>
                          <w:ind w:left="282"/>
                          <w:jc w:val="left"/>
                          <w:rPr>
                            <w:sz w:val="22"/>
                          </w:rPr>
                        </w:pPr>
                        <w:r>
                          <w:rPr>
                            <w:sz w:val="22"/>
                          </w:rPr>
                          <w:t>2.70</w:t>
                        </w:r>
                      </w:p>
                    </w:tc>
                    <w:tc>
                      <w:tcPr>
                        <w:tcW w:w="981" w:type="dxa"/>
                      </w:tcPr>
                      <w:p>
                        <w:pPr>
                          <w:pStyle w:val="TableParagraph"/>
                          <w:spacing w:before="51"/>
                          <w:ind w:left="294"/>
                          <w:jc w:val="left"/>
                          <w:rPr>
                            <w:sz w:val="22"/>
                          </w:rPr>
                        </w:pPr>
                        <w:r>
                          <w:rPr>
                            <w:sz w:val="22"/>
                          </w:rPr>
                          <w:t>3.28</w:t>
                        </w:r>
                      </w:p>
                    </w:tc>
                    <w:tc>
                      <w:tcPr>
                        <w:tcW w:w="1049" w:type="dxa"/>
                      </w:tcPr>
                      <w:p>
                        <w:pPr>
                          <w:pStyle w:val="TableParagraph"/>
                          <w:spacing w:before="51"/>
                          <w:ind w:left="331"/>
                          <w:jc w:val="left"/>
                          <w:rPr>
                            <w:sz w:val="22"/>
                          </w:rPr>
                        </w:pPr>
                        <w:r>
                          <w:rPr>
                            <w:sz w:val="22"/>
                          </w:rPr>
                          <w:t>3.56</w:t>
                        </w:r>
                      </w:p>
                    </w:tc>
                    <w:tc>
                      <w:tcPr>
                        <w:tcW w:w="971" w:type="dxa"/>
                      </w:tcPr>
                      <w:p>
                        <w:pPr>
                          <w:pStyle w:val="TableParagraph"/>
                          <w:spacing w:before="51"/>
                          <w:ind w:left="136" w:right="127"/>
                          <w:rPr>
                            <w:sz w:val="22"/>
                          </w:rPr>
                        </w:pPr>
                        <w:r>
                          <w:rPr>
                            <w:sz w:val="22"/>
                          </w:rPr>
                          <w:t>1.96</w:t>
                        </w:r>
                      </w:p>
                    </w:tc>
                    <w:tc>
                      <w:tcPr>
                        <w:tcW w:w="997" w:type="dxa"/>
                      </w:tcPr>
                      <w:p>
                        <w:pPr>
                          <w:pStyle w:val="TableParagraph"/>
                          <w:spacing w:before="51"/>
                          <w:ind w:left="128" w:right="223"/>
                          <w:rPr>
                            <w:sz w:val="22"/>
                          </w:rPr>
                        </w:pPr>
                        <w:r>
                          <w:rPr>
                            <w:sz w:val="22"/>
                          </w:rPr>
                          <w:t>0.430</w:t>
                        </w:r>
                      </w:p>
                    </w:tc>
                    <w:tc>
                      <w:tcPr>
                        <w:tcW w:w="1057" w:type="dxa"/>
                      </w:tcPr>
                      <w:p>
                        <w:pPr>
                          <w:pStyle w:val="TableParagraph"/>
                          <w:spacing w:before="51"/>
                          <w:ind w:left="242"/>
                          <w:jc w:val="left"/>
                          <w:rPr>
                            <w:sz w:val="22"/>
                          </w:rPr>
                        </w:pPr>
                        <w:r>
                          <w:rPr>
                            <w:sz w:val="22"/>
                          </w:rPr>
                          <w:t>0.06</w:t>
                        </w:r>
                      </w:p>
                    </w:tc>
                    <w:tc>
                      <w:tcPr>
                        <w:tcW w:w="1307" w:type="dxa"/>
                      </w:tcPr>
                      <w:p>
                        <w:pPr>
                          <w:pStyle w:val="TableParagraph"/>
                          <w:spacing w:before="51"/>
                          <w:ind w:right="82"/>
                          <w:rPr>
                            <w:sz w:val="22"/>
                          </w:rPr>
                        </w:pPr>
                        <w:r>
                          <w:rPr>
                            <w:w w:val="100"/>
                            <w:sz w:val="22"/>
                          </w:rPr>
                          <w:t>Q</w:t>
                        </w:r>
                      </w:p>
                    </w:tc>
                  </w:tr>
                  <w:tr>
                    <w:trPr>
                      <w:trHeight w:val="385" w:hRule="exact"/>
                    </w:trPr>
                    <w:tc>
                      <w:tcPr>
                        <w:tcW w:w="1861" w:type="dxa"/>
                      </w:tcPr>
                      <w:p>
                        <w:pPr>
                          <w:pStyle w:val="TableParagraph"/>
                          <w:spacing w:before="51"/>
                          <w:ind w:left="102" w:right="118"/>
                          <w:rPr>
                            <w:sz w:val="22"/>
                          </w:rPr>
                        </w:pPr>
                        <w:r>
                          <w:rPr>
                            <w:sz w:val="22"/>
                          </w:rPr>
                          <w:t>Zn</w:t>
                        </w:r>
                      </w:p>
                    </w:tc>
                    <w:tc>
                      <w:tcPr>
                        <w:tcW w:w="960" w:type="dxa"/>
                      </w:tcPr>
                      <w:p>
                        <w:pPr>
                          <w:pStyle w:val="TableParagraph"/>
                          <w:spacing w:before="51"/>
                          <w:ind w:right="178"/>
                          <w:jc w:val="right"/>
                          <w:rPr>
                            <w:sz w:val="22"/>
                          </w:rPr>
                        </w:pPr>
                        <w:r>
                          <w:rPr>
                            <w:sz w:val="22"/>
                          </w:rPr>
                          <w:t>112.19</w:t>
                        </w:r>
                      </w:p>
                    </w:tc>
                    <w:tc>
                      <w:tcPr>
                        <w:tcW w:w="981" w:type="dxa"/>
                      </w:tcPr>
                      <w:p>
                        <w:pPr>
                          <w:pStyle w:val="TableParagraph"/>
                          <w:spacing w:before="51"/>
                          <w:ind w:right="187"/>
                          <w:jc w:val="right"/>
                          <w:rPr>
                            <w:sz w:val="22"/>
                          </w:rPr>
                        </w:pPr>
                        <w:r>
                          <w:rPr>
                            <w:sz w:val="22"/>
                          </w:rPr>
                          <w:t>110.82</w:t>
                        </w:r>
                      </w:p>
                    </w:tc>
                    <w:tc>
                      <w:tcPr>
                        <w:tcW w:w="1049" w:type="dxa"/>
                      </w:tcPr>
                      <w:p>
                        <w:pPr>
                          <w:pStyle w:val="TableParagraph"/>
                          <w:spacing w:before="51"/>
                          <w:ind w:right="219"/>
                          <w:jc w:val="right"/>
                          <w:rPr>
                            <w:sz w:val="22"/>
                          </w:rPr>
                        </w:pPr>
                        <w:r>
                          <w:rPr>
                            <w:sz w:val="22"/>
                          </w:rPr>
                          <w:t>113.17</w:t>
                        </w:r>
                      </w:p>
                    </w:tc>
                    <w:tc>
                      <w:tcPr>
                        <w:tcW w:w="971" w:type="dxa"/>
                      </w:tcPr>
                      <w:p>
                        <w:pPr>
                          <w:pStyle w:val="TableParagraph"/>
                          <w:spacing w:before="51"/>
                          <w:ind w:left="136" w:right="127"/>
                          <w:rPr>
                            <w:sz w:val="22"/>
                          </w:rPr>
                        </w:pPr>
                        <w:r>
                          <w:rPr>
                            <w:sz w:val="22"/>
                          </w:rPr>
                          <w:t>117.96</w:t>
                        </w:r>
                      </w:p>
                    </w:tc>
                    <w:tc>
                      <w:tcPr>
                        <w:tcW w:w="997" w:type="dxa"/>
                      </w:tcPr>
                      <w:p>
                        <w:pPr>
                          <w:pStyle w:val="TableParagraph"/>
                          <w:spacing w:before="51"/>
                          <w:ind w:left="128" w:right="223"/>
                          <w:rPr>
                            <w:sz w:val="22"/>
                          </w:rPr>
                        </w:pPr>
                        <w:r>
                          <w:rPr>
                            <w:sz w:val="22"/>
                          </w:rPr>
                          <w:t>7.470</w:t>
                        </w:r>
                      </w:p>
                    </w:tc>
                    <w:tc>
                      <w:tcPr>
                        <w:tcW w:w="1057" w:type="dxa"/>
                      </w:tcPr>
                      <w:p>
                        <w:pPr>
                          <w:pStyle w:val="TableParagraph"/>
                          <w:spacing w:before="51"/>
                          <w:ind w:left="242"/>
                          <w:jc w:val="left"/>
                          <w:rPr>
                            <w:sz w:val="22"/>
                          </w:rPr>
                        </w:pPr>
                        <w:r>
                          <w:rPr>
                            <w:sz w:val="22"/>
                          </w:rPr>
                          <w:t>0.91</w:t>
                        </w:r>
                      </w:p>
                    </w:tc>
                    <w:tc>
                      <w:tcPr>
                        <w:tcW w:w="1307" w:type="dxa"/>
                      </w:tcPr>
                      <w:p>
                        <w:pPr>
                          <w:pStyle w:val="TableParagraph"/>
                          <w:spacing w:before="51"/>
                          <w:ind w:right="553"/>
                          <w:jc w:val="right"/>
                          <w:rPr>
                            <w:sz w:val="22"/>
                          </w:rPr>
                        </w:pPr>
                        <w:r>
                          <w:rPr>
                            <w:sz w:val="22"/>
                          </w:rPr>
                          <w:t>NS</w:t>
                        </w:r>
                      </w:p>
                    </w:tc>
                  </w:tr>
                  <w:tr>
                    <w:trPr>
                      <w:trHeight w:val="384" w:hRule="exact"/>
                    </w:trPr>
                    <w:tc>
                      <w:tcPr>
                        <w:tcW w:w="1861" w:type="dxa"/>
                      </w:tcPr>
                      <w:p>
                        <w:pPr>
                          <w:pStyle w:val="TableParagraph"/>
                          <w:spacing w:before="57"/>
                          <w:ind w:left="107" w:right="118"/>
                          <w:rPr>
                            <w:sz w:val="22"/>
                          </w:rPr>
                        </w:pPr>
                        <w:r>
                          <w:rPr>
                            <w:sz w:val="22"/>
                          </w:rPr>
                          <w:t>Hueso (mg/kg-1)</w:t>
                        </w:r>
                      </w:p>
                    </w:tc>
                    <w:tc>
                      <w:tcPr>
                        <w:tcW w:w="960" w:type="dxa"/>
                      </w:tcPr>
                      <w:p>
                        <w:pPr/>
                      </w:p>
                    </w:tc>
                    <w:tc>
                      <w:tcPr>
                        <w:tcW w:w="981" w:type="dxa"/>
                      </w:tcPr>
                      <w:p>
                        <w:pPr/>
                      </w:p>
                    </w:tc>
                    <w:tc>
                      <w:tcPr>
                        <w:tcW w:w="1049" w:type="dxa"/>
                      </w:tcPr>
                      <w:p>
                        <w:pPr/>
                      </w:p>
                    </w:tc>
                    <w:tc>
                      <w:tcPr>
                        <w:tcW w:w="971" w:type="dxa"/>
                      </w:tcPr>
                      <w:p>
                        <w:pPr/>
                      </w:p>
                    </w:tc>
                    <w:tc>
                      <w:tcPr>
                        <w:tcW w:w="997" w:type="dxa"/>
                      </w:tcPr>
                      <w:p>
                        <w:pPr/>
                      </w:p>
                    </w:tc>
                    <w:tc>
                      <w:tcPr>
                        <w:tcW w:w="1057" w:type="dxa"/>
                      </w:tcPr>
                      <w:p>
                        <w:pPr/>
                      </w:p>
                    </w:tc>
                    <w:tc>
                      <w:tcPr>
                        <w:tcW w:w="1307" w:type="dxa"/>
                      </w:tcPr>
                      <w:p>
                        <w:pPr/>
                      </w:p>
                    </w:tc>
                  </w:tr>
                  <w:tr>
                    <w:trPr>
                      <w:trHeight w:val="385" w:hRule="exact"/>
                    </w:trPr>
                    <w:tc>
                      <w:tcPr>
                        <w:tcW w:w="1861" w:type="dxa"/>
                      </w:tcPr>
                      <w:p>
                        <w:pPr>
                          <w:pStyle w:val="TableParagraph"/>
                          <w:spacing w:before="64"/>
                          <w:ind w:left="107" w:right="118"/>
                          <w:rPr>
                            <w:sz w:val="22"/>
                          </w:rPr>
                        </w:pPr>
                        <w:r>
                          <w:rPr>
                            <w:sz w:val="22"/>
                          </w:rPr>
                          <w:t>Fe</w:t>
                        </w:r>
                      </w:p>
                    </w:tc>
                    <w:tc>
                      <w:tcPr>
                        <w:tcW w:w="960" w:type="dxa"/>
                      </w:tcPr>
                      <w:p>
                        <w:pPr>
                          <w:pStyle w:val="TableParagraph"/>
                          <w:spacing w:before="59"/>
                          <w:ind w:right="203"/>
                          <w:jc w:val="right"/>
                          <w:rPr>
                            <w:sz w:val="14"/>
                          </w:rPr>
                        </w:pPr>
                        <w:r>
                          <w:rPr>
                            <w:sz w:val="22"/>
                          </w:rPr>
                          <w:t>40.94</w:t>
                        </w:r>
                        <w:r>
                          <w:rPr>
                            <w:position w:val="8"/>
                            <w:sz w:val="14"/>
                          </w:rPr>
                          <w:t>a</w:t>
                        </w:r>
                      </w:p>
                    </w:tc>
                    <w:tc>
                      <w:tcPr>
                        <w:tcW w:w="981" w:type="dxa"/>
                      </w:tcPr>
                      <w:p>
                        <w:pPr>
                          <w:pStyle w:val="TableParagraph"/>
                          <w:spacing w:before="59"/>
                          <w:ind w:right="175"/>
                          <w:jc w:val="right"/>
                          <w:rPr>
                            <w:sz w:val="14"/>
                          </w:rPr>
                        </w:pPr>
                        <w:r>
                          <w:rPr>
                            <w:sz w:val="22"/>
                          </w:rPr>
                          <w:t>33.54</w:t>
                        </w:r>
                        <w:r>
                          <w:rPr>
                            <w:position w:val="8"/>
                            <w:sz w:val="14"/>
                          </w:rPr>
                          <w:t>ab</w:t>
                        </w:r>
                      </w:p>
                    </w:tc>
                    <w:tc>
                      <w:tcPr>
                        <w:tcW w:w="1049" w:type="dxa"/>
                      </w:tcPr>
                      <w:p>
                        <w:pPr>
                          <w:pStyle w:val="TableParagraph"/>
                          <w:spacing w:before="59"/>
                          <w:ind w:right="208"/>
                          <w:jc w:val="right"/>
                          <w:rPr>
                            <w:sz w:val="14"/>
                          </w:rPr>
                        </w:pPr>
                        <w:r>
                          <w:rPr>
                            <w:sz w:val="22"/>
                          </w:rPr>
                          <w:t>36.95</w:t>
                        </w:r>
                        <w:r>
                          <w:rPr>
                            <w:position w:val="8"/>
                            <w:sz w:val="14"/>
                          </w:rPr>
                          <w:t>ab</w:t>
                        </w:r>
                      </w:p>
                    </w:tc>
                    <w:tc>
                      <w:tcPr>
                        <w:tcW w:w="971" w:type="dxa"/>
                      </w:tcPr>
                      <w:p>
                        <w:pPr>
                          <w:pStyle w:val="TableParagraph"/>
                          <w:spacing w:before="59"/>
                          <w:ind w:left="136" w:right="124"/>
                          <w:rPr>
                            <w:sz w:val="14"/>
                          </w:rPr>
                        </w:pPr>
                        <w:r>
                          <w:rPr>
                            <w:sz w:val="22"/>
                          </w:rPr>
                          <w:t>26.72</w:t>
                        </w:r>
                        <w:r>
                          <w:rPr>
                            <w:position w:val="8"/>
                            <w:sz w:val="14"/>
                          </w:rPr>
                          <w:t>b</w:t>
                        </w:r>
                      </w:p>
                    </w:tc>
                    <w:tc>
                      <w:tcPr>
                        <w:tcW w:w="997" w:type="dxa"/>
                      </w:tcPr>
                      <w:p>
                        <w:pPr>
                          <w:pStyle w:val="TableParagraph"/>
                          <w:spacing w:before="64"/>
                          <w:ind w:left="128" w:right="223"/>
                          <w:rPr>
                            <w:sz w:val="22"/>
                          </w:rPr>
                        </w:pPr>
                        <w:r>
                          <w:rPr>
                            <w:sz w:val="22"/>
                          </w:rPr>
                          <w:t>3.19</w:t>
                        </w:r>
                      </w:p>
                    </w:tc>
                    <w:tc>
                      <w:tcPr>
                        <w:tcW w:w="1057" w:type="dxa"/>
                      </w:tcPr>
                      <w:p>
                        <w:pPr>
                          <w:pStyle w:val="TableParagraph"/>
                          <w:spacing w:before="64"/>
                          <w:ind w:left="242"/>
                          <w:jc w:val="left"/>
                          <w:rPr>
                            <w:sz w:val="22"/>
                          </w:rPr>
                        </w:pPr>
                        <w:r>
                          <w:rPr>
                            <w:sz w:val="22"/>
                          </w:rPr>
                          <w:t>0.02</w:t>
                        </w:r>
                      </w:p>
                    </w:tc>
                    <w:tc>
                      <w:tcPr>
                        <w:tcW w:w="1307" w:type="dxa"/>
                      </w:tcPr>
                      <w:p>
                        <w:pPr>
                          <w:pStyle w:val="TableParagraph"/>
                          <w:spacing w:before="64"/>
                          <w:ind w:right="83"/>
                          <w:rPr>
                            <w:sz w:val="22"/>
                          </w:rPr>
                        </w:pPr>
                        <w:r>
                          <w:rPr>
                            <w:w w:val="100"/>
                            <w:sz w:val="22"/>
                          </w:rPr>
                          <w:t>L</w:t>
                        </w:r>
                      </w:p>
                    </w:tc>
                  </w:tr>
                  <w:tr>
                    <w:trPr>
                      <w:trHeight w:val="386" w:hRule="exact"/>
                    </w:trPr>
                    <w:tc>
                      <w:tcPr>
                        <w:tcW w:w="1861" w:type="dxa"/>
                      </w:tcPr>
                      <w:p>
                        <w:pPr>
                          <w:pStyle w:val="TableParagraph"/>
                          <w:spacing w:before="58"/>
                          <w:ind w:left="90" w:right="118"/>
                          <w:rPr>
                            <w:sz w:val="22"/>
                          </w:rPr>
                        </w:pPr>
                        <w:r>
                          <w:rPr>
                            <w:sz w:val="22"/>
                          </w:rPr>
                          <w:t>Cu</w:t>
                        </w:r>
                      </w:p>
                    </w:tc>
                    <w:tc>
                      <w:tcPr>
                        <w:tcW w:w="960" w:type="dxa"/>
                      </w:tcPr>
                      <w:p>
                        <w:pPr>
                          <w:pStyle w:val="TableParagraph"/>
                          <w:spacing w:before="53"/>
                          <w:ind w:left="309" w:right="320"/>
                          <w:rPr>
                            <w:sz w:val="14"/>
                          </w:rPr>
                        </w:pPr>
                        <w:r>
                          <w:rPr>
                            <w:sz w:val="22"/>
                          </w:rPr>
                          <w:t>nd</w:t>
                        </w:r>
                        <w:r>
                          <w:rPr>
                            <w:position w:val="8"/>
                            <w:sz w:val="14"/>
                          </w:rPr>
                          <w:t>4</w:t>
                        </w:r>
                      </w:p>
                    </w:tc>
                    <w:tc>
                      <w:tcPr>
                        <w:tcW w:w="981" w:type="dxa"/>
                      </w:tcPr>
                      <w:p>
                        <w:pPr>
                          <w:pStyle w:val="TableParagraph"/>
                          <w:spacing w:before="58"/>
                          <w:ind w:left="52" w:right="58"/>
                          <w:rPr>
                            <w:sz w:val="22"/>
                          </w:rPr>
                        </w:pPr>
                        <w:r>
                          <w:rPr>
                            <w:sz w:val="22"/>
                          </w:rPr>
                          <w:t>nd</w:t>
                        </w:r>
                      </w:p>
                    </w:tc>
                    <w:tc>
                      <w:tcPr>
                        <w:tcW w:w="1049" w:type="dxa"/>
                      </w:tcPr>
                      <w:p>
                        <w:pPr>
                          <w:pStyle w:val="TableParagraph"/>
                          <w:spacing w:before="58"/>
                          <w:ind w:left="366" w:right="366"/>
                          <w:rPr>
                            <w:sz w:val="22"/>
                          </w:rPr>
                        </w:pPr>
                        <w:r>
                          <w:rPr>
                            <w:sz w:val="22"/>
                          </w:rPr>
                          <w:t>nd</w:t>
                        </w:r>
                      </w:p>
                    </w:tc>
                    <w:tc>
                      <w:tcPr>
                        <w:tcW w:w="971" w:type="dxa"/>
                      </w:tcPr>
                      <w:p>
                        <w:pPr>
                          <w:pStyle w:val="TableParagraph"/>
                          <w:spacing w:before="58"/>
                          <w:ind w:left="135" w:right="128"/>
                          <w:rPr>
                            <w:sz w:val="22"/>
                          </w:rPr>
                        </w:pPr>
                        <w:r>
                          <w:rPr>
                            <w:sz w:val="22"/>
                          </w:rPr>
                          <w:t>nd</w:t>
                        </w:r>
                      </w:p>
                    </w:tc>
                    <w:tc>
                      <w:tcPr>
                        <w:tcW w:w="997" w:type="dxa"/>
                      </w:tcPr>
                      <w:p>
                        <w:pPr>
                          <w:pStyle w:val="TableParagraph"/>
                          <w:spacing w:before="58"/>
                          <w:ind w:left="128" w:right="223"/>
                          <w:rPr>
                            <w:sz w:val="22"/>
                          </w:rPr>
                        </w:pPr>
                        <w:r>
                          <w:rPr>
                            <w:sz w:val="22"/>
                          </w:rPr>
                          <w:t>-----</w:t>
                        </w:r>
                      </w:p>
                    </w:tc>
                    <w:tc>
                      <w:tcPr>
                        <w:tcW w:w="1057" w:type="dxa"/>
                      </w:tcPr>
                      <w:p>
                        <w:pPr>
                          <w:pStyle w:val="TableParagraph"/>
                          <w:spacing w:before="58"/>
                          <w:ind w:left="288"/>
                          <w:jc w:val="left"/>
                          <w:rPr>
                            <w:sz w:val="22"/>
                          </w:rPr>
                        </w:pPr>
                        <w:r>
                          <w:rPr>
                            <w:sz w:val="22"/>
                          </w:rPr>
                          <w:t>----</w:t>
                        </w:r>
                      </w:p>
                    </w:tc>
                    <w:tc>
                      <w:tcPr>
                        <w:tcW w:w="1307" w:type="dxa"/>
                      </w:tcPr>
                      <w:p>
                        <w:pPr>
                          <w:pStyle w:val="TableParagraph"/>
                          <w:spacing w:before="58"/>
                          <w:ind w:right="511"/>
                          <w:jc w:val="right"/>
                          <w:rPr>
                            <w:sz w:val="22"/>
                          </w:rPr>
                        </w:pPr>
                        <w:r>
                          <w:rPr>
                            <w:sz w:val="22"/>
                          </w:rPr>
                          <w:t>-----</w:t>
                        </w:r>
                      </w:p>
                    </w:tc>
                  </w:tr>
                  <w:tr>
                    <w:trPr>
                      <w:trHeight w:val="379" w:hRule="exact"/>
                    </w:trPr>
                    <w:tc>
                      <w:tcPr>
                        <w:tcW w:w="1861" w:type="dxa"/>
                      </w:tcPr>
                      <w:p>
                        <w:pPr>
                          <w:pStyle w:val="TableParagraph"/>
                          <w:spacing w:before="51"/>
                          <w:ind w:left="106" w:right="118"/>
                          <w:rPr>
                            <w:sz w:val="22"/>
                          </w:rPr>
                        </w:pPr>
                        <w:r>
                          <w:rPr>
                            <w:sz w:val="22"/>
                          </w:rPr>
                          <w:t>Cr</w:t>
                        </w:r>
                      </w:p>
                    </w:tc>
                    <w:tc>
                      <w:tcPr>
                        <w:tcW w:w="960" w:type="dxa"/>
                      </w:tcPr>
                      <w:p>
                        <w:pPr>
                          <w:pStyle w:val="TableParagraph"/>
                          <w:spacing w:before="51"/>
                          <w:ind w:right="234"/>
                          <w:jc w:val="right"/>
                          <w:rPr>
                            <w:sz w:val="22"/>
                          </w:rPr>
                        </w:pPr>
                        <w:r>
                          <w:rPr>
                            <w:sz w:val="22"/>
                          </w:rPr>
                          <w:t>12.91</w:t>
                        </w:r>
                      </w:p>
                    </w:tc>
                    <w:tc>
                      <w:tcPr>
                        <w:tcW w:w="981" w:type="dxa"/>
                      </w:tcPr>
                      <w:p>
                        <w:pPr>
                          <w:pStyle w:val="TableParagraph"/>
                          <w:spacing w:before="51"/>
                          <w:ind w:right="242"/>
                          <w:jc w:val="right"/>
                          <w:rPr>
                            <w:sz w:val="22"/>
                          </w:rPr>
                        </w:pPr>
                        <w:r>
                          <w:rPr>
                            <w:sz w:val="22"/>
                          </w:rPr>
                          <w:t>14.08</w:t>
                        </w:r>
                      </w:p>
                    </w:tc>
                    <w:tc>
                      <w:tcPr>
                        <w:tcW w:w="1049" w:type="dxa"/>
                      </w:tcPr>
                      <w:p>
                        <w:pPr>
                          <w:pStyle w:val="TableParagraph"/>
                          <w:spacing w:before="51"/>
                          <w:ind w:left="276"/>
                          <w:jc w:val="left"/>
                          <w:rPr>
                            <w:sz w:val="22"/>
                          </w:rPr>
                        </w:pPr>
                        <w:r>
                          <w:rPr>
                            <w:sz w:val="22"/>
                          </w:rPr>
                          <w:t>14.15</w:t>
                        </w:r>
                      </w:p>
                    </w:tc>
                    <w:tc>
                      <w:tcPr>
                        <w:tcW w:w="971" w:type="dxa"/>
                      </w:tcPr>
                      <w:p>
                        <w:pPr>
                          <w:pStyle w:val="TableParagraph"/>
                          <w:spacing w:before="51"/>
                          <w:ind w:left="136" w:right="127"/>
                          <w:rPr>
                            <w:sz w:val="22"/>
                          </w:rPr>
                        </w:pPr>
                        <w:r>
                          <w:rPr>
                            <w:sz w:val="22"/>
                          </w:rPr>
                          <w:t>12.58</w:t>
                        </w:r>
                      </w:p>
                    </w:tc>
                    <w:tc>
                      <w:tcPr>
                        <w:tcW w:w="997" w:type="dxa"/>
                      </w:tcPr>
                      <w:p>
                        <w:pPr>
                          <w:pStyle w:val="TableParagraph"/>
                          <w:spacing w:before="51"/>
                          <w:ind w:left="128" w:right="223"/>
                          <w:rPr>
                            <w:sz w:val="22"/>
                          </w:rPr>
                        </w:pPr>
                        <w:r>
                          <w:rPr>
                            <w:sz w:val="22"/>
                          </w:rPr>
                          <w:t>0.51</w:t>
                        </w:r>
                      </w:p>
                    </w:tc>
                    <w:tc>
                      <w:tcPr>
                        <w:tcW w:w="1057" w:type="dxa"/>
                      </w:tcPr>
                      <w:p>
                        <w:pPr>
                          <w:pStyle w:val="TableParagraph"/>
                          <w:spacing w:before="51"/>
                          <w:ind w:left="242"/>
                          <w:jc w:val="left"/>
                          <w:rPr>
                            <w:sz w:val="22"/>
                          </w:rPr>
                        </w:pPr>
                        <w:r>
                          <w:rPr>
                            <w:sz w:val="22"/>
                          </w:rPr>
                          <w:t>0.07</w:t>
                        </w:r>
                      </w:p>
                    </w:tc>
                    <w:tc>
                      <w:tcPr>
                        <w:tcW w:w="1307" w:type="dxa"/>
                      </w:tcPr>
                      <w:p>
                        <w:pPr>
                          <w:pStyle w:val="TableParagraph"/>
                          <w:spacing w:before="51"/>
                          <w:ind w:right="82"/>
                          <w:rPr>
                            <w:sz w:val="22"/>
                          </w:rPr>
                        </w:pPr>
                        <w:r>
                          <w:rPr>
                            <w:w w:val="100"/>
                            <w:sz w:val="22"/>
                          </w:rPr>
                          <w:t>Q</w:t>
                        </w:r>
                      </w:p>
                    </w:tc>
                  </w:tr>
                  <w:tr>
                    <w:trPr>
                      <w:trHeight w:val="449" w:hRule="exact"/>
                    </w:trPr>
                    <w:tc>
                      <w:tcPr>
                        <w:tcW w:w="1861" w:type="dxa"/>
                        <w:tcBorders>
                          <w:bottom w:val="single" w:sz="8" w:space="0" w:color="000000"/>
                        </w:tcBorders>
                      </w:tcPr>
                      <w:p>
                        <w:pPr>
                          <w:pStyle w:val="TableParagraph"/>
                          <w:spacing w:before="51"/>
                          <w:ind w:left="102" w:right="118"/>
                          <w:rPr>
                            <w:sz w:val="22"/>
                          </w:rPr>
                        </w:pPr>
                        <w:r>
                          <w:rPr>
                            <w:sz w:val="22"/>
                          </w:rPr>
                          <w:t>Zn</w:t>
                        </w:r>
                      </w:p>
                    </w:tc>
                    <w:tc>
                      <w:tcPr>
                        <w:tcW w:w="960" w:type="dxa"/>
                        <w:tcBorders>
                          <w:bottom w:val="single" w:sz="8" w:space="0" w:color="000000"/>
                        </w:tcBorders>
                      </w:tcPr>
                      <w:p>
                        <w:pPr>
                          <w:pStyle w:val="TableParagraph"/>
                          <w:spacing w:before="51"/>
                          <w:ind w:right="234"/>
                          <w:jc w:val="right"/>
                          <w:rPr>
                            <w:sz w:val="22"/>
                          </w:rPr>
                        </w:pPr>
                        <w:r>
                          <w:rPr>
                            <w:sz w:val="22"/>
                          </w:rPr>
                          <w:t>99.96</w:t>
                        </w:r>
                      </w:p>
                    </w:tc>
                    <w:tc>
                      <w:tcPr>
                        <w:tcW w:w="981" w:type="dxa"/>
                        <w:tcBorders>
                          <w:bottom w:val="single" w:sz="8" w:space="0" w:color="000000"/>
                        </w:tcBorders>
                      </w:tcPr>
                      <w:p>
                        <w:pPr>
                          <w:pStyle w:val="TableParagraph"/>
                          <w:spacing w:before="51"/>
                          <w:ind w:right="242"/>
                          <w:jc w:val="right"/>
                          <w:rPr>
                            <w:sz w:val="22"/>
                          </w:rPr>
                        </w:pPr>
                        <w:r>
                          <w:rPr>
                            <w:sz w:val="22"/>
                          </w:rPr>
                          <w:t>79.66</w:t>
                        </w:r>
                      </w:p>
                    </w:tc>
                    <w:tc>
                      <w:tcPr>
                        <w:tcW w:w="1049" w:type="dxa"/>
                        <w:tcBorders>
                          <w:bottom w:val="single" w:sz="8" w:space="0" w:color="000000"/>
                        </w:tcBorders>
                      </w:tcPr>
                      <w:p>
                        <w:pPr>
                          <w:pStyle w:val="TableParagraph"/>
                          <w:spacing w:before="51"/>
                          <w:ind w:left="276"/>
                          <w:jc w:val="left"/>
                          <w:rPr>
                            <w:sz w:val="22"/>
                          </w:rPr>
                        </w:pPr>
                        <w:r>
                          <w:rPr>
                            <w:sz w:val="22"/>
                          </w:rPr>
                          <w:t>77.25</w:t>
                        </w:r>
                      </w:p>
                    </w:tc>
                    <w:tc>
                      <w:tcPr>
                        <w:tcW w:w="971" w:type="dxa"/>
                        <w:tcBorders>
                          <w:bottom w:val="single" w:sz="8" w:space="0" w:color="000000"/>
                        </w:tcBorders>
                      </w:tcPr>
                      <w:p>
                        <w:pPr>
                          <w:pStyle w:val="TableParagraph"/>
                          <w:spacing w:before="51"/>
                          <w:ind w:left="136" w:right="127"/>
                          <w:rPr>
                            <w:sz w:val="22"/>
                          </w:rPr>
                        </w:pPr>
                        <w:r>
                          <w:rPr>
                            <w:sz w:val="22"/>
                          </w:rPr>
                          <w:t>80.25</w:t>
                        </w:r>
                      </w:p>
                    </w:tc>
                    <w:tc>
                      <w:tcPr>
                        <w:tcW w:w="997" w:type="dxa"/>
                        <w:tcBorders>
                          <w:bottom w:val="single" w:sz="8" w:space="0" w:color="000000"/>
                        </w:tcBorders>
                      </w:tcPr>
                      <w:p>
                        <w:pPr>
                          <w:pStyle w:val="TableParagraph"/>
                          <w:spacing w:before="51"/>
                          <w:ind w:left="128" w:right="223"/>
                          <w:rPr>
                            <w:sz w:val="22"/>
                          </w:rPr>
                        </w:pPr>
                        <w:r>
                          <w:rPr>
                            <w:sz w:val="22"/>
                          </w:rPr>
                          <w:t>8.18</w:t>
                        </w:r>
                      </w:p>
                    </w:tc>
                    <w:tc>
                      <w:tcPr>
                        <w:tcW w:w="1057" w:type="dxa"/>
                        <w:tcBorders>
                          <w:bottom w:val="single" w:sz="8" w:space="0" w:color="000000"/>
                        </w:tcBorders>
                      </w:tcPr>
                      <w:p>
                        <w:pPr>
                          <w:pStyle w:val="TableParagraph"/>
                          <w:spacing w:before="51"/>
                          <w:ind w:left="242"/>
                          <w:jc w:val="left"/>
                          <w:rPr>
                            <w:sz w:val="22"/>
                          </w:rPr>
                        </w:pPr>
                        <w:r>
                          <w:rPr>
                            <w:sz w:val="22"/>
                          </w:rPr>
                          <w:t>0.19</w:t>
                        </w:r>
                      </w:p>
                    </w:tc>
                    <w:tc>
                      <w:tcPr>
                        <w:tcW w:w="1307" w:type="dxa"/>
                        <w:tcBorders>
                          <w:bottom w:val="single" w:sz="8" w:space="0" w:color="000000"/>
                        </w:tcBorders>
                      </w:tcPr>
                      <w:p>
                        <w:pPr>
                          <w:pStyle w:val="TableParagraph"/>
                          <w:spacing w:before="51"/>
                          <w:ind w:right="553"/>
                          <w:jc w:val="right"/>
                          <w:rPr>
                            <w:sz w:val="22"/>
                          </w:rPr>
                        </w:pPr>
                        <w:r>
                          <w:rPr>
                            <w:sz w:val="22"/>
                          </w:rPr>
                          <w:t>NS</w:t>
                        </w:r>
                      </w:p>
                    </w:tc>
                  </w:tr>
                </w:tbl>
                <w:p>
                  <w:pPr>
                    <w:pStyle w:val="BodyText"/>
                  </w:pPr>
                </w:p>
              </w:txbxContent>
            </v:textbox>
            <w10:wrap type="none"/>
          </v:shape>
        </w:pict>
      </w:r>
      <w:r>
        <w:rPr>
          <w:b/>
          <w:sz w:val="22"/>
        </w:rPr>
        <w:t>Variable</w:t>
        <w:tab/>
      </w:r>
      <w:r>
        <w:rPr>
          <w:b/>
          <w:sz w:val="22"/>
          <w:u w:val="single"/>
        </w:rPr>
        <w:tab/>
      </w:r>
      <w:r>
        <w:rPr>
          <w:b/>
          <w:sz w:val="22"/>
        </w:rPr>
        <w:t>EEM</w:t>
      </w:r>
      <w:r>
        <w:rPr>
          <w:b/>
          <w:position w:val="8"/>
          <w:sz w:val="14"/>
        </w:rPr>
        <w:t>1</w:t>
        <w:tab/>
      </w:r>
      <w:r>
        <w:rPr>
          <w:b/>
          <w:sz w:val="22"/>
        </w:rPr>
        <w:t>Pr≤</w:t>
        <w:tab/>
        <w:t>Polinomio</w:t>
      </w:r>
      <w:r>
        <w:rPr>
          <w:position w:val="8"/>
          <w:sz w:val="14"/>
        </w:rPr>
        <w: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line="250" w:lineRule="exact" w:before="73"/>
        <w:ind w:left="292" w:right="0" w:firstLine="0"/>
        <w:jc w:val="left"/>
        <w:rPr>
          <w:sz w:val="22"/>
        </w:rPr>
      </w:pPr>
      <w:r>
        <w:rPr>
          <w:sz w:val="22"/>
        </w:rPr>
        <w:t>Medias con distinta literal en la misma hilera, son diferentes (P≤0.05).</w:t>
      </w:r>
    </w:p>
    <w:p>
      <w:pPr>
        <w:spacing w:line="252" w:lineRule="exact" w:before="0"/>
        <w:ind w:left="292" w:right="0" w:firstLine="0"/>
        <w:jc w:val="left"/>
        <w:rPr>
          <w:sz w:val="22"/>
        </w:rPr>
      </w:pPr>
      <w:r>
        <w:rPr>
          <w:position w:val="8"/>
          <w:sz w:val="14"/>
        </w:rPr>
        <w:t>1  </w:t>
      </w:r>
      <w:r>
        <w:rPr>
          <w:sz w:val="22"/>
        </w:rPr>
        <w:t>Error Estándar de la Media.</w:t>
      </w:r>
    </w:p>
    <w:p>
      <w:pPr>
        <w:spacing w:line="253" w:lineRule="exact" w:before="0"/>
        <w:ind w:left="292" w:right="0" w:firstLine="0"/>
        <w:jc w:val="left"/>
        <w:rPr>
          <w:sz w:val="22"/>
        </w:rPr>
      </w:pPr>
      <w:r>
        <w:rPr>
          <w:position w:val="8"/>
          <w:sz w:val="14"/>
        </w:rPr>
        <w:t>e   </w:t>
      </w:r>
      <w:r>
        <w:rPr>
          <w:sz w:val="22"/>
        </w:rPr>
        <w:t>Efectos L, Lineal; Q, Cuadrático (P&lt;0.05)</w:t>
      </w:r>
    </w:p>
    <w:p>
      <w:pPr>
        <w:spacing w:line="254" w:lineRule="exact" w:before="0"/>
        <w:ind w:left="292" w:right="0" w:firstLine="0"/>
        <w:jc w:val="left"/>
        <w:rPr>
          <w:sz w:val="22"/>
        </w:rPr>
      </w:pPr>
      <w:r>
        <w:rPr>
          <w:position w:val="8"/>
          <w:sz w:val="14"/>
        </w:rPr>
        <w:t>4</w:t>
      </w:r>
      <w:r>
        <w:rPr>
          <w:sz w:val="22"/>
        </w:rPr>
        <w:t>No detectado.</w:t>
      </w:r>
    </w:p>
    <w:p>
      <w:pPr>
        <w:spacing w:line="242" w:lineRule="auto" w:before="0"/>
        <w:ind w:left="292" w:right="272" w:firstLine="0"/>
        <w:jc w:val="left"/>
        <w:rPr>
          <w:sz w:val="22"/>
        </w:rPr>
      </w:pPr>
      <w:r>
        <w:rPr>
          <w:position w:val="8"/>
          <w:sz w:val="14"/>
        </w:rPr>
        <w:t>3</w:t>
      </w:r>
      <w:r>
        <w:rPr>
          <w:sz w:val="22"/>
        </w:rPr>
        <w:t>Valores de referencia en ovinos: contenido adecuado en hígado, mg/kg BH (Fe, 30-300; Cu, 25- 100; Cr, 0.04-3.8 (bovinos); Zn, 30-75); contenido adecuado en hueso, mg/kg BH (Fe, 22-30; Cu, 5-</w:t>
      </w:r>
    </w:p>
    <w:p>
      <w:pPr>
        <w:spacing w:line="250" w:lineRule="exact" w:before="0"/>
        <w:ind w:left="292" w:right="0" w:firstLine="0"/>
        <w:jc w:val="left"/>
        <w:rPr>
          <w:sz w:val="22"/>
        </w:rPr>
      </w:pPr>
      <w:r>
        <w:rPr>
          <w:sz w:val="22"/>
        </w:rPr>
        <w:t>5.4; Zn, 70-250) (Puls,</w:t>
      </w:r>
      <w:r>
        <w:rPr>
          <w:spacing w:val="53"/>
          <w:sz w:val="22"/>
        </w:rPr>
        <w:t> </w:t>
      </w:r>
      <w:r>
        <w:rPr>
          <w:sz w:val="22"/>
        </w:rPr>
        <w:t>1994).</w:t>
      </w:r>
    </w:p>
    <w:p>
      <w:pPr>
        <w:spacing w:after="0" w:line="250" w:lineRule="exact"/>
        <w:jc w:val="left"/>
        <w:rPr>
          <w:sz w:val="22"/>
        </w:rPr>
        <w:sectPr>
          <w:pgSz w:w="12240" w:h="15840"/>
          <w:pgMar w:header="1154" w:footer="1503" w:top="1620" w:bottom="1700" w:left="1580" w:right="1240"/>
        </w:sectPr>
      </w:pPr>
    </w:p>
    <w:p>
      <w:pPr>
        <w:pStyle w:val="BodyText"/>
        <w:spacing w:before="3"/>
        <w:rPr>
          <w:sz w:val="9"/>
        </w:rPr>
      </w:pPr>
    </w:p>
    <w:p>
      <w:pPr>
        <w:pStyle w:val="ListParagraph"/>
        <w:numPr>
          <w:ilvl w:val="2"/>
          <w:numId w:val="27"/>
        </w:numPr>
        <w:tabs>
          <w:tab w:pos="710" w:val="left" w:leader="none"/>
        </w:tabs>
        <w:spacing w:line="240" w:lineRule="auto" w:before="73" w:after="0"/>
        <w:ind w:left="709" w:right="0" w:hanging="497"/>
        <w:jc w:val="left"/>
        <w:rPr>
          <w:b/>
          <w:i/>
          <w:sz w:val="22"/>
        </w:rPr>
      </w:pPr>
      <w:bookmarkStart w:name="_bookmark71" w:id="136"/>
      <w:bookmarkEnd w:id="136"/>
      <w:r>
        <w:rPr/>
      </w:r>
      <w:bookmarkStart w:name="_bookmark71" w:id="137"/>
      <w:bookmarkEnd w:id="137"/>
      <w:r>
        <w:rPr>
          <w:b/>
          <w:i/>
          <w:sz w:val="22"/>
        </w:rPr>
        <w:t>C</w:t>
      </w:r>
      <w:r>
        <w:rPr>
          <w:b/>
          <w:i/>
          <w:sz w:val="22"/>
        </w:rPr>
        <w:t>ontenido de ácidos grasos (AG) en la grasa</w:t>
      </w:r>
      <w:r>
        <w:rPr>
          <w:b/>
          <w:i/>
          <w:spacing w:val="-13"/>
          <w:sz w:val="22"/>
        </w:rPr>
        <w:t> </w:t>
      </w:r>
      <w:r>
        <w:rPr>
          <w:b/>
          <w:i/>
          <w:sz w:val="22"/>
        </w:rPr>
        <w:t>intramuscular</w:t>
      </w:r>
    </w:p>
    <w:p>
      <w:pPr>
        <w:pStyle w:val="BodyText"/>
        <w:rPr>
          <w:b/>
          <w:i/>
          <w:sz w:val="22"/>
        </w:rPr>
      </w:pPr>
    </w:p>
    <w:p>
      <w:pPr>
        <w:pStyle w:val="BodyText"/>
        <w:spacing w:line="360" w:lineRule="auto" w:before="145"/>
        <w:ind w:left="212" w:right="186" w:firstLine="707"/>
        <w:jc w:val="both"/>
      </w:pPr>
      <w:r>
        <w:rPr/>
        <w:t>Los AG con mayor concentración en la grasa intramuscular de los corderos fueron  el oleico (C18:1n9), palmítico (C16:0), esteárico (C18:0) y linoleico (C18:2n6); los de menor concentración fueron araquidónico (C20:4), vaccénico (C18:1 n7), palmitoleico (C16:1), mirístico (C14:0), margárico (C17:0) y pentadecanoico</w:t>
      </w:r>
      <w:r>
        <w:rPr>
          <w:spacing w:val="-12"/>
        </w:rPr>
        <w:t> </w:t>
      </w:r>
      <w:r>
        <w:rPr/>
        <w:t>(C15:0).</w:t>
      </w:r>
    </w:p>
    <w:p>
      <w:pPr>
        <w:pStyle w:val="BodyText"/>
      </w:pPr>
    </w:p>
    <w:p>
      <w:pPr>
        <w:pStyle w:val="BodyText"/>
        <w:spacing w:line="362" w:lineRule="auto" w:before="143" w:after="7"/>
        <w:ind w:left="212" w:right="231"/>
      </w:pPr>
      <w:r>
        <w:rPr>
          <w:b/>
        </w:rPr>
        <w:t>Cuadro 19. </w:t>
      </w:r>
      <w:r>
        <w:rPr/>
        <w:t>Efecto de la concentración dietaría de Cr orgánico sobre el perfil de ácidos grasos de la carne de ovinos en engorda intensiva.</w:t>
      </w: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9"/>
        <w:gridCol w:w="1233"/>
        <w:gridCol w:w="936"/>
        <w:gridCol w:w="978"/>
        <w:gridCol w:w="1054"/>
        <w:gridCol w:w="940"/>
        <w:gridCol w:w="1344"/>
      </w:tblGrid>
      <w:tr>
        <w:trPr>
          <w:trHeight w:val="242" w:hRule="exact"/>
        </w:trPr>
        <w:tc>
          <w:tcPr>
            <w:tcW w:w="2509" w:type="dxa"/>
            <w:tcBorders>
              <w:left w:val="nil"/>
              <w:bottom w:val="nil"/>
              <w:right w:val="nil"/>
            </w:tcBorders>
          </w:tcPr>
          <w:p>
            <w:pPr>
              <w:pStyle w:val="TableParagraph"/>
              <w:spacing w:before="6"/>
              <w:ind w:left="979"/>
              <w:jc w:val="left"/>
              <w:rPr>
                <w:b/>
                <w:sz w:val="22"/>
              </w:rPr>
            </w:pPr>
            <w:r>
              <w:rPr>
                <w:b/>
                <w:sz w:val="22"/>
              </w:rPr>
              <w:t>Variable</w:t>
            </w:r>
          </w:p>
        </w:tc>
        <w:tc>
          <w:tcPr>
            <w:tcW w:w="4201" w:type="dxa"/>
            <w:gridSpan w:val="4"/>
            <w:tcBorders>
              <w:top w:val="single" w:sz="8" w:space="0" w:color="000000"/>
              <w:left w:val="nil"/>
              <w:bottom w:val="nil"/>
              <w:right w:val="nil"/>
            </w:tcBorders>
          </w:tcPr>
          <w:p>
            <w:pPr>
              <w:pStyle w:val="TableParagraph"/>
              <w:spacing w:before="1"/>
              <w:ind w:left="488"/>
              <w:jc w:val="left"/>
              <w:rPr>
                <w:b/>
                <w:sz w:val="22"/>
              </w:rPr>
            </w:pPr>
            <w:r>
              <w:rPr>
                <w:b/>
                <w:sz w:val="22"/>
              </w:rPr>
              <w:t>Tratamiento (Cromo Orgánico, ppm)</w:t>
            </w:r>
          </w:p>
        </w:tc>
        <w:tc>
          <w:tcPr>
            <w:tcW w:w="940" w:type="dxa"/>
            <w:tcBorders>
              <w:top w:val="single" w:sz="8" w:space="0" w:color="000000"/>
              <w:left w:val="nil"/>
              <w:bottom w:val="nil"/>
              <w:right w:val="nil"/>
            </w:tcBorders>
          </w:tcPr>
          <w:p>
            <w:pPr/>
          </w:p>
        </w:tc>
        <w:tc>
          <w:tcPr>
            <w:tcW w:w="1344" w:type="dxa"/>
            <w:tcBorders>
              <w:top w:val="single" w:sz="8" w:space="0" w:color="000000"/>
              <w:left w:val="nil"/>
              <w:bottom w:val="nil"/>
              <w:right w:val="nil"/>
            </w:tcBorders>
          </w:tcPr>
          <w:p>
            <w:pPr/>
          </w:p>
        </w:tc>
      </w:tr>
      <w:tr>
        <w:trPr>
          <w:trHeight w:val="206" w:hRule="exact"/>
        </w:trPr>
        <w:tc>
          <w:tcPr>
            <w:tcW w:w="2509" w:type="dxa"/>
            <w:tcBorders>
              <w:top w:val="nil"/>
              <w:left w:val="nil"/>
              <w:bottom w:val="nil"/>
              <w:right w:val="nil"/>
            </w:tcBorders>
          </w:tcPr>
          <w:p>
            <w:pPr/>
          </w:p>
        </w:tc>
        <w:tc>
          <w:tcPr>
            <w:tcW w:w="5141" w:type="dxa"/>
            <w:gridSpan w:val="5"/>
            <w:tcBorders>
              <w:top w:val="nil"/>
              <w:left w:val="nil"/>
              <w:bottom w:val="nil"/>
              <w:right w:val="nil"/>
            </w:tcBorders>
          </w:tcPr>
          <w:p>
            <w:pPr>
              <w:pStyle w:val="TableParagraph"/>
              <w:tabs>
                <w:tab w:pos="4298" w:val="left" w:leader="none"/>
              </w:tabs>
              <w:spacing w:line="221" w:lineRule="exact"/>
              <w:ind w:left="256"/>
              <w:jc w:val="left"/>
              <w:rPr>
                <w:b/>
                <w:sz w:val="14"/>
              </w:rPr>
            </w:pPr>
            <w:r>
              <w:rPr>
                <w:b/>
                <w:w w:val="100"/>
                <w:sz w:val="22"/>
                <w:u w:val="single"/>
              </w:rPr>
              <w:t> </w:t>
            </w:r>
            <w:r>
              <w:rPr>
                <w:b/>
                <w:sz w:val="22"/>
                <w:u w:val="single"/>
              </w:rPr>
              <w:tab/>
            </w:r>
            <w:r>
              <w:rPr>
                <w:b/>
                <w:sz w:val="22"/>
              </w:rPr>
              <w:t> </w:t>
            </w:r>
            <w:r>
              <w:rPr>
                <w:b/>
                <w:spacing w:val="-17"/>
                <w:sz w:val="22"/>
              </w:rPr>
              <w:t> </w:t>
            </w:r>
            <w:r>
              <w:rPr>
                <w:b/>
                <w:sz w:val="22"/>
              </w:rPr>
              <w:t>EEM</w:t>
            </w:r>
            <w:r>
              <w:rPr>
                <w:b/>
                <w:position w:val="8"/>
                <w:sz w:val="14"/>
              </w:rPr>
              <w:t>1</w:t>
            </w:r>
          </w:p>
        </w:tc>
        <w:tc>
          <w:tcPr>
            <w:tcW w:w="1344" w:type="dxa"/>
            <w:tcBorders>
              <w:top w:val="nil"/>
              <w:left w:val="nil"/>
              <w:bottom w:val="nil"/>
              <w:right w:val="nil"/>
            </w:tcBorders>
          </w:tcPr>
          <w:p>
            <w:pPr>
              <w:pStyle w:val="TableParagraph"/>
              <w:spacing w:line="221" w:lineRule="exact"/>
              <w:ind w:left="159" w:right="191"/>
              <w:rPr>
                <w:b/>
                <w:sz w:val="22"/>
              </w:rPr>
            </w:pPr>
            <w:r>
              <w:rPr>
                <w:b/>
                <w:sz w:val="22"/>
              </w:rPr>
              <w:t>Polinomio</w:t>
            </w:r>
          </w:p>
        </w:tc>
      </w:tr>
      <w:tr>
        <w:trPr>
          <w:trHeight w:val="352" w:hRule="exact"/>
        </w:trPr>
        <w:tc>
          <w:tcPr>
            <w:tcW w:w="2509" w:type="dxa"/>
            <w:tcBorders>
              <w:top w:val="nil"/>
              <w:left w:val="nil"/>
              <w:bottom w:val="single" w:sz="8" w:space="0" w:color="000000"/>
              <w:right w:val="nil"/>
            </w:tcBorders>
          </w:tcPr>
          <w:p>
            <w:pPr/>
          </w:p>
        </w:tc>
        <w:tc>
          <w:tcPr>
            <w:tcW w:w="1233" w:type="dxa"/>
            <w:tcBorders>
              <w:top w:val="nil"/>
              <w:left w:val="nil"/>
              <w:right w:val="nil"/>
            </w:tcBorders>
          </w:tcPr>
          <w:p>
            <w:pPr>
              <w:pStyle w:val="TableParagraph"/>
              <w:spacing w:line="214" w:lineRule="exact"/>
              <w:ind w:left="272"/>
              <w:rPr>
                <w:b/>
                <w:sz w:val="22"/>
              </w:rPr>
            </w:pPr>
            <w:r>
              <w:rPr>
                <w:b/>
                <w:w w:val="100"/>
                <w:sz w:val="22"/>
              </w:rPr>
              <w:t>0</w:t>
            </w:r>
          </w:p>
        </w:tc>
        <w:tc>
          <w:tcPr>
            <w:tcW w:w="936" w:type="dxa"/>
            <w:tcBorders>
              <w:top w:val="nil"/>
              <w:left w:val="nil"/>
              <w:bottom w:val="single" w:sz="8" w:space="0" w:color="000000"/>
              <w:right w:val="nil"/>
            </w:tcBorders>
          </w:tcPr>
          <w:p>
            <w:pPr>
              <w:pStyle w:val="TableParagraph"/>
              <w:spacing w:line="214" w:lineRule="exact"/>
              <w:ind w:left="321" w:right="299"/>
              <w:rPr>
                <w:b/>
                <w:sz w:val="22"/>
              </w:rPr>
            </w:pPr>
            <w:r>
              <w:rPr>
                <w:b/>
                <w:sz w:val="22"/>
              </w:rPr>
              <w:t>0.2</w:t>
            </w:r>
          </w:p>
        </w:tc>
        <w:tc>
          <w:tcPr>
            <w:tcW w:w="978" w:type="dxa"/>
            <w:tcBorders>
              <w:top w:val="nil"/>
              <w:left w:val="nil"/>
              <w:bottom w:val="single" w:sz="8" w:space="0" w:color="000000"/>
              <w:right w:val="nil"/>
            </w:tcBorders>
          </w:tcPr>
          <w:p>
            <w:pPr>
              <w:pStyle w:val="TableParagraph"/>
              <w:spacing w:line="214" w:lineRule="exact"/>
              <w:ind w:left="136" w:right="197"/>
              <w:rPr>
                <w:b/>
                <w:sz w:val="22"/>
              </w:rPr>
            </w:pPr>
            <w:r>
              <w:rPr>
                <w:b/>
                <w:sz w:val="22"/>
              </w:rPr>
              <w:t>0.4</w:t>
            </w:r>
          </w:p>
        </w:tc>
        <w:tc>
          <w:tcPr>
            <w:tcW w:w="1054" w:type="dxa"/>
            <w:tcBorders>
              <w:top w:val="nil"/>
              <w:left w:val="nil"/>
              <w:bottom w:val="single" w:sz="8" w:space="0" w:color="000000"/>
              <w:right w:val="nil"/>
            </w:tcBorders>
          </w:tcPr>
          <w:p>
            <w:pPr>
              <w:pStyle w:val="TableParagraph"/>
              <w:spacing w:line="214" w:lineRule="exact"/>
              <w:ind w:left="199" w:right="209"/>
              <w:rPr>
                <w:b/>
                <w:sz w:val="22"/>
              </w:rPr>
            </w:pPr>
            <w:r>
              <w:rPr>
                <w:b/>
                <w:sz w:val="22"/>
              </w:rPr>
              <w:t>0.6</w:t>
            </w:r>
          </w:p>
        </w:tc>
        <w:tc>
          <w:tcPr>
            <w:tcW w:w="940" w:type="dxa"/>
            <w:tcBorders>
              <w:top w:val="nil"/>
              <w:left w:val="nil"/>
              <w:bottom w:val="single" w:sz="8" w:space="0" w:color="000000"/>
              <w:right w:val="nil"/>
            </w:tcBorders>
          </w:tcPr>
          <w:p>
            <w:pPr/>
          </w:p>
        </w:tc>
        <w:tc>
          <w:tcPr>
            <w:tcW w:w="1344" w:type="dxa"/>
            <w:tcBorders>
              <w:top w:val="nil"/>
              <w:left w:val="nil"/>
              <w:bottom w:val="single" w:sz="8" w:space="0" w:color="000000"/>
              <w:right w:val="nil"/>
            </w:tcBorders>
          </w:tcPr>
          <w:p>
            <w:pPr/>
          </w:p>
        </w:tc>
      </w:tr>
      <w:tr>
        <w:trPr>
          <w:trHeight w:val="344" w:hRule="exact"/>
        </w:trPr>
        <w:tc>
          <w:tcPr>
            <w:tcW w:w="2509" w:type="dxa"/>
            <w:tcBorders>
              <w:top w:val="single" w:sz="8" w:space="0" w:color="000000"/>
              <w:left w:val="nil"/>
              <w:bottom w:val="nil"/>
              <w:right w:val="nil"/>
            </w:tcBorders>
          </w:tcPr>
          <w:p>
            <w:pPr>
              <w:pStyle w:val="TableParagraph"/>
              <w:spacing w:before="1"/>
              <w:ind w:left="83"/>
              <w:jc w:val="left"/>
              <w:rPr>
                <w:sz w:val="22"/>
              </w:rPr>
            </w:pPr>
            <w:r>
              <w:rPr>
                <w:sz w:val="22"/>
              </w:rPr>
              <w:t>Mirístico C14:0</w:t>
            </w:r>
          </w:p>
        </w:tc>
        <w:tc>
          <w:tcPr>
            <w:tcW w:w="1233" w:type="dxa"/>
            <w:tcBorders>
              <w:left w:val="nil"/>
              <w:bottom w:val="nil"/>
              <w:right w:val="nil"/>
            </w:tcBorders>
          </w:tcPr>
          <w:p>
            <w:pPr>
              <w:pStyle w:val="TableParagraph"/>
              <w:spacing w:before="6"/>
              <w:ind w:right="228"/>
              <w:jc w:val="right"/>
              <w:rPr>
                <w:sz w:val="22"/>
              </w:rPr>
            </w:pPr>
            <w:r>
              <w:rPr>
                <w:sz w:val="22"/>
              </w:rPr>
              <w:t>1.214</w:t>
            </w:r>
          </w:p>
        </w:tc>
        <w:tc>
          <w:tcPr>
            <w:tcW w:w="936" w:type="dxa"/>
            <w:tcBorders>
              <w:top w:val="single" w:sz="8" w:space="0" w:color="000000"/>
              <w:left w:val="nil"/>
              <w:bottom w:val="nil"/>
              <w:right w:val="nil"/>
            </w:tcBorders>
          </w:tcPr>
          <w:p>
            <w:pPr>
              <w:pStyle w:val="TableParagraph"/>
              <w:spacing w:before="1"/>
              <w:ind w:right="206"/>
              <w:jc w:val="right"/>
              <w:rPr>
                <w:sz w:val="22"/>
              </w:rPr>
            </w:pPr>
            <w:r>
              <w:rPr>
                <w:sz w:val="22"/>
              </w:rPr>
              <w:t>1.502</w:t>
            </w:r>
          </w:p>
        </w:tc>
        <w:tc>
          <w:tcPr>
            <w:tcW w:w="978" w:type="dxa"/>
            <w:tcBorders>
              <w:top w:val="single" w:sz="8" w:space="0" w:color="000000"/>
              <w:left w:val="nil"/>
              <w:bottom w:val="nil"/>
              <w:right w:val="nil"/>
            </w:tcBorders>
          </w:tcPr>
          <w:p>
            <w:pPr>
              <w:pStyle w:val="TableParagraph"/>
              <w:spacing w:before="1"/>
              <w:ind w:left="136" w:right="197"/>
              <w:rPr>
                <w:sz w:val="22"/>
              </w:rPr>
            </w:pPr>
            <w:r>
              <w:rPr>
                <w:sz w:val="22"/>
              </w:rPr>
              <w:t>0.927</w:t>
            </w:r>
          </w:p>
        </w:tc>
        <w:tc>
          <w:tcPr>
            <w:tcW w:w="1054" w:type="dxa"/>
            <w:tcBorders>
              <w:top w:val="single" w:sz="8" w:space="0" w:color="000000"/>
              <w:left w:val="nil"/>
              <w:bottom w:val="nil"/>
              <w:right w:val="nil"/>
            </w:tcBorders>
          </w:tcPr>
          <w:p>
            <w:pPr>
              <w:pStyle w:val="TableParagraph"/>
              <w:spacing w:before="1"/>
              <w:ind w:left="199" w:right="209"/>
              <w:rPr>
                <w:sz w:val="22"/>
              </w:rPr>
            </w:pPr>
            <w:r>
              <w:rPr>
                <w:sz w:val="22"/>
              </w:rPr>
              <w:t>1.233</w:t>
            </w:r>
          </w:p>
        </w:tc>
        <w:tc>
          <w:tcPr>
            <w:tcW w:w="940" w:type="dxa"/>
            <w:tcBorders>
              <w:top w:val="single" w:sz="8" w:space="0" w:color="000000"/>
              <w:left w:val="nil"/>
              <w:bottom w:val="nil"/>
              <w:right w:val="nil"/>
            </w:tcBorders>
          </w:tcPr>
          <w:p>
            <w:pPr>
              <w:pStyle w:val="TableParagraph"/>
              <w:spacing w:before="1"/>
              <w:ind w:left="209" w:right="194"/>
              <w:rPr>
                <w:sz w:val="22"/>
              </w:rPr>
            </w:pPr>
            <w:r>
              <w:rPr>
                <w:sz w:val="22"/>
              </w:rPr>
              <w:t>0.073</w:t>
            </w:r>
          </w:p>
        </w:tc>
        <w:tc>
          <w:tcPr>
            <w:tcW w:w="1344" w:type="dxa"/>
            <w:tcBorders>
              <w:top w:val="single" w:sz="8" w:space="0" w:color="000000"/>
              <w:left w:val="nil"/>
              <w:bottom w:val="nil"/>
              <w:right w:val="nil"/>
            </w:tcBorders>
          </w:tcPr>
          <w:p>
            <w:pPr>
              <w:pStyle w:val="TableParagraph"/>
              <w:spacing w:before="1"/>
              <w:ind w:left="156" w:right="191"/>
              <w:rPr>
                <w:sz w:val="22"/>
              </w:rPr>
            </w:pPr>
            <w:r>
              <w:rPr>
                <w:sz w:val="22"/>
              </w:rPr>
              <w:t>NS</w:t>
            </w:r>
          </w:p>
        </w:tc>
      </w:tr>
      <w:tr>
        <w:trPr>
          <w:trHeight w:val="392" w:hRule="exact"/>
        </w:trPr>
        <w:tc>
          <w:tcPr>
            <w:tcW w:w="2509" w:type="dxa"/>
            <w:tcBorders>
              <w:top w:val="nil"/>
              <w:left w:val="nil"/>
              <w:bottom w:val="nil"/>
              <w:right w:val="nil"/>
            </w:tcBorders>
          </w:tcPr>
          <w:p>
            <w:pPr>
              <w:pStyle w:val="TableParagraph"/>
              <w:spacing w:before="57"/>
              <w:ind w:left="83"/>
              <w:jc w:val="left"/>
              <w:rPr>
                <w:sz w:val="22"/>
              </w:rPr>
            </w:pPr>
            <w:r>
              <w:rPr>
                <w:sz w:val="22"/>
              </w:rPr>
              <w:t>Pentadecanoico C15:0</w:t>
            </w:r>
          </w:p>
        </w:tc>
        <w:tc>
          <w:tcPr>
            <w:tcW w:w="1233" w:type="dxa"/>
            <w:tcBorders>
              <w:top w:val="nil"/>
              <w:left w:val="nil"/>
              <w:bottom w:val="nil"/>
              <w:right w:val="nil"/>
            </w:tcBorders>
          </w:tcPr>
          <w:p>
            <w:pPr>
              <w:pStyle w:val="TableParagraph"/>
              <w:spacing w:before="57"/>
              <w:ind w:right="228"/>
              <w:jc w:val="right"/>
              <w:rPr>
                <w:sz w:val="22"/>
              </w:rPr>
            </w:pPr>
            <w:r>
              <w:rPr>
                <w:sz w:val="22"/>
              </w:rPr>
              <w:t>0.108</w:t>
            </w:r>
          </w:p>
        </w:tc>
        <w:tc>
          <w:tcPr>
            <w:tcW w:w="936" w:type="dxa"/>
            <w:tcBorders>
              <w:top w:val="nil"/>
              <w:left w:val="nil"/>
              <w:bottom w:val="nil"/>
              <w:right w:val="nil"/>
            </w:tcBorders>
          </w:tcPr>
          <w:p>
            <w:pPr>
              <w:pStyle w:val="TableParagraph"/>
              <w:spacing w:before="57"/>
              <w:ind w:right="206"/>
              <w:jc w:val="right"/>
              <w:rPr>
                <w:sz w:val="22"/>
              </w:rPr>
            </w:pPr>
            <w:r>
              <w:rPr>
                <w:sz w:val="22"/>
              </w:rPr>
              <w:t>0.174</w:t>
            </w:r>
          </w:p>
        </w:tc>
        <w:tc>
          <w:tcPr>
            <w:tcW w:w="978" w:type="dxa"/>
            <w:tcBorders>
              <w:top w:val="nil"/>
              <w:left w:val="nil"/>
              <w:bottom w:val="nil"/>
              <w:right w:val="nil"/>
            </w:tcBorders>
          </w:tcPr>
          <w:p>
            <w:pPr>
              <w:pStyle w:val="TableParagraph"/>
              <w:spacing w:before="57"/>
              <w:ind w:left="136" w:right="197"/>
              <w:rPr>
                <w:sz w:val="22"/>
              </w:rPr>
            </w:pPr>
            <w:r>
              <w:rPr>
                <w:sz w:val="22"/>
              </w:rPr>
              <w:t>0.073</w:t>
            </w:r>
          </w:p>
        </w:tc>
        <w:tc>
          <w:tcPr>
            <w:tcW w:w="1054" w:type="dxa"/>
            <w:tcBorders>
              <w:top w:val="nil"/>
              <w:left w:val="nil"/>
              <w:bottom w:val="nil"/>
              <w:right w:val="nil"/>
            </w:tcBorders>
          </w:tcPr>
          <w:p>
            <w:pPr>
              <w:pStyle w:val="TableParagraph"/>
              <w:spacing w:before="57"/>
              <w:ind w:left="199" w:right="209"/>
              <w:rPr>
                <w:sz w:val="22"/>
              </w:rPr>
            </w:pPr>
            <w:r>
              <w:rPr>
                <w:sz w:val="22"/>
              </w:rPr>
              <w:t>0.168</w:t>
            </w:r>
          </w:p>
        </w:tc>
        <w:tc>
          <w:tcPr>
            <w:tcW w:w="940" w:type="dxa"/>
            <w:tcBorders>
              <w:top w:val="nil"/>
              <w:left w:val="nil"/>
              <w:bottom w:val="nil"/>
              <w:right w:val="nil"/>
            </w:tcBorders>
          </w:tcPr>
          <w:p>
            <w:pPr>
              <w:pStyle w:val="TableParagraph"/>
              <w:spacing w:before="57"/>
              <w:ind w:left="209" w:right="194"/>
              <w:rPr>
                <w:sz w:val="22"/>
              </w:rPr>
            </w:pPr>
            <w:r>
              <w:rPr>
                <w:sz w:val="22"/>
              </w:rPr>
              <w:t>0.023</w:t>
            </w:r>
          </w:p>
        </w:tc>
        <w:tc>
          <w:tcPr>
            <w:tcW w:w="1344" w:type="dxa"/>
            <w:tcBorders>
              <w:top w:val="nil"/>
              <w:left w:val="nil"/>
              <w:bottom w:val="nil"/>
              <w:right w:val="nil"/>
            </w:tcBorders>
          </w:tcPr>
          <w:p>
            <w:pPr>
              <w:pStyle w:val="TableParagraph"/>
              <w:spacing w:before="57"/>
              <w:ind w:left="156" w:right="191"/>
              <w:rPr>
                <w:sz w:val="22"/>
              </w:rPr>
            </w:pPr>
            <w:r>
              <w:rPr>
                <w:sz w:val="22"/>
              </w:rPr>
              <w:t>NS</w:t>
            </w:r>
          </w:p>
        </w:tc>
      </w:tr>
      <w:tr>
        <w:trPr>
          <w:trHeight w:val="392" w:hRule="exact"/>
        </w:trPr>
        <w:tc>
          <w:tcPr>
            <w:tcW w:w="2509" w:type="dxa"/>
            <w:tcBorders>
              <w:top w:val="nil"/>
              <w:left w:val="nil"/>
              <w:bottom w:val="nil"/>
              <w:right w:val="nil"/>
            </w:tcBorders>
          </w:tcPr>
          <w:p>
            <w:pPr>
              <w:pStyle w:val="TableParagraph"/>
              <w:spacing w:before="58"/>
              <w:ind w:left="83"/>
              <w:jc w:val="left"/>
              <w:rPr>
                <w:sz w:val="22"/>
              </w:rPr>
            </w:pPr>
            <w:r>
              <w:rPr>
                <w:sz w:val="22"/>
              </w:rPr>
              <w:t>Palmítico C16:0</w:t>
            </w:r>
          </w:p>
        </w:tc>
        <w:tc>
          <w:tcPr>
            <w:tcW w:w="1233" w:type="dxa"/>
            <w:tcBorders>
              <w:top w:val="nil"/>
              <w:left w:val="nil"/>
              <w:bottom w:val="nil"/>
              <w:right w:val="nil"/>
            </w:tcBorders>
          </w:tcPr>
          <w:p>
            <w:pPr>
              <w:pStyle w:val="TableParagraph"/>
              <w:spacing w:before="58"/>
              <w:ind w:right="173"/>
              <w:jc w:val="right"/>
              <w:rPr>
                <w:sz w:val="22"/>
              </w:rPr>
            </w:pPr>
            <w:r>
              <w:rPr>
                <w:sz w:val="22"/>
              </w:rPr>
              <w:t>23.566</w:t>
            </w:r>
          </w:p>
        </w:tc>
        <w:tc>
          <w:tcPr>
            <w:tcW w:w="936" w:type="dxa"/>
            <w:tcBorders>
              <w:top w:val="nil"/>
              <w:left w:val="nil"/>
              <w:bottom w:val="nil"/>
              <w:right w:val="nil"/>
            </w:tcBorders>
          </w:tcPr>
          <w:p>
            <w:pPr>
              <w:pStyle w:val="TableParagraph"/>
              <w:spacing w:before="58"/>
              <w:ind w:right="151"/>
              <w:jc w:val="right"/>
              <w:rPr>
                <w:sz w:val="22"/>
              </w:rPr>
            </w:pPr>
            <w:r>
              <w:rPr>
                <w:sz w:val="22"/>
              </w:rPr>
              <w:t>22.078</w:t>
            </w:r>
          </w:p>
        </w:tc>
        <w:tc>
          <w:tcPr>
            <w:tcW w:w="978" w:type="dxa"/>
            <w:tcBorders>
              <w:top w:val="nil"/>
              <w:left w:val="nil"/>
              <w:bottom w:val="nil"/>
              <w:right w:val="nil"/>
            </w:tcBorders>
          </w:tcPr>
          <w:p>
            <w:pPr>
              <w:pStyle w:val="TableParagraph"/>
              <w:spacing w:before="58"/>
              <w:ind w:left="136" w:right="197"/>
              <w:rPr>
                <w:sz w:val="22"/>
              </w:rPr>
            </w:pPr>
            <w:r>
              <w:rPr>
                <w:sz w:val="22"/>
              </w:rPr>
              <w:t>20.664</w:t>
            </w:r>
          </w:p>
        </w:tc>
        <w:tc>
          <w:tcPr>
            <w:tcW w:w="1054" w:type="dxa"/>
            <w:tcBorders>
              <w:top w:val="nil"/>
              <w:left w:val="nil"/>
              <w:bottom w:val="nil"/>
              <w:right w:val="nil"/>
            </w:tcBorders>
          </w:tcPr>
          <w:p>
            <w:pPr>
              <w:pStyle w:val="TableParagraph"/>
              <w:spacing w:before="58"/>
              <w:ind w:left="199" w:right="209"/>
              <w:rPr>
                <w:sz w:val="22"/>
              </w:rPr>
            </w:pPr>
            <w:r>
              <w:rPr>
                <w:sz w:val="22"/>
              </w:rPr>
              <w:t>22.298</w:t>
            </w:r>
          </w:p>
        </w:tc>
        <w:tc>
          <w:tcPr>
            <w:tcW w:w="940" w:type="dxa"/>
            <w:tcBorders>
              <w:top w:val="nil"/>
              <w:left w:val="nil"/>
              <w:bottom w:val="nil"/>
              <w:right w:val="nil"/>
            </w:tcBorders>
          </w:tcPr>
          <w:p>
            <w:pPr>
              <w:pStyle w:val="TableParagraph"/>
              <w:spacing w:before="58"/>
              <w:ind w:left="209" w:right="194"/>
              <w:rPr>
                <w:sz w:val="22"/>
              </w:rPr>
            </w:pPr>
            <w:r>
              <w:rPr>
                <w:sz w:val="22"/>
              </w:rPr>
              <w:t>0.760</w:t>
            </w:r>
          </w:p>
        </w:tc>
        <w:tc>
          <w:tcPr>
            <w:tcW w:w="1344" w:type="dxa"/>
            <w:tcBorders>
              <w:top w:val="nil"/>
              <w:left w:val="nil"/>
              <w:bottom w:val="nil"/>
              <w:right w:val="nil"/>
            </w:tcBorders>
          </w:tcPr>
          <w:p>
            <w:pPr>
              <w:pStyle w:val="TableParagraph"/>
              <w:spacing w:before="58"/>
              <w:ind w:right="36"/>
              <w:rPr>
                <w:sz w:val="22"/>
              </w:rPr>
            </w:pPr>
            <w:r>
              <w:rPr>
                <w:w w:val="100"/>
                <w:sz w:val="22"/>
              </w:rPr>
              <w:t>L</w:t>
            </w:r>
          </w:p>
        </w:tc>
      </w:tr>
      <w:tr>
        <w:trPr>
          <w:trHeight w:val="396" w:hRule="exact"/>
        </w:trPr>
        <w:tc>
          <w:tcPr>
            <w:tcW w:w="2509" w:type="dxa"/>
            <w:tcBorders>
              <w:top w:val="nil"/>
              <w:left w:val="nil"/>
              <w:bottom w:val="nil"/>
              <w:right w:val="nil"/>
            </w:tcBorders>
          </w:tcPr>
          <w:p>
            <w:pPr>
              <w:pStyle w:val="TableParagraph"/>
              <w:spacing w:before="57"/>
              <w:ind w:left="83"/>
              <w:jc w:val="left"/>
              <w:rPr>
                <w:sz w:val="22"/>
              </w:rPr>
            </w:pPr>
            <w:r>
              <w:rPr>
                <w:sz w:val="22"/>
              </w:rPr>
              <w:t>Margárico C17:0</w:t>
            </w:r>
          </w:p>
        </w:tc>
        <w:tc>
          <w:tcPr>
            <w:tcW w:w="1233" w:type="dxa"/>
            <w:tcBorders>
              <w:top w:val="nil"/>
              <w:left w:val="nil"/>
              <w:bottom w:val="nil"/>
              <w:right w:val="nil"/>
            </w:tcBorders>
          </w:tcPr>
          <w:p>
            <w:pPr>
              <w:pStyle w:val="TableParagraph"/>
              <w:spacing w:before="57"/>
              <w:ind w:right="228"/>
              <w:jc w:val="right"/>
              <w:rPr>
                <w:sz w:val="22"/>
              </w:rPr>
            </w:pPr>
            <w:r>
              <w:rPr>
                <w:sz w:val="22"/>
              </w:rPr>
              <w:t>0.739</w:t>
            </w:r>
          </w:p>
        </w:tc>
        <w:tc>
          <w:tcPr>
            <w:tcW w:w="936" w:type="dxa"/>
            <w:tcBorders>
              <w:top w:val="nil"/>
              <w:left w:val="nil"/>
              <w:bottom w:val="nil"/>
              <w:right w:val="nil"/>
            </w:tcBorders>
          </w:tcPr>
          <w:p>
            <w:pPr>
              <w:pStyle w:val="TableParagraph"/>
              <w:spacing w:before="57"/>
              <w:ind w:right="206"/>
              <w:jc w:val="right"/>
              <w:rPr>
                <w:sz w:val="22"/>
              </w:rPr>
            </w:pPr>
            <w:r>
              <w:rPr>
                <w:sz w:val="22"/>
              </w:rPr>
              <w:t>1.000</w:t>
            </w:r>
          </w:p>
        </w:tc>
        <w:tc>
          <w:tcPr>
            <w:tcW w:w="978" w:type="dxa"/>
            <w:tcBorders>
              <w:top w:val="nil"/>
              <w:left w:val="nil"/>
              <w:bottom w:val="nil"/>
              <w:right w:val="nil"/>
            </w:tcBorders>
          </w:tcPr>
          <w:p>
            <w:pPr>
              <w:pStyle w:val="TableParagraph"/>
              <w:spacing w:before="57"/>
              <w:ind w:left="136" w:right="197"/>
              <w:rPr>
                <w:sz w:val="22"/>
              </w:rPr>
            </w:pPr>
            <w:r>
              <w:rPr>
                <w:sz w:val="22"/>
              </w:rPr>
              <w:t>0.541</w:t>
            </w:r>
          </w:p>
        </w:tc>
        <w:tc>
          <w:tcPr>
            <w:tcW w:w="1054" w:type="dxa"/>
            <w:tcBorders>
              <w:top w:val="nil"/>
              <w:left w:val="nil"/>
              <w:bottom w:val="nil"/>
              <w:right w:val="nil"/>
            </w:tcBorders>
          </w:tcPr>
          <w:p>
            <w:pPr>
              <w:pStyle w:val="TableParagraph"/>
              <w:spacing w:before="57"/>
              <w:ind w:left="199" w:right="209"/>
              <w:rPr>
                <w:sz w:val="22"/>
              </w:rPr>
            </w:pPr>
            <w:r>
              <w:rPr>
                <w:sz w:val="22"/>
              </w:rPr>
              <w:t>0.942</w:t>
            </w:r>
          </w:p>
        </w:tc>
        <w:tc>
          <w:tcPr>
            <w:tcW w:w="940" w:type="dxa"/>
            <w:tcBorders>
              <w:top w:val="nil"/>
              <w:left w:val="nil"/>
              <w:bottom w:val="nil"/>
              <w:right w:val="nil"/>
            </w:tcBorders>
          </w:tcPr>
          <w:p>
            <w:pPr>
              <w:pStyle w:val="TableParagraph"/>
              <w:spacing w:before="57"/>
              <w:ind w:left="209" w:right="194"/>
              <w:rPr>
                <w:sz w:val="22"/>
              </w:rPr>
            </w:pPr>
            <w:r>
              <w:rPr>
                <w:sz w:val="22"/>
              </w:rPr>
              <w:t>0.083</w:t>
            </w:r>
          </w:p>
        </w:tc>
        <w:tc>
          <w:tcPr>
            <w:tcW w:w="1344" w:type="dxa"/>
            <w:tcBorders>
              <w:top w:val="nil"/>
              <w:left w:val="nil"/>
              <w:bottom w:val="nil"/>
              <w:right w:val="nil"/>
            </w:tcBorders>
          </w:tcPr>
          <w:p>
            <w:pPr>
              <w:pStyle w:val="TableParagraph"/>
              <w:spacing w:before="64"/>
              <w:ind w:left="156" w:right="191"/>
              <w:rPr>
                <w:sz w:val="22"/>
              </w:rPr>
            </w:pPr>
            <w:r>
              <w:rPr>
                <w:sz w:val="22"/>
              </w:rPr>
              <w:t>NS</w:t>
            </w:r>
          </w:p>
        </w:tc>
      </w:tr>
      <w:tr>
        <w:trPr>
          <w:trHeight w:val="385" w:hRule="exact"/>
        </w:trPr>
        <w:tc>
          <w:tcPr>
            <w:tcW w:w="2509" w:type="dxa"/>
            <w:tcBorders>
              <w:top w:val="nil"/>
              <w:left w:val="nil"/>
              <w:bottom w:val="nil"/>
              <w:right w:val="nil"/>
            </w:tcBorders>
          </w:tcPr>
          <w:p>
            <w:pPr>
              <w:pStyle w:val="TableParagraph"/>
              <w:spacing w:before="55"/>
              <w:ind w:left="83"/>
              <w:jc w:val="left"/>
              <w:rPr>
                <w:sz w:val="22"/>
              </w:rPr>
            </w:pPr>
            <w:r>
              <w:rPr>
                <w:sz w:val="22"/>
              </w:rPr>
              <w:t>Esteárico C18:0</w:t>
            </w:r>
          </w:p>
        </w:tc>
        <w:tc>
          <w:tcPr>
            <w:tcW w:w="1233" w:type="dxa"/>
            <w:tcBorders>
              <w:top w:val="nil"/>
              <w:left w:val="nil"/>
              <w:bottom w:val="nil"/>
              <w:right w:val="nil"/>
            </w:tcBorders>
          </w:tcPr>
          <w:p>
            <w:pPr>
              <w:pStyle w:val="TableParagraph"/>
              <w:spacing w:before="55"/>
              <w:ind w:right="173"/>
              <w:jc w:val="right"/>
              <w:rPr>
                <w:sz w:val="22"/>
              </w:rPr>
            </w:pPr>
            <w:r>
              <w:rPr>
                <w:sz w:val="22"/>
              </w:rPr>
              <w:t>17.306</w:t>
            </w:r>
          </w:p>
        </w:tc>
        <w:tc>
          <w:tcPr>
            <w:tcW w:w="936" w:type="dxa"/>
            <w:tcBorders>
              <w:top w:val="nil"/>
              <w:left w:val="nil"/>
              <w:bottom w:val="nil"/>
              <w:right w:val="nil"/>
            </w:tcBorders>
          </w:tcPr>
          <w:p>
            <w:pPr>
              <w:pStyle w:val="TableParagraph"/>
              <w:spacing w:before="55"/>
              <w:ind w:right="151"/>
              <w:jc w:val="right"/>
              <w:rPr>
                <w:sz w:val="22"/>
              </w:rPr>
            </w:pPr>
            <w:r>
              <w:rPr>
                <w:sz w:val="22"/>
              </w:rPr>
              <w:t>17.281</w:t>
            </w:r>
          </w:p>
        </w:tc>
        <w:tc>
          <w:tcPr>
            <w:tcW w:w="978" w:type="dxa"/>
            <w:tcBorders>
              <w:top w:val="nil"/>
              <w:left w:val="nil"/>
              <w:bottom w:val="nil"/>
              <w:right w:val="nil"/>
            </w:tcBorders>
          </w:tcPr>
          <w:p>
            <w:pPr>
              <w:pStyle w:val="TableParagraph"/>
              <w:spacing w:before="55"/>
              <w:ind w:left="136" w:right="197"/>
              <w:rPr>
                <w:sz w:val="22"/>
              </w:rPr>
            </w:pPr>
            <w:r>
              <w:rPr>
                <w:sz w:val="22"/>
              </w:rPr>
              <w:t>14.914</w:t>
            </w:r>
          </w:p>
        </w:tc>
        <w:tc>
          <w:tcPr>
            <w:tcW w:w="1054" w:type="dxa"/>
            <w:tcBorders>
              <w:top w:val="nil"/>
              <w:left w:val="nil"/>
              <w:bottom w:val="nil"/>
              <w:right w:val="nil"/>
            </w:tcBorders>
          </w:tcPr>
          <w:p>
            <w:pPr>
              <w:pStyle w:val="TableParagraph"/>
              <w:spacing w:before="55"/>
              <w:ind w:left="199" w:right="209"/>
              <w:rPr>
                <w:sz w:val="22"/>
              </w:rPr>
            </w:pPr>
            <w:r>
              <w:rPr>
                <w:sz w:val="22"/>
              </w:rPr>
              <w:t>16.249</w:t>
            </w:r>
          </w:p>
        </w:tc>
        <w:tc>
          <w:tcPr>
            <w:tcW w:w="940" w:type="dxa"/>
            <w:tcBorders>
              <w:top w:val="nil"/>
              <w:left w:val="nil"/>
              <w:bottom w:val="nil"/>
              <w:right w:val="nil"/>
            </w:tcBorders>
          </w:tcPr>
          <w:p>
            <w:pPr>
              <w:pStyle w:val="TableParagraph"/>
              <w:spacing w:before="55"/>
              <w:ind w:left="209" w:right="194"/>
              <w:rPr>
                <w:sz w:val="22"/>
              </w:rPr>
            </w:pPr>
            <w:r>
              <w:rPr>
                <w:sz w:val="22"/>
              </w:rPr>
              <w:t>0.706</w:t>
            </w:r>
          </w:p>
        </w:tc>
        <w:tc>
          <w:tcPr>
            <w:tcW w:w="1344" w:type="dxa"/>
            <w:tcBorders>
              <w:top w:val="nil"/>
              <w:left w:val="nil"/>
              <w:bottom w:val="nil"/>
              <w:right w:val="nil"/>
            </w:tcBorders>
          </w:tcPr>
          <w:p>
            <w:pPr>
              <w:pStyle w:val="TableParagraph"/>
              <w:spacing w:before="55"/>
              <w:ind w:right="36"/>
              <w:rPr>
                <w:sz w:val="22"/>
              </w:rPr>
            </w:pPr>
            <w:r>
              <w:rPr>
                <w:w w:val="100"/>
                <w:sz w:val="22"/>
              </w:rPr>
              <w:t>L</w:t>
            </w:r>
          </w:p>
        </w:tc>
      </w:tr>
      <w:tr>
        <w:trPr>
          <w:trHeight w:val="382" w:hRule="exact"/>
        </w:trPr>
        <w:tc>
          <w:tcPr>
            <w:tcW w:w="2509" w:type="dxa"/>
            <w:tcBorders>
              <w:top w:val="nil"/>
              <w:left w:val="nil"/>
              <w:bottom w:val="nil"/>
              <w:right w:val="nil"/>
            </w:tcBorders>
          </w:tcPr>
          <w:p>
            <w:pPr>
              <w:pStyle w:val="TableParagraph"/>
              <w:spacing w:before="54"/>
              <w:ind w:left="83"/>
              <w:jc w:val="left"/>
              <w:rPr>
                <w:sz w:val="22"/>
              </w:rPr>
            </w:pPr>
            <w:r>
              <w:rPr>
                <w:sz w:val="22"/>
              </w:rPr>
              <w:t>Palmitoleico C16:1</w:t>
            </w:r>
          </w:p>
        </w:tc>
        <w:tc>
          <w:tcPr>
            <w:tcW w:w="1233" w:type="dxa"/>
            <w:tcBorders>
              <w:top w:val="nil"/>
              <w:left w:val="nil"/>
              <w:bottom w:val="nil"/>
              <w:right w:val="nil"/>
            </w:tcBorders>
          </w:tcPr>
          <w:p>
            <w:pPr>
              <w:pStyle w:val="TableParagraph"/>
              <w:spacing w:before="54"/>
              <w:ind w:right="228"/>
              <w:jc w:val="right"/>
              <w:rPr>
                <w:sz w:val="22"/>
              </w:rPr>
            </w:pPr>
            <w:r>
              <w:rPr>
                <w:sz w:val="22"/>
              </w:rPr>
              <w:t>1.270</w:t>
            </w:r>
          </w:p>
        </w:tc>
        <w:tc>
          <w:tcPr>
            <w:tcW w:w="936" w:type="dxa"/>
            <w:tcBorders>
              <w:top w:val="nil"/>
              <w:left w:val="nil"/>
              <w:bottom w:val="nil"/>
              <w:right w:val="nil"/>
            </w:tcBorders>
          </w:tcPr>
          <w:p>
            <w:pPr>
              <w:pStyle w:val="TableParagraph"/>
              <w:spacing w:before="54"/>
              <w:ind w:right="206"/>
              <w:jc w:val="right"/>
              <w:rPr>
                <w:sz w:val="22"/>
              </w:rPr>
            </w:pPr>
            <w:r>
              <w:rPr>
                <w:sz w:val="22"/>
              </w:rPr>
              <w:t>1.333</w:t>
            </w:r>
          </w:p>
        </w:tc>
        <w:tc>
          <w:tcPr>
            <w:tcW w:w="978" w:type="dxa"/>
            <w:tcBorders>
              <w:top w:val="nil"/>
              <w:left w:val="nil"/>
              <w:bottom w:val="nil"/>
              <w:right w:val="nil"/>
            </w:tcBorders>
          </w:tcPr>
          <w:p>
            <w:pPr>
              <w:pStyle w:val="TableParagraph"/>
              <w:spacing w:before="54"/>
              <w:ind w:left="136" w:right="197"/>
              <w:rPr>
                <w:sz w:val="22"/>
              </w:rPr>
            </w:pPr>
            <w:r>
              <w:rPr>
                <w:sz w:val="22"/>
              </w:rPr>
              <w:t>1.213</w:t>
            </w:r>
          </w:p>
        </w:tc>
        <w:tc>
          <w:tcPr>
            <w:tcW w:w="1054" w:type="dxa"/>
            <w:tcBorders>
              <w:top w:val="nil"/>
              <w:left w:val="nil"/>
              <w:bottom w:val="nil"/>
              <w:right w:val="nil"/>
            </w:tcBorders>
          </w:tcPr>
          <w:p>
            <w:pPr>
              <w:pStyle w:val="TableParagraph"/>
              <w:spacing w:before="54"/>
              <w:ind w:left="199" w:right="209"/>
              <w:rPr>
                <w:sz w:val="22"/>
              </w:rPr>
            </w:pPr>
            <w:r>
              <w:rPr>
                <w:sz w:val="22"/>
              </w:rPr>
              <w:t>1.450</w:t>
            </w:r>
          </w:p>
        </w:tc>
        <w:tc>
          <w:tcPr>
            <w:tcW w:w="940" w:type="dxa"/>
            <w:tcBorders>
              <w:top w:val="nil"/>
              <w:left w:val="nil"/>
              <w:bottom w:val="nil"/>
              <w:right w:val="nil"/>
            </w:tcBorders>
          </w:tcPr>
          <w:p>
            <w:pPr>
              <w:pStyle w:val="TableParagraph"/>
              <w:spacing w:before="54"/>
              <w:ind w:left="209" w:right="194"/>
              <w:rPr>
                <w:sz w:val="22"/>
              </w:rPr>
            </w:pPr>
            <w:r>
              <w:rPr>
                <w:sz w:val="22"/>
              </w:rPr>
              <w:t>0.079</w:t>
            </w:r>
          </w:p>
        </w:tc>
        <w:tc>
          <w:tcPr>
            <w:tcW w:w="1344" w:type="dxa"/>
            <w:tcBorders>
              <w:top w:val="nil"/>
              <w:left w:val="nil"/>
              <w:bottom w:val="nil"/>
              <w:right w:val="nil"/>
            </w:tcBorders>
          </w:tcPr>
          <w:p>
            <w:pPr>
              <w:pStyle w:val="TableParagraph"/>
              <w:spacing w:before="54"/>
              <w:ind w:right="36"/>
              <w:rPr>
                <w:sz w:val="22"/>
              </w:rPr>
            </w:pPr>
            <w:r>
              <w:rPr>
                <w:w w:val="100"/>
                <w:sz w:val="22"/>
              </w:rPr>
              <w:t>L</w:t>
            </w:r>
          </w:p>
        </w:tc>
      </w:tr>
      <w:tr>
        <w:trPr>
          <w:trHeight w:val="379" w:hRule="exact"/>
        </w:trPr>
        <w:tc>
          <w:tcPr>
            <w:tcW w:w="2509" w:type="dxa"/>
            <w:tcBorders>
              <w:top w:val="nil"/>
              <w:left w:val="nil"/>
              <w:bottom w:val="nil"/>
              <w:right w:val="nil"/>
            </w:tcBorders>
          </w:tcPr>
          <w:p>
            <w:pPr>
              <w:pStyle w:val="TableParagraph"/>
              <w:spacing w:before="51"/>
              <w:ind w:left="83"/>
              <w:jc w:val="left"/>
              <w:rPr>
                <w:sz w:val="22"/>
              </w:rPr>
            </w:pPr>
            <w:r>
              <w:rPr>
                <w:sz w:val="22"/>
              </w:rPr>
              <w:t>Oleico C:18:1</w:t>
            </w:r>
          </w:p>
        </w:tc>
        <w:tc>
          <w:tcPr>
            <w:tcW w:w="1233" w:type="dxa"/>
            <w:tcBorders>
              <w:top w:val="nil"/>
              <w:left w:val="nil"/>
              <w:bottom w:val="nil"/>
              <w:right w:val="nil"/>
            </w:tcBorders>
          </w:tcPr>
          <w:p>
            <w:pPr>
              <w:pStyle w:val="TableParagraph"/>
              <w:spacing w:before="51"/>
              <w:ind w:right="173"/>
              <w:jc w:val="right"/>
              <w:rPr>
                <w:sz w:val="22"/>
              </w:rPr>
            </w:pPr>
            <w:r>
              <w:rPr>
                <w:sz w:val="22"/>
              </w:rPr>
              <w:t>45.445</w:t>
            </w:r>
          </w:p>
        </w:tc>
        <w:tc>
          <w:tcPr>
            <w:tcW w:w="936" w:type="dxa"/>
            <w:tcBorders>
              <w:top w:val="nil"/>
              <w:left w:val="nil"/>
              <w:bottom w:val="nil"/>
              <w:right w:val="nil"/>
            </w:tcBorders>
          </w:tcPr>
          <w:p>
            <w:pPr>
              <w:pStyle w:val="TableParagraph"/>
              <w:spacing w:before="51"/>
              <w:ind w:right="151"/>
              <w:jc w:val="right"/>
              <w:rPr>
                <w:sz w:val="22"/>
              </w:rPr>
            </w:pPr>
            <w:r>
              <w:rPr>
                <w:sz w:val="22"/>
              </w:rPr>
              <w:t>45.729</w:t>
            </w:r>
          </w:p>
        </w:tc>
        <w:tc>
          <w:tcPr>
            <w:tcW w:w="978" w:type="dxa"/>
            <w:tcBorders>
              <w:top w:val="nil"/>
              <w:left w:val="nil"/>
              <w:bottom w:val="nil"/>
              <w:right w:val="nil"/>
            </w:tcBorders>
          </w:tcPr>
          <w:p>
            <w:pPr>
              <w:pStyle w:val="TableParagraph"/>
              <w:spacing w:before="51"/>
              <w:ind w:left="136" w:right="197"/>
              <w:rPr>
                <w:sz w:val="22"/>
              </w:rPr>
            </w:pPr>
            <w:r>
              <w:rPr>
                <w:sz w:val="22"/>
              </w:rPr>
              <w:t>45.655</w:t>
            </w:r>
          </w:p>
        </w:tc>
        <w:tc>
          <w:tcPr>
            <w:tcW w:w="1054" w:type="dxa"/>
            <w:tcBorders>
              <w:top w:val="nil"/>
              <w:left w:val="nil"/>
              <w:bottom w:val="nil"/>
              <w:right w:val="nil"/>
            </w:tcBorders>
          </w:tcPr>
          <w:p>
            <w:pPr>
              <w:pStyle w:val="TableParagraph"/>
              <w:spacing w:before="51"/>
              <w:ind w:left="199" w:right="209"/>
              <w:rPr>
                <w:sz w:val="22"/>
              </w:rPr>
            </w:pPr>
            <w:r>
              <w:rPr>
                <w:sz w:val="22"/>
              </w:rPr>
              <w:t>46.215</w:t>
            </w:r>
          </w:p>
        </w:tc>
        <w:tc>
          <w:tcPr>
            <w:tcW w:w="940" w:type="dxa"/>
            <w:tcBorders>
              <w:top w:val="nil"/>
              <w:left w:val="nil"/>
              <w:bottom w:val="nil"/>
              <w:right w:val="nil"/>
            </w:tcBorders>
          </w:tcPr>
          <w:p>
            <w:pPr>
              <w:pStyle w:val="TableParagraph"/>
              <w:spacing w:before="51"/>
              <w:ind w:left="209" w:right="194"/>
              <w:rPr>
                <w:sz w:val="22"/>
              </w:rPr>
            </w:pPr>
            <w:r>
              <w:rPr>
                <w:sz w:val="22"/>
              </w:rPr>
              <w:t>1.711</w:t>
            </w:r>
          </w:p>
        </w:tc>
        <w:tc>
          <w:tcPr>
            <w:tcW w:w="1344" w:type="dxa"/>
            <w:tcBorders>
              <w:top w:val="nil"/>
              <w:left w:val="nil"/>
              <w:bottom w:val="nil"/>
              <w:right w:val="nil"/>
            </w:tcBorders>
          </w:tcPr>
          <w:p>
            <w:pPr>
              <w:pStyle w:val="TableParagraph"/>
              <w:spacing w:before="51"/>
              <w:ind w:left="156" w:right="191"/>
              <w:rPr>
                <w:sz w:val="22"/>
              </w:rPr>
            </w:pPr>
            <w:r>
              <w:rPr>
                <w:sz w:val="22"/>
              </w:rPr>
              <w:t>NS</w:t>
            </w:r>
          </w:p>
        </w:tc>
      </w:tr>
      <w:tr>
        <w:trPr>
          <w:trHeight w:val="380" w:hRule="exact"/>
        </w:trPr>
        <w:tc>
          <w:tcPr>
            <w:tcW w:w="2509" w:type="dxa"/>
            <w:tcBorders>
              <w:top w:val="nil"/>
              <w:left w:val="nil"/>
              <w:bottom w:val="nil"/>
              <w:right w:val="nil"/>
            </w:tcBorders>
          </w:tcPr>
          <w:p>
            <w:pPr>
              <w:pStyle w:val="TableParagraph"/>
              <w:spacing w:before="51"/>
              <w:ind w:left="83"/>
              <w:jc w:val="left"/>
              <w:rPr>
                <w:sz w:val="22"/>
              </w:rPr>
            </w:pPr>
            <w:r>
              <w:rPr>
                <w:sz w:val="22"/>
              </w:rPr>
              <w:t>Vaccénico C18:1n-7</w:t>
            </w:r>
          </w:p>
        </w:tc>
        <w:tc>
          <w:tcPr>
            <w:tcW w:w="1233" w:type="dxa"/>
            <w:tcBorders>
              <w:top w:val="nil"/>
              <w:left w:val="nil"/>
              <w:bottom w:val="nil"/>
              <w:right w:val="nil"/>
            </w:tcBorders>
          </w:tcPr>
          <w:p>
            <w:pPr>
              <w:pStyle w:val="TableParagraph"/>
              <w:spacing w:before="51"/>
              <w:ind w:right="228"/>
              <w:jc w:val="right"/>
              <w:rPr>
                <w:sz w:val="22"/>
              </w:rPr>
            </w:pPr>
            <w:r>
              <w:rPr>
                <w:sz w:val="22"/>
              </w:rPr>
              <w:t>1.502</w:t>
            </w:r>
          </w:p>
        </w:tc>
        <w:tc>
          <w:tcPr>
            <w:tcW w:w="936" w:type="dxa"/>
            <w:tcBorders>
              <w:top w:val="nil"/>
              <w:left w:val="nil"/>
              <w:bottom w:val="nil"/>
              <w:right w:val="nil"/>
            </w:tcBorders>
          </w:tcPr>
          <w:p>
            <w:pPr>
              <w:pStyle w:val="TableParagraph"/>
              <w:spacing w:before="51"/>
              <w:ind w:right="206"/>
              <w:jc w:val="right"/>
              <w:rPr>
                <w:sz w:val="22"/>
              </w:rPr>
            </w:pPr>
            <w:r>
              <w:rPr>
                <w:sz w:val="22"/>
              </w:rPr>
              <w:t>1.476</w:t>
            </w:r>
          </w:p>
        </w:tc>
        <w:tc>
          <w:tcPr>
            <w:tcW w:w="978" w:type="dxa"/>
            <w:tcBorders>
              <w:top w:val="nil"/>
              <w:left w:val="nil"/>
              <w:bottom w:val="nil"/>
              <w:right w:val="nil"/>
            </w:tcBorders>
          </w:tcPr>
          <w:p>
            <w:pPr>
              <w:pStyle w:val="TableParagraph"/>
              <w:spacing w:before="51"/>
              <w:ind w:left="136" w:right="197"/>
              <w:rPr>
                <w:sz w:val="22"/>
              </w:rPr>
            </w:pPr>
            <w:r>
              <w:rPr>
                <w:sz w:val="22"/>
              </w:rPr>
              <w:t>1.459</w:t>
            </w:r>
          </w:p>
        </w:tc>
        <w:tc>
          <w:tcPr>
            <w:tcW w:w="1054" w:type="dxa"/>
            <w:tcBorders>
              <w:top w:val="nil"/>
              <w:left w:val="nil"/>
              <w:bottom w:val="nil"/>
              <w:right w:val="nil"/>
            </w:tcBorders>
          </w:tcPr>
          <w:p>
            <w:pPr>
              <w:pStyle w:val="TableParagraph"/>
              <w:spacing w:before="51"/>
              <w:ind w:left="199" w:right="209"/>
              <w:rPr>
                <w:sz w:val="22"/>
              </w:rPr>
            </w:pPr>
            <w:r>
              <w:rPr>
                <w:sz w:val="22"/>
              </w:rPr>
              <w:t>2.045</w:t>
            </w:r>
          </w:p>
        </w:tc>
        <w:tc>
          <w:tcPr>
            <w:tcW w:w="940" w:type="dxa"/>
            <w:tcBorders>
              <w:top w:val="nil"/>
              <w:left w:val="nil"/>
              <w:bottom w:val="nil"/>
              <w:right w:val="nil"/>
            </w:tcBorders>
          </w:tcPr>
          <w:p>
            <w:pPr>
              <w:pStyle w:val="TableParagraph"/>
              <w:spacing w:before="51"/>
              <w:ind w:left="209" w:right="194"/>
              <w:rPr>
                <w:sz w:val="22"/>
              </w:rPr>
            </w:pPr>
            <w:r>
              <w:rPr>
                <w:sz w:val="22"/>
              </w:rPr>
              <w:t>0.125</w:t>
            </w:r>
          </w:p>
        </w:tc>
        <w:tc>
          <w:tcPr>
            <w:tcW w:w="1344" w:type="dxa"/>
            <w:tcBorders>
              <w:top w:val="nil"/>
              <w:left w:val="nil"/>
              <w:bottom w:val="nil"/>
              <w:right w:val="nil"/>
            </w:tcBorders>
          </w:tcPr>
          <w:p>
            <w:pPr>
              <w:pStyle w:val="TableParagraph"/>
              <w:spacing w:before="51"/>
              <w:ind w:right="36"/>
              <w:rPr>
                <w:sz w:val="22"/>
              </w:rPr>
            </w:pPr>
            <w:r>
              <w:rPr>
                <w:w w:val="100"/>
                <w:sz w:val="22"/>
              </w:rPr>
              <w:t>L</w:t>
            </w:r>
          </w:p>
        </w:tc>
      </w:tr>
      <w:tr>
        <w:trPr>
          <w:trHeight w:val="383" w:hRule="exact"/>
        </w:trPr>
        <w:tc>
          <w:tcPr>
            <w:tcW w:w="2509" w:type="dxa"/>
            <w:tcBorders>
              <w:top w:val="nil"/>
              <w:left w:val="nil"/>
              <w:bottom w:val="nil"/>
              <w:right w:val="nil"/>
            </w:tcBorders>
          </w:tcPr>
          <w:p>
            <w:pPr>
              <w:pStyle w:val="TableParagraph"/>
              <w:spacing w:before="52"/>
              <w:ind w:left="83"/>
              <w:jc w:val="left"/>
              <w:rPr>
                <w:sz w:val="22"/>
              </w:rPr>
            </w:pPr>
            <w:r>
              <w:rPr>
                <w:sz w:val="22"/>
              </w:rPr>
              <w:t>Linoleico C18:2</w:t>
            </w:r>
          </w:p>
        </w:tc>
        <w:tc>
          <w:tcPr>
            <w:tcW w:w="1233" w:type="dxa"/>
            <w:tcBorders>
              <w:top w:val="nil"/>
              <w:left w:val="nil"/>
              <w:bottom w:val="nil"/>
              <w:right w:val="nil"/>
            </w:tcBorders>
          </w:tcPr>
          <w:p>
            <w:pPr>
              <w:pStyle w:val="TableParagraph"/>
              <w:spacing w:before="52"/>
              <w:ind w:right="228"/>
              <w:jc w:val="right"/>
              <w:rPr>
                <w:sz w:val="22"/>
              </w:rPr>
            </w:pPr>
            <w:r>
              <w:rPr>
                <w:sz w:val="22"/>
              </w:rPr>
              <w:t>4.048</w:t>
            </w:r>
          </w:p>
        </w:tc>
        <w:tc>
          <w:tcPr>
            <w:tcW w:w="936" w:type="dxa"/>
            <w:tcBorders>
              <w:top w:val="nil"/>
              <w:left w:val="nil"/>
              <w:bottom w:val="nil"/>
              <w:right w:val="nil"/>
            </w:tcBorders>
          </w:tcPr>
          <w:p>
            <w:pPr>
              <w:pStyle w:val="TableParagraph"/>
              <w:spacing w:before="52"/>
              <w:ind w:right="206"/>
              <w:jc w:val="right"/>
              <w:rPr>
                <w:sz w:val="22"/>
              </w:rPr>
            </w:pPr>
            <w:r>
              <w:rPr>
                <w:sz w:val="22"/>
              </w:rPr>
              <w:t>3.673</w:t>
            </w:r>
          </w:p>
        </w:tc>
        <w:tc>
          <w:tcPr>
            <w:tcW w:w="978" w:type="dxa"/>
            <w:tcBorders>
              <w:top w:val="nil"/>
              <w:left w:val="nil"/>
              <w:bottom w:val="nil"/>
              <w:right w:val="nil"/>
            </w:tcBorders>
          </w:tcPr>
          <w:p>
            <w:pPr>
              <w:pStyle w:val="TableParagraph"/>
              <w:spacing w:before="52"/>
              <w:ind w:left="136" w:right="197"/>
              <w:rPr>
                <w:sz w:val="22"/>
              </w:rPr>
            </w:pPr>
            <w:r>
              <w:rPr>
                <w:sz w:val="22"/>
              </w:rPr>
              <w:t>4.794</w:t>
            </w:r>
          </w:p>
        </w:tc>
        <w:tc>
          <w:tcPr>
            <w:tcW w:w="1054" w:type="dxa"/>
            <w:tcBorders>
              <w:top w:val="nil"/>
              <w:left w:val="nil"/>
              <w:bottom w:val="nil"/>
              <w:right w:val="nil"/>
            </w:tcBorders>
          </w:tcPr>
          <w:p>
            <w:pPr>
              <w:pStyle w:val="TableParagraph"/>
              <w:spacing w:before="52"/>
              <w:ind w:left="199" w:right="209"/>
              <w:rPr>
                <w:sz w:val="22"/>
              </w:rPr>
            </w:pPr>
            <w:r>
              <w:rPr>
                <w:sz w:val="22"/>
              </w:rPr>
              <w:t>5.600</w:t>
            </w:r>
          </w:p>
        </w:tc>
        <w:tc>
          <w:tcPr>
            <w:tcW w:w="940" w:type="dxa"/>
            <w:tcBorders>
              <w:top w:val="nil"/>
              <w:left w:val="nil"/>
              <w:bottom w:val="nil"/>
              <w:right w:val="nil"/>
            </w:tcBorders>
          </w:tcPr>
          <w:p>
            <w:pPr>
              <w:pStyle w:val="TableParagraph"/>
              <w:spacing w:before="52"/>
              <w:ind w:left="209" w:right="194"/>
              <w:rPr>
                <w:sz w:val="22"/>
              </w:rPr>
            </w:pPr>
            <w:r>
              <w:rPr>
                <w:sz w:val="22"/>
              </w:rPr>
              <w:t>0.616</w:t>
            </w:r>
          </w:p>
        </w:tc>
        <w:tc>
          <w:tcPr>
            <w:tcW w:w="1344" w:type="dxa"/>
            <w:tcBorders>
              <w:top w:val="nil"/>
              <w:left w:val="nil"/>
              <w:bottom w:val="nil"/>
              <w:right w:val="nil"/>
            </w:tcBorders>
          </w:tcPr>
          <w:p>
            <w:pPr>
              <w:pStyle w:val="TableParagraph"/>
              <w:spacing w:before="52"/>
              <w:ind w:right="36"/>
              <w:rPr>
                <w:sz w:val="22"/>
              </w:rPr>
            </w:pPr>
            <w:r>
              <w:rPr>
                <w:w w:val="100"/>
                <w:sz w:val="22"/>
              </w:rPr>
              <w:t>L</w:t>
            </w:r>
          </w:p>
        </w:tc>
      </w:tr>
      <w:tr>
        <w:trPr>
          <w:trHeight w:val="384" w:hRule="exact"/>
        </w:trPr>
        <w:tc>
          <w:tcPr>
            <w:tcW w:w="2509" w:type="dxa"/>
            <w:tcBorders>
              <w:top w:val="nil"/>
              <w:left w:val="nil"/>
              <w:bottom w:val="nil"/>
              <w:right w:val="nil"/>
            </w:tcBorders>
          </w:tcPr>
          <w:p>
            <w:pPr>
              <w:pStyle w:val="TableParagraph"/>
              <w:spacing w:before="54"/>
              <w:ind w:left="83"/>
              <w:jc w:val="left"/>
              <w:rPr>
                <w:sz w:val="22"/>
              </w:rPr>
            </w:pPr>
            <w:r>
              <w:rPr>
                <w:sz w:val="22"/>
              </w:rPr>
              <w:t>Araquidónico C20:4</w:t>
            </w:r>
          </w:p>
        </w:tc>
        <w:tc>
          <w:tcPr>
            <w:tcW w:w="1233" w:type="dxa"/>
            <w:tcBorders>
              <w:top w:val="nil"/>
              <w:left w:val="nil"/>
              <w:bottom w:val="nil"/>
              <w:right w:val="nil"/>
            </w:tcBorders>
          </w:tcPr>
          <w:p>
            <w:pPr>
              <w:pStyle w:val="TableParagraph"/>
              <w:spacing w:before="54"/>
              <w:ind w:right="228"/>
              <w:jc w:val="right"/>
              <w:rPr>
                <w:sz w:val="22"/>
              </w:rPr>
            </w:pPr>
            <w:r>
              <w:rPr>
                <w:sz w:val="22"/>
              </w:rPr>
              <w:t>1.591</w:t>
            </w:r>
          </w:p>
        </w:tc>
        <w:tc>
          <w:tcPr>
            <w:tcW w:w="936" w:type="dxa"/>
            <w:tcBorders>
              <w:top w:val="nil"/>
              <w:left w:val="nil"/>
              <w:bottom w:val="nil"/>
              <w:right w:val="nil"/>
            </w:tcBorders>
          </w:tcPr>
          <w:p>
            <w:pPr>
              <w:pStyle w:val="TableParagraph"/>
              <w:spacing w:before="54"/>
              <w:ind w:right="206"/>
              <w:jc w:val="right"/>
              <w:rPr>
                <w:sz w:val="22"/>
              </w:rPr>
            </w:pPr>
            <w:r>
              <w:rPr>
                <w:sz w:val="22"/>
              </w:rPr>
              <w:t>2.232</w:t>
            </w:r>
          </w:p>
        </w:tc>
        <w:tc>
          <w:tcPr>
            <w:tcW w:w="978" w:type="dxa"/>
            <w:tcBorders>
              <w:top w:val="nil"/>
              <w:left w:val="nil"/>
              <w:bottom w:val="nil"/>
              <w:right w:val="nil"/>
            </w:tcBorders>
          </w:tcPr>
          <w:p>
            <w:pPr>
              <w:pStyle w:val="TableParagraph"/>
              <w:spacing w:before="54"/>
              <w:ind w:left="136" w:right="197"/>
              <w:rPr>
                <w:sz w:val="22"/>
              </w:rPr>
            </w:pPr>
            <w:r>
              <w:rPr>
                <w:sz w:val="22"/>
              </w:rPr>
              <w:t>2.607</w:t>
            </w:r>
          </w:p>
        </w:tc>
        <w:tc>
          <w:tcPr>
            <w:tcW w:w="1054" w:type="dxa"/>
            <w:tcBorders>
              <w:top w:val="nil"/>
              <w:left w:val="nil"/>
              <w:bottom w:val="nil"/>
              <w:right w:val="nil"/>
            </w:tcBorders>
          </w:tcPr>
          <w:p>
            <w:pPr>
              <w:pStyle w:val="TableParagraph"/>
              <w:spacing w:before="54"/>
              <w:ind w:left="199" w:right="209"/>
              <w:rPr>
                <w:sz w:val="22"/>
              </w:rPr>
            </w:pPr>
            <w:r>
              <w:rPr>
                <w:sz w:val="22"/>
              </w:rPr>
              <w:t>3.066</w:t>
            </w:r>
          </w:p>
        </w:tc>
        <w:tc>
          <w:tcPr>
            <w:tcW w:w="940" w:type="dxa"/>
            <w:tcBorders>
              <w:top w:val="nil"/>
              <w:left w:val="nil"/>
              <w:bottom w:val="nil"/>
              <w:right w:val="nil"/>
            </w:tcBorders>
          </w:tcPr>
          <w:p>
            <w:pPr>
              <w:pStyle w:val="TableParagraph"/>
              <w:spacing w:before="54"/>
              <w:ind w:left="209" w:right="194"/>
              <w:rPr>
                <w:sz w:val="22"/>
              </w:rPr>
            </w:pPr>
            <w:r>
              <w:rPr>
                <w:sz w:val="22"/>
              </w:rPr>
              <w:t>0.267</w:t>
            </w:r>
          </w:p>
        </w:tc>
        <w:tc>
          <w:tcPr>
            <w:tcW w:w="1344" w:type="dxa"/>
            <w:tcBorders>
              <w:top w:val="nil"/>
              <w:left w:val="nil"/>
              <w:bottom w:val="nil"/>
              <w:right w:val="nil"/>
            </w:tcBorders>
          </w:tcPr>
          <w:p>
            <w:pPr>
              <w:pStyle w:val="TableParagraph"/>
              <w:spacing w:before="54"/>
              <w:ind w:right="36"/>
              <w:rPr>
                <w:sz w:val="22"/>
              </w:rPr>
            </w:pPr>
            <w:r>
              <w:rPr>
                <w:w w:val="100"/>
                <w:sz w:val="22"/>
              </w:rPr>
              <w:t>L</w:t>
            </w:r>
          </w:p>
        </w:tc>
      </w:tr>
      <w:tr>
        <w:trPr>
          <w:trHeight w:val="389" w:hRule="exact"/>
        </w:trPr>
        <w:tc>
          <w:tcPr>
            <w:tcW w:w="2509" w:type="dxa"/>
            <w:tcBorders>
              <w:top w:val="nil"/>
              <w:left w:val="nil"/>
              <w:bottom w:val="nil"/>
              <w:right w:val="nil"/>
            </w:tcBorders>
          </w:tcPr>
          <w:p>
            <w:pPr>
              <w:pStyle w:val="TableParagraph"/>
              <w:spacing w:before="62"/>
              <w:ind w:left="83"/>
              <w:jc w:val="left"/>
              <w:rPr>
                <w:sz w:val="14"/>
              </w:rPr>
            </w:pPr>
            <w:r>
              <w:rPr>
                <w:sz w:val="22"/>
              </w:rPr>
              <w:t>Total AGS</w:t>
            </w:r>
            <w:r>
              <w:rPr>
                <w:position w:val="8"/>
                <w:sz w:val="14"/>
              </w:rPr>
              <w:t>3</w:t>
            </w:r>
          </w:p>
        </w:tc>
        <w:tc>
          <w:tcPr>
            <w:tcW w:w="1233" w:type="dxa"/>
            <w:tcBorders>
              <w:top w:val="nil"/>
              <w:left w:val="nil"/>
              <w:bottom w:val="nil"/>
              <w:right w:val="nil"/>
            </w:tcBorders>
          </w:tcPr>
          <w:p>
            <w:pPr>
              <w:pStyle w:val="TableParagraph"/>
              <w:spacing w:before="63"/>
              <w:ind w:right="173"/>
              <w:jc w:val="right"/>
              <w:rPr>
                <w:sz w:val="22"/>
              </w:rPr>
            </w:pPr>
            <w:r>
              <w:rPr>
                <w:sz w:val="22"/>
              </w:rPr>
              <w:t>42.933</w:t>
            </w:r>
          </w:p>
        </w:tc>
        <w:tc>
          <w:tcPr>
            <w:tcW w:w="936" w:type="dxa"/>
            <w:tcBorders>
              <w:top w:val="nil"/>
              <w:left w:val="nil"/>
              <w:bottom w:val="nil"/>
              <w:right w:val="nil"/>
            </w:tcBorders>
          </w:tcPr>
          <w:p>
            <w:pPr>
              <w:pStyle w:val="TableParagraph"/>
              <w:spacing w:before="63"/>
              <w:ind w:right="151"/>
              <w:jc w:val="right"/>
              <w:rPr>
                <w:sz w:val="22"/>
              </w:rPr>
            </w:pPr>
            <w:r>
              <w:rPr>
                <w:sz w:val="22"/>
              </w:rPr>
              <w:t>42.035</w:t>
            </w:r>
          </w:p>
        </w:tc>
        <w:tc>
          <w:tcPr>
            <w:tcW w:w="978" w:type="dxa"/>
            <w:tcBorders>
              <w:top w:val="nil"/>
              <w:left w:val="nil"/>
              <w:bottom w:val="nil"/>
              <w:right w:val="nil"/>
            </w:tcBorders>
          </w:tcPr>
          <w:p>
            <w:pPr>
              <w:pStyle w:val="TableParagraph"/>
              <w:spacing w:before="63"/>
              <w:ind w:left="136" w:right="197"/>
              <w:rPr>
                <w:sz w:val="22"/>
              </w:rPr>
            </w:pPr>
            <w:r>
              <w:rPr>
                <w:sz w:val="22"/>
              </w:rPr>
              <w:t>37.119</w:t>
            </w:r>
          </w:p>
        </w:tc>
        <w:tc>
          <w:tcPr>
            <w:tcW w:w="1054" w:type="dxa"/>
            <w:tcBorders>
              <w:top w:val="nil"/>
              <w:left w:val="nil"/>
              <w:bottom w:val="nil"/>
              <w:right w:val="nil"/>
            </w:tcBorders>
          </w:tcPr>
          <w:p>
            <w:pPr>
              <w:pStyle w:val="TableParagraph"/>
              <w:spacing w:before="63"/>
              <w:ind w:left="199" w:right="209"/>
              <w:rPr>
                <w:sz w:val="22"/>
              </w:rPr>
            </w:pPr>
            <w:r>
              <w:rPr>
                <w:sz w:val="22"/>
              </w:rPr>
              <w:t>40.890</w:t>
            </w:r>
          </w:p>
        </w:tc>
        <w:tc>
          <w:tcPr>
            <w:tcW w:w="940" w:type="dxa"/>
            <w:tcBorders>
              <w:top w:val="nil"/>
              <w:left w:val="nil"/>
              <w:bottom w:val="nil"/>
              <w:right w:val="nil"/>
            </w:tcBorders>
          </w:tcPr>
          <w:p>
            <w:pPr>
              <w:pStyle w:val="TableParagraph"/>
              <w:spacing w:before="63"/>
              <w:ind w:left="209" w:right="194"/>
              <w:rPr>
                <w:sz w:val="22"/>
              </w:rPr>
            </w:pPr>
            <w:r>
              <w:rPr>
                <w:sz w:val="22"/>
              </w:rPr>
              <w:t>1.40</w:t>
            </w:r>
          </w:p>
        </w:tc>
        <w:tc>
          <w:tcPr>
            <w:tcW w:w="1344" w:type="dxa"/>
            <w:tcBorders>
              <w:top w:val="nil"/>
              <w:left w:val="nil"/>
              <w:bottom w:val="nil"/>
              <w:right w:val="nil"/>
            </w:tcBorders>
          </w:tcPr>
          <w:p>
            <w:pPr>
              <w:pStyle w:val="TableParagraph"/>
              <w:spacing w:before="63"/>
              <w:ind w:right="36"/>
              <w:rPr>
                <w:sz w:val="22"/>
              </w:rPr>
            </w:pPr>
            <w:r>
              <w:rPr>
                <w:w w:val="100"/>
                <w:sz w:val="22"/>
              </w:rPr>
              <w:t>L</w:t>
            </w:r>
          </w:p>
        </w:tc>
      </w:tr>
      <w:tr>
        <w:trPr>
          <w:trHeight w:val="386" w:hRule="exact"/>
        </w:trPr>
        <w:tc>
          <w:tcPr>
            <w:tcW w:w="2509" w:type="dxa"/>
            <w:tcBorders>
              <w:top w:val="nil"/>
              <w:left w:val="nil"/>
              <w:bottom w:val="nil"/>
              <w:right w:val="nil"/>
            </w:tcBorders>
          </w:tcPr>
          <w:p>
            <w:pPr>
              <w:pStyle w:val="TableParagraph"/>
              <w:spacing w:before="53"/>
              <w:ind w:left="83"/>
              <w:jc w:val="left"/>
              <w:rPr>
                <w:sz w:val="14"/>
              </w:rPr>
            </w:pPr>
            <w:r>
              <w:rPr>
                <w:sz w:val="22"/>
              </w:rPr>
              <w:t>AGMI</w:t>
            </w:r>
            <w:r>
              <w:rPr>
                <w:position w:val="8"/>
                <w:sz w:val="14"/>
              </w:rPr>
              <w:t>4</w:t>
            </w:r>
          </w:p>
        </w:tc>
        <w:tc>
          <w:tcPr>
            <w:tcW w:w="1233" w:type="dxa"/>
            <w:tcBorders>
              <w:top w:val="nil"/>
              <w:left w:val="nil"/>
              <w:bottom w:val="nil"/>
              <w:right w:val="nil"/>
            </w:tcBorders>
          </w:tcPr>
          <w:p>
            <w:pPr>
              <w:pStyle w:val="TableParagraph"/>
              <w:spacing w:before="58"/>
              <w:ind w:right="173"/>
              <w:jc w:val="right"/>
              <w:rPr>
                <w:sz w:val="22"/>
              </w:rPr>
            </w:pPr>
            <w:r>
              <w:rPr>
                <w:sz w:val="22"/>
              </w:rPr>
              <w:t>48.217</w:t>
            </w:r>
          </w:p>
        </w:tc>
        <w:tc>
          <w:tcPr>
            <w:tcW w:w="936" w:type="dxa"/>
            <w:tcBorders>
              <w:top w:val="nil"/>
              <w:left w:val="nil"/>
              <w:bottom w:val="nil"/>
              <w:right w:val="nil"/>
            </w:tcBorders>
          </w:tcPr>
          <w:p>
            <w:pPr>
              <w:pStyle w:val="TableParagraph"/>
              <w:spacing w:before="58"/>
              <w:ind w:right="151"/>
              <w:jc w:val="right"/>
              <w:rPr>
                <w:sz w:val="22"/>
              </w:rPr>
            </w:pPr>
            <w:r>
              <w:rPr>
                <w:sz w:val="22"/>
              </w:rPr>
              <w:t>48.538</w:t>
            </w:r>
          </w:p>
        </w:tc>
        <w:tc>
          <w:tcPr>
            <w:tcW w:w="978" w:type="dxa"/>
            <w:tcBorders>
              <w:top w:val="nil"/>
              <w:left w:val="nil"/>
              <w:bottom w:val="nil"/>
              <w:right w:val="nil"/>
            </w:tcBorders>
          </w:tcPr>
          <w:p>
            <w:pPr>
              <w:pStyle w:val="TableParagraph"/>
              <w:spacing w:before="58"/>
              <w:ind w:left="136" w:right="197"/>
              <w:rPr>
                <w:sz w:val="22"/>
              </w:rPr>
            </w:pPr>
            <w:r>
              <w:rPr>
                <w:sz w:val="22"/>
              </w:rPr>
              <w:t>48.337</w:t>
            </w:r>
          </w:p>
        </w:tc>
        <w:tc>
          <w:tcPr>
            <w:tcW w:w="1054" w:type="dxa"/>
            <w:tcBorders>
              <w:top w:val="nil"/>
              <w:left w:val="nil"/>
              <w:bottom w:val="nil"/>
              <w:right w:val="nil"/>
            </w:tcBorders>
          </w:tcPr>
          <w:p>
            <w:pPr>
              <w:pStyle w:val="TableParagraph"/>
              <w:spacing w:before="58"/>
              <w:ind w:left="199" w:right="209"/>
              <w:rPr>
                <w:sz w:val="22"/>
              </w:rPr>
            </w:pPr>
            <w:r>
              <w:rPr>
                <w:sz w:val="22"/>
              </w:rPr>
              <w:t>49.710</w:t>
            </w:r>
          </w:p>
        </w:tc>
        <w:tc>
          <w:tcPr>
            <w:tcW w:w="940" w:type="dxa"/>
            <w:tcBorders>
              <w:top w:val="nil"/>
              <w:left w:val="nil"/>
              <w:bottom w:val="nil"/>
              <w:right w:val="nil"/>
            </w:tcBorders>
          </w:tcPr>
          <w:p>
            <w:pPr>
              <w:pStyle w:val="TableParagraph"/>
              <w:spacing w:before="58"/>
              <w:ind w:left="209" w:right="194"/>
              <w:rPr>
                <w:sz w:val="22"/>
              </w:rPr>
            </w:pPr>
            <w:r>
              <w:rPr>
                <w:sz w:val="22"/>
              </w:rPr>
              <w:t>1.67</w:t>
            </w:r>
          </w:p>
        </w:tc>
        <w:tc>
          <w:tcPr>
            <w:tcW w:w="1344" w:type="dxa"/>
            <w:tcBorders>
              <w:top w:val="nil"/>
              <w:left w:val="nil"/>
              <w:bottom w:val="nil"/>
              <w:right w:val="nil"/>
            </w:tcBorders>
          </w:tcPr>
          <w:p>
            <w:pPr>
              <w:pStyle w:val="TableParagraph"/>
              <w:spacing w:before="58"/>
              <w:ind w:left="156" w:right="191"/>
              <w:rPr>
                <w:sz w:val="22"/>
              </w:rPr>
            </w:pPr>
            <w:r>
              <w:rPr>
                <w:sz w:val="22"/>
              </w:rPr>
              <w:t>NS</w:t>
            </w:r>
          </w:p>
        </w:tc>
      </w:tr>
      <w:tr>
        <w:trPr>
          <w:trHeight w:val="386" w:hRule="exact"/>
        </w:trPr>
        <w:tc>
          <w:tcPr>
            <w:tcW w:w="2509" w:type="dxa"/>
            <w:tcBorders>
              <w:top w:val="nil"/>
              <w:left w:val="nil"/>
              <w:bottom w:val="nil"/>
              <w:right w:val="nil"/>
            </w:tcBorders>
          </w:tcPr>
          <w:p>
            <w:pPr>
              <w:pStyle w:val="TableParagraph"/>
              <w:spacing w:before="60"/>
              <w:ind w:left="83"/>
              <w:jc w:val="left"/>
              <w:rPr>
                <w:sz w:val="14"/>
              </w:rPr>
            </w:pPr>
            <w:r>
              <w:rPr>
                <w:sz w:val="22"/>
              </w:rPr>
              <w:t>AGPI</w:t>
            </w:r>
            <w:r>
              <w:rPr>
                <w:position w:val="8"/>
                <w:sz w:val="14"/>
              </w:rPr>
              <w:t>5</w:t>
            </w:r>
          </w:p>
        </w:tc>
        <w:tc>
          <w:tcPr>
            <w:tcW w:w="1233" w:type="dxa"/>
            <w:tcBorders>
              <w:top w:val="nil"/>
              <w:left w:val="nil"/>
              <w:bottom w:val="nil"/>
              <w:right w:val="nil"/>
            </w:tcBorders>
          </w:tcPr>
          <w:p>
            <w:pPr>
              <w:pStyle w:val="TableParagraph"/>
              <w:spacing w:before="58"/>
              <w:ind w:right="228"/>
              <w:jc w:val="right"/>
              <w:rPr>
                <w:sz w:val="22"/>
              </w:rPr>
            </w:pPr>
            <w:r>
              <w:rPr>
                <w:sz w:val="22"/>
              </w:rPr>
              <w:t>5.639</w:t>
            </w:r>
          </w:p>
        </w:tc>
        <w:tc>
          <w:tcPr>
            <w:tcW w:w="936" w:type="dxa"/>
            <w:tcBorders>
              <w:top w:val="nil"/>
              <w:left w:val="nil"/>
              <w:bottom w:val="nil"/>
              <w:right w:val="nil"/>
            </w:tcBorders>
          </w:tcPr>
          <w:p>
            <w:pPr>
              <w:pStyle w:val="TableParagraph"/>
              <w:spacing w:before="58"/>
              <w:ind w:right="206"/>
              <w:jc w:val="right"/>
              <w:rPr>
                <w:sz w:val="22"/>
              </w:rPr>
            </w:pPr>
            <w:r>
              <w:rPr>
                <w:sz w:val="22"/>
              </w:rPr>
              <w:t>5.905</w:t>
            </w:r>
          </w:p>
        </w:tc>
        <w:tc>
          <w:tcPr>
            <w:tcW w:w="978" w:type="dxa"/>
            <w:tcBorders>
              <w:top w:val="nil"/>
              <w:left w:val="nil"/>
              <w:bottom w:val="nil"/>
              <w:right w:val="nil"/>
            </w:tcBorders>
          </w:tcPr>
          <w:p>
            <w:pPr>
              <w:pStyle w:val="TableParagraph"/>
              <w:spacing w:before="58"/>
              <w:ind w:left="136" w:right="197"/>
              <w:rPr>
                <w:sz w:val="22"/>
              </w:rPr>
            </w:pPr>
            <w:r>
              <w:rPr>
                <w:sz w:val="22"/>
              </w:rPr>
              <w:t>7.401</w:t>
            </w:r>
          </w:p>
        </w:tc>
        <w:tc>
          <w:tcPr>
            <w:tcW w:w="1054" w:type="dxa"/>
            <w:tcBorders>
              <w:top w:val="nil"/>
              <w:left w:val="nil"/>
              <w:bottom w:val="nil"/>
              <w:right w:val="nil"/>
            </w:tcBorders>
          </w:tcPr>
          <w:p>
            <w:pPr>
              <w:pStyle w:val="TableParagraph"/>
              <w:spacing w:before="58"/>
              <w:ind w:left="199" w:right="209"/>
              <w:rPr>
                <w:sz w:val="22"/>
              </w:rPr>
            </w:pPr>
            <w:r>
              <w:rPr>
                <w:sz w:val="22"/>
              </w:rPr>
              <w:t>8.666</w:t>
            </w:r>
          </w:p>
        </w:tc>
        <w:tc>
          <w:tcPr>
            <w:tcW w:w="940" w:type="dxa"/>
            <w:tcBorders>
              <w:top w:val="nil"/>
              <w:left w:val="nil"/>
              <w:bottom w:val="nil"/>
              <w:right w:val="nil"/>
            </w:tcBorders>
          </w:tcPr>
          <w:p>
            <w:pPr>
              <w:pStyle w:val="TableParagraph"/>
              <w:spacing w:before="58"/>
              <w:ind w:left="209" w:right="194"/>
              <w:rPr>
                <w:sz w:val="22"/>
              </w:rPr>
            </w:pPr>
            <w:r>
              <w:rPr>
                <w:sz w:val="22"/>
              </w:rPr>
              <w:t>0.75</w:t>
            </w:r>
          </w:p>
        </w:tc>
        <w:tc>
          <w:tcPr>
            <w:tcW w:w="1344" w:type="dxa"/>
            <w:tcBorders>
              <w:top w:val="nil"/>
              <w:left w:val="nil"/>
              <w:bottom w:val="nil"/>
              <w:right w:val="nil"/>
            </w:tcBorders>
          </w:tcPr>
          <w:p>
            <w:pPr>
              <w:pStyle w:val="TableParagraph"/>
              <w:spacing w:before="58"/>
              <w:ind w:right="36"/>
              <w:rPr>
                <w:sz w:val="22"/>
              </w:rPr>
            </w:pPr>
            <w:r>
              <w:rPr>
                <w:w w:val="100"/>
                <w:sz w:val="22"/>
              </w:rPr>
              <w:t>L</w:t>
            </w:r>
          </w:p>
        </w:tc>
      </w:tr>
      <w:tr>
        <w:trPr>
          <w:trHeight w:val="393" w:hRule="exact"/>
        </w:trPr>
        <w:tc>
          <w:tcPr>
            <w:tcW w:w="2509" w:type="dxa"/>
            <w:tcBorders>
              <w:top w:val="nil"/>
              <w:left w:val="nil"/>
              <w:bottom w:val="nil"/>
              <w:right w:val="nil"/>
            </w:tcBorders>
          </w:tcPr>
          <w:p>
            <w:pPr>
              <w:pStyle w:val="TableParagraph"/>
              <w:spacing w:before="53"/>
              <w:ind w:left="83"/>
              <w:jc w:val="left"/>
              <w:rPr>
                <w:sz w:val="14"/>
              </w:rPr>
            </w:pPr>
            <w:r>
              <w:rPr>
                <w:sz w:val="22"/>
              </w:rPr>
              <w:t>Total AGI</w:t>
            </w:r>
            <w:r>
              <w:rPr>
                <w:position w:val="8"/>
                <w:sz w:val="14"/>
              </w:rPr>
              <w:t>6</w:t>
            </w:r>
          </w:p>
        </w:tc>
        <w:tc>
          <w:tcPr>
            <w:tcW w:w="1233" w:type="dxa"/>
            <w:tcBorders>
              <w:top w:val="nil"/>
              <w:left w:val="nil"/>
              <w:bottom w:val="nil"/>
              <w:right w:val="nil"/>
            </w:tcBorders>
          </w:tcPr>
          <w:p>
            <w:pPr>
              <w:pStyle w:val="TableParagraph"/>
              <w:spacing w:before="58"/>
              <w:ind w:right="173"/>
              <w:jc w:val="right"/>
              <w:rPr>
                <w:sz w:val="22"/>
              </w:rPr>
            </w:pPr>
            <w:r>
              <w:rPr>
                <w:sz w:val="22"/>
              </w:rPr>
              <w:t>53.856</w:t>
            </w:r>
          </w:p>
        </w:tc>
        <w:tc>
          <w:tcPr>
            <w:tcW w:w="936" w:type="dxa"/>
            <w:tcBorders>
              <w:top w:val="nil"/>
              <w:left w:val="nil"/>
              <w:bottom w:val="nil"/>
              <w:right w:val="nil"/>
            </w:tcBorders>
          </w:tcPr>
          <w:p>
            <w:pPr>
              <w:pStyle w:val="TableParagraph"/>
              <w:spacing w:before="58"/>
              <w:ind w:right="151"/>
              <w:jc w:val="right"/>
              <w:rPr>
                <w:sz w:val="22"/>
              </w:rPr>
            </w:pPr>
            <w:r>
              <w:rPr>
                <w:sz w:val="22"/>
              </w:rPr>
              <w:t>54.443</w:t>
            </w:r>
          </w:p>
        </w:tc>
        <w:tc>
          <w:tcPr>
            <w:tcW w:w="978" w:type="dxa"/>
            <w:tcBorders>
              <w:top w:val="nil"/>
              <w:left w:val="nil"/>
              <w:bottom w:val="nil"/>
              <w:right w:val="nil"/>
            </w:tcBorders>
          </w:tcPr>
          <w:p>
            <w:pPr>
              <w:pStyle w:val="TableParagraph"/>
              <w:spacing w:before="58"/>
              <w:ind w:left="136" w:right="197"/>
              <w:rPr>
                <w:sz w:val="22"/>
              </w:rPr>
            </w:pPr>
            <w:r>
              <w:rPr>
                <w:sz w:val="22"/>
              </w:rPr>
              <w:t>55.738</w:t>
            </w:r>
          </w:p>
        </w:tc>
        <w:tc>
          <w:tcPr>
            <w:tcW w:w="1054" w:type="dxa"/>
            <w:tcBorders>
              <w:top w:val="nil"/>
              <w:left w:val="nil"/>
              <w:bottom w:val="nil"/>
              <w:right w:val="nil"/>
            </w:tcBorders>
          </w:tcPr>
          <w:p>
            <w:pPr>
              <w:pStyle w:val="TableParagraph"/>
              <w:spacing w:before="58"/>
              <w:ind w:left="199" w:right="209"/>
              <w:rPr>
                <w:sz w:val="22"/>
              </w:rPr>
            </w:pPr>
            <w:r>
              <w:rPr>
                <w:sz w:val="22"/>
              </w:rPr>
              <w:t>58.376</w:t>
            </w:r>
          </w:p>
        </w:tc>
        <w:tc>
          <w:tcPr>
            <w:tcW w:w="940" w:type="dxa"/>
            <w:tcBorders>
              <w:top w:val="nil"/>
              <w:left w:val="nil"/>
              <w:bottom w:val="nil"/>
              <w:right w:val="nil"/>
            </w:tcBorders>
          </w:tcPr>
          <w:p>
            <w:pPr>
              <w:pStyle w:val="TableParagraph"/>
              <w:spacing w:before="58"/>
              <w:ind w:left="209" w:right="194"/>
              <w:rPr>
                <w:sz w:val="22"/>
              </w:rPr>
            </w:pPr>
            <w:r>
              <w:rPr>
                <w:sz w:val="22"/>
              </w:rPr>
              <w:t>1.44</w:t>
            </w:r>
          </w:p>
        </w:tc>
        <w:tc>
          <w:tcPr>
            <w:tcW w:w="1344" w:type="dxa"/>
            <w:tcBorders>
              <w:top w:val="nil"/>
              <w:left w:val="nil"/>
              <w:bottom w:val="nil"/>
              <w:right w:val="nil"/>
            </w:tcBorders>
          </w:tcPr>
          <w:p>
            <w:pPr>
              <w:pStyle w:val="TableParagraph"/>
              <w:spacing w:before="58"/>
              <w:ind w:left="156" w:right="191"/>
              <w:rPr>
                <w:sz w:val="22"/>
              </w:rPr>
            </w:pPr>
            <w:r>
              <w:rPr>
                <w:sz w:val="22"/>
              </w:rPr>
              <w:t>NS</w:t>
            </w:r>
          </w:p>
        </w:tc>
      </w:tr>
      <w:tr>
        <w:trPr>
          <w:trHeight w:val="470" w:hRule="exact"/>
        </w:trPr>
        <w:tc>
          <w:tcPr>
            <w:tcW w:w="2509" w:type="dxa"/>
            <w:tcBorders>
              <w:top w:val="nil"/>
              <w:left w:val="nil"/>
              <w:bottom w:val="single" w:sz="8" w:space="0" w:color="000000"/>
              <w:right w:val="nil"/>
            </w:tcBorders>
          </w:tcPr>
          <w:p>
            <w:pPr>
              <w:pStyle w:val="TableParagraph"/>
              <w:spacing w:before="73"/>
              <w:ind w:left="83"/>
              <w:jc w:val="left"/>
              <w:rPr>
                <w:sz w:val="22"/>
              </w:rPr>
            </w:pPr>
            <w:r>
              <w:rPr>
                <w:sz w:val="22"/>
              </w:rPr>
              <w:t>Relación AGS:AGI</w:t>
            </w:r>
          </w:p>
        </w:tc>
        <w:tc>
          <w:tcPr>
            <w:tcW w:w="1233" w:type="dxa"/>
            <w:tcBorders>
              <w:top w:val="nil"/>
              <w:left w:val="nil"/>
              <w:bottom w:val="single" w:sz="8" w:space="0" w:color="000000"/>
              <w:right w:val="nil"/>
            </w:tcBorders>
          </w:tcPr>
          <w:p>
            <w:pPr>
              <w:pStyle w:val="TableParagraph"/>
              <w:spacing w:before="58"/>
              <w:ind w:right="228"/>
              <w:jc w:val="right"/>
              <w:rPr>
                <w:sz w:val="22"/>
              </w:rPr>
            </w:pPr>
            <w:r>
              <w:rPr>
                <w:sz w:val="22"/>
              </w:rPr>
              <w:t>0.797</w:t>
            </w:r>
          </w:p>
        </w:tc>
        <w:tc>
          <w:tcPr>
            <w:tcW w:w="936" w:type="dxa"/>
            <w:tcBorders>
              <w:top w:val="nil"/>
              <w:left w:val="nil"/>
              <w:bottom w:val="single" w:sz="8" w:space="0" w:color="000000"/>
              <w:right w:val="nil"/>
            </w:tcBorders>
          </w:tcPr>
          <w:p>
            <w:pPr>
              <w:pStyle w:val="TableParagraph"/>
              <w:spacing w:before="58"/>
              <w:ind w:right="206"/>
              <w:jc w:val="right"/>
              <w:rPr>
                <w:sz w:val="22"/>
              </w:rPr>
            </w:pPr>
            <w:r>
              <w:rPr>
                <w:sz w:val="22"/>
              </w:rPr>
              <w:t>0.772</w:t>
            </w:r>
          </w:p>
        </w:tc>
        <w:tc>
          <w:tcPr>
            <w:tcW w:w="978" w:type="dxa"/>
            <w:tcBorders>
              <w:top w:val="nil"/>
              <w:left w:val="nil"/>
              <w:bottom w:val="single" w:sz="8" w:space="0" w:color="000000"/>
              <w:right w:val="nil"/>
            </w:tcBorders>
          </w:tcPr>
          <w:p>
            <w:pPr>
              <w:pStyle w:val="TableParagraph"/>
              <w:spacing w:before="58"/>
              <w:ind w:left="136" w:right="197"/>
              <w:rPr>
                <w:sz w:val="22"/>
              </w:rPr>
            </w:pPr>
            <w:r>
              <w:rPr>
                <w:sz w:val="22"/>
              </w:rPr>
              <w:t>0.666</w:t>
            </w:r>
          </w:p>
        </w:tc>
        <w:tc>
          <w:tcPr>
            <w:tcW w:w="1054" w:type="dxa"/>
            <w:tcBorders>
              <w:top w:val="nil"/>
              <w:left w:val="nil"/>
              <w:bottom w:val="single" w:sz="8" w:space="0" w:color="000000"/>
              <w:right w:val="nil"/>
            </w:tcBorders>
          </w:tcPr>
          <w:p>
            <w:pPr>
              <w:pStyle w:val="TableParagraph"/>
              <w:spacing w:before="58"/>
              <w:ind w:left="199" w:right="209"/>
              <w:rPr>
                <w:sz w:val="22"/>
              </w:rPr>
            </w:pPr>
            <w:r>
              <w:rPr>
                <w:sz w:val="22"/>
              </w:rPr>
              <w:t>0.700</w:t>
            </w:r>
          </w:p>
        </w:tc>
        <w:tc>
          <w:tcPr>
            <w:tcW w:w="940" w:type="dxa"/>
            <w:tcBorders>
              <w:top w:val="nil"/>
              <w:left w:val="nil"/>
              <w:bottom w:val="single" w:sz="8" w:space="0" w:color="000000"/>
              <w:right w:val="nil"/>
            </w:tcBorders>
          </w:tcPr>
          <w:p>
            <w:pPr>
              <w:pStyle w:val="TableParagraph"/>
              <w:spacing w:before="58"/>
              <w:ind w:left="209" w:right="194"/>
              <w:rPr>
                <w:sz w:val="22"/>
              </w:rPr>
            </w:pPr>
            <w:r>
              <w:rPr>
                <w:sz w:val="22"/>
              </w:rPr>
              <w:t>0.04</w:t>
            </w:r>
          </w:p>
        </w:tc>
        <w:tc>
          <w:tcPr>
            <w:tcW w:w="1344" w:type="dxa"/>
            <w:tcBorders>
              <w:top w:val="nil"/>
              <w:left w:val="nil"/>
              <w:bottom w:val="single" w:sz="8" w:space="0" w:color="000000"/>
              <w:right w:val="nil"/>
            </w:tcBorders>
          </w:tcPr>
          <w:p>
            <w:pPr>
              <w:pStyle w:val="TableParagraph"/>
              <w:spacing w:before="58"/>
              <w:ind w:left="156" w:right="191"/>
              <w:rPr>
                <w:sz w:val="22"/>
              </w:rPr>
            </w:pPr>
            <w:r>
              <w:rPr>
                <w:sz w:val="22"/>
              </w:rPr>
              <w:t>NS</w:t>
            </w:r>
          </w:p>
        </w:tc>
      </w:tr>
    </w:tbl>
    <w:p>
      <w:pPr>
        <w:spacing w:line="247" w:lineRule="exact" w:before="0"/>
        <w:ind w:left="212" w:right="231" w:firstLine="0"/>
        <w:jc w:val="left"/>
        <w:rPr>
          <w:sz w:val="22"/>
        </w:rPr>
      </w:pPr>
      <w:r>
        <w:rPr>
          <w:position w:val="8"/>
          <w:sz w:val="14"/>
        </w:rPr>
        <w:t>1</w:t>
      </w:r>
      <w:r>
        <w:rPr>
          <w:sz w:val="22"/>
        </w:rPr>
        <w:t>Error Estándar de la Media;  </w:t>
      </w:r>
      <w:r>
        <w:rPr>
          <w:position w:val="8"/>
          <w:sz w:val="14"/>
        </w:rPr>
        <w:t>2</w:t>
      </w:r>
      <w:r>
        <w:rPr>
          <w:sz w:val="22"/>
        </w:rPr>
        <w:t>Efectos L, Lineal; Q, Cuadrático (P&lt;0.05). NS=no significativo</w:t>
      </w:r>
    </w:p>
    <w:p>
      <w:pPr>
        <w:spacing w:before="37"/>
        <w:ind w:left="212" w:right="231" w:firstLine="0"/>
        <w:jc w:val="left"/>
        <w:rPr>
          <w:sz w:val="22"/>
        </w:rPr>
      </w:pPr>
      <w:r>
        <w:rPr>
          <w:sz w:val="22"/>
        </w:rPr>
        <w:t>(P&gt;0.05)</w:t>
      </w:r>
    </w:p>
    <w:p>
      <w:pPr>
        <w:spacing w:line="271" w:lineRule="auto" w:before="32"/>
        <w:ind w:left="212" w:right="2014" w:firstLine="0"/>
        <w:jc w:val="left"/>
        <w:rPr>
          <w:sz w:val="22"/>
        </w:rPr>
      </w:pPr>
      <w:r>
        <w:rPr>
          <w:position w:val="8"/>
          <w:sz w:val="14"/>
        </w:rPr>
        <w:t>3</w:t>
      </w:r>
      <w:r>
        <w:rPr>
          <w:sz w:val="22"/>
        </w:rPr>
        <w:t>AGS: Total de ácidos grasos saturados=∑ C14:0, C15:0, C16:0, C17:0, C18:0. </w:t>
      </w:r>
      <w:r>
        <w:rPr>
          <w:position w:val="8"/>
          <w:sz w:val="14"/>
        </w:rPr>
        <w:t>4</w:t>
      </w:r>
      <w:r>
        <w:rPr>
          <w:sz w:val="22"/>
        </w:rPr>
        <w:t>AGMI: Total de ácidos grasos monoinsaturados=∑ C16:1, C18:1, C18:1n-7. </w:t>
      </w:r>
      <w:r>
        <w:rPr>
          <w:position w:val="8"/>
          <w:sz w:val="14"/>
        </w:rPr>
        <w:t>5</w:t>
      </w:r>
      <w:r>
        <w:rPr>
          <w:sz w:val="22"/>
        </w:rPr>
        <w:t>AGPI: Total de ácidos grasos poliinsaturados= ∑ C18:2, C20:4.</w:t>
      </w:r>
    </w:p>
    <w:p>
      <w:pPr>
        <w:spacing w:line="258" w:lineRule="exact" w:before="0"/>
        <w:ind w:left="212" w:right="231" w:firstLine="0"/>
        <w:jc w:val="left"/>
        <w:rPr>
          <w:sz w:val="22"/>
        </w:rPr>
      </w:pPr>
      <w:r>
        <w:rPr>
          <w:position w:val="8"/>
          <w:sz w:val="14"/>
        </w:rPr>
        <w:t>6</w:t>
      </w:r>
      <w:r>
        <w:rPr>
          <w:sz w:val="22"/>
        </w:rPr>
        <w:t>AGS: Total de ácidos grasos insaturados (AGMI+AGPI).</w:t>
      </w:r>
    </w:p>
    <w:p>
      <w:pPr>
        <w:spacing w:after="0" w:line="258" w:lineRule="exact"/>
        <w:jc w:val="left"/>
        <w:rPr>
          <w:sz w:val="22"/>
        </w:rPr>
        <w:sectPr>
          <w:pgSz w:w="12240" w:h="15840"/>
          <w:pgMar w:header="1154" w:footer="1503" w:top="1620" w:bottom="1700" w:left="1660" w:right="1340"/>
        </w:sectPr>
      </w:pPr>
    </w:p>
    <w:p>
      <w:pPr>
        <w:pStyle w:val="BodyText"/>
        <w:spacing w:before="2"/>
        <w:rPr>
          <w:sz w:val="9"/>
        </w:rPr>
      </w:pPr>
    </w:p>
    <w:p>
      <w:pPr>
        <w:pStyle w:val="BodyText"/>
        <w:spacing w:line="360" w:lineRule="auto" w:before="69"/>
        <w:ind w:left="212" w:right="106" w:firstLine="427"/>
        <w:jc w:val="both"/>
      </w:pPr>
      <w:r>
        <w:rPr/>
        <w:t>El Cr orgánico redujo de forma lineal (P&lt;0.05) la concentración de los AG saturados palmítico (C16:0) y esteárico (C18:0) en la grasa intramuscular; además, el Cr aumentó linealmente (P&lt;0.05) el contenido de los AG polinsaturados (palmitoleico (C16:1), vaccénico (C18:1 n7), linoleico (C18:2) y araquidónico (C20:4)). Asimismo, el Cr redujo (P&lt;0.05) de forma lineal el total de AG saturados y aumentó el total de AG poliinsaturados (Cuadro 20).</w:t>
      </w:r>
    </w:p>
    <w:p>
      <w:pPr>
        <w:pStyle w:val="BodyText"/>
        <w:spacing w:before="5"/>
        <w:rPr>
          <w:sz w:val="28"/>
        </w:rPr>
      </w:pPr>
    </w:p>
    <w:p>
      <w:pPr>
        <w:pStyle w:val="ListParagraph"/>
        <w:numPr>
          <w:ilvl w:val="2"/>
          <w:numId w:val="27"/>
        </w:numPr>
        <w:tabs>
          <w:tab w:pos="710" w:val="left" w:leader="none"/>
        </w:tabs>
        <w:spacing w:line="240" w:lineRule="auto" w:before="0" w:after="0"/>
        <w:ind w:left="709" w:right="0" w:hanging="497"/>
        <w:jc w:val="left"/>
        <w:rPr>
          <w:b/>
          <w:i/>
          <w:sz w:val="22"/>
        </w:rPr>
      </w:pPr>
      <w:bookmarkStart w:name="_bookmark72" w:id="138"/>
      <w:bookmarkEnd w:id="138"/>
      <w:r>
        <w:rPr/>
      </w:r>
      <w:bookmarkStart w:name="_bookmark72" w:id="139"/>
      <w:bookmarkEnd w:id="139"/>
      <w:r>
        <w:rPr>
          <w:b/>
          <w:i/>
          <w:sz w:val="22"/>
        </w:rPr>
        <w:t>C</w:t>
      </w:r>
      <w:r>
        <w:rPr>
          <w:b/>
          <w:i/>
          <w:sz w:val="22"/>
        </w:rPr>
        <w:t>aracterísticas de la</w:t>
      </w:r>
      <w:r>
        <w:rPr>
          <w:b/>
          <w:i/>
          <w:spacing w:val="-5"/>
          <w:sz w:val="22"/>
        </w:rPr>
        <w:t> </w:t>
      </w:r>
      <w:r>
        <w:rPr>
          <w:b/>
          <w:i/>
          <w:sz w:val="22"/>
        </w:rPr>
        <w:t>canal</w:t>
      </w:r>
    </w:p>
    <w:p>
      <w:pPr>
        <w:pStyle w:val="BodyText"/>
        <w:rPr>
          <w:b/>
          <w:i/>
          <w:sz w:val="22"/>
        </w:rPr>
      </w:pPr>
    </w:p>
    <w:p>
      <w:pPr>
        <w:pStyle w:val="BodyText"/>
        <w:spacing w:line="360" w:lineRule="auto" w:before="145"/>
        <w:ind w:left="212" w:right="107" w:firstLine="707"/>
        <w:jc w:val="both"/>
      </w:pPr>
      <w:r>
        <w:rPr/>
        <w:t>En el </w:t>
      </w:r>
      <w:r>
        <w:rPr>
          <w:b/>
        </w:rPr>
        <w:t>Cuadro 20 </w:t>
      </w:r>
      <w:r>
        <w:rPr/>
        <w:t>se observan los resultados de peso al sacrificio, pesos de la canal caliente y fría; rendimiento de la canal, área del ojo de chuleta, engrasamiento, conformación muscular y medidas lineales de las canales. No se observaron diferencias (P&gt;0.05) por efecto de las concentraciones de cromo en la dieta sobre ninguna de estas variables.</w:t>
      </w:r>
    </w:p>
    <w:p>
      <w:pPr>
        <w:spacing w:after="0" w:line="360" w:lineRule="auto"/>
        <w:jc w:val="both"/>
        <w:sectPr>
          <w:pgSz w:w="12240" w:h="15840"/>
          <w:pgMar w:header="1154" w:footer="1503" w:top="1620" w:bottom="1700" w:left="1660" w:right="1420"/>
        </w:sectPr>
      </w:pPr>
    </w:p>
    <w:p>
      <w:pPr>
        <w:pStyle w:val="BodyText"/>
        <w:spacing w:before="2"/>
        <w:rPr>
          <w:sz w:val="9"/>
        </w:rPr>
      </w:pPr>
    </w:p>
    <w:p>
      <w:pPr>
        <w:pStyle w:val="BodyText"/>
        <w:spacing w:line="360" w:lineRule="auto" w:before="69" w:after="12"/>
        <w:ind w:left="312" w:right="379"/>
      </w:pPr>
      <w:r>
        <w:rPr/>
        <w:pict>
          <v:group style="position:absolute;margin-left:241.830002pt;margin-top:62.633148pt;width:181.65pt;height:1pt;mso-position-horizontal-relative:page;mso-position-vertical-relative:paragraph;z-index:-203800" coordorigin="4837,1253" coordsize="3633,20">
            <v:line style="position:absolute" from="4847,1263" to="5540,1263" stroked="true" strokeweight=".96001pt" strokecolor="#000000"/>
            <v:line style="position:absolute" from="5540,1263" to="5559,1263" stroked="true" strokeweight=".96001pt" strokecolor="#000000"/>
            <v:line style="position:absolute" from="5559,1263" to="6513,1263" stroked="true" strokeweight=".96001pt" strokecolor="#000000"/>
            <v:line style="position:absolute" from="6513,1263" to="6532,1263" stroked="true" strokeweight=".96001pt" strokecolor="#000000"/>
            <v:line style="position:absolute" from="6532,1263" to="7487,1263" stroked="true" strokeweight=".96001pt" strokecolor="#000000"/>
            <v:line style="position:absolute" from="7487,1263" to="7506,1263" stroked="true" strokeweight=".96001pt" strokecolor="#000000"/>
            <v:line style="position:absolute" from="7506,1263" to="8459,1263" stroked="true" strokeweight=".96001pt" strokecolor="#000000"/>
            <w10:wrap type="none"/>
          </v:group>
        </w:pict>
      </w:r>
      <w:r>
        <w:rPr>
          <w:b/>
        </w:rPr>
        <w:t>Cuadro 20. </w:t>
      </w:r>
      <w:r>
        <w:rPr/>
        <w:t>Efecto de la concentración dietaría de Cr orgánico sobre las características de  la canal de ovinos en engorda</w:t>
      </w:r>
      <w:r>
        <w:rPr>
          <w:spacing w:val="-6"/>
        </w:rPr>
        <w:t> </w:t>
      </w:r>
      <w:r>
        <w:rPr/>
        <w:t>intensiva.</w:t>
      </w: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83"/>
        <w:gridCol w:w="958"/>
        <w:gridCol w:w="904"/>
        <w:gridCol w:w="972"/>
        <w:gridCol w:w="989"/>
        <w:gridCol w:w="1087"/>
        <w:gridCol w:w="1340"/>
      </w:tblGrid>
      <w:tr>
        <w:trPr>
          <w:trHeight w:val="279" w:hRule="exact"/>
        </w:trPr>
        <w:tc>
          <w:tcPr>
            <w:tcW w:w="2983" w:type="dxa"/>
            <w:tcBorders>
              <w:left w:val="nil"/>
              <w:bottom w:val="nil"/>
              <w:right w:val="nil"/>
            </w:tcBorders>
          </w:tcPr>
          <w:p>
            <w:pPr/>
          </w:p>
        </w:tc>
        <w:tc>
          <w:tcPr>
            <w:tcW w:w="3823" w:type="dxa"/>
            <w:gridSpan w:val="4"/>
            <w:tcBorders>
              <w:left w:val="nil"/>
              <w:bottom w:val="nil"/>
              <w:right w:val="nil"/>
            </w:tcBorders>
          </w:tcPr>
          <w:p>
            <w:pPr>
              <w:pStyle w:val="TableParagraph"/>
              <w:spacing w:before="23"/>
              <w:ind w:left="838"/>
              <w:jc w:val="left"/>
              <w:rPr>
                <w:b/>
                <w:sz w:val="24"/>
              </w:rPr>
            </w:pPr>
            <w:r>
              <w:rPr>
                <w:b/>
                <w:sz w:val="24"/>
              </w:rPr>
              <w:t>Cromo Orgánico, ppm</w:t>
            </w:r>
          </w:p>
        </w:tc>
        <w:tc>
          <w:tcPr>
            <w:tcW w:w="1087" w:type="dxa"/>
            <w:tcBorders>
              <w:left w:val="nil"/>
              <w:bottom w:val="nil"/>
              <w:right w:val="nil"/>
            </w:tcBorders>
          </w:tcPr>
          <w:p>
            <w:pPr/>
          </w:p>
        </w:tc>
        <w:tc>
          <w:tcPr>
            <w:tcW w:w="1340" w:type="dxa"/>
            <w:tcBorders>
              <w:left w:val="nil"/>
              <w:bottom w:val="nil"/>
              <w:right w:val="nil"/>
            </w:tcBorders>
          </w:tcPr>
          <w:p>
            <w:pPr/>
          </w:p>
        </w:tc>
      </w:tr>
      <w:tr>
        <w:trPr>
          <w:trHeight w:val="479" w:hRule="exact"/>
        </w:trPr>
        <w:tc>
          <w:tcPr>
            <w:tcW w:w="2983" w:type="dxa"/>
            <w:tcBorders>
              <w:top w:val="nil"/>
              <w:left w:val="nil"/>
              <w:right w:val="nil"/>
            </w:tcBorders>
          </w:tcPr>
          <w:p>
            <w:pPr>
              <w:pStyle w:val="TableParagraph"/>
              <w:spacing w:line="236" w:lineRule="exact"/>
              <w:ind w:left="1149" w:right="252"/>
              <w:jc w:val="left"/>
              <w:rPr>
                <w:b/>
                <w:sz w:val="24"/>
              </w:rPr>
            </w:pPr>
            <w:r>
              <w:rPr>
                <w:b/>
                <w:sz w:val="24"/>
              </w:rPr>
              <w:t>Variable</w:t>
            </w:r>
          </w:p>
        </w:tc>
        <w:tc>
          <w:tcPr>
            <w:tcW w:w="958" w:type="dxa"/>
            <w:tcBorders>
              <w:top w:val="nil"/>
              <w:left w:val="nil"/>
              <w:right w:val="nil"/>
            </w:tcBorders>
          </w:tcPr>
          <w:p>
            <w:pPr>
              <w:pStyle w:val="TableParagraph"/>
              <w:spacing w:before="135"/>
              <w:ind w:left="124"/>
              <w:rPr>
                <w:b/>
                <w:sz w:val="24"/>
              </w:rPr>
            </w:pPr>
            <w:r>
              <w:rPr>
                <w:b/>
                <w:sz w:val="24"/>
              </w:rPr>
              <w:t>0</w:t>
            </w:r>
          </w:p>
        </w:tc>
        <w:tc>
          <w:tcPr>
            <w:tcW w:w="904" w:type="dxa"/>
            <w:tcBorders>
              <w:top w:val="nil"/>
              <w:left w:val="nil"/>
              <w:right w:val="nil"/>
            </w:tcBorders>
          </w:tcPr>
          <w:p>
            <w:pPr>
              <w:pStyle w:val="TableParagraph"/>
              <w:spacing w:before="135"/>
              <w:ind w:left="128" w:right="194"/>
              <w:rPr>
                <w:b/>
                <w:sz w:val="24"/>
              </w:rPr>
            </w:pPr>
            <w:r>
              <w:rPr>
                <w:b/>
                <w:sz w:val="24"/>
              </w:rPr>
              <w:t>0.2</w:t>
            </w:r>
          </w:p>
        </w:tc>
        <w:tc>
          <w:tcPr>
            <w:tcW w:w="972" w:type="dxa"/>
            <w:tcBorders>
              <w:top w:val="nil"/>
              <w:left w:val="nil"/>
              <w:right w:val="nil"/>
            </w:tcBorders>
          </w:tcPr>
          <w:p>
            <w:pPr>
              <w:pStyle w:val="TableParagraph"/>
              <w:spacing w:before="135"/>
              <w:ind w:left="196" w:right="196"/>
              <w:rPr>
                <w:b/>
                <w:sz w:val="24"/>
              </w:rPr>
            </w:pPr>
            <w:r>
              <w:rPr>
                <w:b/>
                <w:sz w:val="24"/>
              </w:rPr>
              <w:t>0.4</w:t>
            </w:r>
          </w:p>
        </w:tc>
        <w:tc>
          <w:tcPr>
            <w:tcW w:w="989" w:type="dxa"/>
            <w:tcBorders>
              <w:top w:val="nil"/>
              <w:left w:val="nil"/>
              <w:right w:val="nil"/>
            </w:tcBorders>
          </w:tcPr>
          <w:p>
            <w:pPr>
              <w:pStyle w:val="TableParagraph"/>
              <w:spacing w:before="135"/>
              <w:ind w:left="197" w:right="212"/>
              <w:rPr>
                <w:b/>
                <w:sz w:val="24"/>
              </w:rPr>
            </w:pPr>
            <w:r>
              <w:rPr>
                <w:b/>
                <w:sz w:val="24"/>
              </w:rPr>
              <w:t>0.6</w:t>
            </w:r>
          </w:p>
        </w:tc>
        <w:tc>
          <w:tcPr>
            <w:tcW w:w="1087" w:type="dxa"/>
            <w:tcBorders>
              <w:top w:val="nil"/>
              <w:left w:val="nil"/>
              <w:right w:val="nil"/>
            </w:tcBorders>
          </w:tcPr>
          <w:p>
            <w:pPr>
              <w:pStyle w:val="TableParagraph"/>
              <w:spacing w:line="236" w:lineRule="exact"/>
              <w:ind w:left="213" w:right="207"/>
              <w:rPr>
                <w:b/>
                <w:sz w:val="16"/>
              </w:rPr>
            </w:pPr>
            <w:r>
              <w:rPr>
                <w:b/>
                <w:sz w:val="24"/>
              </w:rPr>
              <w:t>EEM</w:t>
            </w:r>
            <w:r>
              <w:rPr>
                <w:b/>
                <w:position w:val="8"/>
                <w:sz w:val="16"/>
              </w:rPr>
              <w:t>1</w:t>
            </w:r>
          </w:p>
        </w:tc>
        <w:tc>
          <w:tcPr>
            <w:tcW w:w="1340" w:type="dxa"/>
            <w:tcBorders>
              <w:top w:val="nil"/>
              <w:left w:val="nil"/>
              <w:right w:val="nil"/>
            </w:tcBorders>
          </w:tcPr>
          <w:p>
            <w:pPr>
              <w:pStyle w:val="TableParagraph"/>
              <w:spacing w:before="3"/>
              <w:ind w:left="204" w:right="193"/>
              <w:rPr>
                <w:b/>
                <w:sz w:val="20"/>
              </w:rPr>
            </w:pPr>
            <w:r>
              <w:rPr>
                <w:b/>
                <w:sz w:val="24"/>
              </w:rPr>
              <w:t>Valor P</w:t>
            </w:r>
            <w:r>
              <w:rPr>
                <w:b/>
                <w:sz w:val="20"/>
              </w:rPr>
              <w:t>≤</w:t>
            </w:r>
          </w:p>
        </w:tc>
      </w:tr>
      <w:tr>
        <w:trPr>
          <w:trHeight w:val="364" w:hRule="exact"/>
        </w:trPr>
        <w:tc>
          <w:tcPr>
            <w:tcW w:w="2983" w:type="dxa"/>
            <w:tcBorders>
              <w:left w:val="nil"/>
              <w:bottom w:val="nil"/>
              <w:right w:val="nil"/>
            </w:tcBorders>
          </w:tcPr>
          <w:p>
            <w:pPr>
              <w:pStyle w:val="TableParagraph"/>
              <w:spacing w:line="273" w:lineRule="exact"/>
              <w:ind w:left="83" w:right="252"/>
              <w:jc w:val="left"/>
              <w:rPr>
                <w:sz w:val="24"/>
              </w:rPr>
            </w:pPr>
            <w:r>
              <w:rPr>
                <w:sz w:val="24"/>
              </w:rPr>
              <w:t>Peso al sacrificio, Kg</w:t>
            </w:r>
          </w:p>
        </w:tc>
        <w:tc>
          <w:tcPr>
            <w:tcW w:w="958" w:type="dxa"/>
            <w:tcBorders>
              <w:left w:val="nil"/>
              <w:bottom w:val="nil"/>
              <w:right w:val="nil"/>
            </w:tcBorders>
          </w:tcPr>
          <w:p>
            <w:pPr>
              <w:pStyle w:val="TableParagraph"/>
              <w:spacing w:line="273" w:lineRule="exact"/>
              <w:ind w:left="249" w:right="127"/>
              <w:rPr>
                <w:sz w:val="24"/>
              </w:rPr>
            </w:pPr>
            <w:r>
              <w:rPr>
                <w:sz w:val="24"/>
              </w:rPr>
              <w:t>41.30</w:t>
            </w:r>
          </w:p>
        </w:tc>
        <w:tc>
          <w:tcPr>
            <w:tcW w:w="904" w:type="dxa"/>
            <w:tcBorders>
              <w:left w:val="nil"/>
              <w:bottom w:val="nil"/>
              <w:right w:val="nil"/>
            </w:tcBorders>
          </w:tcPr>
          <w:p>
            <w:pPr>
              <w:pStyle w:val="TableParagraph"/>
              <w:spacing w:line="273" w:lineRule="exact"/>
              <w:ind w:left="128" w:right="194"/>
              <w:rPr>
                <w:sz w:val="24"/>
              </w:rPr>
            </w:pPr>
            <w:r>
              <w:rPr>
                <w:sz w:val="24"/>
              </w:rPr>
              <w:t>42.90</w:t>
            </w:r>
          </w:p>
        </w:tc>
        <w:tc>
          <w:tcPr>
            <w:tcW w:w="972" w:type="dxa"/>
            <w:tcBorders>
              <w:left w:val="nil"/>
              <w:bottom w:val="nil"/>
              <w:right w:val="nil"/>
            </w:tcBorders>
          </w:tcPr>
          <w:p>
            <w:pPr>
              <w:pStyle w:val="TableParagraph"/>
              <w:spacing w:line="273" w:lineRule="exact"/>
              <w:ind w:left="196" w:right="196"/>
              <w:rPr>
                <w:sz w:val="24"/>
              </w:rPr>
            </w:pPr>
            <w:r>
              <w:rPr>
                <w:sz w:val="24"/>
              </w:rPr>
              <w:t>41.70</w:t>
            </w:r>
          </w:p>
        </w:tc>
        <w:tc>
          <w:tcPr>
            <w:tcW w:w="989" w:type="dxa"/>
            <w:tcBorders>
              <w:left w:val="nil"/>
              <w:bottom w:val="nil"/>
              <w:right w:val="nil"/>
            </w:tcBorders>
          </w:tcPr>
          <w:p>
            <w:pPr>
              <w:pStyle w:val="TableParagraph"/>
              <w:spacing w:line="273" w:lineRule="exact"/>
              <w:ind w:left="197" w:right="212"/>
              <w:rPr>
                <w:sz w:val="24"/>
              </w:rPr>
            </w:pPr>
            <w:r>
              <w:rPr>
                <w:sz w:val="24"/>
              </w:rPr>
              <w:t>41.72</w:t>
            </w:r>
          </w:p>
        </w:tc>
        <w:tc>
          <w:tcPr>
            <w:tcW w:w="1087" w:type="dxa"/>
            <w:tcBorders>
              <w:left w:val="nil"/>
              <w:bottom w:val="nil"/>
              <w:right w:val="nil"/>
            </w:tcBorders>
          </w:tcPr>
          <w:p>
            <w:pPr>
              <w:pStyle w:val="TableParagraph"/>
              <w:spacing w:line="273" w:lineRule="exact"/>
              <w:ind w:left="212" w:right="207"/>
              <w:rPr>
                <w:sz w:val="24"/>
              </w:rPr>
            </w:pPr>
            <w:r>
              <w:rPr>
                <w:sz w:val="24"/>
              </w:rPr>
              <w:t>2.37</w:t>
            </w:r>
          </w:p>
        </w:tc>
        <w:tc>
          <w:tcPr>
            <w:tcW w:w="1340" w:type="dxa"/>
            <w:tcBorders>
              <w:left w:val="nil"/>
              <w:bottom w:val="nil"/>
              <w:right w:val="nil"/>
            </w:tcBorders>
          </w:tcPr>
          <w:p>
            <w:pPr>
              <w:pStyle w:val="TableParagraph"/>
              <w:spacing w:line="273" w:lineRule="exact"/>
              <w:ind w:left="204" w:right="188"/>
              <w:rPr>
                <w:sz w:val="24"/>
              </w:rPr>
            </w:pPr>
            <w:r>
              <w:rPr>
                <w:sz w:val="24"/>
              </w:rPr>
              <w:t>0.91</w:t>
            </w:r>
          </w:p>
        </w:tc>
      </w:tr>
      <w:tr>
        <w:trPr>
          <w:trHeight w:val="414" w:hRule="exact"/>
        </w:trPr>
        <w:tc>
          <w:tcPr>
            <w:tcW w:w="2983" w:type="dxa"/>
            <w:tcBorders>
              <w:top w:val="nil"/>
              <w:left w:val="nil"/>
              <w:bottom w:val="nil"/>
              <w:right w:val="nil"/>
            </w:tcBorders>
          </w:tcPr>
          <w:p>
            <w:pPr>
              <w:pStyle w:val="TableParagraph"/>
              <w:spacing w:before="55"/>
              <w:ind w:left="83" w:right="252"/>
              <w:jc w:val="left"/>
              <w:rPr>
                <w:sz w:val="24"/>
              </w:rPr>
            </w:pPr>
            <w:r>
              <w:rPr>
                <w:sz w:val="24"/>
              </w:rPr>
              <w:t>Peso canal caliente, Kg</w:t>
            </w:r>
          </w:p>
        </w:tc>
        <w:tc>
          <w:tcPr>
            <w:tcW w:w="958" w:type="dxa"/>
            <w:tcBorders>
              <w:top w:val="nil"/>
              <w:left w:val="nil"/>
              <w:bottom w:val="nil"/>
              <w:right w:val="nil"/>
            </w:tcBorders>
          </w:tcPr>
          <w:p>
            <w:pPr>
              <w:pStyle w:val="TableParagraph"/>
              <w:spacing w:before="55"/>
              <w:ind w:left="249" w:right="127"/>
              <w:rPr>
                <w:sz w:val="24"/>
              </w:rPr>
            </w:pPr>
            <w:r>
              <w:rPr>
                <w:sz w:val="24"/>
              </w:rPr>
              <w:t>19.56</w:t>
            </w:r>
          </w:p>
        </w:tc>
        <w:tc>
          <w:tcPr>
            <w:tcW w:w="904" w:type="dxa"/>
            <w:tcBorders>
              <w:top w:val="nil"/>
              <w:left w:val="nil"/>
              <w:bottom w:val="nil"/>
              <w:right w:val="nil"/>
            </w:tcBorders>
          </w:tcPr>
          <w:p>
            <w:pPr>
              <w:pStyle w:val="TableParagraph"/>
              <w:spacing w:before="55"/>
              <w:ind w:left="128" w:right="194"/>
              <w:rPr>
                <w:sz w:val="24"/>
              </w:rPr>
            </w:pPr>
            <w:r>
              <w:rPr>
                <w:sz w:val="24"/>
              </w:rPr>
              <w:t>19.96</w:t>
            </w:r>
          </w:p>
        </w:tc>
        <w:tc>
          <w:tcPr>
            <w:tcW w:w="972" w:type="dxa"/>
            <w:tcBorders>
              <w:top w:val="nil"/>
              <w:left w:val="nil"/>
              <w:bottom w:val="nil"/>
              <w:right w:val="nil"/>
            </w:tcBorders>
          </w:tcPr>
          <w:p>
            <w:pPr>
              <w:pStyle w:val="TableParagraph"/>
              <w:spacing w:before="55"/>
              <w:ind w:left="196" w:right="196"/>
              <w:rPr>
                <w:sz w:val="24"/>
              </w:rPr>
            </w:pPr>
            <w:r>
              <w:rPr>
                <w:sz w:val="24"/>
              </w:rPr>
              <w:t>21.04</w:t>
            </w:r>
          </w:p>
        </w:tc>
        <w:tc>
          <w:tcPr>
            <w:tcW w:w="989" w:type="dxa"/>
            <w:tcBorders>
              <w:top w:val="nil"/>
              <w:left w:val="nil"/>
              <w:bottom w:val="nil"/>
              <w:right w:val="nil"/>
            </w:tcBorders>
          </w:tcPr>
          <w:p>
            <w:pPr>
              <w:pStyle w:val="TableParagraph"/>
              <w:spacing w:before="55"/>
              <w:ind w:left="197" w:right="212"/>
              <w:rPr>
                <w:sz w:val="24"/>
              </w:rPr>
            </w:pPr>
            <w:r>
              <w:rPr>
                <w:sz w:val="24"/>
              </w:rPr>
              <w:t>20.14</w:t>
            </w:r>
          </w:p>
        </w:tc>
        <w:tc>
          <w:tcPr>
            <w:tcW w:w="1087" w:type="dxa"/>
            <w:tcBorders>
              <w:top w:val="nil"/>
              <w:left w:val="nil"/>
              <w:bottom w:val="nil"/>
              <w:right w:val="nil"/>
            </w:tcBorders>
          </w:tcPr>
          <w:p>
            <w:pPr>
              <w:pStyle w:val="TableParagraph"/>
              <w:spacing w:before="55"/>
              <w:ind w:left="212" w:right="207"/>
              <w:rPr>
                <w:sz w:val="24"/>
              </w:rPr>
            </w:pPr>
            <w:r>
              <w:rPr>
                <w:sz w:val="24"/>
              </w:rPr>
              <w:t>0.79</w:t>
            </w:r>
          </w:p>
        </w:tc>
        <w:tc>
          <w:tcPr>
            <w:tcW w:w="1340" w:type="dxa"/>
            <w:tcBorders>
              <w:top w:val="nil"/>
              <w:left w:val="nil"/>
              <w:bottom w:val="nil"/>
              <w:right w:val="nil"/>
            </w:tcBorders>
          </w:tcPr>
          <w:p>
            <w:pPr>
              <w:pStyle w:val="TableParagraph"/>
              <w:spacing w:before="55"/>
              <w:ind w:left="204" w:right="188"/>
              <w:rPr>
                <w:sz w:val="24"/>
              </w:rPr>
            </w:pPr>
            <w:r>
              <w:rPr>
                <w:sz w:val="24"/>
              </w:rPr>
              <w:t>0.41</w:t>
            </w:r>
          </w:p>
        </w:tc>
      </w:tr>
      <w:tr>
        <w:trPr>
          <w:trHeight w:val="414" w:hRule="exact"/>
        </w:trPr>
        <w:tc>
          <w:tcPr>
            <w:tcW w:w="2983" w:type="dxa"/>
            <w:tcBorders>
              <w:top w:val="nil"/>
              <w:left w:val="nil"/>
              <w:bottom w:val="nil"/>
              <w:right w:val="nil"/>
            </w:tcBorders>
          </w:tcPr>
          <w:p>
            <w:pPr>
              <w:pStyle w:val="TableParagraph"/>
              <w:spacing w:before="56"/>
              <w:ind w:left="83" w:right="252"/>
              <w:jc w:val="left"/>
              <w:rPr>
                <w:sz w:val="24"/>
              </w:rPr>
            </w:pPr>
            <w:r>
              <w:rPr>
                <w:sz w:val="24"/>
              </w:rPr>
              <w:t>Peso canal fría, Kg</w:t>
            </w:r>
          </w:p>
        </w:tc>
        <w:tc>
          <w:tcPr>
            <w:tcW w:w="958" w:type="dxa"/>
            <w:tcBorders>
              <w:top w:val="nil"/>
              <w:left w:val="nil"/>
              <w:bottom w:val="nil"/>
              <w:right w:val="nil"/>
            </w:tcBorders>
          </w:tcPr>
          <w:p>
            <w:pPr>
              <w:pStyle w:val="TableParagraph"/>
              <w:spacing w:before="56"/>
              <w:ind w:left="249" w:right="127"/>
              <w:rPr>
                <w:sz w:val="24"/>
              </w:rPr>
            </w:pPr>
            <w:r>
              <w:rPr>
                <w:sz w:val="24"/>
              </w:rPr>
              <w:t>18.46</w:t>
            </w:r>
          </w:p>
        </w:tc>
        <w:tc>
          <w:tcPr>
            <w:tcW w:w="904" w:type="dxa"/>
            <w:tcBorders>
              <w:top w:val="nil"/>
              <w:left w:val="nil"/>
              <w:bottom w:val="nil"/>
              <w:right w:val="nil"/>
            </w:tcBorders>
          </w:tcPr>
          <w:p>
            <w:pPr>
              <w:pStyle w:val="TableParagraph"/>
              <w:spacing w:before="56"/>
              <w:ind w:left="128" w:right="194"/>
              <w:rPr>
                <w:sz w:val="24"/>
              </w:rPr>
            </w:pPr>
            <w:r>
              <w:rPr>
                <w:sz w:val="24"/>
              </w:rPr>
              <w:t>18.72</w:t>
            </w:r>
          </w:p>
        </w:tc>
        <w:tc>
          <w:tcPr>
            <w:tcW w:w="972" w:type="dxa"/>
            <w:tcBorders>
              <w:top w:val="nil"/>
              <w:left w:val="nil"/>
              <w:bottom w:val="nil"/>
              <w:right w:val="nil"/>
            </w:tcBorders>
          </w:tcPr>
          <w:p>
            <w:pPr>
              <w:pStyle w:val="TableParagraph"/>
              <w:spacing w:before="56"/>
              <w:ind w:left="196" w:right="196"/>
              <w:rPr>
                <w:sz w:val="24"/>
              </w:rPr>
            </w:pPr>
            <w:r>
              <w:rPr>
                <w:sz w:val="24"/>
              </w:rPr>
              <w:t>18.52</w:t>
            </w:r>
          </w:p>
        </w:tc>
        <w:tc>
          <w:tcPr>
            <w:tcW w:w="989" w:type="dxa"/>
            <w:tcBorders>
              <w:top w:val="nil"/>
              <w:left w:val="nil"/>
              <w:bottom w:val="nil"/>
              <w:right w:val="nil"/>
            </w:tcBorders>
          </w:tcPr>
          <w:p>
            <w:pPr>
              <w:pStyle w:val="TableParagraph"/>
              <w:spacing w:before="56"/>
              <w:ind w:left="197" w:right="212"/>
              <w:rPr>
                <w:sz w:val="24"/>
              </w:rPr>
            </w:pPr>
            <w:r>
              <w:rPr>
                <w:sz w:val="24"/>
              </w:rPr>
              <w:t>18.84</w:t>
            </w:r>
          </w:p>
        </w:tc>
        <w:tc>
          <w:tcPr>
            <w:tcW w:w="1087" w:type="dxa"/>
            <w:tcBorders>
              <w:top w:val="nil"/>
              <w:left w:val="nil"/>
              <w:bottom w:val="nil"/>
              <w:right w:val="nil"/>
            </w:tcBorders>
          </w:tcPr>
          <w:p>
            <w:pPr>
              <w:pStyle w:val="TableParagraph"/>
              <w:spacing w:before="56"/>
              <w:ind w:left="212" w:right="207"/>
              <w:rPr>
                <w:sz w:val="24"/>
              </w:rPr>
            </w:pPr>
            <w:r>
              <w:rPr>
                <w:sz w:val="24"/>
              </w:rPr>
              <w:t>0.86</w:t>
            </w:r>
          </w:p>
        </w:tc>
        <w:tc>
          <w:tcPr>
            <w:tcW w:w="1340" w:type="dxa"/>
            <w:tcBorders>
              <w:top w:val="nil"/>
              <w:left w:val="nil"/>
              <w:bottom w:val="nil"/>
              <w:right w:val="nil"/>
            </w:tcBorders>
          </w:tcPr>
          <w:p>
            <w:pPr>
              <w:pStyle w:val="TableParagraph"/>
              <w:spacing w:before="56"/>
              <w:ind w:left="204" w:right="188"/>
              <w:rPr>
                <w:sz w:val="24"/>
              </w:rPr>
            </w:pPr>
            <w:r>
              <w:rPr>
                <w:sz w:val="24"/>
              </w:rPr>
              <w:t>0.80</w:t>
            </w:r>
          </w:p>
        </w:tc>
      </w:tr>
      <w:tr>
        <w:trPr>
          <w:trHeight w:val="401" w:hRule="exact"/>
        </w:trPr>
        <w:tc>
          <w:tcPr>
            <w:tcW w:w="2983" w:type="dxa"/>
            <w:tcBorders>
              <w:top w:val="nil"/>
              <w:left w:val="nil"/>
              <w:bottom w:val="nil"/>
              <w:right w:val="nil"/>
            </w:tcBorders>
          </w:tcPr>
          <w:p>
            <w:pPr>
              <w:pStyle w:val="TableParagraph"/>
              <w:spacing w:before="55"/>
              <w:ind w:left="83" w:right="252"/>
              <w:jc w:val="left"/>
              <w:rPr>
                <w:sz w:val="24"/>
              </w:rPr>
            </w:pPr>
            <w:r>
              <w:rPr>
                <w:sz w:val="24"/>
              </w:rPr>
              <w:t>Rendimiento comercial,%</w:t>
            </w:r>
          </w:p>
        </w:tc>
        <w:tc>
          <w:tcPr>
            <w:tcW w:w="958" w:type="dxa"/>
            <w:tcBorders>
              <w:top w:val="nil"/>
              <w:left w:val="nil"/>
              <w:bottom w:val="nil"/>
              <w:right w:val="nil"/>
            </w:tcBorders>
          </w:tcPr>
          <w:p>
            <w:pPr>
              <w:pStyle w:val="TableParagraph"/>
              <w:spacing w:before="55"/>
              <w:ind w:left="249" w:right="127"/>
              <w:rPr>
                <w:sz w:val="24"/>
              </w:rPr>
            </w:pPr>
            <w:r>
              <w:rPr>
                <w:sz w:val="24"/>
              </w:rPr>
              <w:t>44.70</w:t>
            </w:r>
          </w:p>
        </w:tc>
        <w:tc>
          <w:tcPr>
            <w:tcW w:w="904" w:type="dxa"/>
            <w:tcBorders>
              <w:top w:val="nil"/>
              <w:left w:val="nil"/>
              <w:bottom w:val="nil"/>
              <w:right w:val="nil"/>
            </w:tcBorders>
          </w:tcPr>
          <w:p>
            <w:pPr>
              <w:pStyle w:val="TableParagraph"/>
              <w:spacing w:before="55"/>
              <w:ind w:left="128" w:right="194"/>
              <w:rPr>
                <w:sz w:val="24"/>
              </w:rPr>
            </w:pPr>
            <w:r>
              <w:rPr>
                <w:sz w:val="24"/>
              </w:rPr>
              <w:t>43.70</w:t>
            </w:r>
          </w:p>
        </w:tc>
        <w:tc>
          <w:tcPr>
            <w:tcW w:w="972" w:type="dxa"/>
            <w:tcBorders>
              <w:top w:val="nil"/>
              <w:left w:val="nil"/>
              <w:bottom w:val="nil"/>
              <w:right w:val="nil"/>
            </w:tcBorders>
          </w:tcPr>
          <w:p>
            <w:pPr>
              <w:pStyle w:val="TableParagraph"/>
              <w:spacing w:before="55"/>
              <w:ind w:left="196" w:right="196"/>
              <w:rPr>
                <w:sz w:val="24"/>
              </w:rPr>
            </w:pPr>
            <w:r>
              <w:rPr>
                <w:sz w:val="24"/>
              </w:rPr>
              <w:t>45.10</w:t>
            </w:r>
          </w:p>
        </w:tc>
        <w:tc>
          <w:tcPr>
            <w:tcW w:w="989" w:type="dxa"/>
            <w:tcBorders>
              <w:top w:val="nil"/>
              <w:left w:val="nil"/>
              <w:bottom w:val="nil"/>
              <w:right w:val="nil"/>
            </w:tcBorders>
          </w:tcPr>
          <w:p>
            <w:pPr>
              <w:pStyle w:val="TableParagraph"/>
              <w:spacing w:before="55"/>
              <w:ind w:left="197" w:right="212"/>
              <w:rPr>
                <w:sz w:val="24"/>
              </w:rPr>
            </w:pPr>
            <w:r>
              <w:rPr>
                <w:sz w:val="24"/>
              </w:rPr>
              <w:t>45.18</w:t>
            </w:r>
          </w:p>
        </w:tc>
        <w:tc>
          <w:tcPr>
            <w:tcW w:w="1087" w:type="dxa"/>
            <w:tcBorders>
              <w:top w:val="nil"/>
              <w:left w:val="nil"/>
              <w:bottom w:val="nil"/>
              <w:right w:val="nil"/>
            </w:tcBorders>
          </w:tcPr>
          <w:p>
            <w:pPr>
              <w:pStyle w:val="TableParagraph"/>
              <w:spacing w:before="55"/>
              <w:ind w:left="212" w:right="207"/>
              <w:rPr>
                <w:sz w:val="24"/>
              </w:rPr>
            </w:pPr>
            <w:r>
              <w:rPr>
                <w:sz w:val="24"/>
              </w:rPr>
              <w:t>1.87</w:t>
            </w:r>
          </w:p>
        </w:tc>
        <w:tc>
          <w:tcPr>
            <w:tcW w:w="1340" w:type="dxa"/>
            <w:tcBorders>
              <w:top w:val="nil"/>
              <w:left w:val="nil"/>
              <w:bottom w:val="nil"/>
              <w:right w:val="nil"/>
            </w:tcBorders>
          </w:tcPr>
          <w:p>
            <w:pPr>
              <w:pStyle w:val="TableParagraph"/>
              <w:spacing w:before="55"/>
              <w:ind w:left="204" w:right="188"/>
              <w:rPr>
                <w:sz w:val="24"/>
              </w:rPr>
            </w:pPr>
            <w:r>
              <w:rPr>
                <w:sz w:val="24"/>
              </w:rPr>
              <w:t>0.78</w:t>
            </w:r>
          </w:p>
        </w:tc>
      </w:tr>
      <w:tr>
        <w:trPr>
          <w:trHeight w:val="414" w:hRule="exact"/>
        </w:trPr>
        <w:tc>
          <w:tcPr>
            <w:tcW w:w="2983" w:type="dxa"/>
            <w:tcBorders>
              <w:top w:val="nil"/>
              <w:left w:val="nil"/>
              <w:bottom w:val="nil"/>
              <w:right w:val="nil"/>
            </w:tcBorders>
          </w:tcPr>
          <w:p>
            <w:pPr>
              <w:pStyle w:val="TableParagraph"/>
              <w:spacing w:before="55"/>
              <w:ind w:left="83" w:right="252"/>
              <w:jc w:val="left"/>
              <w:rPr>
                <w:sz w:val="16"/>
              </w:rPr>
            </w:pPr>
            <w:r>
              <w:rPr>
                <w:sz w:val="24"/>
              </w:rPr>
              <w:t>Conformación muscular</w:t>
            </w:r>
            <w:r>
              <w:rPr>
                <w:position w:val="9"/>
                <w:sz w:val="16"/>
              </w:rPr>
              <w:t>a</w:t>
            </w:r>
          </w:p>
        </w:tc>
        <w:tc>
          <w:tcPr>
            <w:tcW w:w="958" w:type="dxa"/>
            <w:tcBorders>
              <w:top w:val="nil"/>
              <w:left w:val="nil"/>
              <w:bottom w:val="nil"/>
              <w:right w:val="nil"/>
            </w:tcBorders>
          </w:tcPr>
          <w:p>
            <w:pPr>
              <w:pStyle w:val="TableParagraph"/>
              <w:spacing w:before="70"/>
              <w:ind w:left="249" w:right="127"/>
              <w:rPr>
                <w:sz w:val="24"/>
              </w:rPr>
            </w:pPr>
            <w:r>
              <w:rPr>
                <w:sz w:val="24"/>
              </w:rPr>
              <w:t>3.4</w:t>
            </w:r>
          </w:p>
        </w:tc>
        <w:tc>
          <w:tcPr>
            <w:tcW w:w="904" w:type="dxa"/>
            <w:tcBorders>
              <w:top w:val="nil"/>
              <w:left w:val="nil"/>
              <w:bottom w:val="nil"/>
              <w:right w:val="nil"/>
            </w:tcBorders>
          </w:tcPr>
          <w:p>
            <w:pPr>
              <w:pStyle w:val="TableParagraph"/>
              <w:spacing w:before="70"/>
              <w:ind w:left="128" w:right="194"/>
              <w:rPr>
                <w:sz w:val="24"/>
              </w:rPr>
            </w:pPr>
            <w:r>
              <w:rPr>
                <w:sz w:val="24"/>
              </w:rPr>
              <w:t>3.2</w:t>
            </w:r>
          </w:p>
        </w:tc>
        <w:tc>
          <w:tcPr>
            <w:tcW w:w="972" w:type="dxa"/>
            <w:tcBorders>
              <w:top w:val="nil"/>
              <w:left w:val="nil"/>
              <w:bottom w:val="nil"/>
              <w:right w:val="nil"/>
            </w:tcBorders>
          </w:tcPr>
          <w:p>
            <w:pPr>
              <w:pStyle w:val="TableParagraph"/>
              <w:spacing w:before="70"/>
              <w:ind w:left="196" w:right="196"/>
              <w:rPr>
                <w:sz w:val="24"/>
              </w:rPr>
            </w:pPr>
            <w:r>
              <w:rPr>
                <w:sz w:val="24"/>
              </w:rPr>
              <w:t>3.4</w:t>
            </w:r>
          </w:p>
        </w:tc>
        <w:tc>
          <w:tcPr>
            <w:tcW w:w="989" w:type="dxa"/>
            <w:tcBorders>
              <w:top w:val="nil"/>
              <w:left w:val="nil"/>
              <w:bottom w:val="nil"/>
              <w:right w:val="nil"/>
            </w:tcBorders>
          </w:tcPr>
          <w:p>
            <w:pPr>
              <w:pStyle w:val="TableParagraph"/>
              <w:spacing w:before="70"/>
              <w:ind w:left="197" w:right="212"/>
              <w:rPr>
                <w:sz w:val="24"/>
              </w:rPr>
            </w:pPr>
            <w:r>
              <w:rPr>
                <w:sz w:val="24"/>
              </w:rPr>
              <w:t>3.4</w:t>
            </w:r>
          </w:p>
        </w:tc>
        <w:tc>
          <w:tcPr>
            <w:tcW w:w="1087" w:type="dxa"/>
            <w:tcBorders>
              <w:top w:val="nil"/>
              <w:left w:val="nil"/>
              <w:bottom w:val="nil"/>
              <w:right w:val="nil"/>
            </w:tcBorders>
          </w:tcPr>
          <w:p>
            <w:pPr>
              <w:pStyle w:val="TableParagraph"/>
              <w:spacing w:before="70"/>
              <w:ind w:left="212" w:right="207"/>
              <w:rPr>
                <w:sz w:val="24"/>
              </w:rPr>
            </w:pPr>
            <w:r>
              <w:rPr>
                <w:sz w:val="24"/>
              </w:rPr>
              <w:t>0.28</w:t>
            </w:r>
          </w:p>
        </w:tc>
        <w:tc>
          <w:tcPr>
            <w:tcW w:w="1340" w:type="dxa"/>
            <w:tcBorders>
              <w:top w:val="nil"/>
              <w:left w:val="nil"/>
              <w:bottom w:val="nil"/>
              <w:right w:val="nil"/>
            </w:tcBorders>
          </w:tcPr>
          <w:p>
            <w:pPr>
              <w:pStyle w:val="TableParagraph"/>
              <w:spacing w:before="70"/>
              <w:ind w:left="204" w:right="188"/>
              <w:rPr>
                <w:sz w:val="24"/>
              </w:rPr>
            </w:pPr>
            <w:r>
              <w:rPr>
                <w:sz w:val="24"/>
              </w:rPr>
              <w:t>0.94</w:t>
            </w:r>
          </w:p>
        </w:tc>
      </w:tr>
      <w:tr>
        <w:trPr>
          <w:trHeight w:val="414" w:hRule="exact"/>
        </w:trPr>
        <w:tc>
          <w:tcPr>
            <w:tcW w:w="2983" w:type="dxa"/>
            <w:tcBorders>
              <w:top w:val="nil"/>
              <w:left w:val="nil"/>
              <w:bottom w:val="nil"/>
              <w:right w:val="nil"/>
            </w:tcBorders>
          </w:tcPr>
          <w:p>
            <w:pPr>
              <w:pStyle w:val="TableParagraph"/>
              <w:spacing w:before="54"/>
              <w:ind w:left="83" w:right="252"/>
              <w:jc w:val="left"/>
              <w:rPr>
                <w:sz w:val="16"/>
              </w:rPr>
            </w:pPr>
            <w:r>
              <w:rPr>
                <w:sz w:val="24"/>
              </w:rPr>
              <w:t>Grasa perirrenal</w:t>
            </w:r>
            <w:r>
              <w:rPr>
                <w:position w:val="9"/>
                <w:sz w:val="16"/>
              </w:rPr>
              <w:t>b</w:t>
            </w:r>
          </w:p>
        </w:tc>
        <w:tc>
          <w:tcPr>
            <w:tcW w:w="958" w:type="dxa"/>
            <w:tcBorders>
              <w:top w:val="nil"/>
              <w:left w:val="nil"/>
              <w:bottom w:val="nil"/>
              <w:right w:val="nil"/>
            </w:tcBorders>
          </w:tcPr>
          <w:p>
            <w:pPr>
              <w:pStyle w:val="TableParagraph"/>
              <w:spacing w:before="69"/>
              <w:ind w:left="249" w:right="127"/>
              <w:rPr>
                <w:sz w:val="24"/>
              </w:rPr>
            </w:pPr>
            <w:r>
              <w:rPr>
                <w:sz w:val="24"/>
              </w:rPr>
              <w:t>2.8</w:t>
            </w:r>
          </w:p>
        </w:tc>
        <w:tc>
          <w:tcPr>
            <w:tcW w:w="904" w:type="dxa"/>
            <w:tcBorders>
              <w:top w:val="nil"/>
              <w:left w:val="nil"/>
              <w:bottom w:val="nil"/>
              <w:right w:val="nil"/>
            </w:tcBorders>
          </w:tcPr>
          <w:p>
            <w:pPr>
              <w:pStyle w:val="TableParagraph"/>
              <w:spacing w:before="69"/>
              <w:ind w:left="128" w:right="194"/>
              <w:rPr>
                <w:sz w:val="24"/>
              </w:rPr>
            </w:pPr>
            <w:r>
              <w:rPr>
                <w:sz w:val="24"/>
              </w:rPr>
              <w:t>2.6</w:t>
            </w:r>
          </w:p>
        </w:tc>
        <w:tc>
          <w:tcPr>
            <w:tcW w:w="972" w:type="dxa"/>
            <w:tcBorders>
              <w:top w:val="nil"/>
              <w:left w:val="nil"/>
              <w:bottom w:val="nil"/>
              <w:right w:val="nil"/>
            </w:tcBorders>
          </w:tcPr>
          <w:p>
            <w:pPr>
              <w:pStyle w:val="TableParagraph"/>
              <w:spacing w:before="69"/>
              <w:ind w:left="196" w:right="196"/>
              <w:rPr>
                <w:sz w:val="24"/>
              </w:rPr>
            </w:pPr>
            <w:r>
              <w:rPr>
                <w:sz w:val="24"/>
              </w:rPr>
              <w:t>2.4</w:t>
            </w:r>
          </w:p>
        </w:tc>
        <w:tc>
          <w:tcPr>
            <w:tcW w:w="989" w:type="dxa"/>
            <w:tcBorders>
              <w:top w:val="nil"/>
              <w:left w:val="nil"/>
              <w:bottom w:val="nil"/>
              <w:right w:val="nil"/>
            </w:tcBorders>
          </w:tcPr>
          <w:p>
            <w:pPr>
              <w:pStyle w:val="TableParagraph"/>
              <w:spacing w:before="69"/>
              <w:ind w:left="197" w:right="212"/>
              <w:rPr>
                <w:sz w:val="24"/>
              </w:rPr>
            </w:pPr>
            <w:r>
              <w:rPr>
                <w:sz w:val="24"/>
              </w:rPr>
              <w:t>2.4</w:t>
            </w:r>
          </w:p>
        </w:tc>
        <w:tc>
          <w:tcPr>
            <w:tcW w:w="1087" w:type="dxa"/>
            <w:tcBorders>
              <w:top w:val="nil"/>
              <w:left w:val="nil"/>
              <w:bottom w:val="nil"/>
              <w:right w:val="nil"/>
            </w:tcBorders>
          </w:tcPr>
          <w:p>
            <w:pPr>
              <w:pStyle w:val="TableParagraph"/>
              <w:spacing w:before="69"/>
              <w:ind w:left="212" w:right="207"/>
              <w:rPr>
                <w:sz w:val="24"/>
              </w:rPr>
            </w:pPr>
            <w:r>
              <w:rPr>
                <w:sz w:val="24"/>
              </w:rPr>
              <w:t>0.28</w:t>
            </w:r>
          </w:p>
        </w:tc>
        <w:tc>
          <w:tcPr>
            <w:tcW w:w="1340" w:type="dxa"/>
            <w:tcBorders>
              <w:top w:val="nil"/>
              <w:left w:val="nil"/>
              <w:bottom w:val="nil"/>
              <w:right w:val="nil"/>
            </w:tcBorders>
          </w:tcPr>
          <w:p>
            <w:pPr>
              <w:pStyle w:val="TableParagraph"/>
              <w:spacing w:before="69"/>
              <w:ind w:left="204" w:right="188"/>
              <w:rPr>
                <w:sz w:val="24"/>
              </w:rPr>
            </w:pPr>
            <w:r>
              <w:rPr>
                <w:sz w:val="24"/>
              </w:rPr>
              <w:t>0.26</w:t>
            </w:r>
          </w:p>
        </w:tc>
      </w:tr>
      <w:tr>
        <w:trPr>
          <w:trHeight w:val="428" w:hRule="exact"/>
        </w:trPr>
        <w:tc>
          <w:tcPr>
            <w:tcW w:w="2983" w:type="dxa"/>
            <w:tcBorders>
              <w:top w:val="nil"/>
              <w:left w:val="nil"/>
              <w:bottom w:val="nil"/>
              <w:right w:val="nil"/>
            </w:tcBorders>
          </w:tcPr>
          <w:p>
            <w:pPr>
              <w:pStyle w:val="TableParagraph"/>
              <w:spacing w:before="55"/>
              <w:ind w:left="83" w:right="252"/>
              <w:jc w:val="left"/>
              <w:rPr>
                <w:sz w:val="16"/>
              </w:rPr>
            </w:pPr>
            <w:r>
              <w:rPr>
                <w:sz w:val="24"/>
              </w:rPr>
              <w:t>Grado de engrasamiento</w:t>
            </w:r>
            <w:r>
              <w:rPr>
                <w:position w:val="9"/>
                <w:sz w:val="16"/>
              </w:rPr>
              <w:t>c</w:t>
            </w:r>
          </w:p>
        </w:tc>
        <w:tc>
          <w:tcPr>
            <w:tcW w:w="958" w:type="dxa"/>
            <w:tcBorders>
              <w:top w:val="nil"/>
              <w:left w:val="nil"/>
              <w:bottom w:val="nil"/>
              <w:right w:val="nil"/>
            </w:tcBorders>
          </w:tcPr>
          <w:p>
            <w:pPr>
              <w:pStyle w:val="TableParagraph"/>
              <w:spacing w:before="70"/>
              <w:ind w:left="249" w:right="127"/>
              <w:rPr>
                <w:sz w:val="24"/>
              </w:rPr>
            </w:pPr>
            <w:r>
              <w:rPr>
                <w:sz w:val="24"/>
              </w:rPr>
              <w:t>3.0</w:t>
            </w:r>
          </w:p>
        </w:tc>
        <w:tc>
          <w:tcPr>
            <w:tcW w:w="904" w:type="dxa"/>
            <w:tcBorders>
              <w:top w:val="nil"/>
              <w:left w:val="nil"/>
              <w:bottom w:val="nil"/>
              <w:right w:val="nil"/>
            </w:tcBorders>
          </w:tcPr>
          <w:p>
            <w:pPr>
              <w:pStyle w:val="TableParagraph"/>
              <w:spacing w:before="70"/>
              <w:ind w:left="128" w:right="194"/>
              <w:rPr>
                <w:sz w:val="24"/>
              </w:rPr>
            </w:pPr>
            <w:r>
              <w:rPr>
                <w:sz w:val="24"/>
              </w:rPr>
              <w:t>3.0</w:t>
            </w:r>
          </w:p>
        </w:tc>
        <w:tc>
          <w:tcPr>
            <w:tcW w:w="972" w:type="dxa"/>
            <w:tcBorders>
              <w:top w:val="nil"/>
              <w:left w:val="nil"/>
              <w:bottom w:val="nil"/>
              <w:right w:val="nil"/>
            </w:tcBorders>
          </w:tcPr>
          <w:p>
            <w:pPr>
              <w:pStyle w:val="TableParagraph"/>
              <w:spacing w:before="70"/>
              <w:ind w:left="196" w:right="196"/>
              <w:rPr>
                <w:sz w:val="24"/>
              </w:rPr>
            </w:pPr>
            <w:r>
              <w:rPr>
                <w:sz w:val="24"/>
              </w:rPr>
              <w:t>3.2</w:t>
            </w:r>
          </w:p>
        </w:tc>
        <w:tc>
          <w:tcPr>
            <w:tcW w:w="989" w:type="dxa"/>
            <w:tcBorders>
              <w:top w:val="nil"/>
              <w:left w:val="nil"/>
              <w:bottom w:val="nil"/>
              <w:right w:val="nil"/>
            </w:tcBorders>
          </w:tcPr>
          <w:p>
            <w:pPr>
              <w:pStyle w:val="TableParagraph"/>
              <w:spacing w:before="70"/>
              <w:ind w:left="197" w:right="212"/>
              <w:rPr>
                <w:sz w:val="24"/>
              </w:rPr>
            </w:pPr>
            <w:r>
              <w:rPr>
                <w:sz w:val="24"/>
              </w:rPr>
              <w:t>3.4</w:t>
            </w:r>
          </w:p>
        </w:tc>
        <w:tc>
          <w:tcPr>
            <w:tcW w:w="1087" w:type="dxa"/>
            <w:tcBorders>
              <w:top w:val="nil"/>
              <w:left w:val="nil"/>
              <w:bottom w:val="nil"/>
              <w:right w:val="nil"/>
            </w:tcBorders>
          </w:tcPr>
          <w:p>
            <w:pPr>
              <w:pStyle w:val="TableParagraph"/>
              <w:spacing w:before="70"/>
              <w:ind w:left="212" w:right="207"/>
              <w:rPr>
                <w:sz w:val="24"/>
              </w:rPr>
            </w:pPr>
            <w:r>
              <w:rPr>
                <w:sz w:val="24"/>
              </w:rPr>
              <w:t>0.15</w:t>
            </w:r>
          </w:p>
        </w:tc>
        <w:tc>
          <w:tcPr>
            <w:tcW w:w="1340" w:type="dxa"/>
            <w:tcBorders>
              <w:top w:val="nil"/>
              <w:left w:val="nil"/>
              <w:bottom w:val="nil"/>
              <w:right w:val="nil"/>
            </w:tcBorders>
          </w:tcPr>
          <w:p>
            <w:pPr>
              <w:pStyle w:val="TableParagraph"/>
              <w:spacing w:before="70"/>
              <w:ind w:left="204" w:right="188"/>
              <w:rPr>
                <w:sz w:val="24"/>
              </w:rPr>
            </w:pPr>
            <w:r>
              <w:rPr>
                <w:sz w:val="24"/>
              </w:rPr>
              <w:t>0.26</w:t>
            </w:r>
          </w:p>
        </w:tc>
      </w:tr>
      <w:tr>
        <w:trPr>
          <w:trHeight w:val="310" w:hRule="exact"/>
        </w:trPr>
        <w:tc>
          <w:tcPr>
            <w:tcW w:w="2983" w:type="dxa"/>
            <w:vMerge w:val="restart"/>
            <w:tcBorders>
              <w:top w:val="nil"/>
              <w:left w:val="nil"/>
              <w:right w:val="nil"/>
            </w:tcBorders>
          </w:tcPr>
          <w:p>
            <w:pPr>
              <w:pStyle w:val="TableParagraph"/>
              <w:spacing w:line="348" w:lineRule="auto" w:before="55"/>
              <w:ind w:left="83" w:right="252"/>
              <w:jc w:val="left"/>
              <w:rPr>
                <w:sz w:val="16"/>
              </w:rPr>
            </w:pPr>
            <w:r>
              <w:rPr>
                <w:sz w:val="24"/>
              </w:rPr>
              <w:t>Área de </w:t>
            </w:r>
            <w:r>
              <w:rPr>
                <w:i/>
                <w:sz w:val="24"/>
              </w:rPr>
              <w:t>Longissimus dorsi</w:t>
            </w:r>
            <w:r>
              <w:rPr>
                <w:sz w:val="24"/>
              </w:rPr>
              <w:t>, cm</w:t>
            </w:r>
            <w:r>
              <w:rPr>
                <w:position w:val="9"/>
                <w:sz w:val="16"/>
              </w:rPr>
              <w:t>2</w:t>
            </w:r>
          </w:p>
        </w:tc>
        <w:tc>
          <w:tcPr>
            <w:tcW w:w="958" w:type="dxa"/>
            <w:tcBorders>
              <w:top w:val="nil"/>
              <w:left w:val="nil"/>
              <w:bottom w:val="nil"/>
              <w:right w:val="nil"/>
            </w:tcBorders>
          </w:tcPr>
          <w:p>
            <w:pPr/>
          </w:p>
        </w:tc>
        <w:tc>
          <w:tcPr>
            <w:tcW w:w="904" w:type="dxa"/>
            <w:tcBorders>
              <w:top w:val="nil"/>
              <w:left w:val="nil"/>
              <w:bottom w:val="nil"/>
              <w:right w:val="nil"/>
            </w:tcBorders>
          </w:tcPr>
          <w:p>
            <w:pPr/>
          </w:p>
        </w:tc>
        <w:tc>
          <w:tcPr>
            <w:tcW w:w="972" w:type="dxa"/>
            <w:tcBorders>
              <w:top w:val="nil"/>
              <w:left w:val="nil"/>
              <w:bottom w:val="nil"/>
              <w:right w:val="nil"/>
            </w:tcBorders>
          </w:tcPr>
          <w:p>
            <w:pPr/>
          </w:p>
        </w:tc>
        <w:tc>
          <w:tcPr>
            <w:tcW w:w="989" w:type="dxa"/>
            <w:tcBorders>
              <w:top w:val="nil"/>
              <w:left w:val="nil"/>
              <w:bottom w:val="nil"/>
              <w:right w:val="nil"/>
            </w:tcBorders>
          </w:tcPr>
          <w:p>
            <w:pPr/>
          </w:p>
        </w:tc>
        <w:tc>
          <w:tcPr>
            <w:tcW w:w="1087" w:type="dxa"/>
            <w:tcBorders>
              <w:top w:val="nil"/>
              <w:left w:val="nil"/>
              <w:bottom w:val="nil"/>
              <w:right w:val="nil"/>
            </w:tcBorders>
          </w:tcPr>
          <w:p>
            <w:pPr/>
          </w:p>
        </w:tc>
        <w:tc>
          <w:tcPr>
            <w:tcW w:w="1340" w:type="dxa"/>
            <w:tcBorders>
              <w:top w:val="nil"/>
              <w:left w:val="nil"/>
              <w:bottom w:val="nil"/>
              <w:right w:val="nil"/>
            </w:tcBorders>
          </w:tcPr>
          <w:p>
            <w:pPr>
              <w:pStyle w:val="TableParagraph"/>
              <w:spacing w:before="55"/>
              <w:ind w:left="204" w:right="188"/>
              <w:rPr>
                <w:sz w:val="24"/>
              </w:rPr>
            </w:pPr>
            <w:r>
              <w:rPr>
                <w:sz w:val="24"/>
              </w:rPr>
              <w:t>0.91</w:t>
            </w:r>
          </w:p>
        </w:tc>
      </w:tr>
      <w:tr>
        <w:trPr>
          <w:trHeight w:val="518" w:hRule="exact"/>
        </w:trPr>
        <w:tc>
          <w:tcPr>
            <w:tcW w:w="2983" w:type="dxa"/>
            <w:vMerge/>
            <w:tcBorders>
              <w:left w:val="nil"/>
              <w:bottom w:val="nil"/>
              <w:right w:val="nil"/>
            </w:tcBorders>
          </w:tcPr>
          <w:p>
            <w:pPr/>
          </w:p>
        </w:tc>
        <w:tc>
          <w:tcPr>
            <w:tcW w:w="958" w:type="dxa"/>
            <w:tcBorders>
              <w:top w:val="nil"/>
              <w:left w:val="nil"/>
              <w:bottom w:val="nil"/>
              <w:right w:val="nil"/>
            </w:tcBorders>
          </w:tcPr>
          <w:p>
            <w:pPr>
              <w:pStyle w:val="TableParagraph"/>
              <w:spacing w:line="228" w:lineRule="exact"/>
              <w:ind w:left="249" w:right="127"/>
              <w:rPr>
                <w:sz w:val="24"/>
              </w:rPr>
            </w:pPr>
            <w:r>
              <w:rPr>
                <w:sz w:val="24"/>
              </w:rPr>
              <w:t>17.66</w:t>
            </w:r>
          </w:p>
        </w:tc>
        <w:tc>
          <w:tcPr>
            <w:tcW w:w="904" w:type="dxa"/>
            <w:tcBorders>
              <w:top w:val="nil"/>
              <w:left w:val="nil"/>
              <w:bottom w:val="nil"/>
              <w:right w:val="nil"/>
            </w:tcBorders>
          </w:tcPr>
          <w:p>
            <w:pPr>
              <w:pStyle w:val="TableParagraph"/>
              <w:spacing w:line="228" w:lineRule="exact"/>
              <w:ind w:left="128" w:right="194"/>
              <w:rPr>
                <w:sz w:val="24"/>
              </w:rPr>
            </w:pPr>
            <w:r>
              <w:rPr>
                <w:sz w:val="24"/>
              </w:rPr>
              <w:t>17.82</w:t>
            </w:r>
          </w:p>
        </w:tc>
        <w:tc>
          <w:tcPr>
            <w:tcW w:w="972" w:type="dxa"/>
            <w:tcBorders>
              <w:top w:val="nil"/>
              <w:left w:val="nil"/>
              <w:bottom w:val="nil"/>
              <w:right w:val="nil"/>
            </w:tcBorders>
          </w:tcPr>
          <w:p>
            <w:pPr>
              <w:pStyle w:val="TableParagraph"/>
              <w:spacing w:line="228" w:lineRule="exact"/>
              <w:ind w:left="196" w:right="196"/>
              <w:rPr>
                <w:sz w:val="24"/>
              </w:rPr>
            </w:pPr>
            <w:r>
              <w:rPr>
                <w:sz w:val="24"/>
              </w:rPr>
              <w:t>18.15</w:t>
            </w:r>
          </w:p>
        </w:tc>
        <w:tc>
          <w:tcPr>
            <w:tcW w:w="989" w:type="dxa"/>
            <w:tcBorders>
              <w:top w:val="nil"/>
              <w:left w:val="nil"/>
              <w:bottom w:val="nil"/>
              <w:right w:val="nil"/>
            </w:tcBorders>
          </w:tcPr>
          <w:p>
            <w:pPr>
              <w:pStyle w:val="TableParagraph"/>
              <w:spacing w:line="228" w:lineRule="exact"/>
              <w:ind w:left="197" w:right="212"/>
              <w:rPr>
                <w:sz w:val="24"/>
              </w:rPr>
            </w:pPr>
            <w:r>
              <w:rPr>
                <w:sz w:val="24"/>
              </w:rPr>
              <w:t>18.97</w:t>
            </w:r>
          </w:p>
        </w:tc>
        <w:tc>
          <w:tcPr>
            <w:tcW w:w="1087" w:type="dxa"/>
            <w:tcBorders>
              <w:top w:val="nil"/>
              <w:left w:val="nil"/>
              <w:bottom w:val="nil"/>
              <w:right w:val="nil"/>
            </w:tcBorders>
          </w:tcPr>
          <w:p>
            <w:pPr>
              <w:pStyle w:val="TableParagraph"/>
              <w:spacing w:line="228" w:lineRule="exact"/>
              <w:ind w:left="212" w:right="207"/>
              <w:rPr>
                <w:sz w:val="24"/>
              </w:rPr>
            </w:pPr>
            <w:r>
              <w:rPr>
                <w:sz w:val="24"/>
              </w:rPr>
              <w:t>1.39</w:t>
            </w:r>
          </w:p>
        </w:tc>
        <w:tc>
          <w:tcPr>
            <w:tcW w:w="1340" w:type="dxa"/>
            <w:tcBorders>
              <w:top w:val="nil"/>
              <w:left w:val="nil"/>
              <w:bottom w:val="nil"/>
              <w:right w:val="nil"/>
            </w:tcBorders>
          </w:tcPr>
          <w:p>
            <w:pPr/>
          </w:p>
        </w:tc>
      </w:tr>
      <w:tr>
        <w:trPr>
          <w:trHeight w:val="421" w:hRule="exact"/>
        </w:trPr>
        <w:tc>
          <w:tcPr>
            <w:tcW w:w="2983" w:type="dxa"/>
            <w:tcBorders>
              <w:top w:val="nil"/>
              <w:left w:val="nil"/>
              <w:bottom w:val="nil"/>
              <w:right w:val="nil"/>
            </w:tcBorders>
          </w:tcPr>
          <w:p>
            <w:pPr>
              <w:pStyle w:val="TableParagraph"/>
              <w:spacing w:before="85"/>
              <w:ind w:left="83" w:right="252"/>
              <w:jc w:val="left"/>
              <w:rPr>
                <w:sz w:val="22"/>
              </w:rPr>
            </w:pPr>
            <w:r>
              <w:rPr>
                <w:sz w:val="22"/>
              </w:rPr>
              <w:t>Grasa dorsal 12</w:t>
            </w:r>
            <w:r>
              <w:rPr>
                <w:position w:val="8"/>
                <w:sz w:val="14"/>
              </w:rPr>
              <w:t>a  </w:t>
            </w:r>
            <w:r>
              <w:rPr>
                <w:sz w:val="22"/>
              </w:rPr>
              <w:t>costilla, mm</w:t>
            </w:r>
          </w:p>
        </w:tc>
        <w:tc>
          <w:tcPr>
            <w:tcW w:w="958" w:type="dxa"/>
            <w:tcBorders>
              <w:top w:val="nil"/>
              <w:left w:val="nil"/>
              <w:bottom w:val="nil"/>
              <w:right w:val="nil"/>
            </w:tcBorders>
          </w:tcPr>
          <w:p>
            <w:pPr>
              <w:pStyle w:val="TableParagraph"/>
              <w:spacing w:before="55"/>
              <w:ind w:left="249" w:right="127"/>
              <w:rPr>
                <w:sz w:val="24"/>
              </w:rPr>
            </w:pPr>
            <w:r>
              <w:rPr>
                <w:sz w:val="24"/>
              </w:rPr>
              <w:t>1.8</w:t>
            </w:r>
          </w:p>
        </w:tc>
        <w:tc>
          <w:tcPr>
            <w:tcW w:w="904" w:type="dxa"/>
            <w:tcBorders>
              <w:top w:val="nil"/>
              <w:left w:val="nil"/>
              <w:bottom w:val="nil"/>
              <w:right w:val="nil"/>
            </w:tcBorders>
          </w:tcPr>
          <w:p>
            <w:pPr>
              <w:pStyle w:val="TableParagraph"/>
              <w:spacing w:before="55"/>
              <w:ind w:left="128" w:right="194"/>
              <w:rPr>
                <w:sz w:val="24"/>
              </w:rPr>
            </w:pPr>
            <w:r>
              <w:rPr>
                <w:sz w:val="24"/>
              </w:rPr>
              <w:t>1.4</w:t>
            </w:r>
          </w:p>
        </w:tc>
        <w:tc>
          <w:tcPr>
            <w:tcW w:w="972" w:type="dxa"/>
            <w:tcBorders>
              <w:top w:val="nil"/>
              <w:left w:val="nil"/>
              <w:bottom w:val="nil"/>
              <w:right w:val="nil"/>
            </w:tcBorders>
          </w:tcPr>
          <w:p>
            <w:pPr>
              <w:pStyle w:val="TableParagraph"/>
              <w:spacing w:before="55"/>
              <w:ind w:left="196" w:right="196"/>
              <w:rPr>
                <w:sz w:val="24"/>
              </w:rPr>
            </w:pPr>
            <w:r>
              <w:rPr>
                <w:sz w:val="24"/>
              </w:rPr>
              <w:t>1.8</w:t>
            </w:r>
          </w:p>
        </w:tc>
        <w:tc>
          <w:tcPr>
            <w:tcW w:w="989" w:type="dxa"/>
            <w:tcBorders>
              <w:top w:val="nil"/>
              <w:left w:val="nil"/>
              <w:bottom w:val="nil"/>
              <w:right w:val="nil"/>
            </w:tcBorders>
          </w:tcPr>
          <w:p>
            <w:pPr>
              <w:pStyle w:val="TableParagraph"/>
              <w:spacing w:before="55"/>
              <w:ind w:left="197" w:right="212"/>
              <w:rPr>
                <w:sz w:val="24"/>
              </w:rPr>
            </w:pPr>
            <w:r>
              <w:rPr>
                <w:sz w:val="24"/>
              </w:rPr>
              <w:t>1.4</w:t>
            </w:r>
          </w:p>
        </w:tc>
        <w:tc>
          <w:tcPr>
            <w:tcW w:w="1087" w:type="dxa"/>
            <w:tcBorders>
              <w:top w:val="nil"/>
              <w:left w:val="nil"/>
              <w:bottom w:val="nil"/>
              <w:right w:val="nil"/>
            </w:tcBorders>
          </w:tcPr>
          <w:p>
            <w:pPr>
              <w:pStyle w:val="TableParagraph"/>
              <w:spacing w:before="55"/>
              <w:ind w:left="212" w:right="207"/>
              <w:rPr>
                <w:sz w:val="24"/>
              </w:rPr>
            </w:pPr>
            <w:r>
              <w:rPr>
                <w:sz w:val="24"/>
              </w:rPr>
              <w:t>0.31</w:t>
            </w:r>
          </w:p>
        </w:tc>
        <w:tc>
          <w:tcPr>
            <w:tcW w:w="1340" w:type="dxa"/>
            <w:tcBorders>
              <w:top w:val="nil"/>
              <w:left w:val="nil"/>
              <w:bottom w:val="nil"/>
              <w:right w:val="nil"/>
            </w:tcBorders>
          </w:tcPr>
          <w:p>
            <w:pPr>
              <w:pStyle w:val="TableParagraph"/>
              <w:spacing w:before="55"/>
              <w:ind w:left="204" w:right="188"/>
              <w:rPr>
                <w:sz w:val="24"/>
              </w:rPr>
            </w:pPr>
            <w:r>
              <w:rPr>
                <w:sz w:val="24"/>
              </w:rPr>
              <w:t>0.66</w:t>
            </w:r>
          </w:p>
        </w:tc>
      </w:tr>
      <w:tr>
        <w:trPr>
          <w:trHeight w:val="407" w:hRule="exact"/>
        </w:trPr>
        <w:tc>
          <w:tcPr>
            <w:tcW w:w="2983" w:type="dxa"/>
            <w:tcBorders>
              <w:top w:val="nil"/>
              <w:left w:val="nil"/>
              <w:bottom w:val="nil"/>
              <w:right w:val="nil"/>
            </w:tcBorders>
          </w:tcPr>
          <w:p>
            <w:pPr>
              <w:pStyle w:val="TableParagraph"/>
              <w:spacing w:before="50"/>
              <w:ind w:left="83" w:right="252"/>
              <w:jc w:val="left"/>
              <w:rPr>
                <w:sz w:val="24"/>
              </w:rPr>
            </w:pPr>
            <w:r>
              <w:rPr>
                <w:sz w:val="24"/>
              </w:rPr>
              <w:t>Longitud canal, cm</w:t>
            </w:r>
          </w:p>
        </w:tc>
        <w:tc>
          <w:tcPr>
            <w:tcW w:w="958" w:type="dxa"/>
            <w:tcBorders>
              <w:top w:val="nil"/>
              <w:left w:val="nil"/>
              <w:bottom w:val="nil"/>
              <w:right w:val="nil"/>
            </w:tcBorders>
          </w:tcPr>
          <w:p>
            <w:pPr>
              <w:pStyle w:val="TableParagraph"/>
              <w:spacing w:before="50"/>
              <w:ind w:left="249" w:right="127"/>
              <w:rPr>
                <w:sz w:val="24"/>
              </w:rPr>
            </w:pPr>
            <w:r>
              <w:rPr>
                <w:sz w:val="24"/>
              </w:rPr>
              <w:t>67.30</w:t>
            </w:r>
          </w:p>
        </w:tc>
        <w:tc>
          <w:tcPr>
            <w:tcW w:w="904" w:type="dxa"/>
            <w:tcBorders>
              <w:top w:val="nil"/>
              <w:left w:val="nil"/>
              <w:bottom w:val="nil"/>
              <w:right w:val="nil"/>
            </w:tcBorders>
          </w:tcPr>
          <w:p>
            <w:pPr>
              <w:pStyle w:val="TableParagraph"/>
              <w:spacing w:before="50"/>
              <w:ind w:left="128" w:right="194"/>
              <w:rPr>
                <w:sz w:val="24"/>
              </w:rPr>
            </w:pPr>
            <w:r>
              <w:rPr>
                <w:sz w:val="24"/>
              </w:rPr>
              <w:t>67.40</w:t>
            </w:r>
          </w:p>
        </w:tc>
        <w:tc>
          <w:tcPr>
            <w:tcW w:w="972" w:type="dxa"/>
            <w:tcBorders>
              <w:top w:val="nil"/>
              <w:left w:val="nil"/>
              <w:bottom w:val="nil"/>
              <w:right w:val="nil"/>
            </w:tcBorders>
          </w:tcPr>
          <w:p>
            <w:pPr>
              <w:pStyle w:val="TableParagraph"/>
              <w:spacing w:before="50"/>
              <w:ind w:left="196" w:right="196"/>
              <w:rPr>
                <w:sz w:val="24"/>
              </w:rPr>
            </w:pPr>
            <w:r>
              <w:rPr>
                <w:sz w:val="24"/>
              </w:rPr>
              <w:t>66.60</w:t>
            </w:r>
          </w:p>
        </w:tc>
        <w:tc>
          <w:tcPr>
            <w:tcW w:w="989" w:type="dxa"/>
            <w:tcBorders>
              <w:top w:val="nil"/>
              <w:left w:val="nil"/>
              <w:bottom w:val="nil"/>
              <w:right w:val="nil"/>
            </w:tcBorders>
          </w:tcPr>
          <w:p>
            <w:pPr>
              <w:pStyle w:val="TableParagraph"/>
              <w:spacing w:before="50"/>
              <w:ind w:left="197" w:right="212"/>
              <w:rPr>
                <w:sz w:val="24"/>
              </w:rPr>
            </w:pPr>
            <w:r>
              <w:rPr>
                <w:sz w:val="24"/>
              </w:rPr>
              <w:t>68.20</w:t>
            </w:r>
          </w:p>
        </w:tc>
        <w:tc>
          <w:tcPr>
            <w:tcW w:w="1087" w:type="dxa"/>
            <w:tcBorders>
              <w:top w:val="nil"/>
              <w:left w:val="nil"/>
              <w:bottom w:val="nil"/>
              <w:right w:val="nil"/>
            </w:tcBorders>
          </w:tcPr>
          <w:p>
            <w:pPr>
              <w:pStyle w:val="TableParagraph"/>
              <w:spacing w:before="50"/>
              <w:ind w:left="212" w:right="207"/>
              <w:rPr>
                <w:sz w:val="24"/>
              </w:rPr>
            </w:pPr>
            <w:r>
              <w:rPr>
                <w:sz w:val="24"/>
              </w:rPr>
              <w:t>2.04</w:t>
            </w:r>
          </w:p>
        </w:tc>
        <w:tc>
          <w:tcPr>
            <w:tcW w:w="1340" w:type="dxa"/>
            <w:tcBorders>
              <w:top w:val="nil"/>
              <w:left w:val="nil"/>
              <w:bottom w:val="nil"/>
              <w:right w:val="nil"/>
            </w:tcBorders>
          </w:tcPr>
          <w:p>
            <w:pPr>
              <w:pStyle w:val="TableParagraph"/>
              <w:spacing w:before="50"/>
              <w:ind w:left="204" w:right="188"/>
              <w:rPr>
                <w:sz w:val="24"/>
              </w:rPr>
            </w:pPr>
            <w:r>
              <w:rPr>
                <w:sz w:val="24"/>
              </w:rPr>
              <w:t>0.86</w:t>
            </w:r>
          </w:p>
        </w:tc>
      </w:tr>
      <w:tr>
        <w:trPr>
          <w:trHeight w:val="414" w:hRule="exact"/>
        </w:trPr>
        <w:tc>
          <w:tcPr>
            <w:tcW w:w="2983" w:type="dxa"/>
            <w:tcBorders>
              <w:top w:val="nil"/>
              <w:left w:val="nil"/>
              <w:bottom w:val="nil"/>
              <w:right w:val="nil"/>
            </w:tcBorders>
          </w:tcPr>
          <w:p>
            <w:pPr>
              <w:pStyle w:val="TableParagraph"/>
              <w:spacing w:before="55"/>
              <w:ind w:left="83" w:right="252"/>
              <w:jc w:val="left"/>
              <w:rPr>
                <w:sz w:val="24"/>
              </w:rPr>
            </w:pPr>
            <w:r>
              <w:rPr>
                <w:sz w:val="24"/>
              </w:rPr>
              <w:t>Longitud pierna, cm</w:t>
            </w:r>
          </w:p>
        </w:tc>
        <w:tc>
          <w:tcPr>
            <w:tcW w:w="958" w:type="dxa"/>
            <w:tcBorders>
              <w:top w:val="nil"/>
              <w:left w:val="nil"/>
              <w:bottom w:val="nil"/>
              <w:right w:val="nil"/>
            </w:tcBorders>
          </w:tcPr>
          <w:p>
            <w:pPr>
              <w:pStyle w:val="TableParagraph"/>
              <w:spacing w:before="55"/>
              <w:ind w:left="249" w:right="127"/>
              <w:rPr>
                <w:sz w:val="24"/>
              </w:rPr>
            </w:pPr>
            <w:r>
              <w:rPr>
                <w:sz w:val="24"/>
              </w:rPr>
              <w:t>28.70</w:t>
            </w:r>
          </w:p>
        </w:tc>
        <w:tc>
          <w:tcPr>
            <w:tcW w:w="904" w:type="dxa"/>
            <w:tcBorders>
              <w:top w:val="nil"/>
              <w:left w:val="nil"/>
              <w:bottom w:val="nil"/>
              <w:right w:val="nil"/>
            </w:tcBorders>
          </w:tcPr>
          <w:p>
            <w:pPr>
              <w:pStyle w:val="TableParagraph"/>
              <w:spacing w:before="55"/>
              <w:ind w:left="128" w:right="194"/>
              <w:rPr>
                <w:sz w:val="24"/>
              </w:rPr>
            </w:pPr>
            <w:r>
              <w:rPr>
                <w:sz w:val="24"/>
              </w:rPr>
              <w:t>30.00</w:t>
            </w:r>
          </w:p>
        </w:tc>
        <w:tc>
          <w:tcPr>
            <w:tcW w:w="972" w:type="dxa"/>
            <w:tcBorders>
              <w:top w:val="nil"/>
              <w:left w:val="nil"/>
              <w:bottom w:val="nil"/>
              <w:right w:val="nil"/>
            </w:tcBorders>
          </w:tcPr>
          <w:p>
            <w:pPr>
              <w:pStyle w:val="TableParagraph"/>
              <w:spacing w:before="55"/>
              <w:ind w:left="196" w:right="196"/>
              <w:rPr>
                <w:sz w:val="24"/>
              </w:rPr>
            </w:pPr>
            <w:r>
              <w:rPr>
                <w:sz w:val="24"/>
              </w:rPr>
              <w:t>28.70</w:t>
            </w:r>
          </w:p>
        </w:tc>
        <w:tc>
          <w:tcPr>
            <w:tcW w:w="989" w:type="dxa"/>
            <w:tcBorders>
              <w:top w:val="nil"/>
              <w:left w:val="nil"/>
              <w:bottom w:val="nil"/>
              <w:right w:val="nil"/>
            </w:tcBorders>
          </w:tcPr>
          <w:p>
            <w:pPr>
              <w:pStyle w:val="TableParagraph"/>
              <w:spacing w:before="55"/>
              <w:ind w:left="197" w:right="212"/>
              <w:rPr>
                <w:sz w:val="24"/>
              </w:rPr>
            </w:pPr>
            <w:r>
              <w:rPr>
                <w:sz w:val="24"/>
              </w:rPr>
              <w:t>28.20</w:t>
            </w:r>
          </w:p>
        </w:tc>
        <w:tc>
          <w:tcPr>
            <w:tcW w:w="1087" w:type="dxa"/>
            <w:tcBorders>
              <w:top w:val="nil"/>
              <w:left w:val="nil"/>
              <w:bottom w:val="nil"/>
              <w:right w:val="nil"/>
            </w:tcBorders>
          </w:tcPr>
          <w:p>
            <w:pPr>
              <w:pStyle w:val="TableParagraph"/>
              <w:spacing w:before="55"/>
              <w:ind w:left="212" w:right="207"/>
              <w:rPr>
                <w:sz w:val="24"/>
              </w:rPr>
            </w:pPr>
            <w:r>
              <w:rPr>
                <w:sz w:val="24"/>
              </w:rPr>
              <w:t>1.31</w:t>
            </w:r>
          </w:p>
        </w:tc>
        <w:tc>
          <w:tcPr>
            <w:tcW w:w="1340" w:type="dxa"/>
            <w:tcBorders>
              <w:top w:val="nil"/>
              <w:left w:val="nil"/>
              <w:bottom w:val="nil"/>
              <w:right w:val="nil"/>
            </w:tcBorders>
          </w:tcPr>
          <w:p>
            <w:pPr>
              <w:pStyle w:val="TableParagraph"/>
              <w:spacing w:before="55"/>
              <w:ind w:left="204" w:right="188"/>
              <w:rPr>
                <w:sz w:val="24"/>
              </w:rPr>
            </w:pPr>
            <w:r>
              <w:rPr>
                <w:sz w:val="24"/>
              </w:rPr>
              <w:t>0.65</w:t>
            </w:r>
          </w:p>
        </w:tc>
      </w:tr>
      <w:tr>
        <w:trPr>
          <w:trHeight w:val="414" w:hRule="exact"/>
        </w:trPr>
        <w:tc>
          <w:tcPr>
            <w:tcW w:w="2983" w:type="dxa"/>
            <w:tcBorders>
              <w:top w:val="nil"/>
              <w:left w:val="nil"/>
              <w:bottom w:val="nil"/>
              <w:right w:val="nil"/>
            </w:tcBorders>
          </w:tcPr>
          <w:p>
            <w:pPr>
              <w:pStyle w:val="TableParagraph"/>
              <w:spacing w:before="56"/>
              <w:ind w:left="83" w:right="252"/>
              <w:jc w:val="left"/>
              <w:rPr>
                <w:sz w:val="24"/>
              </w:rPr>
            </w:pPr>
            <w:r>
              <w:rPr>
                <w:sz w:val="24"/>
              </w:rPr>
              <w:t>Perímetro pierna, cm</w:t>
            </w:r>
          </w:p>
        </w:tc>
        <w:tc>
          <w:tcPr>
            <w:tcW w:w="958" w:type="dxa"/>
            <w:tcBorders>
              <w:top w:val="nil"/>
              <w:left w:val="nil"/>
              <w:bottom w:val="nil"/>
              <w:right w:val="nil"/>
            </w:tcBorders>
          </w:tcPr>
          <w:p>
            <w:pPr>
              <w:pStyle w:val="TableParagraph"/>
              <w:spacing w:before="56"/>
              <w:ind w:left="249" w:right="127"/>
              <w:rPr>
                <w:sz w:val="24"/>
              </w:rPr>
            </w:pPr>
            <w:r>
              <w:rPr>
                <w:sz w:val="24"/>
              </w:rPr>
              <w:t>37.10</w:t>
            </w:r>
          </w:p>
        </w:tc>
        <w:tc>
          <w:tcPr>
            <w:tcW w:w="904" w:type="dxa"/>
            <w:tcBorders>
              <w:top w:val="nil"/>
              <w:left w:val="nil"/>
              <w:bottom w:val="nil"/>
              <w:right w:val="nil"/>
            </w:tcBorders>
          </w:tcPr>
          <w:p>
            <w:pPr>
              <w:pStyle w:val="TableParagraph"/>
              <w:spacing w:before="56"/>
              <w:ind w:left="128" w:right="194"/>
              <w:rPr>
                <w:sz w:val="24"/>
              </w:rPr>
            </w:pPr>
            <w:r>
              <w:rPr>
                <w:sz w:val="24"/>
              </w:rPr>
              <w:t>39.00</w:t>
            </w:r>
          </w:p>
        </w:tc>
        <w:tc>
          <w:tcPr>
            <w:tcW w:w="972" w:type="dxa"/>
            <w:tcBorders>
              <w:top w:val="nil"/>
              <w:left w:val="nil"/>
              <w:bottom w:val="nil"/>
              <w:right w:val="nil"/>
            </w:tcBorders>
          </w:tcPr>
          <w:p>
            <w:pPr>
              <w:pStyle w:val="TableParagraph"/>
              <w:spacing w:before="56"/>
              <w:ind w:left="196" w:right="196"/>
              <w:rPr>
                <w:sz w:val="24"/>
              </w:rPr>
            </w:pPr>
            <w:r>
              <w:rPr>
                <w:sz w:val="24"/>
              </w:rPr>
              <w:t>37.20</w:t>
            </w:r>
          </w:p>
        </w:tc>
        <w:tc>
          <w:tcPr>
            <w:tcW w:w="989" w:type="dxa"/>
            <w:tcBorders>
              <w:top w:val="nil"/>
              <w:left w:val="nil"/>
              <w:bottom w:val="nil"/>
              <w:right w:val="nil"/>
            </w:tcBorders>
          </w:tcPr>
          <w:p>
            <w:pPr>
              <w:pStyle w:val="TableParagraph"/>
              <w:spacing w:before="56"/>
              <w:ind w:left="197" w:right="212"/>
              <w:rPr>
                <w:sz w:val="24"/>
              </w:rPr>
            </w:pPr>
            <w:r>
              <w:rPr>
                <w:sz w:val="24"/>
              </w:rPr>
              <w:t>39.40</w:t>
            </w:r>
          </w:p>
        </w:tc>
        <w:tc>
          <w:tcPr>
            <w:tcW w:w="1087" w:type="dxa"/>
            <w:tcBorders>
              <w:top w:val="nil"/>
              <w:left w:val="nil"/>
              <w:bottom w:val="nil"/>
              <w:right w:val="nil"/>
            </w:tcBorders>
          </w:tcPr>
          <w:p>
            <w:pPr>
              <w:pStyle w:val="TableParagraph"/>
              <w:spacing w:before="56"/>
              <w:ind w:left="212" w:right="207"/>
              <w:rPr>
                <w:sz w:val="24"/>
              </w:rPr>
            </w:pPr>
            <w:r>
              <w:rPr>
                <w:sz w:val="24"/>
              </w:rPr>
              <w:t>1.64</w:t>
            </w:r>
          </w:p>
        </w:tc>
        <w:tc>
          <w:tcPr>
            <w:tcW w:w="1340" w:type="dxa"/>
            <w:tcBorders>
              <w:top w:val="nil"/>
              <w:left w:val="nil"/>
              <w:bottom w:val="nil"/>
              <w:right w:val="nil"/>
            </w:tcBorders>
          </w:tcPr>
          <w:p>
            <w:pPr>
              <w:pStyle w:val="TableParagraph"/>
              <w:spacing w:before="56"/>
              <w:ind w:left="204" w:right="188"/>
              <w:rPr>
                <w:sz w:val="24"/>
              </w:rPr>
            </w:pPr>
            <w:r>
              <w:rPr>
                <w:sz w:val="24"/>
              </w:rPr>
              <w:t>0.52</w:t>
            </w:r>
          </w:p>
        </w:tc>
      </w:tr>
      <w:tr>
        <w:trPr>
          <w:trHeight w:val="414" w:hRule="exact"/>
        </w:trPr>
        <w:tc>
          <w:tcPr>
            <w:tcW w:w="2983" w:type="dxa"/>
            <w:tcBorders>
              <w:top w:val="nil"/>
              <w:left w:val="nil"/>
              <w:bottom w:val="nil"/>
              <w:right w:val="nil"/>
            </w:tcBorders>
          </w:tcPr>
          <w:p>
            <w:pPr>
              <w:pStyle w:val="TableParagraph"/>
              <w:spacing w:before="55"/>
              <w:ind w:left="83" w:right="252"/>
              <w:jc w:val="left"/>
              <w:rPr>
                <w:sz w:val="24"/>
              </w:rPr>
            </w:pPr>
            <w:r>
              <w:rPr>
                <w:sz w:val="24"/>
              </w:rPr>
              <w:t>Ancho de grupa, cm</w:t>
            </w:r>
          </w:p>
        </w:tc>
        <w:tc>
          <w:tcPr>
            <w:tcW w:w="958" w:type="dxa"/>
            <w:tcBorders>
              <w:top w:val="nil"/>
              <w:left w:val="nil"/>
              <w:bottom w:val="nil"/>
              <w:right w:val="nil"/>
            </w:tcBorders>
          </w:tcPr>
          <w:p>
            <w:pPr>
              <w:pStyle w:val="TableParagraph"/>
              <w:spacing w:before="55"/>
              <w:ind w:left="249" w:right="127"/>
              <w:rPr>
                <w:sz w:val="24"/>
              </w:rPr>
            </w:pPr>
            <w:r>
              <w:rPr>
                <w:sz w:val="24"/>
              </w:rPr>
              <w:t>21.48</w:t>
            </w:r>
          </w:p>
        </w:tc>
        <w:tc>
          <w:tcPr>
            <w:tcW w:w="904" w:type="dxa"/>
            <w:tcBorders>
              <w:top w:val="nil"/>
              <w:left w:val="nil"/>
              <w:bottom w:val="nil"/>
              <w:right w:val="nil"/>
            </w:tcBorders>
          </w:tcPr>
          <w:p>
            <w:pPr>
              <w:pStyle w:val="TableParagraph"/>
              <w:spacing w:before="55"/>
              <w:ind w:left="128" w:right="194"/>
              <w:rPr>
                <w:sz w:val="24"/>
              </w:rPr>
            </w:pPr>
            <w:r>
              <w:rPr>
                <w:sz w:val="24"/>
              </w:rPr>
              <w:t>20.20</w:t>
            </w:r>
          </w:p>
        </w:tc>
        <w:tc>
          <w:tcPr>
            <w:tcW w:w="972" w:type="dxa"/>
            <w:tcBorders>
              <w:top w:val="nil"/>
              <w:left w:val="nil"/>
              <w:bottom w:val="nil"/>
              <w:right w:val="nil"/>
            </w:tcBorders>
          </w:tcPr>
          <w:p>
            <w:pPr>
              <w:pStyle w:val="TableParagraph"/>
              <w:spacing w:before="55"/>
              <w:ind w:left="196" w:right="196"/>
              <w:rPr>
                <w:sz w:val="24"/>
              </w:rPr>
            </w:pPr>
            <w:r>
              <w:rPr>
                <w:sz w:val="24"/>
              </w:rPr>
              <w:t>19.72</w:t>
            </w:r>
          </w:p>
        </w:tc>
        <w:tc>
          <w:tcPr>
            <w:tcW w:w="989" w:type="dxa"/>
            <w:tcBorders>
              <w:top w:val="nil"/>
              <w:left w:val="nil"/>
              <w:bottom w:val="nil"/>
              <w:right w:val="nil"/>
            </w:tcBorders>
          </w:tcPr>
          <w:p>
            <w:pPr>
              <w:pStyle w:val="TableParagraph"/>
              <w:spacing w:before="55"/>
              <w:ind w:left="197" w:right="212"/>
              <w:rPr>
                <w:sz w:val="24"/>
              </w:rPr>
            </w:pPr>
            <w:r>
              <w:rPr>
                <w:sz w:val="24"/>
              </w:rPr>
              <w:t>19.46</w:t>
            </w:r>
          </w:p>
        </w:tc>
        <w:tc>
          <w:tcPr>
            <w:tcW w:w="1087" w:type="dxa"/>
            <w:tcBorders>
              <w:top w:val="nil"/>
              <w:left w:val="nil"/>
              <w:bottom w:val="nil"/>
              <w:right w:val="nil"/>
            </w:tcBorders>
          </w:tcPr>
          <w:p>
            <w:pPr>
              <w:pStyle w:val="TableParagraph"/>
              <w:spacing w:before="55"/>
              <w:ind w:left="212" w:right="207"/>
              <w:rPr>
                <w:sz w:val="24"/>
              </w:rPr>
            </w:pPr>
            <w:r>
              <w:rPr>
                <w:sz w:val="24"/>
              </w:rPr>
              <w:t>0.95</w:t>
            </w:r>
          </w:p>
        </w:tc>
        <w:tc>
          <w:tcPr>
            <w:tcW w:w="1340" w:type="dxa"/>
            <w:tcBorders>
              <w:top w:val="nil"/>
              <w:left w:val="nil"/>
              <w:bottom w:val="nil"/>
              <w:right w:val="nil"/>
            </w:tcBorders>
          </w:tcPr>
          <w:p>
            <w:pPr>
              <w:pStyle w:val="TableParagraph"/>
              <w:spacing w:before="55"/>
              <w:ind w:left="204" w:right="188"/>
              <w:rPr>
                <w:sz w:val="24"/>
              </w:rPr>
            </w:pPr>
            <w:r>
              <w:rPr>
                <w:sz w:val="24"/>
              </w:rPr>
              <w:t>0.49</w:t>
            </w:r>
          </w:p>
        </w:tc>
      </w:tr>
      <w:tr>
        <w:trPr>
          <w:trHeight w:val="400" w:hRule="exact"/>
        </w:trPr>
        <w:tc>
          <w:tcPr>
            <w:tcW w:w="2983" w:type="dxa"/>
            <w:tcBorders>
              <w:top w:val="nil"/>
              <w:left w:val="nil"/>
              <w:bottom w:val="nil"/>
              <w:right w:val="nil"/>
            </w:tcBorders>
          </w:tcPr>
          <w:p>
            <w:pPr>
              <w:pStyle w:val="TableParagraph"/>
              <w:spacing w:before="56"/>
              <w:ind w:left="83" w:right="252"/>
              <w:jc w:val="left"/>
              <w:rPr>
                <w:sz w:val="24"/>
              </w:rPr>
            </w:pPr>
            <w:r>
              <w:rPr>
                <w:sz w:val="24"/>
              </w:rPr>
              <w:t>Ancho de tórax, cm</w:t>
            </w:r>
          </w:p>
        </w:tc>
        <w:tc>
          <w:tcPr>
            <w:tcW w:w="958" w:type="dxa"/>
            <w:tcBorders>
              <w:top w:val="nil"/>
              <w:left w:val="nil"/>
              <w:bottom w:val="nil"/>
              <w:right w:val="nil"/>
            </w:tcBorders>
          </w:tcPr>
          <w:p>
            <w:pPr>
              <w:pStyle w:val="TableParagraph"/>
              <w:spacing w:before="56"/>
              <w:ind w:left="249" w:right="127"/>
              <w:rPr>
                <w:sz w:val="24"/>
              </w:rPr>
            </w:pPr>
            <w:r>
              <w:rPr>
                <w:sz w:val="24"/>
              </w:rPr>
              <w:t>16.96</w:t>
            </w:r>
          </w:p>
        </w:tc>
        <w:tc>
          <w:tcPr>
            <w:tcW w:w="904" w:type="dxa"/>
            <w:tcBorders>
              <w:top w:val="nil"/>
              <w:left w:val="nil"/>
              <w:bottom w:val="nil"/>
              <w:right w:val="nil"/>
            </w:tcBorders>
          </w:tcPr>
          <w:p>
            <w:pPr>
              <w:pStyle w:val="TableParagraph"/>
              <w:spacing w:before="56"/>
              <w:ind w:left="128" w:right="194"/>
              <w:rPr>
                <w:sz w:val="24"/>
              </w:rPr>
            </w:pPr>
            <w:r>
              <w:rPr>
                <w:sz w:val="24"/>
              </w:rPr>
              <w:t>17.00</w:t>
            </w:r>
          </w:p>
        </w:tc>
        <w:tc>
          <w:tcPr>
            <w:tcW w:w="972" w:type="dxa"/>
            <w:tcBorders>
              <w:top w:val="nil"/>
              <w:left w:val="nil"/>
              <w:bottom w:val="nil"/>
              <w:right w:val="nil"/>
            </w:tcBorders>
          </w:tcPr>
          <w:p>
            <w:pPr>
              <w:pStyle w:val="TableParagraph"/>
              <w:spacing w:before="56"/>
              <w:ind w:left="196" w:right="196"/>
              <w:rPr>
                <w:sz w:val="24"/>
              </w:rPr>
            </w:pPr>
            <w:r>
              <w:rPr>
                <w:sz w:val="24"/>
              </w:rPr>
              <w:t>16.58</w:t>
            </w:r>
          </w:p>
        </w:tc>
        <w:tc>
          <w:tcPr>
            <w:tcW w:w="989" w:type="dxa"/>
            <w:tcBorders>
              <w:top w:val="nil"/>
              <w:left w:val="nil"/>
              <w:bottom w:val="nil"/>
              <w:right w:val="nil"/>
            </w:tcBorders>
          </w:tcPr>
          <w:p>
            <w:pPr>
              <w:pStyle w:val="TableParagraph"/>
              <w:spacing w:before="56"/>
              <w:ind w:left="197" w:right="212"/>
              <w:rPr>
                <w:sz w:val="24"/>
              </w:rPr>
            </w:pPr>
            <w:r>
              <w:rPr>
                <w:sz w:val="24"/>
              </w:rPr>
              <w:t>17.06</w:t>
            </w:r>
          </w:p>
        </w:tc>
        <w:tc>
          <w:tcPr>
            <w:tcW w:w="1087" w:type="dxa"/>
            <w:tcBorders>
              <w:top w:val="nil"/>
              <w:left w:val="nil"/>
              <w:bottom w:val="nil"/>
              <w:right w:val="nil"/>
            </w:tcBorders>
          </w:tcPr>
          <w:p>
            <w:pPr>
              <w:pStyle w:val="TableParagraph"/>
              <w:spacing w:before="56"/>
              <w:ind w:left="212" w:right="207"/>
              <w:rPr>
                <w:sz w:val="24"/>
              </w:rPr>
            </w:pPr>
            <w:r>
              <w:rPr>
                <w:sz w:val="24"/>
              </w:rPr>
              <w:t>0.38</w:t>
            </w:r>
          </w:p>
        </w:tc>
        <w:tc>
          <w:tcPr>
            <w:tcW w:w="1340" w:type="dxa"/>
            <w:tcBorders>
              <w:top w:val="nil"/>
              <w:left w:val="nil"/>
              <w:bottom w:val="nil"/>
              <w:right w:val="nil"/>
            </w:tcBorders>
          </w:tcPr>
          <w:p>
            <w:pPr>
              <w:pStyle w:val="TableParagraph"/>
              <w:spacing w:before="56"/>
              <w:ind w:left="204" w:right="188"/>
              <w:rPr>
                <w:sz w:val="24"/>
              </w:rPr>
            </w:pPr>
            <w:r>
              <w:rPr>
                <w:sz w:val="24"/>
              </w:rPr>
              <w:t>0.81</w:t>
            </w:r>
          </w:p>
        </w:tc>
      </w:tr>
      <w:tr>
        <w:trPr>
          <w:trHeight w:val="500" w:hRule="exact"/>
        </w:trPr>
        <w:tc>
          <w:tcPr>
            <w:tcW w:w="2983" w:type="dxa"/>
            <w:tcBorders>
              <w:top w:val="nil"/>
              <w:left w:val="nil"/>
              <w:right w:val="nil"/>
            </w:tcBorders>
          </w:tcPr>
          <w:p>
            <w:pPr>
              <w:pStyle w:val="TableParagraph"/>
              <w:spacing w:before="54"/>
              <w:ind w:left="83" w:right="252"/>
              <w:jc w:val="left"/>
              <w:rPr>
                <w:sz w:val="16"/>
              </w:rPr>
            </w:pPr>
            <w:r>
              <w:rPr>
                <w:sz w:val="24"/>
              </w:rPr>
              <w:t>Índice de compacidad</w:t>
            </w:r>
            <w:r>
              <w:rPr>
                <w:position w:val="9"/>
                <w:sz w:val="16"/>
              </w:rPr>
              <w:t>d</w:t>
            </w:r>
          </w:p>
        </w:tc>
        <w:tc>
          <w:tcPr>
            <w:tcW w:w="958" w:type="dxa"/>
            <w:tcBorders>
              <w:top w:val="nil"/>
              <w:left w:val="nil"/>
              <w:right w:val="nil"/>
            </w:tcBorders>
          </w:tcPr>
          <w:p>
            <w:pPr>
              <w:pStyle w:val="TableParagraph"/>
              <w:spacing w:before="69"/>
              <w:ind w:left="249" w:right="127"/>
              <w:rPr>
                <w:sz w:val="24"/>
              </w:rPr>
            </w:pPr>
            <w:r>
              <w:rPr>
                <w:sz w:val="24"/>
              </w:rPr>
              <w:t>0.274</w:t>
            </w:r>
          </w:p>
        </w:tc>
        <w:tc>
          <w:tcPr>
            <w:tcW w:w="904" w:type="dxa"/>
            <w:tcBorders>
              <w:top w:val="nil"/>
              <w:left w:val="nil"/>
              <w:right w:val="nil"/>
            </w:tcBorders>
          </w:tcPr>
          <w:p>
            <w:pPr>
              <w:pStyle w:val="TableParagraph"/>
              <w:spacing w:before="69"/>
              <w:ind w:left="128" w:right="194"/>
              <w:rPr>
                <w:sz w:val="24"/>
              </w:rPr>
            </w:pPr>
            <w:r>
              <w:rPr>
                <w:sz w:val="24"/>
              </w:rPr>
              <w:t>0.277</w:t>
            </w:r>
          </w:p>
        </w:tc>
        <w:tc>
          <w:tcPr>
            <w:tcW w:w="972" w:type="dxa"/>
            <w:tcBorders>
              <w:top w:val="nil"/>
              <w:left w:val="nil"/>
              <w:right w:val="nil"/>
            </w:tcBorders>
          </w:tcPr>
          <w:p>
            <w:pPr>
              <w:pStyle w:val="TableParagraph"/>
              <w:spacing w:before="69"/>
              <w:ind w:left="196" w:right="196"/>
              <w:rPr>
                <w:sz w:val="24"/>
              </w:rPr>
            </w:pPr>
            <w:r>
              <w:rPr>
                <w:sz w:val="24"/>
              </w:rPr>
              <w:t>0.278</w:t>
            </w:r>
          </w:p>
        </w:tc>
        <w:tc>
          <w:tcPr>
            <w:tcW w:w="989" w:type="dxa"/>
            <w:tcBorders>
              <w:top w:val="nil"/>
              <w:left w:val="nil"/>
              <w:right w:val="nil"/>
            </w:tcBorders>
          </w:tcPr>
          <w:p>
            <w:pPr>
              <w:pStyle w:val="TableParagraph"/>
              <w:spacing w:before="69"/>
              <w:ind w:left="197" w:right="212"/>
              <w:rPr>
                <w:sz w:val="24"/>
              </w:rPr>
            </w:pPr>
            <w:r>
              <w:rPr>
                <w:sz w:val="24"/>
              </w:rPr>
              <w:t>0.276</w:t>
            </w:r>
          </w:p>
        </w:tc>
        <w:tc>
          <w:tcPr>
            <w:tcW w:w="1087" w:type="dxa"/>
            <w:tcBorders>
              <w:top w:val="nil"/>
              <w:left w:val="nil"/>
              <w:right w:val="nil"/>
            </w:tcBorders>
          </w:tcPr>
          <w:p>
            <w:pPr>
              <w:pStyle w:val="TableParagraph"/>
              <w:spacing w:before="69"/>
              <w:ind w:left="212" w:right="207"/>
              <w:rPr>
                <w:sz w:val="24"/>
              </w:rPr>
            </w:pPr>
            <w:r>
              <w:rPr>
                <w:sz w:val="24"/>
              </w:rPr>
              <w:t>0.01</w:t>
            </w:r>
          </w:p>
        </w:tc>
        <w:tc>
          <w:tcPr>
            <w:tcW w:w="1340" w:type="dxa"/>
            <w:tcBorders>
              <w:top w:val="nil"/>
              <w:left w:val="nil"/>
              <w:right w:val="nil"/>
            </w:tcBorders>
          </w:tcPr>
          <w:p>
            <w:pPr>
              <w:pStyle w:val="TableParagraph"/>
              <w:spacing w:before="69"/>
              <w:ind w:left="204" w:right="188"/>
              <w:rPr>
                <w:sz w:val="24"/>
              </w:rPr>
            </w:pPr>
            <w:r>
              <w:rPr>
                <w:sz w:val="24"/>
              </w:rPr>
              <w:t>0.69</w:t>
            </w:r>
          </w:p>
        </w:tc>
      </w:tr>
    </w:tbl>
    <w:p>
      <w:pPr>
        <w:spacing w:line="247" w:lineRule="exact" w:before="0"/>
        <w:ind w:left="312" w:right="379" w:firstLine="0"/>
        <w:jc w:val="left"/>
        <w:rPr>
          <w:sz w:val="22"/>
        </w:rPr>
      </w:pPr>
      <w:r>
        <w:rPr>
          <w:position w:val="8"/>
          <w:sz w:val="14"/>
        </w:rPr>
        <w:t>1  </w:t>
      </w:r>
      <w:r>
        <w:rPr>
          <w:sz w:val="22"/>
        </w:rPr>
        <w:t>Error Estándar de la Media</w:t>
      </w:r>
    </w:p>
    <w:p>
      <w:pPr>
        <w:spacing w:before="32"/>
        <w:ind w:left="312" w:right="379" w:firstLine="0"/>
        <w:jc w:val="left"/>
        <w:rPr>
          <w:sz w:val="22"/>
        </w:rPr>
      </w:pPr>
      <w:r>
        <w:rPr>
          <w:position w:val="8"/>
          <w:sz w:val="14"/>
        </w:rPr>
        <w:t>a </w:t>
      </w:r>
      <w:r>
        <w:rPr>
          <w:sz w:val="22"/>
        </w:rPr>
        <w:t>1.Pobre, 2. Normal, 3. Buena, 4. Muy buena, 5. Excelente</w:t>
      </w:r>
    </w:p>
    <w:p>
      <w:pPr>
        <w:spacing w:before="32"/>
        <w:ind w:left="312" w:right="379" w:firstLine="0"/>
        <w:jc w:val="left"/>
        <w:rPr>
          <w:sz w:val="22"/>
        </w:rPr>
      </w:pPr>
      <w:r>
        <w:rPr>
          <w:position w:val="8"/>
          <w:sz w:val="14"/>
        </w:rPr>
        <w:t>b </w:t>
      </w:r>
      <w:r>
        <w:rPr>
          <w:sz w:val="22"/>
        </w:rPr>
        <w:t>1.Muy magra, 2. Magra, 3. Medianamente grasa, 4. Grasa, 5. Muy grasa</w:t>
      </w:r>
    </w:p>
    <w:p>
      <w:pPr>
        <w:spacing w:line="276" w:lineRule="auto" w:before="34"/>
        <w:ind w:left="312" w:right="379" w:firstLine="0"/>
        <w:jc w:val="left"/>
        <w:rPr>
          <w:sz w:val="22"/>
        </w:rPr>
      </w:pPr>
      <w:r>
        <w:rPr>
          <w:position w:val="8"/>
          <w:sz w:val="14"/>
        </w:rPr>
        <w:t>c </w:t>
      </w:r>
      <w:r>
        <w:rPr>
          <w:sz w:val="22"/>
        </w:rPr>
        <w:t>1.Riñones descubiertos, 2. Riñones con gran ventana, 3. Riñones con pequeña ventana, 4. Riñones cubiertos totalmente</w:t>
      </w:r>
    </w:p>
    <w:p>
      <w:pPr>
        <w:spacing w:line="254" w:lineRule="exact" w:before="0"/>
        <w:ind w:left="312" w:right="379" w:firstLine="0"/>
        <w:jc w:val="left"/>
        <w:rPr>
          <w:sz w:val="22"/>
        </w:rPr>
      </w:pPr>
      <w:r>
        <w:rPr>
          <w:position w:val="8"/>
          <w:sz w:val="14"/>
        </w:rPr>
        <w:t>d </w:t>
      </w:r>
      <w:r>
        <w:rPr>
          <w:sz w:val="22"/>
        </w:rPr>
        <w:t>PCF/LC</w:t>
      </w:r>
    </w:p>
    <w:p>
      <w:pPr>
        <w:pStyle w:val="BodyText"/>
        <w:spacing w:before="11"/>
        <w:rPr>
          <w:sz w:val="28"/>
        </w:rPr>
      </w:pPr>
    </w:p>
    <w:p>
      <w:pPr>
        <w:pStyle w:val="ListParagraph"/>
        <w:numPr>
          <w:ilvl w:val="2"/>
          <w:numId w:val="27"/>
        </w:numPr>
        <w:tabs>
          <w:tab w:pos="810" w:val="left" w:leader="none"/>
        </w:tabs>
        <w:spacing w:line="240" w:lineRule="auto" w:before="0" w:after="0"/>
        <w:ind w:left="809" w:right="0" w:hanging="497"/>
        <w:jc w:val="left"/>
        <w:rPr>
          <w:b/>
          <w:i/>
          <w:sz w:val="22"/>
        </w:rPr>
      </w:pPr>
      <w:bookmarkStart w:name="_bookmark73" w:id="140"/>
      <w:bookmarkEnd w:id="140"/>
      <w:r>
        <w:rPr/>
      </w:r>
      <w:bookmarkStart w:name="_bookmark73" w:id="141"/>
      <w:bookmarkEnd w:id="141"/>
      <w:r>
        <w:rPr>
          <w:b/>
          <w:i/>
          <w:sz w:val="22"/>
        </w:rPr>
        <w:t>C</w:t>
      </w:r>
      <w:r>
        <w:rPr>
          <w:b/>
          <w:i/>
          <w:sz w:val="22"/>
        </w:rPr>
        <w:t>alidad de la</w:t>
      </w:r>
      <w:r>
        <w:rPr>
          <w:b/>
          <w:i/>
          <w:spacing w:val="-5"/>
          <w:sz w:val="22"/>
        </w:rPr>
        <w:t> </w:t>
      </w:r>
      <w:r>
        <w:rPr>
          <w:b/>
          <w:i/>
          <w:sz w:val="22"/>
        </w:rPr>
        <w:t>carne</w:t>
      </w:r>
    </w:p>
    <w:p>
      <w:pPr>
        <w:pStyle w:val="BodyText"/>
        <w:spacing w:line="360" w:lineRule="auto" w:before="124"/>
        <w:ind w:left="312" w:right="308" w:firstLine="707"/>
        <w:jc w:val="both"/>
      </w:pPr>
      <w:r>
        <w:rPr/>
        <w:t>El efecto de la concentración dietaria de Cr en la composición química e indicadores de calidad de la carne se muestra en el Cuadro 21. Los contenidos de humedad y proteína  en la carne no fueron afectados (P&gt;0.05) por el Cr</w:t>
      </w:r>
      <w:r>
        <w:rPr>
          <w:spacing w:val="-7"/>
        </w:rPr>
        <w:t> </w:t>
      </w:r>
      <w:r>
        <w:rPr/>
        <w:t>dietario.</w:t>
      </w:r>
    </w:p>
    <w:p>
      <w:pPr>
        <w:spacing w:after="0" w:line="360" w:lineRule="auto"/>
        <w:jc w:val="both"/>
        <w:sectPr>
          <w:pgSz w:w="12240" w:h="15840"/>
          <w:pgMar w:header="1154" w:footer="1503" w:top="1620" w:bottom="1700" w:left="1560" w:right="1220"/>
        </w:sectPr>
      </w:pPr>
    </w:p>
    <w:p>
      <w:pPr>
        <w:pStyle w:val="BodyText"/>
        <w:spacing w:before="2"/>
        <w:rPr>
          <w:sz w:val="9"/>
        </w:rPr>
      </w:pPr>
    </w:p>
    <w:p>
      <w:pPr>
        <w:pStyle w:val="BodyText"/>
        <w:spacing w:line="360" w:lineRule="auto" w:before="69" w:after="12"/>
        <w:ind w:left="212" w:right="231"/>
      </w:pPr>
      <w:r>
        <w:rPr>
          <w:b/>
        </w:rPr>
        <w:t>Cuadro 21. </w:t>
      </w:r>
      <w:r>
        <w:rPr/>
        <w:t>Efecto del cromo orgánico sobre la composición química (g/100g) e indicadores de calidad del músculo </w:t>
      </w:r>
      <w:r>
        <w:rPr>
          <w:i/>
        </w:rPr>
        <w:t>Longissimus dorsi  </w:t>
      </w:r>
      <w:r>
        <w:rPr/>
        <w:t>de ovinos en engorda</w:t>
      </w:r>
      <w:r>
        <w:rPr>
          <w:spacing w:val="-9"/>
        </w:rPr>
        <w:t> </w:t>
      </w:r>
      <w:r>
        <w:rPr/>
        <w:t>intensiva.</w:t>
      </w:r>
    </w:p>
    <w:p>
      <w:pPr>
        <w:pStyle w:val="BodyText"/>
        <w:spacing w:line="20" w:lineRule="exact"/>
        <w:ind w:left="132"/>
        <w:rPr>
          <w:sz w:val="2"/>
        </w:rPr>
      </w:pPr>
      <w:r>
        <w:rPr>
          <w:sz w:val="2"/>
        </w:rPr>
        <w:pict>
          <v:group style="width:450.05pt;height:1pt;mso-position-horizontal-relative:char;mso-position-vertical-relative:line" coordorigin="0,0" coordsize="9001,20">
            <v:line style="position:absolute" from="10,10" to="2125,10" stroked="true" strokeweight=".96001pt" strokecolor="#000000"/>
            <v:line style="position:absolute" from="2125,10" to="2144,10" stroked="true" strokeweight=".96001pt" strokecolor="#000000"/>
            <v:line style="position:absolute" from="2144,10" to="5913,10" stroked="true" strokeweight=".96001pt" strokecolor="#000000"/>
            <v:line style="position:absolute" from="5913,10" to="5932,10" stroked="true" strokeweight=".96001pt" strokecolor="#000000"/>
            <v:line style="position:absolute" from="5932,10" to="6952,10" stroked="true" strokeweight=".96001pt" strokecolor="#000000"/>
            <v:line style="position:absolute" from="6952,10" to="6972,10" stroked="true" strokeweight=".96001pt" strokecolor="#000000"/>
            <v:line style="position:absolute" from="6972,10" to="7807,10" stroked="true" strokeweight=".96001pt" strokecolor="#000000"/>
            <v:line style="position:absolute" from="7807,10" to="7826,10" stroked="true" strokeweight=".96001pt" strokecolor="#000000"/>
            <v:line style="position:absolute" from="7826,10" to="8990,10" stroked="true" strokeweight=".96001pt" strokecolor="#000000"/>
          </v:group>
        </w:pict>
      </w:r>
      <w:r>
        <w:rPr>
          <w:sz w:val="2"/>
        </w:rPr>
      </w:r>
    </w:p>
    <w:p>
      <w:pPr>
        <w:spacing w:line="225" w:lineRule="exact" w:before="3"/>
        <w:ind w:left="2359" w:right="3296" w:firstLine="0"/>
        <w:jc w:val="center"/>
        <w:rPr>
          <w:b/>
          <w:sz w:val="22"/>
        </w:rPr>
      </w:pPr>
      <w:r>
        <w:rPr>
          <w:b/>
          <w:sz w:val="22"/>
        </w:rPr>
        <w:t>Tratamientos (Cromo orgánico, ppm)</w:t>
      </w:r>
    </w:p>
    <w:p>
      <w:pPr>
        <w:tabs>
          <w:tab w:pos="2675" w:val="left" w:leader="none"/>
          <w:tab w:pos="3536" w:val="left" w:leader="none"/>
          <w:tab w:pos="4482" w:val="left" w:leader="none"/>
          <w:tab w:pos="5706" w:val="right" w:leader="none"/>
          <w:tab w:pos="6095" w:val="left" w:leader="none"/>
          <w:tab w:pos="6437" w:val="left" w:leader="none"/>
          <w:tab w:pos="7226" w:val="left" w:leader="none"/>
          <w:tab w:pos="8052" w:val="left" w:leader="none"/>
        </w:tabs>
        <w:spacing w:line="194" w:lineRule="auto" w:before="10"/>
        <w:ind w:left="817" w:right="231" w:firstLine="1440"/>
        <w:jc w:val="left"/>
        <w:rPr>
          <w:b/>
          <w:sz w:val="22"/>
        </w:rPr>
      </w:pPr>
      <w:r>
        <w:rPr>
          <w:b/>
          <w:w w:val="100"/>
          <w:sz w:val="22"/>
          <w:u w:val="single"/>
        </w:rPr>
        <w:t> </w:t>
      </w:r>
      <w:r>
        <w:rPr>
          <w:b/>
          <w:sz w:val="22"/>
          <w:u w:val="single"/>
        </w:rPr>
        <w:tab/>
        <w:tab/>
        <w:tab/>
        <w:tab/>
        <w:tab/>
      </w:r>
      <w:r>
        <w:rPr>
          <w:b/>
          <w:sz w:val="22"/>
        </w:rPr>
        <w:tab/>
        <w:t>P≤</w:t>
        <w:tab/>
        <w:t>EEM</w:t>
      </w:r>
      <w:r>
        <w:rPr>
          <w:b/>
          <w:position w:val="8"/>
          <w:sz w:val="14"/>
        </w:rPr>
        <w:t>1</w:t>
        <w:tab/>
      </w:r>
      <w:r>
        <w:rPr>
          <w:b/>
          <w:spacing w:val="-1"/>
          <w:sz w:val="22"/>
        </w:rPr>
        <w:t>Polinomio </w:t>
      </w:r>
      <w:r>
        <w:rPr>
          <w:b/>
          <w:sz w:val="22"/>
        </w:rPr>
        <w:t>Variable</w:t>
        <w:tab/>
        <w:t>0</w:t>
        <w:tab/>
        <w:t>0.2</w:t>
        <w:tab/>
        <w:t>0.4</w:t>
        <w:tab/>
        <w:t>0.6</w:t>
      </w:r>
    </w:p>
    <w:p>
      <w:pPr>
        <w:spacing w:before="150" w:after="51"/>
        <w:ind w:left="2359" w:right="3295" w:firstLine="0"/>
        <w:jc w:val="center"/>
        <w:rPr>
          <w:sz w:val="24"/>
        </w:rPr>
      </w:pPr>
      <w:r>
        <w:rPr/>
        <w:pict>
          <v:group style="position:absolute;margin-left:89.643997pt;margin-top:6.803098pt;width:450.05pt;height:1pt;mso-position-horizontal-relative:page;mso-position-vertical-relative:paragraph;z-index:-203752" coordorigin="1793,136" coordsize="9001,20">
            <v:line style="position:absolute" from="1803,146" to="3918,146" stroked="true" strokeweight=".96001pt" strokecolor="#000000"/>
            <v:line style="position:absolute" from="3918,146" to="3937,146" stroked="true" strokeweight=".96001pt" strokecolor="#000000"/>
            <v:line style="position:absolute" from="3937,146" to="4863,146" stroked="true" strokeweight=".96001pt" strokecolor="#000000"/>
            <v:line style="position:absolute" from="4863,146" to="4883,146" stroked="true" strokeweight=".96001pt" strokecolor="#000000"/>
            <v:line style="position:absolute" from="4883,146" to="5809,146" stroked="true" strokeweight=".96001pt" strokecolor="#000000"/>
            <v:line style="position:absolute" from="5809,146" to="5829,146" stroked="true" strokeweight=".96001pt" strokecolor="#000000"/>
            <v:line style="position:absolute" from="5829,146" to="6757,146" stroked="true" strokeweight=".96001pt" strokecolor="#000000"/>
            <v:line style="position:absolute" from="6757,146" to="6777,146" stroked="true" strokeweight=".96001pt" strokecolor="#000000"/>
            <v:line style="position:absolute" from="6777,146" to="7705,146" stroked="true" strokeweight=".96001pt" strokecolor="#000000"/>
            <v:line style="position:absolute" from="7705,146" to="7725,146" stroked="true" strokeweight=".96001pt" strokecolor="#000000"/>
            <v:line style="position:absolute" from="7725,146" to="8745,146" stroked="true" strokeweight=".96001pt" strokecolor="#000000"/>
            <v:line style="position:absolute" from="8745,146" to="8764,146" stroked="true" strokeweight=".96001pt" strokecolor="#000000"/>
            <v:line style="position:absolute" from="8764,146" to="9600,146" stroked="true" strokeweight=".96001pt" strokecolor="#000000"/>
            <v:line style="position:absolute" from="9600,146" to="9619,146" stroked="true" strokeweight=".96001pt" strokecolor="#000000"/>
            <v:line style="position:absolute" from="9619,146" to="10783,146" stroked="true" strokeweight=".96001pt" strokecolor="#000000"/>
            <w10:wrap type="none"/>
          </v:group>
        </w:pict>
      </w:r>
      <w:r>
        <w:rPr>
          <w:b/>
          <w:sz w:val="24"/>
        </w:rPr>
        <w:t>Composición química </w:t>
      </w:r>
      <w:r>
        <w:rPr>
          <w:sz w:val="24"/>
        </w:rPr>
        <w:t>(g/100g)</w:t>
      </w:r>
    </w:p>
    <w:tbl>
      <w:tblPr>
        <w:tblW w:w="0" w:type="auto"/>
        <w:jc w:val="left"/>
        <w:tblInd w:w="1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40"/>
        <w:gridCol w:w="936"/>
        <w:gridCol w:w="946"/>
        <w:gridCol w:w="947"/>
        <w:gridCol w:w="998"/>
        <w:gridCol w:w="943"/>
        <w:gridCol w:w="1036"/>
        <w:gridCol w:w="1048"/>
      </w:tblGrid>
      <w:tr>
        <w:trPr>
          <w:trHeight w:val="400" w:hRule="exact"/>
        </w:trPr>
        <w:tc>
          <w:tcPr>
            <w:tcW w:w="2140" w:type="dxa"/>
          </w:tcPr>
          <w:p>
            <w:pPr>
              <w:pStyle w:val="TableParagraph"/>
              <w:spacing w:before="87"/>
              <w:ind w:left="83"/>
              <w:jc w:val="left"/>
              <w:rPr>
                <w:sz w:val="22"/>
              </w:rPr>
            </w:pPr>
            <w:r>
              <w:rPr>
                <w:sz w:val="22"/>
              </w:rPr>
              <w:t>Humedad</w:t>
            </w:r>
          </w:p>
        </w:tc>
        <w:tc>
          <w:tcPr>
            <w:tcW w:w="936" w:type="dxa"/>
          </w:tcPr>
          <w:p>
            <w:pPr>
              <w:pStyle w:val="TableParagraph"/>
              <w:spacing w:before="87"/>
              <w:ind w:right="222"/>
              <w:jc w:val="right"/>
              <w:rPr>
                <w:sz w:val="22"/>
              </w:rPr>
            </w:pPr>
            <w:r>
              <w:rPr>
                <w:sz w:val="22"/>
              </w:rPr>
              <w:t>70.00</w:t>
            </w:r>
          </w:p>
        </w:tc>
        <w:tc>
          <w:tcPr>
            <w:tcW w:w="946" w:type="dxa"/>
          </w:tcPr>
          <w:p>
            <w:pPr>
              <w:pStyle w:val="TableParagraph"/>
              <w:spacing w:before="87"/>
              <w:ind w:left="150" w:right="150"/>
              <w:rPr>
                <w:sz w:val="22"/>
              </w:rPr>
            </w:pPr>
            <w:r>
              <w:rPr>
                <w:sz w:val="22"/>
              </w:rPr>
              <w:t>71.38</w:t>
            </w:r>
          </w:p>
        </w:tc>
        <w:tc>
          <w:tcPr>
            <w:tcW w:w="947" w:type="dxa"/>
          </w:tcPr>
          <w:p>
            <w:pPr>
              <w:pStyle w:val="TableParagraph"/>
              <w:spacing w:before="87"/>
              <w:ind w:left="150" w:right="151"/>
              <w:rPr>
                <w:sz w:val="22"/>
              </w:rPr>
            </w:pPr>
            <w:r>
              <w:rPr>
                <w:sz w:val="22"/>
              </w:rPr>
              <w:t>70.63</w:t>
            </w:r>
          </w:p>
        </w:tc>
        <w:tc>
          <w:tcPr>
            <w:tcW w:w="998" w:type="dxa"/>
          </w:tcPr>
          <w:p>
            <w:pPr>
              <w:pStyle w:val="TableParagraph"/>
              <w:spacing w:before="87"/>
              <w:ind w:left="152" w:right="200"/>
              <w:rPr>
                <w:sz w:val="22"/>
              </w:rPr>
            </w:pPr>
            <w:r>
              <w:rPr>
                <w:sz w:val="22"/>
              </w:rPr>
              <w:t>71.15</w:t>
            </w:r>
          </w:p>
        </w:tc>
        <w:tc>
          <w:tcPr>
            <w:tcW w:w="943" w:type="dxa"/>
          </w:tcPr>
          <w:p>
            <w:pPr>
              <w:pStyle w:val="TableParagraph"/>
              <w:spacing w:before="87"/>
              <w:ind w:left="275"/>
              <w:jc w:val="left"/>
              <w:rPr>
                <w:sz w:val="22"/>
              </w:rPr>
            </w:pPr>
            <w:r>
              <w:rPr>
                <w:sz w:val="22"/>
              </w:rPr>
              <w:t>0.56</w:t>
            </w:r>
          </w:p>
        </w:tc>
        <w:tc>
          <w:tcPr>
            <w:tcW w:w="1036" w:type="dxa"/>
          </w:tcPr>
          <w:p>
            <w:pPr>
              <w:pStyle w:val="TableParagraph"/>
              <w:spacing w:before="87"/>
              <w:ind w:left="281"/>
              <w:jc w:val="left"/>
              <w:rPr>
                <w:sz w:val="22"/>
              </w:rPr>
            </w:pPr>
            <w:r>
              <w:rPr>
                <w:sz w:val="22"/>
              </w:rPr>
              <w:t>0.64</w:t>
            </w:r>
          </w:p>
        </w:tc>
        <w:tc>
          <w:tcPr>
            <w:tcW w:w="1048" w:type="dxa"/>
          </w:tcPr>
          <w:p>
            <w:pPr>
              <w:pStyle w:val="TableParagraph"/>
              <w:spacing w:before="87"/>
              <w:ind w:left="313"/>
              <w:jc w:val="left"/>
              <w:rPr>
                <w:sz w:val="22"/>
              </w:rPr>
            </w:pPr>
            <w:r>
              <w:rPr>
                <w:sz w:val="22"/>
              </w:rPr>
              <w:t>NS</w:t>
            </w:r>
          </w:p>
        </w:tc>
      </w:tr>
      <w:tr>
        <w:trPr>
          <w:trHeight w:val="372" w:hRule="exact"/>
        </w:trPr>
        <w:tc>
          <w:tcPr>
            <w:tcW w:w="2140" w:type="dxa"/>
          </w:tcPr>
          <w:p>
            <w:pPr>
              <w:pStyle w:val="TableParagraph"/>
              <w:spacing w:before="67"/>
              <w:ind w:left="83"/>
              <w:jc w:val="left"/>
              <w:rPr>
                <w:sz w:val="22"/>
              </w:rPr>
            </w:pPr>
            <w:r>
              <w:rPr>
                <w:sz w:val="22"/>
              </w:rPr>
              <w:t>Proteína cruda</w:t>
            </w:r>
          </w:p>
        </w:tc>
        <w:tc>
          <w:tcPr>
            <w:tcW w:w="936" w:type="dxa"/>
          </w:tcPr>
          <w:p>
            <w:pPr>
              <w:pStyle w:val="TableParagraph"/>
              <w:spacing w:before="67"/>
              <w:ind w:right="222"/>
              <w:jc w:val="right"/>
              <w:rPr>
                <w:sz w:val="22"/>
              </w:rPr>
            </w:pPr>
            <w:r>
              <w:rPr>
                <w:sz w:val="22"/>
              </w:rPr>
              <w:t>19.99</w:t>
            </w:r>
          </w:p>
        </w:tc>
        <w:tc>
          <w:tcPr>
            <w:tcW w:w="946" w:type="dxa"/>
          </w:tcPr>
          <w:p>
            <w:pPr>
              <w:pStyle w:val="TableParagraph"/>
              <w:spacing w:before="67"/>
              <w:ind w:left="150" w:right="150"/>
              <w:rPr>
                <w:sz w:val="22"/>
              </w:rPr>
            </w:pPr>
            <w:r>
              <w:rPr>
                <w:sz w:val="22"/>
              </w:rPr>
              <w:t>21.50</w:t>
            </w:r>
          </w:p>
        </w:tc>
        <w:tc>
          <w:tcPr>
            <w:tcW w:w="947" w:type="dxa"/>
          </w:tcPr>
          <w:p>
            <w:pPr>
              <w:pStyle w:val="TableParagraph"/>
              <w:spacing w:before="67"/>
              <w:ind w:left="150" w:right="151"/>
              <w:rPr>
                <w:sz w:val="22"/>
              </w:rPr>
            </w:pPr>
            <w:r>
              <w:rPr>
                <w:sz w:val="22"/>
              </w:rPr>
              <w:t>21.15</w:t>
            </w:r>
          </w:p>
        </w:tc>
        <w:tc>
          <w:tcPr>
            <w:tcW w:w="998" w:type="dxa"/>
          </w:tcPr>
          <w:p>
            <w:pPr>
              <w:pStyle w:val="TableParagraph"/>
              <w:spacing w:before="67"/>
              <w:ind w:left="152" w:right="200"/>
              <w:rPr>
                <w:sz w:val="22"/>
              </w:rPr>
            </w:pPr>
            <w:r>
              <w:rPr>
                <w:sz w:val="22"/>
              </w:rPr>
              <w:t>21.00</w:t>
            </w:r>
          </w:p>
        </w:tc>
        <w:tc>
          <w:tcPr>
            <w:tcW w:w="943" w:type="dxa"/>
          </w:tcPr>
          <w:p>
            <w:pPr>
              <w:pStyle w:val="TableParagraph"/>
              <w:spacing w:before="67"/>
              <w:ind w:left="275"/>
              <w:jc w:val="left"/>
              <w:rPr>
                <w:sz w:val="22"/>
              </w:rPr>
            </w:pPr>
            <w:r>
              <w:rPr>
                <w:sz w:val="22"/>
              </w:rPr>
              <w:t>0.62</w:t>
            </w:r>
          </w:p>
        </w:tc>
        <w:tc>
          <w:tcPr>
            <w:tcW w:w="1036" w:type="dxa"/>
          </w:tcPr>
          <w:p>
            <w:pPr>
              <w:pStyle w:val="TableParagraph"/>
              <w:spacing w:before="67"/>
              <w:ind w:left="281"/>
              <w:jc w:val="left"/>
              <w:rPr>
                <w:sz w:val="22"/>
              </w:rPr>
            </w:pPr>
            <w:r>
              <w:rPr>
                <w:sz w:val="22"/>
              </w:rPr>
              <w:t>0.89</w:t>
            </w:r>
          </w:p>
        </w:tc>
        <w:tc>
          <w:tcPr>
            <w:tcW w:w="1048" w:type="dxa"/>
          </w:tcPr>
          <w:p>
            <w:pPr>
              <w:pStyle w:val="TableParagraph"/>
              <w:spacing w:before="67"/>
              <w:ind w:left="313"/>
              <w:jc w:val="left"/>
              <w:rPr>
                <w:sz w:val="22"/>
              </w:rPr>
            </w:pPr>
            <w:r>
              <w:rPr>
                <w:sz w:val="22"/>
              </w:rPr>
              <w:t>NS</w:t>
            </w:r>
          </w:p>
        </w:tc>
      </w:tr>
      <w:tr>
        <w:trPr>
          <w:trHeight w:val="379" w:hRule="exact"/>
        </w:trPr>
        <w:tc>
          <w:tcPr>
            <w:tcW w:w="2140" w:type="dxa"/>
          </w:tcPr>
          <w:p>
            <w:pPr>
              <w:pStyle w:val="TableParagraph"/>
              <w:spacing w:before="73"/>
              <w:ind w:left="83"/>
              <w:jc w:val="left"/>
              <w:rPr>
                <w:sz w:val="22"/>
              </w:rPr>
            </w:pPr>
            <w:r>
              <w:rPr>
                <w:sz w:val="22"/>
              </w:rPr>
              <w:t>Grasa</w:t>
            </w:r>
          </w:p>
        </w:tc>
        <w:tc>
          <w:tcPr>
            <w:tcW w:w="936" w:type="dxa"/>
          </w:tcPr>
          <w:p>
            <w:pPr>
              <w:pStyle w:val="TableParagraph"/>
              <w:spacing w:before="68"/>
              <w:ind w:right="247"/>
              <w:jc w:val="right"/>
              <w:rPr>
                <w:sz w:val="14"/>
              </w:rPr>
            </w:pPr>
            <w:r>
              <w:rPr>
                <w:sz w:val="22"/>
              </w:rPr>
              <w:t>6.86</w:t>
            </w:r>
            <w:r>
              <w:rPr>
                <w:position w:val="8"/>
                <w:sz w:val="14"/>
              </w:rPr>
              <w:t>a</w:t>
            </w:r>
          </w:p>
        </w:tc>
        <w:tc>
          <w:tcPr>
            <w:tcW w:w="946" w:type="dxa"/>
          </w:tcPr>
          <w:p>
            <w:pPr>
              <w:pStyle w:val="TableParagraph"/>
              <w:spacing w:before="68"/>
              <w:ind w:left="150" w:right="150"/>
              <w:rPr>
                <w:sz w:val="14"/>
              </w:rPr>
            </w:pPr>
            <w:r>
              <w:rPr>
                <w:sz w:val="22"/>
              </w:rPr>
              <w:t>5.49</w:t>
            </w:r>
            <w:r>
              <w:rPr>
                <w:position w:val="8"/>
                <w:sz w:val="14"/>
              </w:rPr>
              <w:t>b</w:t>
            </w:r>
          </w:p>
        </w:tc>
        <w:tc>
          <w:tcPr>
            <w:tcW w:w="947" w:type="dxa"/>
          </w:tcPr>
          <w:p>
            <w:pPr>
              <w:pStyle w:val="TableParagraph"/>
              <w:spacing w:before="68"/>
              <w:ind w:left="150" w:right="150"/>
              <w:rPr>
                <w:sz w:val="14"/>
              </w:rPr>
            </w:pPr>
            <w:r>
              <w:rPr>
                <w:sz w:val="22"/>
              </w:rPr>
              <w:t>5.93</w:t>
            </w:r>
            <w:r>
              <w:rPr>
                <w:position w:val="8"/>
                <w:sz w:val="14"/>
              </w:rPr>
              <w:t>ab</w:t>
            </w:r>
          </w:p>
        </w:tc>
        <w:tc>
          <w:tcPr>
            <w:tcW w:w="998" w:type="dxa"/>
          </w:tcPr>
          <w:p>
            <w:pPr>
              <w:pStyle w:val="TableParagraph"/>
              <w:spacing w:before="68"/>
              <w:ind w:left="150" w:right="200"/>
              <w:rPr>
                <w:sz w:val="14"/>
              </w:rPr>
            </w:pPr>
            <w:r>
              <w:rPr>
                <w:sz w:val="22"/>
              </w:rPr>
              <w:t>6.41</w:t>
            </w:r>
            <w:r>
              <w:rPr>
                <w:position w:val="8"/>
                <w:sz w:val="14"/>
              </w:rPr>
              <w:t>ab</w:t>
            </w:r>
          </w:p>
        </w:tc>
        <w:tc>
          <w:tcPr>
            <w:tcW w:w="943" w:type="dxa"/>
          </w:tcPr>
          <w:p>
            <w:pPr>
              <w:pStyle w:val="TableParagraph"/>
              <w:spacing w:before="73"/>
              <w:ind w:left="275"/>
              <w:jc w:val="left"/>
              <w:rPr>
                <w:sz w:val="22"/>
              </w:rPr>
            </w:pPr>
            <w:r>
              <w:rPr>
                <w:sz w:val="22"/>
              </w:rPr>
              <w:t>0.01</w:t>
            </w:r>
          </w:p>
        </w:tc>
        <w:tc>
          <w:tcPr>
            <w:tcW w:w="1036" w:type="dxa"/>
          </w:tcPr>
          <w:p>
            <w:pPr>
              <w:pStyle w:val="TableParagraph"/>
              <w:spacing w:before="73"/>
              <w:ind w:left="281"/>
              <w:jc w:val="left"/>
              <w:rPr>
                <w:sz w:val="22"/>
              </w:rPr>
            </w:pPr>
            <w:r>
              <w:rPr>
                <w:sz w:val="22"/>
              </w:rPr>
              <w:t>0.31</w:t>
            </w:r>
          </w:p>
        </w:tc>
        <w:tc>
          <w:tcPr>
            <w:tcW w:w="1048" w:type="dxa"/>
          </w:tcPr>
          <w:p>
            <w:pPr>
              <w:pStyle w:val="TableParagraph"/>
              <w:spacing w:before="73"/>
              <w:ind w:left="375"/>
              <w:jc w:val="left"/>
              <w:rPr>
                <w:sz w:val="22"/>
              </w:rPr>
            </w:pPr>
            <w:r>
              <w:rPr>
                <w:w w:val="100"/>
                <w:sz w:val="22"/>
              </w:rPr>
              <w:t>Q</w:t>
            </w:r>
          </w:p>
        </w:tc>
      </w:tr>
      <w:tr>
        <w:trPr>
          <w:trHeight w:val="307" w:hRule="exact"/>
        </w:trPr>
        <w:tc>
          <w:tcPr>
            <w:tcW w:w="2140" w:type="dxa"/>
          </w:tcPr>
          <w:p>
            <w:pPr>
              <w:pStyle w:val="TableParagraph"/>
              <w:spacing w:before="74"/>
              <w:ind w:left="83"/>
              <w:jc w:val="left"/>
              <w:rPr>
                <w:sz w:val="22"/>
              </w:rPr>
            </w:pPr>
            <w:r>
              <w:rPr>
                <w:sz w:val="22"/>
              </w:rPr>
              <w:t>Cenizas</w:t>
            </w:r>
          </w:p>
        </w:tc>
        <w:tc>
          <w:tcPr>
            <w:tcW w:w="936" w:type="dxa"/>
          </w:tcPr>
          <w:p>
            <w:pPr>
              <w:pStyle w:val="TableParagraph"/>
              <w:spacing w:before="69"/>
              <w:ind w:right="247"/>
              <w:jc w:val="right"/>
              <w:rPr>
                <w:sz w:val="14"/>
              </w:rPr>
            </w:pPr>
            <w:r>
              <w:rPr>
                <w:sz w:val="22"/>
              </w:rPr>
              <w:t>1.82</w:t>
            </w:r>
            <w:r>
              <w:rPr>
                <w:position w:val="8"/>
                <w:sz w:val="14"/>
              </w:rPr>
              <w:t>a</w:t>
            </w:r>
          </w:p>
        </w:tc>
        <w:tc>
          <w:tcPr>
            <w:tcW w:w="946" w:type="dxa"/>
          </w:tcPr>
          <w:p>
            <w:pPr>
              <w:pStyle w:val="TableParagraph"/>
              <w:spacing w:before="69"/>
              <w:ind w:left="150" w:right="150"/>
              <w:rPr>
                <w:sz w:val="14"/>
              </w:rPr>
            </w:pPr>
            <w:r>
              <w:rPr>
                <w:sz w:val="22"/>
              </w:rPr>
              <w:t>1.66</w:t>
            </w:r>
            <w:r>
              <w:rPr>
                <w:position w:val="8"/>
                <w:sz w:val="14"/>
              </w:rPr>
              <w:t>ab</w:t>
            </w:r>
          </w:p>
        </w:tc>
        <w:tc>
          <w:tcPr>
            <w:tcW w:w="947" w:type="dxa"/>
          </w:tcPr>
          <w:p>
            <w:pPr>
              <w:pStyle w:val="TableParagraph"/>
              <w:spacing w:before="69"/>
              <w:ind w:left="150" w:right="151"/>
              <w:rPr>
                <w:sz w:val="14"/>
              </w:rPr>
            </w:pPr>
            <w:r>
              <w:rPr>
                <w:sz w:val="22"/>
              </w:rPr>
              <w:t>1.58</w:t>
            </w:r>
            <w:r>
              <w:rPr>
                <w:position w:val="8"/>
                <w:sz w:val="14"/>
              </w:rPr>
              <w:t>b</w:t>
            </w:r>
          </w:p>
        </w:tc>
        <w:tc>
          <w:tcPr>
            <w:tcW w:w="998" w:type="dxa"/>
          </w:tcPr>
          <w:p>
            <w:pPr>
              <w:pStyle w:val="TableParagraph"/>
              <w:spacing w:before="69"/>
              <w:ind w:left="150" w:right="200"/>
              <w:rPr>
                <w:sz w:val="14"/>
              </w:rPr>
            </w:pPr>
            <w:r>
              <w:rPr>
                <w:sz w:val="22"/>
              </w:rPr>
              <w:t>1.59</w:t>
            </w:r>
            <w:r>
              <w:rPr>
                <w:position w:val="8"/>
                <w:sz w:val="14"/>
              </w:rPr>
              <w:t>b</w:t>
            </w:r>
          </w:p>
        </w:tc>
        <w:tc>
          <w:tcPr>
            <w:tcW w:w="943" w:type="dxa"/>
          </w:tcPr>
          <w:p>
            <w:pPr>
              <w:pStyle w:val="TableParagraph"/>
              <w:spacing w:before="74"/>
              <w:ind w:left="275"/>
              <w:jc w:val="left"/>
              <w:rPr>
                <w:sz w:val="22"/>
              </w:rPr>
            </w:pPr>
            <w:r>
              <w:rPr>
                <w:sz w:val="22"/>
              </w:rPr>
              <w:t>0.03</w:t>
            </w:r>
          </w:p>
        </w:tc>
        <w:tc>
          <w:tcPr>
            <w:tcW w:w="1036" w:type="dxa"/>
          </w:tcPr>
          <w:p>
            <w:pPr>
              <w:pStyle w:val="TableParagraph"/>
              <w:spacing w:before="74"/>
              <w:ind w:left="281"/>
              <w:jc w:val="left"/>
              <w:rPr>
                <w:sz w:val="22"/>
              </w:rPr>
            </w:pPr>
            <w:r>
              <w:rPr>
                <w:sz w:val="22"/>
              </w:rPr>
              <w:t>0.06</w:t>
            </w:r>
          </w:p>
        </w:tc>
        <w:tc>
          <w:tcPr>
            <w:tcW w:w="1048" w:type="dxa"/>
          </w:tcPr>
          <w:p>
            <w:pPr>
              <w:pStyle w:val="TableParagraph"/>
              <w:spacing w:before="74"/>
              <w:ind w:left="387"/>
              <w:jc w:val="left"/>
              <w:rPr>
                <w:sz w:val="22"/>
              </w:rPr>
            </w:pPr>
            <w:r>
              <w:rPr>
                <w:w w:val="100"/>
                <w:sz w:val="22"/>
              </w:rPr>
              <w:t>L</w:t>
            </w:r>
          </w:p>
        </w:tc>
      </w:tr>
      <w:tr>
        <w:trPr>
          <w:trHeight w:val="461" w:hRule="exact"/>
        </w:trPr>
        <w:tc>
          <w:tcPr>
            <w:tcW w:w="8995" w:type="dxa"/>
            <w:gridSpan w:val="8"/>
          </w:tcPr>
          <w:p>
            <w:pPr>
              <w:pStyle w:val="TableParagraph"/>
              <w:spacing w:before="151"/>
              <w:ind w:left="2849"/>
              <w:jc w:val="left"/>
              <w:rPr>
                <w:b/>
                <w:sz w:val="22"/>
              </w:rPr>
            </w:pPr>
            <w:r>
              <w:rPr>
                <w:b/>
                <w:sz w:val="22"/>
              </w:rPr>
              <w:t>Indicadores de calidad</w:t>
            </w:r>
          </w:p>
        </w:tc>
      </w:tr>
      <w:tr>
        <w:trPr>
          <w:trHeight w:val="380" w:hRule="exact"/>
        </w:trPr>
        <w:tc>
          <w:tcPr>
            <w:tcW w:w="2140" w:type="dxa"/>
          </w:tcPr>
          <w:p>
            <w:pPr>
              <w:pStyle w:val="TableParagraph"/>
              <w:spacing w:before="63"/>
              <w:ind w:left="83"/>
              <w:jc w:val="left"/>
              <w:rPr>
                <w:sz w:val="14"/>
              </w:rPr>
            </w:pPr>
            <w:r>
              <w:rPr>
                <w:position w:val="2"/>
                <w:sz w:val="22"/>
              </w:rPr>
              <w:t>pH</w:t>
            </w:r>
            <w:r>
              <w:rPr>
                <w:sz w:val="14"/>
              </w:rPr>
              <w:t>45</w:t>
            </w:r>
          </w:p>
        </w:tc>
        <w:tc>
          <w:tcPr>
            <w:tcW w:w="936" w:type="dxa"/>
          </w:tcPr>
          <w:p>
            <w:pPr>
              <w:pStyle w:val="TableParagraph"/>
              <w:spacing w:before="64"/>
              <w:ind w:left="269"/>
              <w:jc w:val="left"/>
              <w:rPr>
                <w:sz w:val="22"/>
              </w:rPr>
            </w:pPr>
            <w:r>
              <w:rPr>
                <w:sz w:val="22"/>
              </w:rPr>
              <w:t>5.97</w:t>
            </w:r>
          </w:p>
        </w:tc>
        <w:tc>
          <w:tcPr>
            <w:tcW w:w="946" w:type="dxa"/>
          </w:tcPr>
          <w:p>
            <w:pPr>
              <w:pStyle w:val="TableParagraph"/>
              <w:spacing w:before="64"/>
              <w:ind w:left="150" w:right="150"/>
              <w:rPr>
                <w:sz w:val="22"/>
              </w:rPr>
            </w:pPr>
            <w:r>
              <w:rPr>
                <w:sz w:val="22"/>
              </w:rPr>
              <w:t>5.96</w:t>
            </w:r>
          </w:p>
        </w:tc>
        <w:tc>
          <w:tcPr>
            <w:tcW w:w="947" w:type="dxa"/>
          </w:tcPr>
          <w:p>
            <w:pPr>
              <w:pStyle w:val="TableParagraph"/>
              <w:spacing w:before="64"/>
              <w:ind w:left="150" w:right="151"/>
              <w:rPr>
                <w:sz w:val="22"/>
              </w:rPr>
            </w:pPr>
            <w:r>
              <w:rPr>
                <w:sz w:val="22"/>
              </w:rPr>
              <w:t>5.98</w:t>
            </w:r>
          </w:p>
        </w:tc>
        <w:tc>
          <w:tcPr>
            <w:tcW w:w="998" w:type="dxa"/>
          </w:tcPr>
          <w:p>
            <w:pPr>
              <w:pStyle w:val="TableParagraph"/>
              <w:spacing w:before="64"/>
              <w:ind w:left="152" w:right="200"/>
              <w:rPr>
                <w:sz w:val="22"/>
              </w:rPr>
            </w:pPr>
            <w:r>
              <w:rPr>
                <w:sz w:val="22"/>
              </w:rPr>
              <w:t>6.06</w:t>
            </w:r>
          </w:p>
        </w:tc>
        <w:tc>
          <w:tcPr>
            <w:tcW w:w="943" w:type="dxa"/>
          </w:tcPr>
          <w:p>
            <w:pPr>
              <w:pStyle w:val="TableParagraph"/>
              <w:spacing w:before="64"/>
              <w:ind w:left="275"/>
              <w:jc w:val="left"/>
              <w:rPr>
                <w:sz w:val="22"/>
              </w:rPr>
            </w:pPr>
            <w:r>
              <w:rPr>
                <w:sz w:val="22"/>
              </w:rPr>
              <w:t>0.91</w:t>
            </w:r>
          </w:p>
        </w:tc>
        <w:tc>
          <w:tcPr>
            <w:tcW w:w="1036" w:type="dxa"/>
          </w:tcPr>
          <w:p>
            <w:pPr>
              <w:pStyle w:val="TableParagraph"/>
              <w:spacing w:before="64"/>
              <w:ind w:left="281"/>
              <w:jc w:val="left"/>
              <w:rPr>
                <w:sz w:val="22"/>
              </w:rPr>
            </w:pPr>
            <w:r>
              <w:rPr>
                <w:sz w:val="22"/>
              </w:rPr>
              <w:t>0.11</w:t>
            </w:r>
          </w:p>
        </w:tc>
        <w:tc>
          <w:tcPr>
            <w:tcW w:w="1048" w:type="dxa"/>
          </w:tcPr>
          <w:p>
            <w:pPr>
              <w:pStyle w:val="TableParagraph"/>
              <w:spacing w:before="64"/>
              <w:ind w:left="313"/>
              <w:jc w:val="left"/>
              <w:rPr>
                <w:sz w:val="22"/>
              </w:rPr>
            </w:pPr>
            <w:r>
              <w:rPr>
                <w:sz w:val="22"/>
              </w:rPr>
              <w:t>NS</w:t>
            </w:r>
          </w:p>
        </w:tc>
      </w:tr>
      <w:tr>
        <w:trPr>
          <w:trHeight w:val="380" w:hRule="exact"/>
        </w:trPr>
        <w:tc>
          <w:tcPr>
            <w:tcW w:w="2140" w:type="dxa"/>
          </w:tcPr>
          <w:p>
            <w:pPr>
              <w:pStyle w:val="TableParagraph"/>
              <w:spacing w:before="65"/>
              <w:ind w:left="83"/>
              <w:jc w:val="left"/>
              <w:rPr>
                <w:sz w:val="14"/>
              </w:rPr>
            </w:pPr>
            <w:r>
              <w:rPr>
                <w:position w:val="2"/>
                <w:sz w:val="22"/>
              </w:rPr>
              <w:t>pH</w:t>
            </w:r>
            <w:r>
              <w:rPr>
                <w:sz w:val="14"/>
              </w:rPr>
              <w:t>24</w:t>
            </w:r>
          </w:p>
        </w:tc>
        <w:tc>
          <w:tcPr>
            <w:tcW w:w="936" w:type="dxa"/>
          </w:tcPr>
          <w:p>
            <w:pPr>
              <w:pStyle w:val="TableParagraph"/>
              <w:spacing w:before="66"/>
              <w:ind w:left="269"/>
              <w:jc w:val="left"/>
              <w:rPr>
                <w:sz w:val="22"/>
              </w:rPr>
            </w:pPr>
            <w:r>
              <w:rPr>
                <w:sz w:val="22"/>
              </w:rPr>
              <w:t>5.56</w:t>
            </w:r>
          </w:p>
        </w:tc>
        <w:tc>
          <w:tcPr>
            <w:tcW w:w="946" w:type="dxa"/>
          </w:tcPr>
          <w:p>
            <w:pPr>
              <w:pStyle w:val="TableParagraph"/>
              <w:spacing w:before="66"/>
              <w:ind w:left="150" w:right="150"/>
              <w:rPr>
                <w:sz w:val="22"/>
              </w:rPr>
            </w:pPr>
            <w:r>
              <w:rPr>
                <w:sz w:val="22"/>
              </w:rPr>
              <w:t>5.39</w:t>
            </w:r>
          </w:p>
        </w:tc>
        <w:tc>
          <w:tcPr>
            <w:tcW w:w="947" w:type="dxa"/>
          </w:tcPr>
          <w:p>
            <w:pPr>
              <w:pStyle w:val="TableParagraph"/>
              <w:spacing w:before="66"/>
              <w:ind w:left="150" w:right="151"/>
              <w:rPr>
                <w:sz w:val="22"/>
              </w:rPr>
            </w:pPr>
            <w:r>
              <w:rPr>
                <w:sz w:val="22"/>
              </w:rPr>
              <w:t>5.57</w:t>
            </w:r>
          </w:p>
        </w:tc>
        <w:tc>
          <w:tcPr>
            <w:tcW w:w="998" w:type="dxa"/>
          </w:tcPr>
          <w:p>
            <w:pPr>
              <w:pStyle w:val="TableParagraph"/>
              <w:spacing w:before="66"/>
              <w:ind w:left="152" w:right="200"/>
              <w:rPr>
                <w:sz w:val="22"/>
              </w:rPr>
            </w:pPr>
            <w:r>
              <w:rPr>
                <w:sz w:val="22"/>
              </w:rPr>
              <w:t>5.57</w:t>
            </w:r>
          </w:p>
        </w:tc>
        <w:tc>
          <w:tcPr>
            <w:tcW w:w="943" w:type="dxa"/>
          </w:tcPr>
          <w:p>
            <w:pPr>
              <w:pStyle w:val="TableParagraph"/>
              <w:spacing w:before="66"/>
              <w:ind w:left="275"/>
              <w:jc w:val="left"/>
              <w:rPr>
                <w:sz w:val="22"/>
              </w:rPr>
            </w:pPr>
            <w:r>
              <w:rPr>
                <w:sz w:val="22"/>
              </w:rPr>
              <w:t>0.52</w:t>
            </w:r>
          </w:p>
        </w:tc>
        <w:tc>
          <w:tcPr>
            <w:tcW w:w="1036" w:type="dxa"/>
          </w:tcPr>
          <w:p>
            <w:pPr>
              <w:pStyle w:val="TableParagraph"/>
              <w:spacing w:before="66"/>
              <w:ind w:left="281"/>
              <w:jc w:val="left"/>
              <w:rPr>
                <w:sz w:val="22"/>
              </w:rPr>
            </w:pPr>
            <w:r>
              <w:rPr>
                <w:sz w:val="22"/>
              </w:rPr>
              <w:t>0.09</w:t>
            </w:r>
          </w:p>
        </w:tc>
        <w:tc>
          <w:tcPr>
            <w:tcW w:w="1048" w:type="dxa"/>
          </w:tcPr>
          <w:p>
            <w:pPr>
              <w:pStyle w:val="TableParagraph"/>
              <w:spacing w:before="66"/>
              <w:ind w:left="313"/>
              <w:jc w:val="left"/>
              <w:rPr>
                <w:sz w:val="22"/>
              </w:rPr>
            </w:pPr>
            <w:r>
              <w:rPr>
                <w:sz w:val="22"/>
              </w:rPr>
              <w:t>NS</w:t>
            </w:r>
          </w:p>
        </w:tc>
      </w:tr>
      <w:tr>
        <w:trPr>
          <w:trHeight w:val="378" w:hRule="exact"/>
        </w:trPr>
        <w:tc>
          <w:tcPr>
            <w:tcW w:w="2140" w:type="dxa"/>
          </w:tcPr>
          <w:p>
            <w:pPr>
              <w:pStyle w:val="TableParagraph"/>
              <w:spacing w:before="65"/>
              <w:ind w:left="83"/>
              <w:jc w:val="left"/>
              <w:rPr>
                <w:sz w:val="22"/>
              </w:rPr>
            </w:pPr>
            <w:r>
              <w:rPr>
                <w:sz w:val="22"/>
              </w:rPr>
              <w:t>L*</w:t>
            </w:r>
          </w:p>
        </w:tc>
        <w:tc>
          <w:tcPr>
            <w:tcW w:w="936" w:type="dxa"/>
          </w:tcPr>
          <w:p>
            <w:pPr>
              <w:pStyle w:val="TableParagraph"/>
              <w:spacing w:before="65"/>
              <w:ind w:right="167"/>
              <w:jc w:val="right"/>
              <w:rPr>
                <w:sz w:val="22"/>
              </w:rPr>
            </w:pPr>
            <w:r>
              <w:rPr>
                <w:sz w:val="22"/>
              </w:rPr>
              <w:t>40.215</w:t>
            </w:r>
          </w:p>
        </w:tc>
        <w:tc>
          <w:tcPr>
            <w:tcW w:w="946" w:type="dxa"/>
          </w:tcPr>
          <w:p>
            <w:pPr>
              <w:pStyle w:val="TableParagraph"/>
              <w:spacing w:before="65"/>
              <w:ind w:left="150" w:right="150"/>
              <w:rPr>
                <w:sz w:val="22"/>
              </w:rPr>
            </w:pPr>
            <w:r>
              <w:rPr>
                <w:sz w:val="22"/>
              </w:rPr>
              <w:t>40.674</w:t>
            </w:r>
          </w:p>
        </w:tc>
        <w:tc>
          <w:tcPr>
            <w:tcW w:w="947" w:type="dxa"/>
          </w:tcPr>
          <w:p>
            <w:pPr>
              <w:pStyle w:val="TableParagraph"/>
              <w:spacing w:before="65"/>
              <w:ind w:left="150" w:right="151"/>
              <w:rPr>
                <w:sz w:val="22"/>
              </w:rPr>
            </w:pPr>
            <w:r>
              <w:rPr>
                <w:sz w:val="22"/>
              </w:rPr>
              <w:t>39.961</w:t>
            </w:r>
          </w:p>
        </w:tc>
        <w:tc>
          <w:tcPr>
            <w:tcW w:w="998" w:type="dxa"/>
          </w:tcPr>
          <w:p>
            <w:pPr>
              <w:pStyle w:val="TableParagraph"/>
              <w:spacing w:before="65"/>
              <w:ind w:left="152" w:right="200"/>
              <w:rPr>
                <w:sz w:val="22"/>
              </w:rPr>
            </w:pPr>
            <w:r>
              <w:rPr>
                <w:sz w:val="22"/>
              </w:rPr>
              <w:t>40.052</w:t>
            </w:r>
          </w:p>
        </w:tc>
        <w:tc>
          <w:tcPr>
            <w:tcW w:w="943" w:type="dxa"/>
          </w:tcPr>
          <w:p>
            <w:pPr>
              <w:pStyle w:val="TableParagraph"/>
              <w:spacing w:before="65"/>
              <w:ind w:left="275"/>
              <w:jc w:val="left"/>
              <w:rPr>
                <w:sz w:val="22"/>
              </w:rPr>
            </w:pPr>
            <w:r>
              <w:rPr>
                <w:sz w:val="22"/>
              </w:rPr>
              <w:t>0.72</w:t>
            </w:r>
          </w:p>
        </w:tc>
        <w:tc>
          <w:tcPr>
            <w:tcW w:w="1036" w:type="dxa"/>
          </w:tcPr>
          <w:p>
            <w:pPr>
              <w:pStyle w:val="TableParagraph"/>
              <w:spacing w:before="65"/>
              <w:ind w:left="281"/>
              <w:jc w:val="left"/>
              <w:rPr>
                <w:sz w:val="22"/>
              </w:rPr>
            </w:pPr>
            <w:r>
              <w:rPr>
                <w:sz w:val="22"/>
              </w:rPr>
              <w:t>2.31</w:t>
            </w:r>
          </w:p>
        </w:tc>
        <w:tc>
          <w:tcPr>
            <w:tcW w:w="1048" w:type="dxa"/>
          </w:tcPr>
          <w:p>
            <w:pPr>
              <w:pStyle w:val="TableParagraph"/>
              <w:spacing w:before="65"/>
              <w:ind w:left="313"/>
              <w:jc w:val="left"/>
              <w:rPr>
                <w:sz w:val="22"/>
              </w:rPr>
            </w:pPr>
            <w:r>
              <w:rPr>
                <w:sz w:val="22"/>
              </w:rPr>
              <w:t>NS</w:t>
            </w:r>
          </w:p>
        </w:tc>
      </w:tr>
      <w:tr>
        <w:trPr>
          <w:trHeight w:val="379" w:hRule="exact"/>
        </w:trPr>
        <w:tc>
          <w:tcPr>
            <w:tcW w:w="2140" w:type="dxa"/>
          </w:tcPr>
          <w:p>
            <w:pPr>
              <w:pStyle w:val="TableParagraph"/>
              <w:spacing w:before="67"/>
              <w:ind w:left="83"/>
              <w:jc w:val="left"/>
              <w:rPr>
                <w:sz w:val="22"/>
              </w:rPr>
            </w:pPr>
            <w:r>
              <w:rPr>
                <w:sz w:val="22"/>
              </w:rPr>
              <w:t>a*</w:t>
            </w:r>
          </w:p>
        </w:tc>
        <w:tc>
          <w:tcPr>
            <w:tcW w:w="936" w:type="dxa"/>
          </w:tcPr>
          <w:p>
            <w:pPr>
              <w:pStyle w:val="TableParagraph"/>
              <w:spacing w:before="67"/>
              <w:ind w:right="167"/>
              <w:jc w:val="right"/>
              <w:rPr>
                <w:sz w:val="22"/>
              </w:rPr>
            </w:pPr>
            <w:r>
              <w:rPr>
                <w:sz w:val="22"/>
              </w:rPr>
              <w:t>16.336</w:t>
            </w:r>
          </w:p>
        </w:tc>
        <w:tc>
          <w:tcPr>
            <w:tcW w:w="946" w:type="dxa"/>
          </w:tcPr>
          <w:p>
            <w:pPr>
              <w:pStyle w:val="TableParagraph"/>
              <w:spacing w:before="67"/>
              <w:ind w:left="150" w:right="150"/>
              <w:rPr>
                <w:sz w:val="22"/>
              </w:rPr>
            </w:pPr>
            <w:r>
              <w:rPr>
                <w:sz w:val="22"/>
              </w:rPr>
              <w:t>15.89</w:t>
            </w:r>
          </w:p>
        </w:tc>
        <w:tc>
          <w:tcPr>
            <w:tcW w:w="947" w:type="dxa"/>
          </w:tcPr>
          <w:p>
            <w:pPr>
              <w:pStyle w:val="TableParagraph"/>
              <w:spacing w:before="67"/>
              <w:ind w:left="150" w:right="151"/>
              <w:rPr>
                <w:sz w:val="22"/>
              </w:rPr>
            </w:pPr>
            <w:r>
              <w:rPr>
                <w:sz w:val="22"/>
              </w:rPr>
              <w:t>15.624</w:t>
            </w:r>
          </w:p>
        </w:tc>
        <w:tc>
          <w:tcPr>
            <w:tcW w:w="998" w:type="dxa"/>
          </w:tcPr>
          <w:p>
            <w:pPr>
              <w:pStyle w:val="TableParagraph"/>
              <w:spacing w:before="67"/>
              <w:ind w:left="152" w:right="200"/>
              <w:rPr>
                <w:sz w:val="22"/>
              </w:rPr>
            </w:pPr>
            <w:r>
              <w:rPr>
                <w:sz w:val="22"/>
              </w:rPr>
              <w:t>15.241</w:t>
            </w:r>
          </w:p>
        </w:tc>
        <w:tc>
          <w:tcPr>
            <w:tcW w:w="943" w:type="dxa"/>
          </w:tcPr>
          <w:p>
            <w:pPr>
              <w:pStyle w:val="TableParagraph"/>
              <w:spacing w:before="67"/>
              <w:ind w:left="275"/>
              <w:jc w:val="left"/>
              <w:rPr>
                <w:sz w:val="22"/>
              </w:rPr>
            </w:pPr>
            <w:r>
              <w:rPr>
                <w:sz w:val="22"/>
              </w:rPr>
              <w:t>0.88</w:t>
            </w:r>
          </w:p>
        </w:tc>
        <w:tc>
          <w:tcPr>
            <w:tcW w:w="1036" w:type="dxa"/>
          </w:tcPr>
          <w:p>
            <w:pPr>
              <w:pStyle w:val="TableParagraph"/>
              <w:spacing w:before="67"/>
              <w:ind w:left="281"/>
              <w:jc w:val="left"/>
              <w:rPr>
                <w:sz w:val="22"/>
              </w:rPr>
            </w:pPr>
            <w:r>
              <w:rPr>
                <w:sz w:val="22"/>
              </w:rPr>
              <w:t>1.03</w:t>
            </w:r>
          </w:p>
        </w:tc>
        <w:tc>
          <w:tcPr>
            <w:tcW w:w="1048" w:type="dxa"/>
          </w:tcPr>
          <w:p>
            <w:pPr>
              <w:pStyle w:val="TableParagraph"/>
              <w:spacing w:before="67"/>
              <w:ind w:left="313"/>
              <w:jc w:val="left"/>
              <w:rPr>
                <w:sz w:val="22"/>
              </w:rPr>
            </w:pPr>
            <w:r>
              <w:rPr>
                <w:sz w:val="22"/>
              </w:rPr>
              <w:t>NS</w:t>
            </w:r>
          </w:p>
        </w:tc>
      </w:tr>
      <w:tr>
        <w:trPr>
          <w:trHeight w:val="372" w:hRule="exact"/>
        </w:trPr>
        <w:tc>
          <w:tcPr>
            <w:tcW w:w="2140" w:type="dxa"/>
          </w:tcPr>
          <w:p>
            <w:pPr>
              <w:pStyle w:val="TableParagraph"/>
              <w:spacing w:before="67"/>
              <w:ind w:left="83"/>
              <w:jc w:val="left"/>
              <w:rPr>
                <w:sz w:val="22"/>
              </w:rPr>
            </w:pPr>
            <w:r>
              <w:rPr>
                <w:sz w:val="22"/>
              </w:rPr>
              <w:t>b*</w:t>
            </w:r>
          </w:p>
        </w:tc>
        <w:tc>
          <w:tcPr>
            <w:tcW w:w="936" w:type="dxa"/>
          </w:tcPr>
          <w:p>
            <w:pPr>
              <w:pStyle w:val="TableParagraph"/>
              <w:spacing w:before="67"/>
              <w:ind w:right="222"/>
              <w:jc w:val="right"/>
              <w:rPr>
                <w:sz w:val="22"/>
              </w:rPr>
            </w:pPr>
            <w:r>
              <w:rPr>
                <w:sz w:val="22"/>
              </w:rPr>
              <w:t>8.633</w:t>
            </w:r>
          </w:p>
        </w:tc>
        <w:tc>
          <w:tcPr>
            <w:tcW w:w="946" w:type="dxa"/>
          </w:tcPr>
          <w:p>
            <w:pPr>
              <w:pStyle w:val="TableParagraph"/>
              <w:spacing w:before="67"/>
              <w:ind w:left="150" w:right="150"/>
              <w:rPr>
                <w:sz w:val="22"/>
              </w:rPr>
            </w:pPr>
            <w:r>
              <w:rPr>
                <w:sz w:val="22"/>
              </w:rPr>
              <w:t>7.872</w:t>
            </w:r>
          </w:p>
        </w:tc>
        <w:tc>
          <w:tcPr>
            <w:tcW w:w="947" w:type="dxa"/>
          </w:tcPr>
          <w:p>
            <w:pPr>
              <w:pStyle w:val="TableParagraph"/>
              <w:spacing w:before="67"/>
              <w:ind w:left="150" w:right="151"/>
              <w:rPr>
                <w:sz w:val="22"/>
              </w:rPr>
            </w:pPr>
            <w:r>
              <w:rPr>
                <w:sz w:val="22"/>
              </w:rPr>
              <w:t>8.479</w:t>
            </w:r>
          </w:p>
        </w:tc>
        <w:tc>
          <w:tcPr>
            <w:tcW w:w="998" w:type="dxa"/>
          </w:tcPr>
          <w:p>
            <w:pPr>
              <w:pStyle w:val="TableParagraph"/>
              <w:spacing w:before="67"/>
              <w:ind w:left="152" w:right="200"/>
              <w:rPr>
                <w:sz w:val="22"/>
              </w:rPr>
            </w:pPr>
            <w:r>
              <w:rPr>
                <w:sz w:val="22"/>
              </w:rPr>
              <w:t>7.169</w:t>
            </w:r>
          </w:p>
        </w:tc>
        <w:tc>
          <w:tcPr>
            <w:tcW w:w="943" w:type="dxa"/>
          </w:tcPr>
          <w:p>
            <w:pPr>
              <w:pStyle w:val="TableParagraph"/>
              <w:spacing w:before="67"/>
              <w:ind w:left="275"/>
              <w:jc w:val="left"/>
              <w:rPr>
                <w:sz w:val="22"/>
              </w:rPr>
            </w:pPr>
            <w:r>
              <w:rPr>
                <w:sz w:val="22"/>
              </w:rPr>
              <w:t>0.74</w:t>
            </w:r>
          </w:p>
        </w:tc>
        <w:tc>
          <w:tcPr>
            <w:tcW w:w="1036" w:type="dxa"/>
          </w:tcPr>
          <w:p>
            <w:pPr>
              <w:pStyle w:val="TableParagraph"/>
              <w:spacing w:before="67"/>
              <w:ind w:left="281"/>
              <w:jc w:val="left"/>
              <w:rPr>
                <w:sz w:val="22"/>
              </w:rPr>
            </w:pPr>
            <w:r>
              <w:rPr>
                <w:sz w:val="22"/>
              </w:rPr>
              <w:t>1.07</w:t>
            </w:r>
          </w:p>
        </w:tc>
        <w:tc>
          <w:tcPr>
            <w:tcW w:w="1048" w:type="dxa"/>
          </w:tcPr>
          <w:p>
            <w:pPr>
              <w:pStyle w:val="TableParagraph"/>
              <w:spacing w:before="67"/>
              <w:ind w:left="313"/>
              <w:jc w:val="left"/>
              <w:rPr>
                <w:sz w:val="22"/>
              </w:rPr>
            </w:pPr>
            <w:r>
              <w:rPr>
                <w:sz w:val="22"/>
              </w:rPr>
              <w:t>NS</w:t>
            </w:r>
          </w:p>
        </w:tc>
      </w:tr>
      <w:tr>
        <w:trPr>
          <w:trHeight w:val="388" w:hRule="exact"/>
        </w:trPr>
        <w:tc>
          <w:tcPr>
            <w:tcW w:w="2140" w:type="dxa"/>
          </w:tcPr>
          <w:p>
            <w:pPr>
              <w:pStyle w:val="TableParagraph"/>
              <w:spacing w:before="73"/>
              <w:ind w:left="83"/>
              <w:jc w:val="left"/>
              <w:rPr>
                <w:sz w:val="22"/>
              </w:rPr>
            </w:pPr>
            <w:r>
              <w:rPr>
                <w:sz w:val="22"/>
              </w:rPr>
              <w:t>Colágeno total %</w:t>
            </w:r>
          </w:p>
        </w:tc>
        <w:tc>
          <w:tcPr>
            <w:tcW w:w="936" w:type="dxa"/>
          </w:tcPr>
          <w:p>
            <w:pPr>
              <w:pStyle w:val="TableParagraph"/>
              <w:spacing w:before="68"/>
              <w:ind w:right="247"/>
              <w:jc w:val="right"/>
              <w:rPr>
                <w:sz w:val="14"/>
              </w:rPr>
            </w:pPr>
            <w:r>
              <w:rPr>
                <w:sz w:val="22"/>
              </w:rPr>
              <w:t>0.04</w:t>
            </w:r>
            <w:r>
              <w:rPr>
                <w:position w:val="8"/>
                <w:sz w:val="14"/>
              </w:rPr>
              <w:t>a</w:t>
            </w:r>
          </w:p>
        </w:tc>
        <w:tc>
          <w:tcPr>
            <w:tcW w:w="946" w:type="dxa"/>
          </w:tcPr>
          <w:p>
            <w:pPr>
              <w:pStyle w:val="TableParagraph"/>
              <w:spacing w:before="68"/>
              <w:ind w:left="150" w:right="150"/>
              <w:rPr>
                <w:sz w:val="14"/>
              </w:rPr>
            </w:pPr>
            <w:r>
              <w:rPr>
                <w:sz w:val="22"/>
              </w:rPr>
              <w:t>0.06</w:t>
            </w:r>
            <w:r>
              <w:rPr>
                <w:position w:val="8"/>
                <w:sz w:val="14"/>
              </w:rPr>
              <w:t>ab</w:t>
            </w:r>
          </w:p>
        </w:tc>
        <w:tc>
          <w:tcPr>
            <w:tcW w:w="947" w:type="dxa"/>
          </w:tcPr>
          <w:p>
            <w:pPr>
              <w:pStyle w:val="TableParagraph"/>
              <w:spacing w:before="68"/>
              <w:ind w:left="226"/>
              <w:jc w:val="left"/>
              <w:rPr>
                <w:sz w:val="14"/>
              </w:rPr>
            </w:pPr>
            <w:r>
              <w:rPr>
                <w:sz w:val="22"/>
              </w:rPr>
              <w:t>0.08 </w:t>
            </w:r>
            <w:r>
              <w:rPr>
                <w:position w:val="8"/>
                <w:sz w:val="14"/>
              </w:rPr>
              <w:t>b</w:t>
            </w:r>
          </w:p>
        </w:tc>
        <w:tc>
          <w:tcPr>
            <w:tcW w:w="998" w:type="dxa"/>
          </w:tcPr>
          <w:p>
            <w:pPr>
              <w:pStyle w:val="TableParagraph"/>
              <w:spacing w:before="68"/>
              <w:ind w:left="196"/>
              <w:jc w:val="left"/>
              <w:rPr>
                <w:sz w:val="14"/>
              </w:rPr>
            </w:pPr>
            <w:r>
              <w:rPr>
                <w:sz w:val="22"/>
              </w:rPr>
              <w:t>0.07 </w:t>
            </w:r>
            <w:r>
              <w:rPr>
                <w:position w:val="8"/>
                <w:sz w:val="14"/>
              </w:rPr>
              <w:t>ab</w:t>
            </w:r>
          </w:p>
        </w:tc>
        <w:tc>
          <w:tcPr>
            <w:tcW w:w="943" w:type="dxa"/>
          </w:tcPr>
          <w:p>
            <w:pPr>
              <w:pStyle w:val="TableParagraph"/>
              <w:spacing w:before="73"/>
              <w:ind w:left="220"/>
              <w:jc w:val="left"/>
              <w:rPr>
                <w:sz w:val="22"/>
              </w:rPr>
            </w:pPr>
            <w:r>
              <w:rPr>
                <w:sz w:val="22"/>
              </w:rPr>
              <w:t>0.003</w:t>
            </w:r>
          </w:p>
        </w:tc>
        <w:tc>
          <w:tcPr>
            <w:tcW w:w="1036" w:type="dxa"/>
          </w:tcPr>
          <w:p>
            <w:pPr>
              <w:pStyle w:val="TableParagraph"/>
              <w:spacing w:before="73"/>
              <w:ind w:left="225"/>
              <w:jc w:val="left"/>
              <w:rPr>
                <w:sz w:val="22"/>
              </w:rPr>
            </w:pPr>
            <w:r>
              <w:rPr>
                <w:sz w:val="22"/>
              </w:rPr>
              <w:t>0.006</w:t>
            </w:r>
          </w:p>
        </w:tc>
        <w:tc>
          <w:tcPr>
            <w:tcW w:w="1048" w:type="dxa"/>
          </w:tcPr>
          <w:p>
            <w:pPr>
              <w:pStyle w:val="TableParagraph"/>
              <w:spacing w:before="73"/>
              <w:ind w:left="387"/>
              <w:jc w:val="left"/>
              <w:rPr>
                <w:sz w:val="22"/>
              </w:rPr>
            </w:pPr>
            <w:r>
              <w:rPr>
                <w:w w:val="100"/>
                <w:sz w:val="22"/>
              </w:rPr>
              <w:t>L</w:t>
            </w:r>
          </w:p>
        </w:tc>
      </w:tr>
      <w:tr>
        <w:trPr>
          <w:trHeight w:val="456" w:hRule="exact"/>
        </w:trPr>
        <w:tc>
          <w:tcPr>
            <w:tcW w:w="2140" w:type="dxa"/>
            <w:tcBorders>
              <w:bottom w:val="single" w:sz="8" w:space="0" w:color="000000"/>
            </w:tcBorders>
          </w:tcPr>
          <w:p>
            <w:pPr>
              <w:pStyle w:val="TableParagraph"/>
              <w:spacing w:before="83"/>
              <w:ind w:left="83"/>
              <w:jc w:val="left"/>
              <w:rPr>
                <w:sz w:val="13"/>
              </w:rPr>
            </w:pPr>
            <w:r>
              <w:rPr>
                <w:sz w:val="20"/>
              </w:rPr>
              <w:t>Fuerza de corte, kg/cm</w:t>
            </w:r>
            <w:r>
              <w:rPr>
                <w:position w:val="7"/>
                <w:sz w:val="13"/>
              </w:rPr>
              <w:t>2</w:t>
            </w:r>
          </w:p>
        </w:tc>
        <w:tc>
          <w:tcPr>
            <w:tcW w:w="936" w:type="dxa"/>
            <w:tcBorders>
              <w:bottom w:val="single" w:sz="8" w:space="0" w:color="000000"/>
            </w:tcBorders>
          </w:tcPr>
          <w:p>
            <w:pPr>
              <w:pStyle w:val="TableParagraph"/>
              <w:spacing w:before="69"/>
              <w:ind w:left="269"/>
              <w:jc w:val="left"/>
              <w:rPr>
                <w:sz w:val="22"/>
              </w:rPr>
            </w:pPr>
            <w:r>
              <w:rPr>
                <w:sz w:val="22"/>
              </w:rPr>
              <w:t>2.34</w:t>
            </w:r>
          </w:p>
        </w:tc>
        <w:tc>
          <w:tcPr>
            <w:tcW w:w="946" w:type="dxa"/>
            <w:tcBorders>
              <w:bottom w:val="single" w:sz="8" w:space="0" w:color="000000"/>
            </w:tcBorders>
          </w:tcPr>
          <w:p>
            <w:pPr>
              <w:pStyle w:val="TableParagraph"/>
              <w:spacing w:before="69"/>
              <w:ind w:left="150" w:right="150"/>
              <w:rPr>
                <w:sz w:val="22"/>
              </w:rPr>
            </w:pPr>
            <w:r>
              <w:rPr>
                <w:sz w:val="22"/>
              </w:rPr>
              <w:t>2.40</w:t>
            </w:r>
          </w:p>
        </w:tc>
        <w:tc>
          <w:tcPr>
            <w:tcW w:w="947" w:type="dxa"/>
            <w:tcBorders>
              <w:bottom w:val="single" w:sz="8" w:space="0" w:color="000000"/>
            </w:tcBorders>
          </w:tcPr>
          <w:p>
            <w:pPr>
              <w:pStyle w:val="TableParagraph"/>
              <w:spacing w:before="69"/>
              <w:ind w:left="150" w:right="151"/>
              <w:rPr>
                <w:sz w:val="22"/>
              </w:rPr>
            </w:pPr>
            <w:r>
              <w:rPr>
                <w:sz w:val="22"/>
              </w:rPr>
              <w:t>2.55</w:t>
            </w:r>
          </w:p>
        </w:tc>
        <w:tc>
          <w:tcPr>
            <w:tcW w:w="998" w:type="dxa"/>
            <w:tcBorders>
              <w:bottom w:val="single" w:sz="8" w:space="0" w:color="000000"/>
            </w:tcBorders>
          </w:tcPr>
          <w:p>
            <w:pPr>
              <w:pStyle w:val="TableParagraph"/>
              <w:spacing w:before="69"/>
              <w:ind w:left="152" w:right="200"/>
              <w:rPr>
                <w:sz w:val="22"/>
              </w:rPr>
            </w:pPr>
            <w:r>
              <w:rPr>
                <w:sz w:val="22"/>
              </w:rPr>
              <w:t>2.45</w:t>
            </w:r>
          </w:p>
        </w:tc>
        <w:tc>
          <w:tcPr>
            <w:tcW w:w="943" w:type="dxa"/>
            <w:tcBorders>
              <w:bottom w:val="single" w:sz="8" w:space="0" w:color="000000"/>
            </w:tcBorders>
          </w:tcPr>
          <w:p>
            <w:pPr>
              <w:pStyle w:val="TableParagraph"/>
              <w:spacing w:before="69"/>
              <w:ind w:left="275"/>
              <w:jc w:val="left"/>
              <w:rPr>
                <w:sz w:val="22"/>
              </w:rPr>
            </w:pPr>
            <w:r>
              <w:rPr>
                <w:sz w:val="22"/>
              </w:rPr>
              <w:t>0.13</w:t>
            </w:r>
          </w:p>
        </w:tc>
        <w:tc>
          <w:tcPr>
            <w:tcW w:w="1036" w:type="dxa"/>
            <w:tcBorders>
              <w:bottom w:val="single" w:sz="8" w:space="0" w:color="000000"/>
            </w:tcBorders>
          </w:tcPr>
          <w:p>
            <w:pPr>
              <w:pStyle w:val="TableParagraph"/>
              <w:spacing w:before="69"/>
              <w:ind w:left="281"/>
              <w:jc w:val="left"/>
              <w:rPr>
                <w:sz w:val="22"/>
              </w:rPr>
            </w:pPr>
            <w:r>
              <w:rPr>
                <w:sz w:val="22"/>
              </w:rPr>
              <w:t>0.10</w:t>
            </w:r>
          </w:p>
        </w:tc>
        <w:tc>
          <w:tcPr>
            <w:tcW w:w="1048" w:type="dxa"/>
            <w:tcBorders>
              <w:bottom w:val="single" w:sz="8" w:space="0" w:color="000000"/>
            </w:tcBorders>
          </w:tcPr>
          <w:p>
            <w:pPr>
              <w:pStyle w:val="TableParagraph"/>
              <w:spacing w:before="69"/>
              <w:ind w:left="313"/>
              <w:jc w:val="left"/>
              <w:rPr>
                <w:sz w:val="22"/>
              </w:rPr>
            </w:pPr>
            <w:r>
              <w:rPr>
                <w:sz w:val="22"/>
              </w:rPr>
              <w:t>NS</w:t>
            </w:r>
          </w:p>
        </w:tc>
      </w:tr>
    </w:tbl>
    <w:p>
      <w:pPr>
        <w:spacing w:before="0"/>
        <w:ind w:left="212" w:right="231" w:firstLine="0"/>
        <w:jc w:val="left"/>
        <w:rPr>
          <w:sz w:val="22"/>
        </w:rPr>
      </w:pPr>
      <w:r>
        <w:rPr>
          <w:sz w:val="22"/>
        </w:rPr>
        <w:t>Medias con distinta literal en la misma hilera, son diferentes (P≤0.05).</w:t>
      </w:r>
    </w:p>
    <w:p>
      <w:pPr>
        <w:spacing w:before="32"/>
        <w:ind w:left="212" w:right="231" w:firstLine="0"/>
        <w:jc w:val="left"/>
        <w:rPr>
          <w:sz w:val="22"/>
        </w:rPr>
      </w:pPr>
      <w:r>
        <w:rPr>
          <w:position w:val="8"/>
          <w:sz w:val="14"/>
        </w:rPr>
        <w:t>1  </w:t>
      </w:r>
      <w:r>
        <w:rPr>
          <w:sz w:val="22"/>
        </w:rPr>
        <w:t>Error Estándar de la Media</w:t>
      </w:r>
    </w:p>
    <w:p>
      <w:pPr>
        <w:spacing w:before="32"/>
        <w:ind w:left="212" w:right="231" w:firstLine="0"/>
        <w:jc w:val="left"/>
        <w:rPr>
          <w:sz w:val="22"/>
        </w:rPr>
      </w:pPr>
      <w:r>
        <w:rPr>
          <w:position w:val="8"/>
          <w:sz w:val="14"/>
        </w:rPr>
        <w:t>2</w:t>
      </w:r>
      <w:r>
        <w:rPr>
          <w:sz w:val="22"/>
        </w:rPr>
        <w:t>Efectos L, Lineal; Q, Cuadrático (P&lt;0.05), NS=no significativo (P&gt;0.05)</w:t>
      </w:r>
    </w:p>
    <w:p>
      <w:pPr>
        <w:pStyle w:val="BodyText"/>
        <w:spacing w:before="8"/>
        <w:rPr>
          <w:sz w:val="28"/>
        </w:rPr>
      </w:pPr>
    </w:p>
    <w:p>
      <w:pPr>
        <w:pStyle w:val="BodyText"/>
        <w:spacing w:line="355" w:lineRule="auto"/>
        <w:ind w:left="212" w:right="183" w:firstLine="707"/>
        <w:jc w:val="both"/>
      </w:pPr>
      <w:r>
        <w:rPr/>
        <w:t>El contenido de grasa varió en forma cuadrática (P&lt;0.05) al aumentar el Cr suplementado; los valores menores se encontraron en la carne de los corderos que  recibieron 0.2 y 0.4 mg Cr kg</w:t>
      </w:r>
      <w:r>
        <w:rPr>
          <w:position w:val="9"/>
          <w:sz w:val="16"/>
        </w:rPr>
        <w:t>-1 </w:t>
      </w:r>
      <w:r>
        <w:rPr/>
        <w:t>MS. El contenido de cenizas en la carne disminuyó de manera lineal (P&lt;0.05) a medida que se incrementó el Cr en la</w:t>
      </w:r>
      <w:r>
        <w:rPr>
          <w:spacing w:val="-12"/>
        </w:rPr>
        <w:t> </w:t>
      </w:r>
      <w:r>
        <w:rPr/>
        <w:t>dieta.</w:t>
      </w:r>
    </w:p>
    <w:p>
      <w:pPr>
        <w:pStyle w:val="BodyText"/>
        <w:spacing w:line="357" w:lineRule="auto" w:before="11"/>
        <w:ind w:left="212" w:right="187" w:firstLine="707"/>
        <w:jc w:val="both"/>
      </w:pPr>
      <w:r>
        <w:rPr>
          <w:position w:val="2"/>
        </w:rPr>
        <w:t>Con respecto a los indicadores de calidad tanto los valores de pH</w:t>
      </w:r>
      <w:r>
        <w:rPr>
          <w:sz w:val="16"/>
        </w:rPr>
        <w:t>45, </w:t>
      </w:r>
      <w:r>
        <w:rPr>
          <w:position w:val="2"/>
        </w:rPr>
        <w:t>y pH</w:t>
      </w:r>
      <w:r>
        <w:rPr>
          <w:sz w:val="16"/>
        </w:rPr>
        <w:t>24</w:t>
      </w:r>
      <w:r>
        <w:rPr>
          <w:position w:val="2"/>
        </w:rPr>
        <w:t>, así como </w:t>
      </w:r>
      <w:r>
        <w:rPr/>
        <w:t>el color (L*, a*, b*) no fueron afectados (P&gt;0.05) por el nivel de Cr en la dieta.</w:t>
      </w:r>
    </w:p>
    <w:p>
      <w:pPr>
        <w:pStyle w:val="BodyText"/>
        <w:spacing w:line="345" w:lineRule="auto" w:before="9"/>
        <w:ind w:left="212" w:right="198" w:firstLine="707"/>
        <w:jc w:val="both"/>
      </w:pPr>
      <w:r>
        <w:rPr/>
        <w:t>La fuerza de corte tendió (P=0.10) a ser modificada por el nivel de Cr en la dieta; el valor más alto se encontró con el nivel de 0.4 mg de Cr kg</w:t>
      </w:r>
      <w:r>
        <w:rPr>
          <w:position w:val="9"/>
          <w:sz w:val="16"/>
        </w:rPr>
        <w:t>-1 </w:t>
      </w:r>
      <w:r>
        <w:rPr/>
        <w:t>MS.</w:t>
      </w:r>
    </w:p>
    <w:p>
      <w:pPr>
        <w:pStyle w:val="BodyText"/>
        <w:spacing w:line="360" w:lineRule="auto" w:before="14"/>
        <w:ind w:left="212" w:right="190" w:firstLine="707"/>
        <w:jc w:val="both"/>
      </w:pPr>
      <w:r>
        <w:rPr/>
        <w:t>El contenido de colágeno en el musculo aumentó en forma lineal (P&lt;0.05) con el aumento del Cr en la dieta.</w:t>
      </w:r>
    </w:p>
    <w:p>
      <w:pPr>
        <w:spacing w:after="0" w:line="360" w:lineRule="auto"/>
        <w:jc w:val="both"/>
        <w:sectPr>
          <w:pgSz w:w="12240" w:h="15840"/>
          <w:pgMar w:header="1154" w:footer="1503" w:top="1620" w:bottom="1700" w:left="1660" w:right="1340"/>
        </w:sectPr>
      </w:pPr>
    </w:p>
    <w:p>
      <w:pPr>
        <w:pStyle w:val="BodyText"/>
        <w:spacing w:before="3"/>
        <w:rPr>
          <w:sz w:val="9"/>
        </w:rPr>
      </w:pPr>
    </w:p>
    <w:p>
      <w:pPr>
        <w:pStyle w:val="ListParagraph"/>
        <w:numPr>
          <w:ilvl w:val="2"/>
          <w:numId w:val="27"/>
        </w:numPr>
        <w:tabs>
          <w:tab w:pos="710" w:val="left" w:leader="none"/>
        </w:tabs>
        <w:spacing w:line="240" w:lineRule="auto" w:before="73" w:after="0"/>
        <w:ind w:left="709" w:right="0" w:hanging="497"/>
        <w:jc w:val="left"/>
        <w:rPr>
          <w:b/>
          <w:i/>
          <w:sz w:val="22"/>
        </w:rPr>
      </w:pPr>
      <w:bookmarkStart w:name="_bookmark74" w:id="142"/>
      <w:bookmarkEnd w:id="142"/>
      <w:r>
        <w:rPr/>
      </w:r>
      <w:bookmarkStart w:name="_bookmark74" w:id="143"/>
      <w:bookmarkEnd w:id="143"/>
      <w:r>
        <w:rPr>
          <w:b/>
          <w:i/>
          <w:sz w:val="22"/>
        </w:rPr>
        <w:t>C</w:t>
      </w:r>
      <w:r>
        <w:rPr>
          <w:b/>
          <w:i/>
          <w:sz w:val="22"/>
        </w:rPr>
        <w:t>ostos de</w:t>
      </w:r>
      <w:r>
        <w:rPr>
          <w:b/>
          <w:i/>
          <w:spacing w:val="-4"/>
          <w:sz w:val="22"/>
        </w:rPr>
        <w:t> </w:t>
      </w:r>
      <w:r>
        <w:rPr>
          <w:b/>
          <w:i/>
          <w:sz w:val="22"/>
        </w:rPr>
        <w:t>producción</w:t>
      </w:r>
    </w:p>
    <w:p>
      <w:pPr>
        <w:pStyle w:val="BodyText"/>
        <w:spacing w:line="360" w:lineRule="auto" w:before="122"/>
        <w:ind w:left="212" w:right="225" w:firstLine="707"/>
        <w:jc w:val="both"/>
      </w:pPr>
      <w:r>
        <w:rPr/>
        <w:t>En el </w:t>
      </w:r>
      <w:r>
        <w:rPr>
          <w:b/>
        </w:rPr>
        <w:t>Cuadro 22 </w:t>
      </w:r>
      <w:r>
        <w:rPr/>
        <w:t>se observa que los costos de producción se elevan conforme aumenta la concentración de Cr en la dieta. La relación beneficio-costo fue mayor para el T2 (0.2 ppm LevCr) con respecto al testigo y menor para la dosis más alta de Cr (0.6 ppm LevCr), el nivel de 0.4 ppm LevCr presentó una relación beneficio-costo semejante al control.</w:t>
      </w:r>
    </w:p>
    <w:p>
      <w:pPr>
        <w:spacing w:line="360" w:lineRule="auto" w:before="4" w:after="10"/>
        <w:ind w:left="212" w:right="138" w:firstLine="0"/>
        <w:jc w:val="left"/>
        <w:rPr>
          <w:b/>
          <w:sz w:val="23"/>
        </w:rPr>
      </w:pPr>
      <w:r>
        <w:rPr>
          <w:b/>
          <w:sz w:val="24"/>
        </w:rPr>
        <w:t>Cuadro 22. </w:t>
      </w:r>
      <w:r>
        <w:rPr>
          <w:sz w:val="23"/>
        </w:rPr>
        <w:t>Efecto de </w:t>
      </w:r>
      <w:r>
        <w:rPr>
          <w:sz w:val="24"/>
        </w:rPr>
        <w:t>la dosis de cromo orgánico </w:t>
      </w:r>
      <w:r>
        <w:rPr>
          <w:sz w:val="23"/>
        </w:rPr>
        <w:t>sobre los costos de producción de corderos en engorda intensiva</w:t>
      </w:r>
      <w:r>
        <w:rPr>
          <w:b/>
          <w:sz w:val="23"/>
        </w:rPr>
        <w:t>.</w:t>
      </w:r>
    </w:p>
    <w:p>
      <w:pPr>
        <w:pStyle w:val="BodyText"/>
        <w:spacing w:line="20" w:lineRule="exact"/>
        <w:ind w:left="132"/>
        <w:rPr>
          <w:sz w:val="2"/>
        </w:rPr>
      </w:pPr>
      <w:r>
        <w:rPr>
          <w:sz w:val="2"/>
        </w:rPr>
        <w:pict>
          <v:group style="width:450.05pt;height:1pt;mso-position-horizontal-relative:char;mso-position-vertical-relative:line" coordorigin="0,0" coordsize="9001,20">
            <v:line style="position:absolute" from="10,10" to="3776,10" stroked="true" strokeweight=".96001pt" strokecolor="#000000"/>
            <v:line style="position:absolute" from="3776,10" to="3795,10" stroked="true" strokeweight=".96001pt" strokecolor="#000000"/>
            <v:line style="position:absolute" from="3795,10" to="8990,10" stroked="true" strokeweight=".96001pt" strokecolor="#000000"/>
          </v:group>
        </w:pict>
      </w:r>
      <w:r>
        <w:rPr>
          <w:sz w:val="2"/>
        </w:rPr>
      </w:r>
    </w:p>
    <w:p>
      <w:pPr>
        <w:pStyle w:val="Heading1"/>
        <w:tabs>
          <w:tab w:pos="3908" w:val="left" w:leader="none"/>
          <w:tab w:pos="9178" w:val="left" w:leader="none"/>
        </w:tabs>
        <w:spacing w:line="189" w:lineRule="auto" w:before="46"/>
        <w:ind w:left="1578" w:right="99" w:firstLine="3015"/>
      </w:pPr>
      <w:r>
        <w:rPr/>
        <w:pict>
          <v:shape style="position:absolute;margin-left:90.143997pt;margin-top:23.214409pt;width:449.05pt;height:332.3pt;mso-position-horizontal-relative:page;mso-position-vertical-relative:paragraph;z-index:22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90"/>
                    <w:gridCol w:w="1177"/>
                    <w:gridCol w:w="1302"/>
                    <w:gridCol w:w="1304"/>
                    <w:gridCol w:w="1307"/>
                  </w:tblGrid>
                  <w:tr>
                    <w:trPr>
                      <w:trHeight w:val="395" w:hRule="exact"/>
                    </w:trPr>
                    <w:tc>
                      <w:tcPr>
                        <w:tcW w:w="3890" w:type="dxa"/>
                        <w:tcBorders>
                          <w:bottom w:val="single" w:sz="8" w:space="0" w:color="000000"/>
                        </w:tcBorders>
                      </w:tcPr>
                      <w:p>
                        <w:pPr/>
                      </w:p>
                    </w:tc>
                    <w:tc>
                      <w:tcPr>
                        <w:tcW w:w="1177" w:type="dxa"/>
                        <w:tcBorders>
                          <w:bottom w:val="single" w:sz="8" w:space="0" w:color="000000"/>
                        </w:tcBorders>
                      </w:tcPr>
                      <w:p>
                        <w:pPr>
                          <w:pStyle w:val="TableParagraph"/>
                          <w:spacing w:line="245" w:lineRule="exact"/>
                          <w:ind w:right="121"/>
                          <w:rPr>
                            <w:b/>
                            <w:sz w:val="24"/>
                          </w:rPr>
                        </w:pPr>
                        <w:r>
                          <w:rPr>
                            <w:b/>
                            <w:sz w:val="24"/>
                          </w:rPr>
                          <w:t>0</w:t>
                        </w:r>
                      </w:p>
                    </w:tc>
                    <w:tc>
                      <w:tcPr>
                        <w:tcW w:w="1302" w:type="dxa"/>
                        <w:tcBorders>
                          <w:bottom w:val="single" w:sz="8" w:space="0" w:color="000000"/>
                        </w:tcBorders>
                      </w:tcPr>
                      <w:p>
                        <w:pPr>
                          <w:pStyle w:val="TableParagraph"/>
                          <w:spacing w:line="245" w:lineRule="exact"/>
                          <w:ind w:left="301" w:right="301"/>
                          <w:rPr>
                            <w:b/>
                            <w:sz w:val="24"/>
                          </w:rPr>
                        </w:pPr>
                        <w:r>
                          <w:rPr>
                            <w:b/>
                            <w:sz w:val="24"/>
                          </w:rPr>
                          <w:t>0.2</w:t>
                        </w:r>
                      </w:p>
                    </w:tc>
                    <w:tc>
                      <w:tcPr>
                        <w:tcW w:w="1304" w:type="dxa"/>
                        <w:tcBorders>
                          <w:bottom w:val="single" w:sz="8" w:space="0" w:color="000000"/>
                        </w:tcBorders>
                      </w:tcPr>
                      <w:p>
                        <w:pPr>
                          <w:pStyle w:val="TableParagraph"/>
                          <w:spacing w:line="245" w:lineRule="exact"/>
                          <w:ind w:left="301" w:right="301"/>
                          <w:rPr>
                            <w:b/>
                            <w:sz w:val="24"/>
                          </w:rPr>
                        </w:pPr>
                        <w:r>
                          <w:rPr>
                            <w:b/>
                            <w:sz w:val="24"/>
                          </w:rPr>
                          <w:t>0.4</w:t>
                        </w:r>
                      </w:p>
                    </w:tc>
                    <w:tc>
                      <w:tcPr>
                        <w:tcW w:w="1307" w:type="dxa"/>
                        <w:tcBorders>
                          <w:bottom w:val="single" w:sz="8" w:space="0" w:color="000000"/>
                        </w:tcBorders>
                      </w:tcPr>
                      <w:p>
                        <w:pPr>
                          <w:pStyle w:val="TableParagraph"/>
                          <w:spacing w:line="245" w:lineRule="exact"/>
                          <w:ind w:left="303" w:right="304"/>
                          <w:rPr>
                            <w:b/>
                            <w:sz w:val="24"/>
                          </w:rPr>
                        </w:pPr>
                        <w:r>
                          <w:rPr>
                            <w:b/>
                            <w:sz w:val="24"/>
                          </w:rPr>
                          <w:t>0.6</w:t>
                        </w:r>
                      </w:p>
                    </w:tc>
                  </w:tr>
                  <w:tr>
                    <w:trPr>
                      <w:trHeight w:val="362" w:hRule="exact"/>
                    </w:trPr>
                    <w:tc>
                      <w:tcPr>
                        <w:tcW w:w="3890" w:type="dxa"/>
                        <w:tcBorders>
                          <w:top w:val="single" w:sz="8" w:space="0" w:color="000000"/>
                        </w:tcBorders>
                      </w:tcPr>
                      <w:p>
                        <w:pPr>
                          <w:pStyle w:val="TableParagraph"/>
                          <w:spacing w:line="270" w:lineRule="exact"/>
                          <w:ind w:left="69"/>
                          <w:jc w:val="left"/>
                          <w:rPr>
                            <w:sz w:val="24"/>
                          </w:rPr>
                        </w:pPr>
                        <w:r>
                          <w:rPr>
                            <w:sz w:val="24"/>
                          </w:rPr>
                          <w:t>Alimento , $/Kg BH</w:t>
                        </w:r>
                      </w:p>
                    </w:tc>
                    <w:tc>
                      <w:tcPr>
                        <w:tcW w:w="1177" w:type="dxa"/>
                        <w:tcBorders>
                          <w:top w:val="single" w:sz="8" w:space="0" w:color="000000"/>
                        </w:tcBorders>
                      </w:tcPr>
                      <w:p>
                        <w:pPr>
                          <w:pStyle w:val="TableParagraph"/>
                          <w:spacing w:line="270" w:lineRule="exact"/>
                          <w:ind w:left="176" w:right="300"/>
                          <w:rPr>
                            <w:sz w:val="24"/>
                          </w:rPr>
                        </w:pPr>
                        <w:r>
                          <w:rPr>
                            <w:sz w:val="24"/>
                          </w:rPr>
                          <w:t>4.5</w:t>
                        </w:r>
                      </w:p>
                    </w:tc>
                    <w:tc>
                      <w:tcPr>
                        <w:tcW w:w="1302" w:type="dxa"/>
                        <w:tcBorders>
                          <w:top w:val="single" w:sz="8" w:space="0" w:color="000000"/>
                        </w:tcBorders>
                      </w:tcPr>
                      <w:p>
                        <w:pPr>
                          <w:pStyle w:val="TableParagraph"/>
                          <w:spacing w:line="270" w:lineRule="exact"/>
                          <w:ind w:left="301" w:right="301"/>
                          <w:rPr>
                            <w:sz w:val="24"/>
                          </w:rPr>
                        </w:pPr>
                        <w:r>
                          <w:rPr>
                            <w:sz w:val="24"/>
                          </w:rPr>
                          <w:t>4.5</w:t>
                        </w:r>
                      </w:p>
                    </w:tc>
                    <w:tc>
                      <w:tcPr>
                        <w:tcW w:w="1304" w:type="dxa"/>
                        <w:tcBorders>
                          <w:top w:val="single" w:sz="8" w:space="0" w:color="000000"/>
                        </w:tcBorders>
                      </w:tcPr>
                      <w:p>
                        <w:pPr>
                          <w:pStyle w:val="TableParagraph"/>
                          <w:spacing w:line="270" w:lineRule="exact"/>
                          <w:ind w:left="301" w:right="301"/>
                          <w:rPr>
                            <w:sz w:val="24"/>
                          </w:rPr>
                        </w:pPr>
                        <w:r>
                          <w:rPr>
                            <w:sz w:val="24"/>
                          </w:rPr>
                          <w:t>4.5</w:t>
                        </w:r>
                      </w:p>
                    </w:tc>
                    <w:tc>
                      <w:tcPr>
                        <w:tcW w:w="1307" w:type="dxa"/>
                        <w:tcBorders>
                          <w:top w:val="single" w:sz="8" w:space="0" w:color="000000"/>
                        </w:tcBorders>
                      </w:tcPr>
                      <w:p>
                        <w:pPr>
                          <w:pStyle w:val="TableParagraph"/>
                          <w:spacing w:line="270" w:lineRule="exact"/>
                          <w:ind w:left="303" w:right="304"/>
                          <w:rPr>
                            <w:sz w:val="24"/>
                          </w:rPr>
                        </w:pPr>
                        <w:r>
                          <w:rPr>
                            <w:sz w:val="24"/>
                          </w:rPr>
                          <w:t>4.5</w:t>
                        </w:r>
                      </w:p>
                    </w:tc>
                  </w:tr>
                  <w:tr>
                    <w:trPr>
                      <w:trHeight w:val="414" w:hRule="exact"/>
                    </w:trPr>
                    <w:tc>
                      <w:tcPr>
                        <w:tcW w:w="3890" w:type="dxa"/>
                      </w:tcPr>
                      <w:p>
                        <w:pPr>
                          <w:pStyle w:val="TableParagraph"/>
                          <w:spacing w:before="56"/>
                          <w:ind w:left="69"/>
                          <w:jc w:val="left"/>
                          <w:rPr>
                            <w:sz w:val="24"/>
                          </w:rPr>
                        </w:pPr>
                        <w:r>
                          <w:rPr>
                            <w:sz w:val="24"/>
                          </w:rPr>
                          <w:t>CBH total, Kg</w:t>
                        </w:r>
                      </w:p>
                    </w:tc>
                    <w:tc>
                      <w:tcPr>
                        <w:tcW w:w="1177" w:type="dxa"/>
                      </w:tcPr>
                      <w:p>
                        <w:pPr>
                          <w:pStyle w:val="TableParagraph"/>
                          <w:spacing w:before="56"/>
                          <w:ind w:left="176" w:right="300"/>
                          <w:rPr>
                            <w:sz w:val="24"/>
                          </w:rPr>
                        </w:pPr>
                        <w:r>
                          <w:rPr>
                            <w:sz w:val="24"/>
                          </w:rPr>
                          <w:t>87.6</w:t>
                        </w:r>
                      </w:p>
                    </w:tc>
                    <w:tc>
                      <w:tcPr>
                        <w:tcW w:w="1302" w:type="dxa"/>
                      </w:tcPr>
                      <w:p>
                        <w:pPr>
                          <w:pStyle w:val="TableParagraph"/>
                          <w:spacing w:before="56"/>
                          <w:ind w:left="301" w:right="301"/>
                          <w:rPr>
                            <w:sz w:val="24"/>
                          </w:rPr>
                        </w:pPr>
                        <w:r>
                          <w:rPr>
                            <w:sz w:val="24"/>
                          </w:rPr>
                          <w:t>85.8</w:t>
                        </w:r>
                      </w:p>
                    </w:tc>
                    <w:tc>
                      <w:tcPr>
                        <w:tcW w:w="1304" w:type="dxa"/>
                      </w:tcPr>
                      <w:p>
                        <w:pPr>
                          <w:pStyle w:val="TableParagraph"/>
                          <w:spacing w:before="56"/>
                          <w:ind w:left="301" w:right="301"/>
                          <w:rPr>
                            <w:sz w:val="24"/>
                          </w:rPr>
                        </w:pPr>
                        <w:r>
                          <w:rPr>
                            <w:sz w:val="24"/>
                          </w:rPr>
                          <w:t>86.9</w:t>
                        </w:r>
                      </w:p>
                    </w:tc>
                    <w:tc>
                      <w:tcPr>
                        <w:tcW w:w="1307" w:type="dxa"/>
                      </w:tcPr>
                      <w:p>
                        <w:pPr>
                          <w:pStyle w:val="TableParagraph"/>
                          <w:spacing w:before="56"/>
                          <w:ind w:left="303" w:right="304"/>
                          <w:rPr>
                            <w:sz w:val="24"/>
                          </w:rPr>
                        </w:pPr>
                        <w:r>
                          <w:rPr>
                            <w:sz w:val="24"/>
                          </w:rPr>
                          <w:t>85.5</w:t>
                        </w:r>
                      </w:p>
                    </w:tc>
                  </w:tr>
                  <w:tr>
                    <w:trPr>
                      <w:trHeight w:val="414" w:hRule="exact"/>
                    </w:trPr>
                    <w:tc>
                      <w:tcPr>
                        <w:tcW w:w="3890" w:type="dxa"/>
                      </w:tcPr>
                      <w:p>
                        <w:pPr>
                          <w:pStyle w:val="TableParagraph"/>
                          <w:spacing w:before="55"/>
                          <w:ind w:left="69"/>
                          <w:jc w:val="left"/>
                          <w:rPr>
                            <w:sz w:val="24"/>
                          </w:rPr>
                        </w:pPr>
                        <w:r>
                          <w:rPr>
                            <w:sz w:val="24"/>
                          </w:rPr>
                          <w:t>Costo alimentación/animal, $</w:t>
                        </w:r>
                      </w:p>
                    </w:tc>
                    <w:tc>
                      <w:tcPr>
                        <w:tcW w:w="1177" w:type="dxa"/>
                      </w:tcPr>
                      <w:p>
                        <w:pPr>
                          <w:pStyle w:val="TableParagraph"/>
                          <w:spacing w:before="55"/>
                          <w:ind w:left="176" w:right="300"/>
                          <w:rPr>
                            <w:sz w:val="24"/>
                          </w:rPr>
                        </w:pPr>
                        <w:r>
                          <w:rPr>
                            <w:sz w:val="24"/>
                          </w:rPr>
                          <w:t>79.6</w:t>
                        </w:r>
                      </w:p>
                    </w:tc>
                    <w:tc>
                      <w:tcPr>
                        <w:tcW w:w="1302" w:type="dxa"/>
                      </w:tcPr>
                      <w:p>
                        <w:pPr>
                          <w:pStyle w:val="TableParagraph"/>
                          <w:spacing w:before="55"/>
                          <w:ind w:left="301" w:right="301"/>
                          <w:rPr>
                            <w:sz w:val="24"/>
                          </w:rPr>
                        </w:pPr>
                        <w:r>
                          <w:rPr>
                            <w:sz w:val="24"/>
                          </w:rPr>
                          <w:t>78.0</w:t>
                        </w:r>
                      </w:p>
                    </w:tc>
                    <w:tc>
                      <w:tcPr>
                        <w:tcW w:w="1304" w:type="dxa"/>
                      </w:tcPr>
                      <w:p>
                        <w:pPr>
                          <w:pStyle w:val="TableParagraph"/>
                          <w:spacing w:before="55"/>
                          <w:ind w:left="301" w:right="301"/>
                          <w:rPr>
                            <w:sz w:val="24"/>
                          </w:rPr>
                        </w:pPr>
                        <w:r>
                          <w:rPr>
                            <w:sz w:val="24"/>
                          </w:rPr>
                          <w:t>79.0</w:t>
                        </w:r>
                      </w:p>
                    </w:tc>
                    <w:tc>
                      <w:tcPr>
                        <w:tcW w:w="1307" w:type="dxa"/>
                      </w:tcPr>
                      <w:p>
                        <w:pPr>
                          <w:pStyle w:val="TableParagraph"/>
                          <w:spacing w:before="55"/>
                          <w:ind w:left="303" w:right="304"/>
                          <w:rPr>
                            <w:sz w:val="24"/>
                          </w:rPr>
                        </w:pPr>
                        <w:r>
                          <w:rPr>
                            <w:sz w:val="24"/>
                          </w:rPr>
                          <w:t>77.7</w:t>
                        </w:r>
                      </w:p>
                    </w:tc>
                  </w:tr>
                  <w:tr>
                    <w:trPr>
                      <w:trHeight w:val="414" w:hRule="exact"/>
                    </w:trPr>
                    <w:tc>
                      <w:tcPr>
                        <w:tcW w:w="3890" w:type="dxa"/>
                      </w:tcPr>
                      <w:p>
                        <w:pPr>
                          <w:pStyle w:val="TableParagraph"/>
                          <w:spacing w:before="56"/>
                          <w:ind w:left="69"/>
                          <w:jc w:val="left"/>
                          <w:rPr>
                            <w:sz w:val="24"/>
                          </w:rPr>
                        </w:pPr>
                        <w:r>
                          <w:rPr>
                            <w:sz w:val="24"/>
                          </w:rPr>
                          <w:t>Costo total de alimentación, $</w:t>
                        </w:r>
                      </w:p>
                    </w:tc>
                    <w:tc>
                      <w:tcPr>
                        <w:tcW w:w="1177" w:type="dxa"/>
                      </w:tcPr>
                      <w:p>
                        <w:pPr>
                          <w:pStyle w:val="TableParagraph"/>
                          <w:spacing w:before="56"/>
                          <w:ind w:left="176" w:right="300"/>
                          <w:rPr>
                            <w:sz w:val="24"/>
                          </w:rPr>
                        </w:pPr>
                        <w:r>
                          <w:rPr>
                            <w:sz w:val="24"/>
                          </w:rPr>
                          <w:t>398.0</w:t>
                        </w:r>
                      </w:p>
                    </w:tc>
                    <w:tc>
                      <w:tcPr>
                        <w:tcW w:w="1302" w:type="dxa"/>
                      </w:tcPr>
                      <w:p>
                        <w:pPr>
                          <w:pStyle w:val="TableParagraph"/>
                          <w:spacing w:before="56"/>
                          <w:ind w:left="301" w:right="301"/>
                          <w:rPr>
                            <w:sz w:val="24"/>
                          </w:rPr>
                        </w:pPr>
                        <w:r>
                          <w:rPr>
                            <w:sz w:val="24"/>
                          </w:rPr>
                          <w:t>389.8</w:t>
                        </w:r>
                      </w:p>
                    </w:tc>
                    <w:tc>
                      <w:tcPr>
                        <w:tcW w:w="1304" w:type="dxa"/>
                      </w:tcPr>
                      <w:p>
                        <w:pPr>
                          <w:pStyle w:val="TableParagraph"/>
                          <w:spacing w:before="56"/>
                          <w:ind w:left="301" w:right="301"/>
                          <w:rPr>
                            <w:sz w:val="24"/>
                          </w:rPr>
                        </w:pPr>
                        <w:r>
                          <w:rPr>
                            <w:sz w:val="24"/>
                          </w:rPr>
                          <w:t>394.8</w:t>
                        </w:r>
                      </w:p>
                    </w:tc>
                    <w:tc>
                      <w:tcPr>
                        <w:tcW w:w="1307" w:type="dxa"/>
                      </w:tcPr>
                      <w:p>
                        <w:pPr>
                          <w:pStyle w:val="TableParagraph"/>
                          <w:spacing w:before="56"/>
                          <w:ind w:left="303" w:right="304"/>
                          <w:rPr>
                            <w:sz w:val="24"/>
                          </w:rPr>
                        </w:pPr>
                        <w:r>
                          <w:rPr>
                            <w:sz w:val="24"/>
                          </w:rPr>
                          <w:t>388.4</w:t>
                        </w:r>
                      </w:p>
                    </w:tc>
                  </w:tr>
                  <w:tr>
                    <w:trPr>
                      <w:trHeight w:val="414" w:hRule="exact"/>
                    </w:trPr>
                    <w:tc>
                      <w:tcPr>
                        <w:tcW w:w="3890" w:type="dxa"/>
                      </w:tcPr>
                      <w:p>
                        <w:pPr>
                          <w:pStyle w:val="TableParagraph"/>
                          <w:spacing w:before="55"/>
                          <w:ind w:left="69"/>
                          <w:jc w:val="left"/>
                          <w:rPr>
                            <w:sz w:val="24"/>
                          </w:rPr>
                        </w:pPr>
                        <w:r>
                          <w:rPr>
                            <w:sz w:val="24"/>
                          </w:rPr>
                          <w:t>Costo cromo/animal, $</w:t>
                        </w:r>
                      </w:p>
                    </w:tc>
                    <w:tc>
                      <w:tcPr>
                        <w:tcW w:w="1177" w:type="dxa"/>
                      </w:tcPr>
                      <w:p>
                        <w:pPr>
                          <w:pStyle w:val="TableParagraph"/>
                          <w:spacing w:before="55"/>
                          <w:ind w:right="121"/>
                          <w:rPr>
                            <w:sz w:val="24"/>
                          </w:rPr>
                        </w:pPr>
                        <w:r>
                          <w:rPr>
                            <w:sz w:val="24"/>
                          </w:rPr>
                          <w:t>0</w:t>
                        </w:r>
                      </w:p>
                    </w:tc>
                    <w:tc>
                      <w:tcPr>
                        <w:tcW w:w="1302" w:type="dxa"/>
                      </w:tcPr>
                      <w:p>
                        <w:pPr>
                          <w:pStyle w:val="TableParagraph"/>
                          <w:spacing w:before="55"/>
                          <w:ind w:left="301" w:right="301"/>
                          <w:rPr>
                            <w:sz w:val="24"/>
                          </w:rPr>
                        </w:pPr>
                        <w:r>
                          <w:rPr>
                            <w:sz w:val="24"/>
                          </w:rPr>
                          <w:t>0.24</w:t>
                        </w:r>
                      </w:p>
                    </w:tc>
                    <w:tc>
                      <w:tcPr>
                        <w:tcW w:w="1304" w:type="dxa"/>
                      </w:tcPr>
                      <w:p>
                        <w:pPr>
                          <w:pStyle w:val="TableParagraph"/>
                          <w:spacing w:before="55"/>
                          <w:ind w:left="301" w:right="301"/>
                          <w:rPr>
                            <w:sz w:val="24"/>
                          </w:rPr>
                        </w:pPr>
                        <w:r>
                          <w:rPr>
                            <w:sz w:val="24"/>
                          </w:rPr>
                          <w:t>0.48</w:t>
                        </w:r>
                      </w:p>
                    </w:tc>
                    <w:tc>
                      <w:tcPr>
                        <w:tcW w:w="1307" w:type="dxa"/>
                      </w:tcPr>
                      <w:p>
                        <w:pPr>
                          <w:pStyle w:val="TableParagraph"/>
                          <w:spacing w:before="55"/>
                          <w:ind w:left="303" w:right="304"/>
                          <w:rPr>
                            <w:sz w:val="24"/>
                          </w:rPr>
                        </w:pPr>
                        <w:r>
                          <w:rPr>
                            <w:sz w:val="24"/>
                          </w:rPr>
                          <w:t>0.72</w:t>
                        </w:r>
                      </w:p>
                    </w:tc>
                  </w:tr>
                  <w:tr>
                    <w:trPr>
                      <w:trHeight w:val="414" w:hRule="exact"/>
                    </w:trPr>
                    <w:tc>
                      <w:tcPr>
                        <w:tcW w:w="3890" w:type="dxa"/>
                      </w:tcPr>
                      <w:p>
                        <w:pPr>
                          <w:pStyle w:val="TableParagraph"/>
                          <w:spacing w:before="56"/>
                          <w:ind w:left="69"/>
                          <w:jc w:val="left"/>
                          <w:rPr>
                            <w:sz w:val="24"/>
                          </w:rPr>
                        </w:pPr>
                        <w:r>
                          <w:rPr>
                            <w:sz w:val="24"/>
                          </w:rPr>
                          <w:t>Conversión alimenticia, C/G</w:t>
                        </w:r>
                      </w:p>
                    </w:tc>
                    <w:tc>
                      <w:tcPr>
                        <w:tcW w:w="1177" w:type="dxa"/>
                      </w:tcPr>
                      <w:p>
                        <w:pPr>
                          <w:pStyle w:val="TableParagraph"/>
                          <w:spacing w:before="56"/>
                          <w:ind w:left="176" w:right="300"/>
                          <w:rPr>
                            <w:sz w:val="24"/>
                          </w:rPr>
                        </w:pPr>
                        <w:r>
                          <w:rPr>
                            <w:sz w:val="24"/>
                          </w:rPr>
                          <w:t>6.7</w:t>
                        </w:r>
                      </w:p>
                    </w:tc>
                    <w:tc>
                      <w:tcPr>
                        <w:tcW w:w="1302" w:type="dxa"/>
                      </w:tcPr>
                      <w:p>
                        <w:pPr>
                          <w:pStyle w:val="TableParagraph"/>
                          <w:spacing w:before="56"/>
                          <w:ind w:left="301" w:right="301"/>
                          <w:rPr>
                            <w:sz w:val="24"/>
                          </w:rPr>
                        </w:pPr>
                        <w:r>
                          <w:rPr>
                            <w:sz w:val="24"/>
                          </w:rPr>
                          <w:t>6.1</w:t>
                        </w:r>
                      </w:p>
                    </w:tc>
                    <w:tc>
                      <w:tcPr>
                        <w:tcW w:w="1304" w:type="dxa"/>
                      </w:tcPr>
                      <w:p>
                        <w:pPr>
                          <w:pStyle w:val="TableParagraph"/>
                          <w:spacing w:before="56"/>
                          <w:ind w:left="301" w:right="301"/>
                          <w:rPr>
                            <w:sz w:val="24"/>
                          </w:rPr>
                        </w:pPr>
                        <w:r>
                          <w:rPr>
                            <w:sz w:val="24"/>
                          </w:rPr>
                          <w:t>6.4</w:t>
                        </w:r>
                      </w:p>
                    </w:tc>
                    <w:tc>
                      <w:tcPr>
                        <w:tcW w:w="1307" w:type="dxa"/>
                      </w:tcPr>
                      <w:p>
                        <w:pPr>
                          <w:pStyle w:val="TableParagraph"/>
                          <w:spacing w:before="56"/>
                          <w:ind w:left="303" w:right="304"/>
                          <w:rPr>
                            <w:sz w:val="24"/>
                          </w:rPr>
                        </w:pPr>
                        <w:r>
                          <w:rPr>
                            <w:sz w:val="24"/>
                          </w:rPr>
                          <w:t>6.6</w:t>
                        </w:r>
                      </w:p>
                    </w:tc>
                  </w:tr>
                  <w:tr>
                    <w:trPr>
                      <w:trHeight w:val="414" w:hRule="exact"/>
                    </w:trPr>
                    <w:tc>
                      <w:tcPr>
                        <w:tcW w:w="3890" w:type="dxa"/>
                      </w:tcPr>
                      <w:p>
                        <w:pPr>
                          <w:pStyle w:val="TableParagraph"/>
                          <w:spacing w:before="55"/>
                          <w:ind w:left="69"/>
                          <w:jc w:val="left"/>
                          <w:rPr>
                            <w:sz w:val="24"/>
                          </w:rPr>
                        </w:pPr>
                        <w:r>
                          <w:rPr>
                            <w:sz w:val="24"/>
                          </w:rPr>
                          <w:t>Costo para producir un Kg de GDP, $</w:t>
                        </w:r>
                      </w:p>
                    </w:tc>
                    <w:tc>
                      <w:tcPr>
                        <w:tcW w:w="1177" w:type="dxa"/>
                      </w:tcPr>
                      <w:p>
                        <w:pPr>
                          <w:pStyle w:val="TableParagraph"/>
                          <w:spacing w:before="55"/>
                          <w:ind w:left="176" w:right="300"/>
                          <w:rPr>
                            <w:sz w:val="24"/>
                          </w:rPr>
                        </w:pPr>
                        <w:r>
                          <w:rPr>
                            <w:sz w:val="24"/>
                          </w:rPr>
                          <w:t>30.6</w:t>
                        </w:r>
                      </w:p>
                    </w:tc>
                    <w:tc>
                      <w:tcPr>
                        <w:tcW w:w="1302" w:type="dxa"/>
                      </w:tcPr>
                      <w:p>
                        <w:pPr>
                          <w:pStyle w:val="TableParagraph"/>
                          <w:spacing w:before="55"/>
                          <w:ind w:left="301" w:right="301"/>
                          <w:rPr>
                            <w:sz w:val="24"/>
                          </w:rPr>
                        </w:pPr>
                        <w:r>
                          <w:rPr>
                            <w:sz w:val="24"/>
                          </w:rPr>
                          <w:t>27.7</w:t>
                        </w:r>
                      </w:p>
                    </w:tc>
                    <w:tc>
                      <w:tcPr>
                        <w:tcW w:w="1304" w:type="dxa"/>
                      </w:tcPr>
                      <w:p>
                        <w:pPr>
                          <w:pStyle w:val="TableParagraph"/>
                          <w:spacing w:before="55"/>
                          <w:ind w:left="301" w:right="301"/>
                          <w:rPr>
                            <w:sz w:val="24"/>
                          </w:rPr>
                        </w:pPr>
                        <w:r>
                          <w:rPr>
                            <w:sz w:val="24"/>
                          </w:rPr>
                          <w:t>29.2</w:t>
                        </w:r>
                      </w:p>
                    </w:tc>
                    <w:tc>
                      <w:tcPr>
                        <w:tcW w:w="1307" w:type="dxa"/>
                      </w:tcPr>
                      <w:p>
                        <w:pPr>
                          <w:pStyle w:val="TableParagraph"/>
                          <w:spacing w:before="55"/>
                          <w:ind w:left="303" w:right="304"/>
                          <w:rPr>
                            <w:sz w:val="24"/>
                          </w:rPr>
                        </w:pPr>
                        <w:r>
                          <w:rPr>
                            <w:sz w:val="24"/>
                          </w:rPr>
                          <w:t>29.8</w:t>
                        </w:r>
                      </w:p>
                    </w:tc>
                  </w:tr>
                  <w:tr>
                    <w:trPr>
                      <w:trHeight w:val="414" w:hRule="exact"/>
                    </w:trPr>
                    <w:tc>
                      <w:tcPr>
                        <w:tcW w:w="3890" w:type="dxa"/>
                      </w:tcPr>
                      <w:p>
                        <w:pPr>
                          <w:pStyle w:val="TableParagraph"/>
                          <w:spacing w:before="56"/>
                          <w:ind w:left="69"/>
                          <w:jc w:val="left"/>
                          <w:rPr>
                            <w:sz w:val="24"/>
                          </w:rPr>
                        </w:pPr>
                        <w:r>
                          <w:rPr>
                            <w:sz w:val="24"/>
                          </w:rPr>
                          <w:t>Costo cromo total, $</w:t>
                        </w:r>
                      </w:p>
                    </w:tc>
                    <w:tc>
                      <w:tcPr>
                        <w:tcW w:w="1177" w:type="dxa"/>
                      </w:tcPr>
                      <w:p>
                        <w:pPr>
                          <w:pStyle w:val="TableParagraph"/>
                          <w:spacing w:before="56"/>
                          <w:ind w:left="176" w:right="300"/>
                          <w:rPr>
                            <w:sz w:val="24"/>
                          </w:rPr>
                        </w:pPr>
                        <w:r>
                          <w:rPr>
                            <w:sz w:val="24"/>
                          </w:rPr>
                          <w:t>0.0</w:t>
                        </w:r>
                      </w:p>
                    </w:tc>
                    <w:tc>
                      <w:tcPr>
                        <w:tcW w:w="1302" w:type="dxa"/>
                      </w:tcPr>
                      <w:p>
                        <w:pPr>
                          <w:pStyle w:val="TableParagraph"/>
                          <w:spacing w:before="56"/>
                          <w:ind w:left="301" w:right="301"/>
                          <w:rPr>
                            <w:sz w:val="24"/>
                          </w:rPr>
                        </w:pPr>
                        <w:r>
                          <w:rPr>
                            <w:sz w:val="24"/>
                          </w:rPr>
                          <w:t>120.0</w:t>
                        </w:r>
                      </w:p>
                    </w:tc>
                    <w:tc>
                      <w:tcPr>
                        <w:tcW w:w="1304" w:type="dxa"/>
                      </w:tcPr>
                      <w:p>
                        <w:pPr>
                          <w:pStyle w:val="TableParagraph"/>
                          <w:spacing w:before="56"/>
                          <w:ind w:left="301" w:right="301"/>
                          <w:rPr>
                            <w:sz w:val="24"/>
                          </w:rPr>
                        </w:pPr>
                        <w:r>
                          <w:rPr>
                            <w:sz w:val="24"/>
                          </w:rPr>
                          <w:t>480.0</w:t>
                        </w:r>
                      </w:p>
                    </w:tc>
                    <w:tc>
                      <w:tcPr>
                        <w:tcW w:w="1307" w:type="dxa"/>
                      </w:tcPr>
                      <w:p>
                        <w:pPr>
                          <w:pStyle w:val="TableParagraph"/>
                          <w:spacing w:before="56"/>
                          <w:ind w:left="303" w:right="304"/>
                          <w:rPr>
                            <w:sz w:val="24"/>
                          </w:rPr>
                        </w:pPr>
                        <w:r>
                          <w:rPr>
                            <w:sz w:val="24"/>
                          </w:rPr>
                          <w:t>1080.0</w:t>
                        </w:r>
                      </w:p>
                    </w:tc>
                  </w:tr>
                  <w:tr>
                    <w:trPr>
                      <w:trHeight w:val="413" w:hRule="exact"/>
                    </w:trPr>
                    <w:tc>
                      <w:tcPr>
                        <w:tcW w:w="3890" w:type="dxa"/>
                      </w:tcPr>
                      <w:p>
                        <w:pPr>
                          <w:pStyle w:val="TableParagraph"/>
                          <w:spacing w:before="55"/>
                          <w:ind w:left="69"/>
                          <w:jc w:val="left"/>
                          <w:rPr>
                            <w:sz w:val="24"/>
                          </w:rPr>
                        </w:pPr>
                        <w:r>
                          <w:rPr>
                            <w:sz w:val="24"/>
                          </w:rPr>
                          <w:t>Medicamentos</w:t>
                        </w:r>
                        <w:r>
                          <w:rPr>
                            <w:spacing w:val="55"/>
                            <w:sz w:val="24"/>
                          </w:rPr>
                          <w:t> </w:t>
                        </w:r>
                        <w:r>
                          <w:rPr>
                            <w:sz w:val="24"/>
                          </w:rPr>
                          <w:t>$</w:t>
                        </w:r>
                      </w:p>
                    </w:tc>
                    <w:tc>
                      <w:tcPr>
                        <w:tcW w:w="1177" w:type="dxa"/>
                      </w:tcPr>
                      <w:p>
                        <w:pPr>
                          <w:pStyle w:val="TableParagraph"/>
                          <w:spacing w:before="55"/>
                          <w:ind w:left="176" w:right="300"/>
                          <w:rPr>
                            <w:sz w:val="24"/>
                          </w:rPr>
                        </w:pPr>
                        <w:r>
                          <w:rPr>
                            <w:sz w:val="24"/>
                          </w:rPr>
                          <w:t>68.0</w:t>
                        </w:r>
                      </w:p>
                    </w:tc>
                    <w:tc>
                      <w:tcPr>
                        <w:tcW w:w="1302" w:type="dxa"/>
                      </w:tcPr>
                      <w:p>
                        <w:pPr>
                          <w:pStyle w:val="TableParagraph"/>
                          <w:spacing w:before="55"/>
                          <w:ind w:left="301" w:right="301"/>
                          <w:rPr>
                            <w:sz w:val="24"/>
                          </w:rPr>
                        </w:pPr>
                        <w:r>
                          <w:rPr>
                            <w:sz w:val="24"/>
                          </w:rPr>
                          <w:t>68.0</w:t>
                        </w:r>
                      </w:p>
                    </w:tc>
                    <w:tc>
                      <w:tcPr>
                        <w:tcW w:w="1304" w:type="dxa"/>
                      </w:tcPr>
                      <w:p>
                        <w:pPr>
                          <w:pStyle w:val="TableParagraph"/>
                          <w:spacing w:before="55"/>
                          <w:ind w:left="301" w:right="301"/>
                          <w:rPr>
                            <w:sz w:val="24"/>
                          </w:rPr>
                        </w:pPr>
                        <w:r>
                          <w:rPr>
                            <w:sz w:val="24"/>
                          </w:rPr>
                          <w:t>68.0</w:t>
                        </w:r>
                      </w:p>
                    </w:tc>
                    <w:tc>
                      <w:tcPr>
                        <w:tcW w:w="1307" w:type="dxa"/>
                      </w:tcPr>
                      <w:p>
                        <w:pPr>
                          <w:pStyle w:val="TableParagraph"/>
                          <w:spacing w:before="55"/>
                          <w:ind w:left="303" w:right="304"/>
                          <w:rPr>
                            <w:sz w:val="24"/>
                          </w:rPr>
                        </w:pPr>
                        <w:r>
                          <w:rPr>
                            <w:sz w:val="24"/>
                          </w:rPr>
                          <w:t>68.0</w:t>
                        </w:r>
                      </w:p>
                    </w:tc>
                  </w:tr>
                  <w:tr>
                    <w:trPr>
                      <w:trHeight w:val="414" w:hRule="exact"/>
                    </w:trPr>
                    <w:tc>
                      <w:tcPr>
                        <w:tcW w:w="3890" w:type="dxa"/>
                      </w:tcPr>
                      <w:p>
                        <w:pPr>
                          <w:pStyle w:val="TableParagraph"/>
                          <w:spacing w:before="55"/>
                          <w:ind w:left="69"/>
                          <w:jc w:val="left"/>
                          <w:rPr>
                            <w:sz w:val="24"/>
                          </w:rPr>
                        </w:pPr>
                        <w:r>
                          <w:rPr>
                            <w:sz w:val="24"/>
                          </w:rPr>
                          <w:t>Costo de animales, $</w:t>
                        </w:r>
                      </w:p>
                    </w:tc>
                    <w:tc>
                      <w:tcPr>
                        <w:tcW w:w="1177" w:type="dxa"/>
                      </w:tcPr>
                      <w:p>
                        <w:pPr>
                          <w:pStyle w:val="TableParagraph"/>
                          <w:spacing w:before="55"/>
                          <w:ind w:left="176" w:right="300"/>
                          <w:rPr>
                            <w:sz w:val="24"/>
                          </w:rPr>
                        </w:pPr>
                        <w:r>
                          <w:rPr>
                            <w:sz w:val="24"/>
                          </w:rPr>
                          <w:t>5582.2</w:t>
                        </w:r>
                      </w:p>
                    </w:tc>
                    <w:tc>
                      <w:tcPr>
                        <w:tcW w:w="1302" w:type="dxa"/>
                      </w:tcPr>
                      <w:p>
                        <w:pPr>
                          <w:pStyle w:val="TableParagraph"/>
                          <w:spacing w:before="55"/>
                          <w:ind w:left="301" w:right="301"/>
                          <w:rPr>
                            <w:sz w:val="24"/>
                          </w:rPr>
                        </w:pPr>
                        <w:r>
                          <w:rPr>
                            <w:sz w:val="24"/>
                          </w:rPr>
                          <w:t>5513.8</w:t>
                        </w:r>
                      </w:p>
                    </w:tc>
                    <w:tc>
                      <w:tcPr>
                        <w:tcW w:w="1304" w:type="dxa"/>
                      </w:tcPr>
                      <w:p>
                        <w:pPr>
                          <w:pStyle w:val="TableParagraph"/>
                          <w:spacing w:before="55"/>
                          <w:ind w:left="301" w:right="301"/>
                          <w:rPr>
                            <w:sz w:val="24"/>
                          </w:rPr>
                        </w:pPr>
                        <w:r>
                          <w:rPr>
                            <w:sz w:val="24"/>
                          </w:rPr>
                          <w:t>5559.4</w:t>
                        </w:r>
                      </w:p>
                    </w:tc>
                    <w:tc>
                      <w:tcPr>
                        <w:tcW w:w="1307" w:type="dxa"/>
                      </w:tcPr>
                      <w:p>
                        <w:pPr>
                          <w:pStyle w:val="TableParagraph"/>
                          <w:spacing w:before="55"/>
                          <w:ind w:left="303" w:right="304"/>
                          <w:rPr>
                            <w:sz w:val="24"/>
                          </w:rPr>
                        </w:pPr>
                        <w:r>
                          <w:rPr>
                            <w:sz w:val="24"/>
                          </w:rPr>
                          <w:t>5525.2</w:t>
                        </w:r>
                      </w:p>
                    </w:tc>
                  </w:tr>
                  <w:tr>
                    <w:trPr>
                      <w:trHeight w:val="414" w:hRule="exact"/>
                    </w:trPr>
                    <w:tc>
                      <w:tcPr>
                        <w:tcW w:w="3890" w:type="dxa"/>
                      </w:tcPr>
                      <w:p>
                        <w:pPr>
                          <w:pStyle w:val="TableParagraph"/>
                          <w:spacing w:before="56"/>
                          <w:ind w:left="69"/>
                          <w:jc w:val="left"/>
                          <w:rPr>
                            <w:sz w:val="24"/>
                          </w:rPr>
                        </w:pPr>
                        <w:r>
                          <w:rPr>
                            <w:sz w:val="24"/>
                          </w:rPr>
                          <w:t>Egresos totales, $</w:t>
                        </w:r>
                      </w:p>
                    </w:tc>
                    <w:tc>
                      <w:tcPr>
                        <w:tcW w:w="1177" w:type="dxa"/>
                      </w:tcPr>
                      <w:p>
                        <w:pPr>
                          <w:pStyle w:val="TableParagraph"/>
                          <w:spacing w:before="56"/>
                          <w:ind w:left="176" w:right="300"/>
                          <w:rPr>
                            <w:sz w:val="24"/>
                          </w:rPr>
                        </w:pPr>
                        <w:r>
                          <w:rPr>
                            <w:sz w:val="24"/>
                          </w:rPr>
                          <w:t>6048.1</w:t>
                        </w:r>
                      </w:p>
                    </w:tc>
                    <w:tc>
                      <w:tcPr>
                        <w:tcW w:w="1302" w:type="dxa"/>
                      </w:tcPr>
                      <w:p>
                        <w:pPr>
                          <w:pStyle w:val="TableParagraph"/>
                          <w:spacing w:before="56"/>
                          <w:ind w:left="301" w:right="301"/>
                          <w:rPr>
                            <w:sz w:val="24"/>
                          </w:rPr>
                        </w:pPr>
                        <w:r>
                          <w:rPr>
                            <w:sz w:val="24"/>
                          </w:rPr>
                          <w:t>6091.6</w:t>
                        </w:r>
                      </w:p>
                    </w:tc>
                    <w:tc>
                      <w:tcPr>
                        <w:tcW w:w="1304" w:type="dxa"/>
                      </w:tcPr>
                      <w:p>
                        <w:pPr>
                          <w:pStyle w:val="TableParagraph"/>
                          <w:spacing w:before="56"/>
                          <w:ind w:left="301" w:right="301"/>
                          <w:rPr>
                            <w:sz w:val="24"/>
                          </w:rPr>
                        </w:pPr>
                        <w:r>
                          <w:rPr>
                            <w:sz w:val="24"/>
                          </w:rPr>
                          <w:t>6502.1</w:t>
                        </w:r>
                      </w:p>
                    </w:tc>
                    <w:tc>
                      <w:tcPr>
                        <w:tcW w:w="1307" w:type="dxa"/>
                      </w:tcPr>
                      <w:p>
                        <w:pPr>
                          <w:pStyle w:val="TableParagraph"/>
                          <w:spacing w:before="56"/>
                          <w:ind w:left="303" w:right="304"/>
                          <w:rPr>
                            <w:sz w:val="24"/>
                          </w:rPr>
                        </w:pPr>
                        <w:r>
                          <w:rPr>
                            <w:sz w:val="24"/>
                          </w:rPr>
                          <w:t>7061.6</w:t>
                        </w:r>
                      </w:p>
                    </w:tc>
                  </w:tr>
                  <w:tr>
                    <w:trPr>
                      <w:trHeight w:val="414" w:hRule="exact"/>
                    </w:trPr>
                    <w:tc>
                      <w:tcPr>
                        <w:tcW w:w="3890" w:type="dxa"/>
                      </w:tcPr>
                      <w:p>
                        <w:pPr>
                          <w:pStyle w:val="TableParagraph"/>
                          <w:spacing w:before="55"/>
                          <w:ind w:left="69"/>
                          <w:jc w:val="left"/>
                          <w:rPr>
                            <w:sz w:val="24"/>
                          </w:rPr>
                        </w:pPr>
                        <w:r>
                          <w:rPr>
                            <w:sz w:val="24"/>
                          </w:rPr>
                          <w:t>Ingresos (venta de canales $ 58.0/Kg)</w:t>
                        </w:r>
                      </w:p>
                    </w:tc>
                    <w:tc>
                      <w:tcPr>
                        <w:tcW w:w="1177" w:type="dxa"/>
                      </w:tcPr>
                      <w:p>
                        <w:pPr>
                          <w:pStyle w:val="TableParagraph"/>
                          <w:spacing w:before="55"/>
                          <w:ind w:left="176" w:right="300"/>
                          <w:rPr>
                            <w:sz w:val="24"/>
                          </w:rPr>
                        </w:pPr>
                        <w:r>
                          <w:rPr>
                            <w:sz w:val="24"/>
                          </w:rPr>
                          <w:t>8768.5</w:t>
                        </w:r>
                      </w:p>
                    </w:tc>
                    <w:tc>
                      <w:tcPr>
                        <w:tcW w:w="1302" w:type="dxa"/>
                      </w:tcPr>
                      <w:p>
                        <w:pPr>
                          <w:pStyle w:val="TableParagraph"/>
                          <w:spacing w:before="55"/>
                          <w:ind w:left="301" w:right="301"/>
                          <w:rPr>
                            <w:sz w:val="24"/>
                          </w:rPr>
                        </w:pPr>
                        <w:r>
                          <w:rPr>
                            <w:sz w:val="24"/>
                          </w:rPr>
                          <w:t>8892.0</w:t>
                        </w:r>
                      </w:p>
                    </w:tc>
                    <w:tc>
                      <w:tcPr>
                        <w:tcW w:w="1304" w:type="dxa"/>
                      </w:tcPr>
                      <w:p>
                        <w:pPr>
                          <w:pStyle w:val="TableParagraph"/>
                          <w:spacing w:before="55"/>
                          <w:ind w:left="301" w:right="301"/>
                          <w:rPr>
                            <w:sz w:val="24"/>
                          </w:rPr>
                        </w:pPr>
                        <w:r>
                          <w:rPr>
                            <w:sz w:val="24"/>
                          </w:rPr>
                          <w:t>8797.0</w:t>
                        </w:r>
                      </w:p>
                    </w:tc>
                    <w:tc>
                      <w:tcPr>
                        <w:tcW w:w="1307" w:type="dxa"/>
                      </w:tcPr>
                      <w:p>
                        <w:pPr>
                          <w:pStyle w:val="TableParagraph"/>
                          <w:spacing w:before="55"/>
                          <w:ind w:left="303" w:right="304"/>
                          <w:rPr>
                            <w:sz w:val="24"/>
                          </w:rPr>
                        </w:pPr>
                        <w:r>
                          <w:rPr>
                            <w:sz w:val="24"/>
                          </w:rPr>
                          <w:t>8949.0</w:t>
                        </w:r>
                      </w:p>
                    </w:tc>
                  </w:tr>
                  <w:tr>
                    <w:trPr>
                      <w:trHeight w:val="414" w:hRule="exact"/>
                    </w:trPr>
                    <w:tc>
                      <w:tcPr>
                        <w:tcW w:w="3890" w:type="dxa"/>
                      </w:tcPr>
                      <w:p>
                        <w:pPr>
                          <w:pStyle w:val="TableParagraph"/>
                          <w:spacing w:before="56"/>
                          <w:ind w:left="69"/>
                          <w:jc w:val="left"/>
                          <w:rPr>
                            <w:sz w:val="24"/>
                          </w:rPr>
                        </w:pPr>
                        <w:r>
                          <w:rPr>
                            <w:sz w:val="24"/>
                          </w:rPr>
                          <w:t>Utilidad bruta, $</w:t>
                        </w:r>
                      </w:p>
                    </w:tc>
                    <w:tc>
                      <w:tcPr>
                        <w:tcW w:w="1177" w:type="dxa"/>
                      </w:tcPr>
                      <w:p>
                        <w:pPr>
                          <w:pStyle w:val="TableParagraph"/>
                          <w:spacing w:before="56"/>
                          <w:ind w:left="176" w:right="300"/>
                          <w:rPr>
                            <w:sz w:val="24"/>
                          </w:rPr>
                        </w:pPr>
                        <w:r>
                          <w:rPr>
                            <w:sz w:val="24"/>
                          </w:rPr>
                          <w:t>2720.4</w:t>
                        </w:r>
                      </w:p>
                    </w:tc>
                    <w:tc>
                      <w:tcPr>
                        <w:tcW w:w="1302" w:type="dxa"/>
                      </w:tcPr>
                      <w:p>
                        <w:pPr>
                          <w:pStyle w:val="TableParagraph"/>
                          <w:spacing w:before="56"/>
                          <w:ind w:left="301" w:right="301"/>
                          <w:rPr>
                            <w:sz w:val="24"/>
                          </w:rPr>
                        </w:pPr>
                        <w:r>
                          <w:rPr>
                            <w:sz w:val="24"/>
                          </w:rPr>
                          <w:t>2800.4</w:t>
                        </w:r>
                      </w:p>
                    </w:tc>
                    <w:tc>
                      <w:tcPr>
                        <w:tcW w:w="1304" w:type="dxa"/>
                      </w:tcPr>
                      <w:p>
                        <w:pPr>
                          <w:pStyle w:val="TableParagraph"/>
                          <w:spacing w:before="56"/>
                          <w:ind w:left="301" w:right="301"/>
                          <w:rPr>
                            <w:sz w:val="24"/>
                          </w:rPr>
                        </w:pPr>
                        <w:r>
                          <w:rPr>
                            <w:sz w:val="24"/>
                          </w:rPr>
                          <w:t>2294.9</w:t>
                        </w:r>
                      </w:p>
                    </w:tc>
                    <w:tc>
                      <w:tcPr>
                        <w:tcW w:w="1307" w:type="dxa"/>
                      </w:tcPr>
                      <w:p>
                        <w:pPr>
                          <w:pStyle w:val="TableParagraph"/>
                          <w:spacing w:before="56"/>
                          <w:ind w:left="303" w:right="304"/>
                          <w:rPr>
                            <w:sz w:val="24"/>
                          </w:rPr>
                        </w:pPr>
                        <w:r>
                          <w:rPr>
                            <w:sz w:val="24"/>
                          </w:rPr>
                          <w:t>1887.4</w:t>
                        </w:r>
                      </w:p>
                    </w:tc>
                  </w:tr>
                  <w:tr>
                    <w:trPr>
                      <w:trHeight w:val="414" w:hRule="exact"/>
                    </w:trPr>
                    <w:tc>
                      <w:tcPr>
                        <w:tcW w:w="3890" w:type="dxa"/>
                      </w:tcPr>
                      <w:p>
                        <w:pPr>
                          <w:pStyle w:val="TableParagraph"/>
                          <w:spacing w:before="55"/>
                          <w:ind w:left="69"/>
                          <w:jc w:val="left"/>
                          <w:rPr>
                            <w:sz w:val="24"/>
                          </w:rPr>
                        </w:pPr>
                        <w:r>
                          <w:rPr>
                            <w:sz w:val="24"/>
                          </w:rPr>
                          <w:t>Diferencia, $</w:t>
                        </w:r>
                      </w:p>
                    </w:tc>
                    <w:tc>
                      <w:tcPr>
                        <w:tcW w:w="1177" w:type="dxa"/>
                      </w:tcPr>
                      <w:p>
                        <w:pPr>
                          <w:pStyle w:val="TableParagraph"/>
                          <w:spacing w:before="55"/>
                          <w:ind w:left="174" w:right="300"/>
                          <w:rPr>
                            <w:sz w:val="24"/>
                          </w:rPr>
                        </w:pPr>
                        <w:r>
                          <w:rPr>
                            <w:sz w:val="24"/>
                          </w:rPr>
                          <w:t>----</w:t>
                        </w:r>
                      </w:p>
                    </w:tc>
                    <w:tc>
                      <w:tcPr>
                        <w:tcW w:w="1302" w:type="dxa"/>
                      </w:tcPr>
                      <w:p>
                        <w:pPr>
                          <w:pStyle w:val="TableParagraph"/>
                          <w:spacing w:before="55"/>
                          <w:ind w:left="301" w:right="301"/>
                          <w:rPr>
                            <w:sz w:val="24"/>
                          </w:rPr>
                        </w:pPr>
                        <w:r>
                          <w:rPr>
                            <w:sz w:val="24"/>
                          </w:rPr>
                          <w:t>80.1</w:t>
                        </w:r>
                      </w:p>
                    </w:tc>
                    <w:tc>
                      <w:tcPr>
                        <w:tcW w:w="1304" w:type="dxa"/>
                      </w:tcPr>
                      <w:p>
                        <w:pPr>
                          <w:pStyle w:val="TableParagraph"/>
                          <w:spacing w:before="55"/>
                          <w:ind w:left="301" w:right="301"/>
                          <w:rPr>
                            <w:sz w:val="24"/>
                          </w:rPr>
                        </w:pPr>
                        <w:r>
                          <w:rPr>
                            <w:sz w:val="24"/>
                          </w:rPr>
                          <w:t>-425.5</w:t>
                        </w:r>
                      </w:p>
                    </w:tc>
                    <w:tc>
                      <w:tcPr>
                        <w:tcW w:w="1307" w:type="dxa"/>
                      </w:tcPr>
                      <w:p>
                        <w:pPr>
                          <w:pStyle w:val="TableParagraph"/>
                          <w:spacing w:before="55"/>
                          <w:ind w:left="302" w:right="304"/>
                          <w:rPr>
                            <w:sz w:val="24"/>
                          </w:rPr>
                        </w:pPr>
                        <w:r>
                          <w:rPr>
                            <w:sz w:val="24"/>
                          </w:rPr>
                          <w:t>-833.0</w:t>
                        </w:r>
                      </w:p>
                    </w:tc>
                  </w:tr>
                  <w:tr>
                    <w:trPr>
                      <w:trHeight w:val="488" w:hRule="exact"/>
                    </w:trPr>
                    <w:tc>
                      <w:tcPr>
                        <w:tcW w:w="3890" w:type="dxa"/>
                        <w:tcBorders>
                          <w:bottom w:val="single" w:sz="8" w:space="0" w:color="000000"/>
                        </w:tcBorders>
                      </w:tcPr>
                      <w:p>
                        <w:pPr>
                          <w:pStyle w:val="TableParagraph"/>
                          <w:spacing w:before="56"/>
                          <w:ind w:left="69"/>
                          <w:jc w:val="left"/>
                          <w:rPr>
                            <w:sz w:val="24"/>
                          </w:rPr>
                        </w:pPr>
                        <w:r>
                          <w:rPr>
                            <w:sz w:val="24"/>
                          </w:rPr>
                          <w:t>Relación beneficio-costo, $</w:t>
                        </w:r>
                      </w:p>
                    </w:tc>
                    <w:tc>
                      <w:tcPr>
                        <w:tcW w:w="1177" w:type="dxa"/>
                        <w:tcBorders>
                          <w:bottom w:val="single" w:sz="8" w:space="0" w:color="000000"/>
                        </w:tcBorders>
                      </w:tcPr>
                      <w:p>
                        <w:pPr>
                          <w:pStyle w:val="TableParagraph"/>
                          <w:spacing w:before="56"/>
                          <w:ind w:left="176" w:right="300"/>
                          <w:rPr>
                            <w:sz w:val="24"/>
                          </w:rPr>
                        </w:pPr>
                        <w:r>
                          <w:rPr>
                            <w:sz w:val="24"/>
                          </w:rPr>
                          <w:t>1.4</w:t>
                        </w:r>
                      </w:p>
                    </w:tc>
                    <w:tc>
                      <w:tcPr>
                        <w:tcW w:w="1302" w:type="dxa"/>
                        <w:tcBorders>
                          <w:bottom w:val="single" w:sz="8" w:space="0" w:color="000000"/>
                        </w:tcBorders>
                      </w:tcPr>
                      <w:p>
                        <w:pPr>
                          <w:pStyle w:val="TableParagraph"/>
                          <w:spacing w:before="56"/>
                          <w:ind w:left="301" w:right="301"/>
                          <w:rPr>
                            <w:sz w:val="24"/>
                          </w:rPr>
                        </w:pPr>
                        <w:r>
                          <w:rPr>
                            <w:sz w:val="24"/>
                          </w:rPr>
                          <w:t>1.5</w:t>
                        </w:r>
                      </w:p>
                    </w:tc>
                    <w:tc>
                      <w:tcPr>
                        <w:tcW w:w="1304" w:type="dxa"/>
                        <w:tcBorders>
                          <w:bottom w:val="single" w:sz="8" w:space="0" w:color="000000"/>
                        </w:tcBorders>
                      </w:tcPr>
                      <w:p>
                        <w:pPr>
                          <w:pStyle w:val="TableParagraph"/>
                          <w:spacing w:before="56"/>
                          <w:ind w:left="301" w:right="301"/>
                          <w:rPr>
                            <w:sz w:val="24"/>
                          </w:rPr>
                        </w:pPr>
                        <w:r>
                          <w:rPr>
                            <w:sz w:val="24"/>
                          </w:rPr>
                          <w:t>1.4</w:t>
                        </w:r>
                      </w:p>
                    </w:tc>
                    <w:tc>
                      <w:tcPr>
                        <w:tcW w:w="1307" w:type="dxa"/>
                        <w:tcBorders>
                          <w:bottom w:val="single" w:sz="8" w:space="0" w:color="000000"/>
                        </w:tcBorders>
                      </w:tcPr>
                      <w:p>
                        <w:pPr>
                          <w:pStyle w:val="TableParagraph"/>
                          <w:spacing w:before="56"/>
                          <w:ind w:left="303" w:right="304"/>
                          <w:rPr>
                            <w:sz w:val="24"/>
                          </w:rPr>
                        </w:pPr>
                        <w:r>
                          <w:rPr>
                            <w:sz w:val="24"/>
                          </w:rPr>
                          <w:t>1.3</w:t>
                        </w:r>
                      </w:p>
                    </w:tc>
                  </w:tr>
                </w:tbl>
                <w:p>
                  <w:pPr>
                    <w:pStyle w:val="BodyText"/>
                  </w:pPr>
                </w:p>
              </w:txbxContent>
            </v:textbox>
            <w10:wrap type="none"/>
          </v:shape>
        </w:pict>
      </w:r>
      <w:r>
        <w:rPr/>
        <w:t>Tratamiento (Cromo Orgánico, ppm) Variable</w:t>
        <w:tab/>
      </w:r>
      <w:r>
        <w:rPr>
          <w:u w:val="single"/>
        </w:rPr>
        <w:t> </w:t>
        <w:tab/>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8"/>
        </w:rPr>
      </w:pPr>
    </w:p>
    <w:p>
      <w:pPr>
        <w:spacing w:before="71"/>
        <w:ind w:left="212" w:right="138" w:firstLine="0"/>
        <w:jc w:val="left"/>
        <w:rPr>
          <w:sz w:val="23"/>
        </w:rPr>
      </w:pPr>
      <w:r>
        <w:rPr>
          <w:sz w:val="23"/>
        </w:rPr>
        <w:t>CBH: consumo de alimento en base húmeda, C/G: consumo/ ganancia de peso, GDP: ganancia de peso. $: pesos mexicanos</w:t>
      </w:r>
    </w:p>
    <w:p>
      <w:pPr>
        <w:spacing w:after="0"/>
        <w:jc w:val="left"/>
        <w:rPr>
          <w:sz w:val="23"/>
        </w:rPr>
        <w:sectPr>
          <w:pgSz w:w="12240" w:h="15840"/>
          <w:pgMar w:header="1154" w:footer="1503" w:top="1620" w:bottom="1700" w:left="1660" w:right="1300"/>
        </w:sectPr>
      </w:pPr>
    </w:p>
    <w:p>
      <w:pPr>
        <w:pStyle w:val="BodyText"/>
        <w:spacing w:before="3"/>
        <w:rPr>
          <w:sz w:val="9"/>
        </w:rPr>
      </w:pPr>
    </w:p>
    <w:p>
      <w:pPr>
        <w:pStyle w:val="ListParagraph"/>
        <w:numPr>
          <w:ilvl w:val="2"/>
          <w:numId w:val="27"/>
        </w:numPr>
        <w:tabs>
          <w:tab w:pos="710" w:val="left" w:leader="none"/>
        </w:tabs>
        <w:spacing w:line="240" w:lineRule="auto" w:before="73" w:after="0"/>
        <w:ind w:left="709" w:right="0" w:hanging="497"/>
        <w:jc w:val="both"/>
        <w:rPr>
          <w:b/>
          <w:i/>
          <w:sz w:val="22"/>
        </w:rPr>
      </w:pPr>
      <w:bookmarkStart w:name="_bookmark75" w:id="144"/>
      <w:bookmarkEnd w:id="144"/>
      <w:r>
        <w:rPr/>
      </w:r>
      <w:bookmarkStart w:name="_bookmark75" w:id="145"/>
      <w:bookmarkEnd w:id="145"/>
      <w:r>
        <w:rPr>
          <w:b/>
          <w:i/>
          <w:sz w:val="22"/>
        </w:rPr>
        <w:t>A</w:t>
      </w:r>
      <w:r>
        <w:rPr>
          <w:b/>
          <w:i/>
          <w:sz w:val="22"/>
        </w:rPr>
        <w:t>nálisis de fibras musculares (Tinción</w:t>
      </w:r>
      <w:r>
        <w:rPr>
          <w:b/>
          <w:i/>
          <w:spacing w:val="-11"/>
          <w:sz w:val="22"/>
        </w:rPr>
        <w:t> </w:t>
      </w:r>
      <w:r>
        <w:rPr>
          <w:b/>
          <w:i/>
          <w:sz w:val="22"/>
        </w:rPr>
        <w:t>NADH-TR)</w:t>
      </w:r>
    </w:p>
    <w:p>
      <w:pPr>
        <w:pStyle w:val="BodyText"/>
        <w:rPr>
          <w:b/>
          <w:i/>
          <w:sz w:val="22"/>
        </w:rPr>
      </w:pPr>
    </w:p>
    <w:p>
      <w:pPr>
        <w:pStyle w:val="BodyText"/>
        <w:spacing w:before="5"/>
        <w:rPr>
          <w:b/>
          <w:i/>
        </w:rPr>
      </w:pPr>
    </w:p>
    <w:p>
      <w:pPr>
        <w:pStyle w:val="BodyText"/>
        <w:spacing w:line="360" w:lineRule="auto"/>
        <w:ind w:left="212" w:right="885" w:firstLine="427"/>
        <w:jc w:val="both"/>
      </w:pPr>
      <w:r>
        <w:rPr/>
        <w:t>En la Figura 3 se observan secciones transversales del </w:t>
      </w:r>
      <w:r>
        <w:rPr>
          <w:i/>
        </w:rPr>
        <w:t>Longissimus dorsi </w:t>
      </w:r>
      <w:r>
        <w:rPr/>
        <w:t>de ovinos (diferentes niveles dietarios de LevCr) tras aplicar la técnica NADH-TR. Se observan tres tipos de intensidad de tinción (oscura, clara e intermedia). En el </w:t>
      </w:r>
      <w:r>
        <w:rPr>
          <w:b/>
        </w:rPr>
        <w:t>Cuadro 23 </w:t>
      </w:r>
      <w:r>
        <w:rPr/>
        <w:t>se pueden observar algunos resultados sobre los promedios de las áreas y porcentajes de las células células claras, intermédias y oscuras del </w:t>
      </w:r>
      <w:r>
        <w:rPr>
          <w:i/>
        </w:rPr>
        <w:t>Longissimus dorsi </w:t>
      </w:r>
      <w:r>
        <w:rPr/>
        <w:t>trás aplicar NADH.</w:t>
      </w:r>
    </w:p>
    <w:p>
      <w:pPr>
        <w:pStyle w:val="BodyText"/>
        <w:spacing w:before="4"/>
      </w:pPr>
      <w:r>
        <w:rPr/>
        <w:drawing>
          <wp:anchor distT="0" distB="0" distL="0" distR="0" allowOverlap="1" layoutInCell="1" locked="0" behindDoc="0" simplePos="0" relativeHeight="2224">
            <wp:simplePos x="0" y="0"/>
            <wp:positionH relativeFrom="page">
              <wp:posOffset>1251076</wp:posOffset>
            </wp:positionH>
            <wp:positionV relativeFrom="paragraph">
              <wp:posOffset>202832</wp:posOffset>
            </wp:positionV>
            <wp:extent cx="6033436" cy="4625340"/>
            <wp:effectExtent l="0" t="0" r="0" b="0"/>
            <wp:wrapTopAndBottom/>
            <wp:docPr id="7" name="image62.jpeg" descr=""/>
            <wp:cNvGraphicFramePr>
              <a:graphicFrameLocks noChangeAspect="1"/>
            </wp:cNvGraphicFramePr>
            <a:graphic>
              <a:graphicData uri="http://schemas.openxmlformats.org/drawingml/2006/picture">
                <pic:pic>
                  <pic:nvPicPr>
                    <pic:cNvPr id="8" name="image62.jpeg"/>
                    <pic:cNvPicPr/>
                  </pic:nvPicPr>
                  <pic:blipFill>
                    <a:blip r:embed="rId97" cstate="print"/>
                    <a:stretch>
                      <a:fillRect/>
                    </a:stretch>
                  </pic:blipFill>
                  <pic:spPr>
                    <a:xfrm>
                      <a:off x="0" y="0"/>
                      <a:ext cx="6033436" cy="4625340"/>
                    </a:xfrm>
                    <a:prstGeom prst="rect">
                      <a:avLst/>
                    </a:prstGeom>
                  </pic:spPr>
                </pic:pic>
              </a:graphicData>
            </a:graphic>
          </wp:anchor>
        </w:drawing>
      </w:r>
    </w:p>
    <w:p>
      <w:pPr>
        <w:spacing w:line="271" w:lineRule="auto" w:before="194"/>
        <w:ind w:left="212" w:right="883" w:firstLine="0"/>
        <w:jc w:val="both"/>
        <w:rPr>
          <w:sz w:val="22"/>
        </w:rPr>
      </w:pPr>
      <w:r>
        <w:rPr>
          <w:sz w:val="22"/>
        </w:rPr>
        <w:t>Figura 3. </w:t>
      </w:r>
      <w:r>
        <w:rPr>
          <w:sz w:val="24"/>
        </w:rPr>
        <w:t>Secciones transversales de </w:t>
      </w:r>
      <w:r>
        <w:rPr>
          <w:i/>
          <w:sz w:val="24"/>
        </w:rPr>
        <w:t>L. dorsi </w:t>
      </w:r>
      <w:r>
        <w:rPr>
          <w:sz w:val="24"/>
        </w:rPr>
        <w:t>de ovinos tras aplicar la técnica NADH-TR. </w:t>
      </w:r>
      <w:r>
        <w:rPr>
          <w:sz w:val="22"/>
        </w:rPr>
        <w:t>A </w:t>
      </w:r>
      <w:r>
        <w:rPr>
          <w:i/>
          <w:sz w:val="22"/>
        </w:rPr>
        <w:t>Longissimus dorsi. </w:t>
      </w:r>
      <w:r>
        <w:rPr>
          <w:sz w:val="22"/>
        </w:rPr>
        <w:t>NADH (Control), B </w:t>
      </w:r>
      <w:r>
        <w:rPr>
          <w:i/>
          <w:sz w:val="22"/>
        </w:rPr>
        <w:t>Longissimus dorsi. </w:t>
      </w:r>
      <w:r>
        <w:rPr>
          <w:sz w:val="22"/>
        </w:rPr>
        <w:t>NADH (0.2 mg Cr kg</w:t>
      </w:r>
      <w:r>
        <w:rPr>
          <w:position w:val="8"/>
          <w:sz w:val="14"/>
        </w:rPr>
        <w:t>-1 </w:t>
      </w:r>
      <w:r>
        <w:rPr>
          <w:sz w:val="22"/>
        </w:rPr>
        <w:t>MS), C </w:t>
      </w:r>
      <w:r>
        <w:rPr>
          <w:i/>
          <w:sz w:val="22"/>
        </w:rPr>
        <w:t>Longissimus dorsi. </w:t>
      </w:r>
      <w:r>
        <w:rPr>
          <w:sz w:val="22"/>
        </w:rPr>
        <w:t>NADH (0.4 mg Cr kg</w:t>
      </w:r>
      <w:r>
        <w:rPr>
          <w:position w:val="8"/>
          <w:sz w:val="14"/>
        </w:rPr>
        <w:t>-1  </w:t>
      </w:r>
      <w:r>
        <w:rPr>
          <w:sz w:val="22"/>
        </w:rPr>
        <w:t>MS), D </w:t>
      </w:r>
      <w:r>
        <w:rPr>
          <w:i/>
          <w:sz w:val="22"/>
        </w:rPr>
        <w:t>Longissimus dorsi. </w:t>
      </w:r>
      <w:r>
        <w:rPr>
          <w:sz w:val="22"/>
        </w:rPr>
        <w:t>NADH (0.6 mg Cr kg</w:t>
      </w:r>
      <w:r>
        <w:rPr>
          <w:position w:val="8"/>
          <w:sz w:val="14"/>
        </w:rPr>
        <w:t>-1 </w:t>
      </w:r>
      <w:r>
        <w:rPr>
          <w:sz w:val="22"/>
        </w:rPr>
        <w:t>MS).</w:t>
      </w:r>
    </w:p>
    <w:p>
      <w:pPr>
        <w:spacing w:after="0" w:line="271" w:lineRule="auto"/>
        <w:jc w:val="both"/>
        <w:rPr>
          <w:sz w:val="22"/>
        </w:rPr>
        <w:sectPr>
          <w:pgSz w:w="12240" w:h="15840"/>
          <w:pgMar w:header="1154" w:footer="1503" w:top="1620" w:bottom="1700" w:left="1660" w:right="640"/>
        </w:sectPr>
      </w:pPr>
    </w:p>
    <w:p>
      <w:pPr>
        <w:pStyle w:val="BodyText"/>
        <w:spacing w:before="2"/>
        <w:rPr>
          <w:sz w:val="9"/>
        </w:rPr>
      </w:pPr>
    </w:p>
    <w:p>
      <w:pPr>
        <w:spacing w:line="360" w:lineRule="auto" w:before="69"/>
        <w:ind w:left="592" w:right="743" w:firstLine="0"/>
        <w:jc w:val="left"/>
        <w:rPr>
          <w:sz w:val="24"/>
        </w:rPr>
      </w:pPr>
      <w:r>
        <w:rPr/>
        <w:pict>
          <v:group style="position:absolute;margin-left:69.124001pt;margin-top:45.113148pt;width:490.95pt;height:1pt;mso-position-horizontal-relative:page;mso-position-vertical-relative:paragraph;z-index:2248" coordorigin="1382,902" coordsize="9819,20">
            <v:line style="position:absolute" from="1392,912" to="2787,912" stroked="true" strokeweight=".96001pt" strokecolor="#000000"/>
            <v:line style="position:absolute" from="2787,912" to="2806,912" stroked="true" strokeweight=".96001pt" strokecolor="#000000"/>
            <v:line style="position:absolute" from="2806,912" to="5809,912" stroked="true" strokeweight=".96001pt" strokecolor="#000000"/>
            <v:line style="position:absolute" from="5809,912" to="5829,912" stroked="true" strokeweight=".96001pt" strokecolor="#000000"/>
            <v:line style="position:absolute" from="5829,912" to="6419,912" stroked="true" strokeweight=".96001pt" strokecolor="#000000"/>
            <v:line style="position:absolute" from="6419,912" to="6438,912" stroked="true" strokeweight=".96001pt" strokecolor="#000000"/>
            <v:line style="position:absolute" from="6438,912" to="7055,912" stroked="true" strokeweight=".96001pt" strokecolor="#000000"/>
            <v:line style="position:absolute" from="7055,912" to="7074,912" stroked="true" strokeweight=".96001pt" strokecolor="#000000"/>
            <v:line style="position:absolute" from="7074,912" to="10120,912" stroked="true" strokeweight=".96001pt" strokecolor="#000000"/>
            <v:line style="position:absolute" from="10120,912" to="10140,912" stroked="true" strokeweight=".96001pt" strokecolor="#000000"/>
            <v:line style="position:absolute" from="10140,912" to="11191,912" stroked="true" strokeweight=".96001pt" strokecolor="#000000"/>
            <w10:wrap type="none"/>
          </v:group>
        </w:pict>
      </w:r>
      <w:r>
        <w:rPr>
          <w:b/>
          <w:sz w:val="24"/>
        </w:rPr>
        <w:t>Cuadro 23. </w:t>
      </w:r>
      <w:r>
        <w:rPr>
          <w:sz w:val="24"/>
        </w:rPr>
        <w:t>Área y porcentaje de las células claras, intermédias y oscuras del </w:t>
      </w:r>
      <w:r>
        <w:rPr>
          <w:i/>
          <w:sz w:val="24"/>
        </w:rPr>
        <w:t>Longissimus </w:t>
      </w:r>
      <w:r>
        <w:rPr>
          <w:i/>
          <w:sz w:val="24"/>
        </w:rPr>
        <w:t>dorsi </w:t>
      </w:r>
      <w:r>
        <w:rPr>
          <w:sz w:val="24"/>
        </w:rPr>
        <w:t>trás aplicar NADH</w:t>
      </w:r>
    </w:p>
    <w:p>
      <w:pPr>
        <w:spacing w:after="0" w:line="360" w:lineRule="auto"/>
        <w:jc w:val="left"/>
        <w:rPr>
          <w:sz w:val="24"/>
        </w:rPr>
        <w:sectPr>
          <w:pgSz w:w="12240" w:h="15840"/>
          <w:pgMar w:header="1154" w:footer="1503" w:top="1620" w:bottom="1700" w:left="1280" w:right="920"/>
        </w:sectPr>
      </w:pPr>
    </w:p>
    <w:p>
      <w:pPr>
        <w:spacing w:line="185" w:lineRule="exact" w:before="33"/>
        <w:ind w:left="1576" w:right="0" w:firstLine="0"/>
        <w:jc w:val="left"/>
        <w:rPr>
          <w:b/>
          <w:sz w:val="18"/>
        </w:rPr>
      </w:pPr>
      <w:r>
        <w:rPr>
          <w:b/>
          <w:sz w:val="18"/>
        </w:rPr>
        <w:t>Tratamiento (Cromo Orgánico, ppm)</w:t>
      </w:r>
    </w:p>
    <w:p>
      <w:pPr>
        <w:tabs>
          <w:tab w:pos="4569" w:val="left" w:leader="none"/>
          <w:tab w:pos="5309" w:val="left" w:leader="none"/>
        </w:tabs>
        <w:spacing w:line="169" w:lineRule="exact" w:before="0"/>
        <w:ind w:left="1506" w:right="0" w:firstLine="0"/>
        <w:jc w:val="left"/>
        <w:rPr>
          <w:b/>
          <w:sz w:val="18"/>
        </w:rPr>
      </w:pPr>
      <w:r>
        <w:rPr>
          <w:b/>
          <w:sz w:val="18"/>
          <w:u w:val="single"/>
        </w:rPr>
        <w:t> </w:t>
        <w:tab/>
      </w:r>
      <w:r>
        <w:rPr>
          <w:b/>
          <w:spacing w:val="-18"/>
          <w:sz w:val="18"/>
        </w:rPr>
        <w:t> </w:t>
      </w:r>
      <w:r>
        <w:rPr>
          <w:b/>
          <w:sz w:val="18"/>
        </w:rPr>
        <w:t>EEM</w:t>
      </w:r>
      <w:r>
        <w:rPr>
          <w:b/>
          <w:position w:val="6"/>
          <w:sz w:val="12"/>
        </w:rPr>
        <w:t>1</w:t>
        <w:tab/>
      </w:r>
      <w:r>
        <w:rPr>
          <w:b/>
          <w:sz w:val="18"/>
        </w:rPr>
        <w:t>Pr&lt;</w:t>
      </w:r>
    </w:p>
    <w:p>
      <w:pPr>
        <w:spacing w:before="33"/>
        <w:ind w:left="1249" w:right="-11" w:firstLine="0"/>
        <w:jc w:val="left"/>
        <w:rPr>
          <w:b/>
          <w:sz w:val="18"/>
        </w:rPr>
      </w:pPr>
      <w:r>
        <w:rPr/>
        <w:br w:type="column"/>
      </w:r>
      <w:r>
        <w:rPr>
          <w:b/>
          <w:spacing w:val="-1"/>
          <w:sz w:val="18"/>
        </w:rPr>
        <w:t>Contrastes</w:t>
      </w:r>
    </w:p>
    <w:p>
      <w:pPr>
        <w:pStyle w:val="BodyText"/>
        <w:spacing w:before="8"/>
        <w:rPr>
          <w:b/>
          <w:sz w:val="16"/>
        </w:rPr>
      </w:pPr>
      <w:r>
        <w:rPr/>
        <w:br w:type="column"/>
      </w:r>
      <w:r>
        <w:rPr>
          <w:b/>
          <w:sz w:val="16"/>
        </w:rPr>
      </w:r>
    </w:p>
    <w:p>
      <w:pPr>
        <w:spacing w:line="195" w:lineRule="exact" w:before="0"/>
        <w:ind w:left="1195" w:right="0" w:firstLine="0"/>
        <w:jc w:val="left"/>
        <w:rPr>
          <w:sz w:val="12"/>
        </w:rPr>
      </w:pPr>
      <w:r>
        <w:rPr>
          <w:b/>
          <w:sz w:val="18"/>
        </w:rPr>
        <w:t>Polinomio</w:t>
      </w:r>
      <w:r>
        <w:rPr>
          <w:position w:val="6"/>
          <w:sz w:val="12"/>
        </w:rPr>
        <w:t>2</w:t>
      </w:r>
    </w:p>
    <w:p>
      <w:pPr>
        <w:spacing w:after="0" w:line="195" w:lineRule="exact"/>
        <w:jc w:val="left"/>
        <w:rPr>
          <w:sz w:val="12"/>
        </w:rPr>
        <w:sectPr>
          <w:type w:val="continuous"/>
          <w:pgSz w:w="12240" w:h="15840"/>
          <w:pgMar w:top="1500" w:bottom="280" w:left="1280" w:right="920"/>
          <w:cols w:num="3" w:equalWidth="0">
            <w:col w:w="5602" w:space="40"/>
            <w:col w:w="2078" w:space="40"/>
            <w:col w:w="2280"/>
          </w:cols>
        </w:sectPr>
      </w:pPr>
    </w:p>
    <w:p>
      <w:pPr>
        <w:tabs>
          <w:tab w:pos="2568" w:val="left" w:leader="none"/>
          <w:tab w:pos="3324" w:val="left" w:leader="none"/>
          <w:tab w:pos="4048" w:val="left" w:leader="none"/>
          <w:tab w:pos="5844" w:val="left" w:leader="none"/>
        </w:tabs>
        <w:spacing w:line="189" w:lineRule="exact" w:before="0"/>
        <w:ind w:left="1852" w:right="743" w:firstLine="0"/>
        <w:jc w:val="left"/>
        <w:rPr>
          <w:sz w:val="18"/>
        </w:rPr>
      </w:pPr>
      <w:r>
        <w:rPr>
          <w:b/>
          <w:sz w:val="18"/>
        </w:rPr>
        <w:t>0</w:t>
        <w:tab/>
        <w:t>0.2</w:t>
        <w:tab/>
        <w:t>0.4</w:t>
        <w:tab/>
        <w:t>0.6</w:t>
        <w:tab/>
      </w:r>
      <w:r>
        <w:rPr>
          <w:sz w:val="18"/>
        </w:rPr>
        <w:t>0</w:t>
      </w:r>
      <w:r>
        <w:rPr>
          <w:i/>
          <w:sz w:val="18"/>
        </w:rPr>
        <w:t>vs</w:t>
      </w:r>
      <w:r>
        <w:rPr>
          <w:sz w:val="18"/>
        </w:rPr>
        <w:t>0.2+0.4+0.6   0.2</w:t>
      </w:r>
      <w:r>
        <w:rPr>
          <w:i/>
          <w:sz w:val="18"/>
        </w:rPr>
        <w:t>vs</w:t>
      </w:r>
      <w:r>
        <w:rPr>
          <w:sz w:val="18"/>
        </w:rPr>
        <w:t>0.4+0.6 </w:t>
      </w:r>
      <w:r>
        <w:rPr>
          <w:spacing w:val="42"/>
          <w:sz w:val="18"/>
        </w:rPr>
        <w:t> </w:t>
      </w:r>
      <w:r>
        <w:rPr>
          <w:sz w:val="18"/>
        </w:rPr>
        <w:t>0.4</w:t>
      </w:r>
      <w:r>
        <w:rPr>
          <w:i/>
          <w:sz w:val="18"/>
        </w:rPr>
        <w:t>vs</w:t>
      </w:r>
      <w:r>
        <w:rPr>
          <w:sz w:val="18"/>
        </w:rPr>
        <w:t>0.6</w:t>
      </w:r>
    </w:p>
    <w:p>
      <w:pPr>
        <w:pStyle w:val="BodyText"/>
        <w:spacing w:before="11"/>
        <w:rPr>
          <w:sz w:val="9"/>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00"/>
        <w:gridCol w:w="776"/>
        <w:gridCol w:w="784"/>
        <w:gridCol w:w="729"/>
        <w:gridCol w:w="756"/>
        <w:gridCol w:w="541"/>
        <w:gridCol w:w="832"/>
        <w:gridCol w:w="1077"/>
        <w:gridCol w:w="1010"/>
        <w:gridCol w:w="949"/>
        <w:gridCol w:w="946"/>
      </w:tblGrid>
      <w:tr>
        <w:trPr>
          <w:trHeight w:val="585" w:hRule="exact"/>
        </w:trPr>
        <w:tc>
          <w:tcPr>
            <w:tcW w:w="1400" w:type="dxa"/>
            <w:tcBorders>
              <w:left w:val="nil"/>
              <w:bottom w:val="nil"/>
              <w:right w:val="nil"/>
            </w:tcBorders>
          </w:tcPr>
          <w:p>
            <w:pPr>
              <w:pStyle w:val="TableParagraph"/>
              <w:ind w:left="69" w:right="58"/>
              <w:jc w:val="left"/>
              <w:rPr>
                <w:b/>
                <w:sz w:val="18"/>
              </w:rPr>
            </w:pPr>
            <w:r>
              <w:rPr>
                <w:b/>
                <w:sz w:val="18"/>
              </w:rPr>
              <w:t>NADH (%)</w:t>
            </w:r>
          </w:p>
          <w:p>
            <w:pPr>
              <w:pStyle w:val="TableParagraph"/>
              <w:spacing w:before="100"/>
              <w:ind w:left="69" w:right="58"/>
              <w:jc w:val="left"/>
              <w:rPr>
                <w:sz w:val="18"/>
              </w:rPr>
            </w:pPr>
            <w:r>
              <w:rPr>
                <w:sz w:val="18"/>
              </w:rPr>
              <w:t>Oscuras</w:t>
            </w:r>
          </w:p>
        </w:tc>
        <w:tc>
          <w:tcPr>
            <w:tcW w:w="776" w:type="dxa"/>
            <w:tcBorders>
              <w:left w:val="nil"/>
              <w:bottom w:val="nil"/>
              <w:right w:val="nil"/>
            </w:tcBorders>
          </w:tcPr>
          <w:p>
            <w:pPr>
              <w:pStyle w:val="TableParagraph"/>
              <w:spacing w:before="4"/>
              <w:jc w:val="left"/>
              <w:rPr>
                <w:sz w:val="26"/>
              </w:rPr>
            </w:pPr>
          </w:p>
          <w:p>
            <w:pPr>
              <w:pStyle w:val="TableParagraph"/>
              <w:ind w:left="111"/>
              <w:jc w:val="left"/>
              <w:rPr>
                <w:sz w:val="12"/>
              </w:rPr>
            </w:pPr>
            <w:r>
              <w:rPr>
                <w:sz w:val="18"/>
              </w:rPr>
              <w:t>52.312</w:t>
            </w:r>
            <w:r>
              <w:rPr>
                <w:position w:val="6"/>
                <w:sz w:val="12"/>
              </w:rPr>
              <w:t>a</w:t>
            </w:r>
          </w:p>
        </w:tc>
        <w:tc>
          <w:tcPr>
            <w:tcW w:w="784" w:type="dxa"/>
            <w:tcBorders>
              <w:left w:val="nil"/>
              <w:bottom w:val="nil"/>
              <w:right w:val="nil"/>
            </w:tcBorders>
          </w:tcPr>
          <w:p>
            <w:pPr>
              <w:pStyle w:val="TableParagraph"/>
              <w:spacing w:before="4"/>
              <w:jc w:val="left"/>
              <w:rPr>
                <w:sz w:val="26"/>
              </w:rPr>
            </w:pPr>
          </w:p>
          <w:p>
            <w:pPr>
              <w:pStyle w:val="TableParagraph"/>
              <w:ind w:right="111"/>
              <w:jc w:val="right"/>
              <w:rPr>
                <w:sz w:val="12"/>
              </w:rPr>
            </w:pPr>
            <w:r>
              <w:rPr>
                <w:sz w:val="18"/>
              </w:rPr>
              <w:t>27.716</w:t>
            </w:r>
            <w:r>
              <w:rPr>
                <w:position w:val="6"/>
                <w:sz w:val="12"/>
              </w:rPr>
              <w:t>b</w:t>
            </w:r>
          </w:p>
        </w:tc>
        <w:tc>
          <w:tcPr>
            <w:tcW w:w="729" w:type="dxa"/>
            <w:tcBorders>
              <w:left w:val="nil"/>
              <w:bottom w:val="nil"/>
              <w:right w:val="nil"/>
            </w:tcBorders>
          </w:tcPr>
          <w:p>
            <w:pPr>
              <w:pStyle w:val="TableParagraph"/>
              <w:spacing w:before="4"/>
              <w:jc w:val="left"/>
              <w:rPr>
                <w:sz w:val="26"/>
              </w:rPr>
            </w:pPr>
          </w:p>
          <w:p>
            <w:pPr>
              <w:pStyle w:val="TableParagraph"/>
              <w:ind w:left="68" w:right="65"/>
              <w:rPr>
                <w:sz w:val="12"/>
              </w:rPr>
            </w:pPr>
            <w:r>
              <w:rPr>
                <w:sz w:val="18"/>
              </w:rPr>
              <w:t>34.144</w:t>
            </w:r>
            <w:r>
              <w:rPr>
                <w:position w:val="6"/>
                <w:sz w:val="12"/>
              </w:rPr>
              <w:t>b</w:t>
            </w:r>
          </w:p>
        </w:tc>
        <w:tc>
          <w:tcPr>
            <w:tcW w:w="756" w:type="dxa"/>
            <w:tcBorders>
              <w:left w:val="nil"/>
              <w:bottom w:val="nil"/>
              <w:right w:val="nil"/>
            </w:tcBorders>
          </w:tcPr>
          <w:p>
            <w:pPr>
              <w:pStyle w:val="TableParagraph"/>
              <w:spacing w:before="4"/>
              <w:jc w:val="left"/>
              <w:rPr>
                <w:sz w:val="26"/>
              </w:rPr>
            </w:pPr>
          </w:p>
          <w:p>
            <w:pPr>
              <w:pStyle w:val="TableParagraph"/>
              <w:ind w:left="86"/>
              <w:jc w:val="left"/>
              <w:rPr>
                <w:sz w:val="12"/>
              </w:rPr>
            </w:pPr>
            <w:r>
              <w:rPr>
                <w:sz w:val="18"/>
              </w:rPr>
              <w:t>39.402</w:t>
            </w:r>
            <w:r>
              <w:rPr>
                <w:position w:val="6"/>
                <w:sz w:val="12"/>
              </w:rPr>
              <w:t>a</w:t>
            </w:r>
          </w:p>
        </w:tc>
        <w:tc>
          <w:tcPr>
            <w:tcW w:w="541" w:type="dxa"/>
            <w:tcBorders>
              <w:left w:val="nil"/>
              <w:bottom w:val="nil"/>
              <w:right w:val="nil"/>
            </w:tcBorders>
          </w:tcPr>
          <w:p>
            <w:pPr>
              <w:pStyle w:val="TableParagraph"/>
              <w:spacing w:before="8"/>
              <w:jc w:val="left"/>
              <w:rPr>
                <w:sz w:val="26"/>
              </w:rPr>
            </w:pPr>
          </w:p>
          <w:p>
            <w:pPr>
              <w:pStyle w:val="TableParagraph"/>
              <w:ind w:left="115"/>
              <w:jc w:val="left"/>
              <w:rPr>
                <w:sz w:val="18"/>
              </w:rPr>
            </w:pPr>
            <w:r>
              <w:rPr>
                <w:sz w:val="18"/>
              </w:rPr>
              <w:t>2.96</w:t>
            </w:r>
          </w:p>
        </w:tc>
        <w:tc>
          <w:tcPr>
            <w:tcW w:w="832" w:type="dxa"/>
            <w:tcBorders>
              <w:left w:val="nil"/>
              <w:bottom w:val="nil"/>
              <w:right w:val="nil"/>
            </w:tcBorders>
          </w:tcPr>
          <w:p>
            <w:pPr>
              <w:pStyle w:val="TableParagraph"/>
              <w:spacing w:before="8"/>
              <w:jc w:val="left"/>
              <w:rPr>
                <w:sz w:val="26"/>
              </w:rPr>
            </w:pPr>
          </w:p>
          <w:p>
            <w:pPr>
              <w:pStyle w:val="TableParagraph"/>
              <w:ind w:left="110"/>
              <w:jc w:val="left"/>
              <w:rPr>
                <w:sz w:val="18"/>
              </w:rPr>
            </w:pPr>
            <w:r>
              <w:rPr>
                <w:sz w:val="18"/>
              </w:rPr>
              <w:t>0.0001</w:t>
            </w:r>
          </w:p>
        </w:tc>
        <w:tc>
          <w:tcPr>
            <w:tcW w:w="1077" w:type="dxa"/>
            <w:tcBorders>
              <w:left w:val="nil"/>
              <w:bottom w:val="nil"/>
              <w:right w:val="nil"/>
            </w:tcBorders>
          </w:tcPr>
          <w:p>
            <w:pPr>
              <w:pStyle w:val="TableParagraph"/>
              <w:spacing w:before="8"/>
              <w:jc w:val="left"/>
              <w:rPr>
                <w:sz w:val="26"/>
              </w:rPr>
            </w:pPr>
          </w:p>
          <w:p>
            <w:pPr>
              <w:pStyle w:val="TableParagraph"/>
              <w:ind w:left="269"/>
              <w:jc w:val="left"/>
              <w:rPr>
                <w:sz w:val="18"/>
              </w:rPr>
            </w:pPr>
            <w:r>
              <w:rPr>
                <w:sz w:val="18"/>
              </w:rPr>
              <w:t>0.001</w:t>
            </w:r>
          </w:p>
        </w:tc>
        <w:tc>
          <w:tcPr>
            <w:tcW w:w="1010" w:type="dxa"/>
            <w:tcBorders>
              <w:left w:val="nil"/>
              <w:bottom w:val="nil"/>
              <w:right w:val="nil"/>
            </w:tcBorders>
          </w:tcPr>
          <w:p>
            <w:pPr>
              <w:pStyle w:val="TableParagraph"/>
              <w:spacing w:before="8"/>
              <w:jc w:val="left"/>
              <w:rPr>
                <w:sz w:val="26"/>
              </w:rPr>
            </w:pPr>
          </w:p>
          <w:p>
            <w:pPr>
              <w:pStyle w:val="TableParagraph"/>
              <w:ind w:right="246"/>
              <w:jc w:val="right"/>
              <w:rPr>
                <w:sz w:val="18"/>
              </w:rPr>
            </w:pPr>
            <w:r>
              <w:rPr>
                <w:sz w:val="18"/>
              </w:rPr>
              <w:t>0.023</w:t>
            </w:r>
          </w:p>
        </w:tc>
        <w:tc>
          <w:tcPr>
            <w:tcW w:w="949" w:type="dxa"/>
            <w:tcBorders>
              <w:left w:val="nil"/>
              <w:bottom w:val="nil"/>
              <w:right w:val="nil"/>
            </w:tcBorders>
          </w:tcPr>
          <w:p>
            <w:pPr>
              <w:pStyle w:val="TableParagraph"/>
              <w:spacing w:before="8"/>
              <w:jc w:val="left"/>
              <w:rPr>
                <w:sz w:val="26"/>
              </w:rPr>
            </w:pPr>
          </w:p>
          <w:p>
            <w:pPr>
              <w:pStyle w:val="TableParagraph"/>
              <w:ind w:left="248"/>
              <w:jc w:val="left"/>
              <w:rPr>
                <w:sz w:val="18"/>
              </w:rPr>
            </w:pPr>
            <w:r>
              <w:rPr>
                <w:sz w:val="18"/>
              </w:rPr>
              <w:t>0.316</w:t>
            </w:r>
          </w:p>
        </w:tc>
        <w:tc>
          <w:tcPr>
            <w:tcW w:w="946" w:type="dxa"/>
            <w:tcBorders>
              <w:left w:val="nil"/>
              <w:bottom w:val="nil"/>
              <w:right w:val="nil"/>
            </w:tcBorders>
          </w:tcPr>
          <w:p>
            <w:pPr>
              <w:pStyle w:val="TableParagraph"/>
              <w:spacing w:before="8"/>
              <w:jc w:val="left"/>
              <w:rPr>
                <w:sz w:val="26"/>
              </w:rPr>
            </w:pPr>
          </w:p>
          <w:p>
            <w:pPr>
              <w:pStyle w:val="TableParagraph"/>
              <w:ind w:left="295"/>
              <w:jc w:val="left"/>
              <w:rPr>
                <w:sz w:val="18"/>
              </w:rPr>
            </w:pPr>
            <w:r>
              <w:rPr>
                <w:sz w:val="18"/>
              </w:rPr>
              <w:t>NS</w:t>
            </w:r>
          </w:p>
        </w:tc>
      </w:tr>
      <w:tr>
        <w:trPr>
          <w:trHeight w:val="304" w:hRule="exact"/>
        </w:trPr>
        <w:tc>
          <w:tcPr>
            <w:tcW w:w="1400" w:type="dxa"/>
            <w:tcBorders>
              <w:top w:val="nil"/>
              <w:left w:val="nil"/>
              <w:bottom w:val="nil"/>
              <w:right w:val="nil"/>
            </w:tcBorders>
          </w:tcPr>
          <w:p>
            <w:pPr>
              <w:pStyle w:val="TableParagraph"/>
              <w:spacing w:before="41"/>
              <w:ind w:left="69" w:right="58"/>
              <w:jc w:val="left"/>
              <w:rPr>
                <w:sz w:val="18"/>
              </w:rPr>
            </w:pPr>
            <w:r>
              <w:rPr>
                <w:sz w:val="18"/>
              </w:rPr>
              <w:t>Intermedias</w:t>
            </w:r>
          </w:p>
        </w:tc>
        <w:tc>
          <w:tcPr>
            <w:tcW w:w="776" w:type="dxa"/>
            <w:tcBorders>
              <w:top w:val="nil"/>
              <w:left w:val="nil"/>
              <w:bottom w:val="nil"/>
              <w:right w:val="nil"/>
            </w:tcBorders>
          </w:tcPr>
          <w:p>
            <w:pPr>
              <w:pStyle w:val="TableParagraph"/>
              <w:spacing w:before="41"/>
              <w:ind w:left="138"/>
              <w:jc w:val="left"/>
              <w:rPr>
                <w:sz w:val="18"/>
              </w:rPr>
            </w:pPr>
            <w:r>
              <w:rPr>
                <w:sz w:val="18"/>
              </w:rPr>
              <w:t>29.452</w:t>
            </w:r>
          </w:p>
        </w:tc>
        <w:tc>
          <w:tcPr>
            <w:tcW w:w="784" w:type="dxa"/>
            <w:tcBorders>
              <w:top w:val="nil"/>
              <w:left w:val="nil"/>
              <w:bottom w:val="nil"/>
              <w:right w:val="nil"/>
            </w:tcBorders>
          </w:tcPr>
          <w:p>
            <w:pPr>
              <w:pStyle w:val="TableParagraph"/>
              <w:spacing w:before="41"/>
              <w:ind w:right="142"/>
              <w:jc w:val="right"/>
              <w:rPr>
                <w:sz w:val="18"/>
              </w:rPr>
            </w:pPr>
            <w:r>
              <w:rPr>
                <w:sz w:val="18"/>
              </w:rPr>
              <w:t>50.408</w:t>
            </w:r>
          </w:p>
        </w:tc>
        <w:tc>
          <w:tcPr>
            <w:tcW w:w="729" w:type="dxa"/>
            <w:tcBorders>
              <w:top w:val="nil"/>
              <w:left w:val="nil"/>
              <w:bottom w:val="nil"/>
              <w:right w:val="nil"/>
            </w:tcBorders>
          </w:tcPr>
          <w:p>
            <w:pPr>
              <w:pStyle w:val="TableParagraph"/>
              <w:spacing w:before="41"/>
              <w:ind w:left="67" w:right="65"/>
              <w:rPr>
                <w:sz w:val="18"/>
              </w:rPr>
            </w:pPr>
            <w:r>
              <w:rPr>
                <w:sz w:val="18"/>
              </w:rPr>
              <w:t>40.46</w:t>
            </w:r>
          </w:p>
        </w:tc>
        <w:tc>
          <w:tcPr>
            <w:tcW w:w="756" w:type="dxa"/>
            <w:tcBorders>
              <w:top w:val="nil"/>
              <w:left w:val="nil"/>
              <w:bottom w:val="nil"/>
              <w:right w:val="nil"/>
            </w:tcBorders>
          </w:tcPr>
          <w:p>
            <w:pPr>
              <w:pStyle w:val="TableParagraph"/>
              <w:spacing w:before="41"/>
              <w:ind w:left="158"/>
              <w:jc w:val="left"/>
              <w:rPr>
                <w:sz w:val="18"/>
              </w:rPr>
            </w:pPr>
            <w:r>
              <w:rPr>
                <w:sz w:val="18"/>
              </w:rPr>
              <w:t>37.81</w:t>
            </w:r>
          </w:p>
        </w:tc>
        <w:tc>
          <w:tcPr>
            <w:tcW w:w="541" w:type="dxa"/>
            <w:tcBorders>
              <w:top w:val="nil"/>
              <w:left w:val="nil"/>
              <w:bottom w:val="nil"/>
              <w:right w:val="nil"/>
            </w:tcBorders>
          </w:tcPr>
          <w:p>
            <w:pPr>
              <w:pStyle w:val="TableParagraph"/>
              <w:spacing w:before="41"/>
              <w:ind w:left="115"/>
              <w:jc w:val="left"/>
              <w:rPr>
                <w:sz w:val="18"/>
              </w:rPr>
            </w:pPr>
            <w:r>
              <w:rPr>
                <w:sz w:val="18"/>
              </w:rPr>
              <w:t>3.93</w:t>
            </w:r>
          </w:p>
        </w:tc>
        <w:tc>
          <w:tcPr>
            <w:tcW w:w="832" w:type="dxa"/>
            <w:tcBorders>
              <w:top w:val="nil"/>
              <w:left w:val="nil"/>
              <w:bottom w:val="nil"/>
              <w:right w:val="nil"/>
            </w:tcBorders>
          </w:tcPr>
          <w:p>
            <w:pPr>
              <w:pStyle w:val="TableParagraph"/>
              <w:spacing w:before="41"/>
              <w:ind w:left="110"/>
              <w:jc w:val="left"/>
              <w:rPr>
                <w:sz w:val="18"/>
              </w:rPr>
            </w:pPr>
            <w:r>
              <w:rPr>
                <w:sz w:val="18"/>
              </w:rPr>
              <w:t>0.0058</w:t>
            </w:r>
          </w:p>
        </w:tc>
        <w:tc>
          <w:tcPr>
            <w:tcW w:w="1077" w:type="dxa"/>
            <w:tcBorders>
              <w:top w:val="nil"/>
              <w:left w:val="nil"/>
              <w:bottom w:val="nil"/>
              <w:right w:val="nil"/>
            </w:tcBorders>
          </w:tcPr>
          <w:p>
            <w:pPr>
              <w:pStyle w:val="TableParagraph"/>
              <w:spacing w:before="41"/>
              <w:ind w:left="269"/>
              <w:jc w:val="left"/>
              <w:rPr>
                <w:sz w:val="18"/>
              </w:rPr>
            </w:pPr>
            <w:r>
              <w:rPr>
                <w:sz w:val="18"/>
              </w:rPr>
              <w:t>0.006</w:t>
            </w:r>
          </w:p>
        </w:tc>
        <w:tc>
          <w:tcPr>
            <w:tcW w:w="1010" w:type="dxa"/>
            <w:tcBorders>
              <w:top w:val="nil"/>
              <w:left w:val="nil"/>
              <w:bottom w:val="nil"/>
              <w:right w:val="nil"/>
            </w:tcBorders>
          </w:tcPr>
          <w:p>
            <w:pPr>
              <w:pStyle w:val="TableParagraph"/>
              <w:spacing w:before="41"/>
              <w:ind w:right="246"/>
              <w:jc w:val="right"/>
              <w:rPr>
                <w:sz w:val="18"/>
              </w:rPr>
            </w:pPr>
            <w:r>
              <w:rPr>
                <w:sz w:val="18"/>
              </w:rPr>
              <w:t>0.019</w:t>
            </w:r>
          </w:p>
        </w:tc>
        <w:tc>
          <w:tcPr>
            <w:tcW w:w="949" w:type="dxa"/>
            <w:tcBorders>
              <w:top w:val="nil"/>
              <w:left w:val="nil"/>
              <w:bottom w:val="nil"/>
              <w:right w:val="nil"/>
            </w:tcBorders>
          </w:tcPr>
          <w:p>
            <w:pPr>
              <w:pStyle w:val="TableParagraph"/>
              <w:spacing w:before="41"/>
              <w:ind w:left="248"/>
              <w:jc w:val="left"/>
              <w:rPr>
                <w:sz w:val="18"/>
              </w:rPr>
            </w:pPr>
            <w:r>
              <w:rPr>
                <w:sz w:val="18"/>
              </w:rPr>
              <w:t>0.515</w:t>
            </w:r>
          </w:p>
        </w:tc>
        <w:tc>
          <w:tcPr>
            <w:tcW w:w="946" w:type="dxa"/>
            <w:tcBorders>
              <w:top w:val="nil"/>
              <w:left w:val="nil"/>
              <w:bottom w:val="nil"/>
              <w:right w:val="nil"/>
            </w:tcBorders>
          </w:tcPr>
          <w:p>
            <w:pPr>
              <w:pStyle w:val="TableParagraph"/>
              <w:spacing w:before="41"/>
              <w:ind w:left="345"/>
              <w:jc w:val="left"/>
              <w:rPr>
                <w:sz w:val="18"/>
              </w:rPr>
            </w:pPr>
            <w:r>
              <w:rPr>
                <w:w w:val="99"/>
                <w:sz w:val="18"/>
              </w:rPr>
              <w:t>Q</w:t>
            </w:r>
          </w:p>
        </w:tc>
      </w:tr>
      <w:tr>
        <w:trPr>
          <w:trHeight w:val="932" w:hRule="exact"/>
        </w:trPr>
        <w:tc>
          <w:tcPr>
            <w:tcW w:w="1400" w:type="dxa"/>
            <w:tcBorders>
              <w:top w:val="nil"/>
              <w:left w:val="nil"/>
              <w:bottom w:val="nil"/>
              <w:right w:val="nil"/>
            </w:tcBorders>
          </w:tcPr>
          <w:p>
            <w:pPr>
              <w:pStyle w:val="TableParagraph"/>
              <w:spacing w:before="47"/>
              <w:ind w:left="69" w:right="58"/>
              <w:jc w:val="left"/>
              <w:rPr>
                <w:sz w:val="18"/>
              </w:rPr>
            </w:pPr>
            <w:r>
              <w:rPr>
                <w:sz w:val="18"/>
              </w:rPr>
              <w:t>Claras</w:t>
            </w:r>
          </w:p>
          <w:p>
            <w:pPr>
              <w:pStyle w:val="TableParagraph"/>
              <w:spacing w:line="360" w:lineRule="auto" w:before="101"/>
              <w:ind w:left="69" w:right="58"/>
              <w:jc w:val="left"/>
              <w:rPr>
                <w:sz w:val="18"/>
              </w:rPr>
            </w:pPr>
            <w:r>
              <w:rPr>
                <w:b/>
                <w:sz w:val="18"/>
              </w:rPr>
              <w:t>NADH </w:t>
            </w:r>
            <w:r>
              <w:rPr>
                <w:sz w:val="18"/>
              </w:rPr>
              <w:t>(Área µ</w:t>
            </w:r>
            <w:r>
              <w:rPr>
                <w:position w:val="6"/>
                <w:sz w:val="12"/>
              </w:rPr>
              <w:t>2</w:t>
            </w:r>
            <w:r>
              <w:rPr>
                <w:sz w:val="18"/>
              </w:rPr>
              <w:t>) Oscuras</w:t>
            </w:r>
          </w:p>
        </w:tc>
        <w:tc>
          <w:tcPr>
            <w:tcW w:w="776" w:type="dxa"/>
            <w:tcBorders>
              <w:top w:val="nil"/>
              <w:left w:val="nil"/>
              <w:bottom w:val="nil"/>
              <w:right w:val="nil"/>
            </w:tcBorders>
          </w:tcPr>
          <w:p>
            <w:pPr>
              <w:pStyle w:val="TableParagraph"/>
              <w:spacing w:before="43"/>
              <w:ind w:left="62" w:right="66"/>
              <w:rPr>
                <w:sz w:val="12"/>
              </w:rPr>
            </w:pPr>
            <w:r>
              <w:rPr>
                <w:sz w:val="18"/>
              </w:rPr>
              <w:t>19.376</w:t>
            </w:r>
            <w:r>
              <w:rPr>
                <w:position w:val="6"/>
                <w:sz w:val="12"/>
              </w:rPr>
              <w:t>ab</w:t>
            </w:r>
          </w:p>
          <w:p>
            <w:pPr>
              <w:pStyle w:val="TableParagraph"/>
              <w:jc w:val="left"/>
              <w:rPr>
                <w:sz w:val="18"/>
              </w:rPr>
            </w:pPr>
          </w:p>
          <w:p>
            <w:pPr>
              <w:pStyle w:val="TableParagraph"/>
              <w:spacing w:before="8"/>
              <w:jc w:val="left"/>
              <w:rPr>
                <w:sz w:val="17"/>
              </w:rPr>
            </w:pPr>
          </w:p>
          <w:p>
            <w:pPr>
              <w:pStyle w:val="TableParagraph"/>
              <w:ind w:left="62" w:right="65"/>
              <w:rPr>
                <w:sz w:val="12"/>
              </w:rPr>
            </w:pPr>
            <w:r>
              <w:rPr>
                <w:sz w:val="18"/>
              </w:rPr>
              <w:t>5.94</w:t>
            </w:r>
            <w:r>
              <w:rPr>
                <w:position w:val="6"/>
                <w:sz w:val="12"/>
              </w:rPr>
              <w:t>a</w:t>
            </w:r>
          </w:p>
        </w:tc>
        <w:tc>
          <w:tcPr>
            <w:tcW w:w="784" w:type="dxa"/>
            <w:tcBorders>
              <w:top w:val="nil"/>
              <w:left w:val="nil"/>
              <w:bottom w:val="nil"/>
              <w:right w:val="nil"/>
            </w:tcBorders>
          </w:tcPr>
          <w:p>
            <w:pPr>
              <w:pStyle w:val="TableParagraph"/>
              <w:spacing w:before="43"/>
              <w:ind w:left="67" w:right="67"/>
              <w:rPr>
                <w:sz w:val="12"/>
              </w:rPr>
            </w:pPr>
            <w:r>
              <w:rPr>
                <w:sz w:val="18"/>
              </w:rPr>
              <w:t>21.848</w:t>
            </w:r>
            <w:r>
              <w:rPr>
                <w:position w:val="6"/>
                <w:sz w:val="12"/>
              </w:rPr>
              <w:t>ab</w:t>
            </w:r>
          </w:p>
          <w:p>
            <w:pPr>
              <w:pStyle w:val="TableParagraph"/>
              <w:jc w:val="left"/>
              <w:rPr>
                <w:sz w:val="18"/>
              </w:rPr>
            </w:pPr>
          </w:p>
          <w:p>
            <w:pPr>
              <w:pStyle w:val="TableParagraph"/>
              <w:spacing w:before="8"/>
              <w:jc w:val="left"/>
              <w:rPr>
                <w:sz w:val="17"/>
              </w:rPr>
            </w:pPr>
          </w:p>
          <w:p>
            <w:pPr>
              <w:pStyle w:val="TableParagraph"/>
              <w:ind w:left="67" w:right="67"/>
              <w:rPr>
                <w:sz w:val="12"/>
              </w:rPr>
            </w:pPr>
            <w:r>
              <w:rPr>
                <w:sz w:val="18"/>
              </w:rPr>
              <w:t>6.79</w:t>
            </w:r>
            <w:r>
              <w:rPr>
                <w:position w:val="6"/>
                <w:sz w:val="12"/>
              </w:rPr>
              <w:t>a</w:t>
            </w:r>
          </w:p>
        </w:tc>
        <w:tc>
          <w:tcPr>
            <w:tcW w:w="729" w:type="dxa"/>
            <w:tcBorders>
              <w:top w:val="nil"/>
              <w:left w:val="nil"/>
              <w:bottom w:val="nil"/>
              <w:right w:val="nil"/>
            </w:tcBorders>
          </w:tcPr>
          <w:p>
            <w:pPr>
              <w:pStyle w:val="TableParagraph"/>
              <w:spacing w:before="43"/>
              <w:ind w:left="90"/>
              <w:jc w:val="left"/>
              <w:rPr>
                <w:sz w:val="12"/>
              </w:rPr>
            </w:pPr>
            <w:r>
              <w:rPr>
                <w:sz w:val="18"/>
              </w:rPr>
              <w:t>25.088</w:t>
            </w:r>
            <w:r>
              <w:rPr>
                <w:position w:val="6"/>
                <w:sz w:val="12"/>
              </w:rPr>
              <w:t>a</w:t>
            </w:r>
          </w:p>
          <w:p>
            <w:pPr>
              <w:pStyle w:val="TableParagraph"/>
              <w:jc w:val="left"/>
              <w:rPr>
                <w:sz w:val="18"/>
              </w:rPr>
            </w:pPr>
          </w:p>
          <w:p>
            <w:pPr>
              <w:pStyle w:val="TableParagraph"/>
              <w:spacing w:before="8"/>
              <w:jc w:val="left"/>
              <w:rPr>
                <w:sz w:val="17"/>
              </w:rPr>
            </w:pPr>
          </w:p>
          <w:p>
            <w:pPr>
              <w:pStyle w:val="TableParagraph"/>
              <w:ind w:left="181"/>
              <w:jc w:val="left"/>
              <w:rPr>
                <w:sz w:val="12"/>
              </w:rPr>
            </w:pPr>
            <w:r>
              <w:rPr>
                <w:sz w:val="18"/>
              </w:rPr>
              <w:t>7.18</w:t>
            </w:r>
            <w:r>
              <w:rPr>
                <w:position w:val="6"/>
                <w:sz w:val="12"/>
              </w:rPr>
              <w:t>a</w:t>
            </w:r>
          </w:p>
        </w:tc>
        <w:tc>
          <w:tcPr>
            <w:tcW w:w="756" w:type="dxa"/>
            <w:tcBorders>
              <w:top w:val="nil"/>
              <w:left w:val="nil"/>
              <w:bottom w:val="nil"/>
              <w:right w:val="nil"/>
            </w:tcBorders>
          </w:tcPr>
          <w:p>
            <w:pPr>
              <w:pStyle w:val="TableParagraph"/>
              <w:spacing w:before="43"/>
              <w:ind w:left="83"/>
              <w:jc w:val="left"/>
              <w:rPr>
                <w:sz w:val="12"/>
              </w:rPr>
            </w:pPr>
            <w:r>
              <w:rPr>
                <w:sz w:val="18"/>
              </w:rPr>
              <w:t>17.172</w:t>
            </w:r>
            <w:r>
              <w:rPr>
                <w:position w:val="6"/>
                <w:sz w:val="12"/>
              </w:rPr>
              <w:t>b</w:t>
            </w:r>
          </w:p>
          <w:p>
            <w:pPr>
              <w:pStyle w:val="TableParagraph"/>
              <w:jc w:val="left"/>
              <w:rPr>
                <w:sz w:val="18"/>
              </w:rPr>
            </w:pPr>
          </w:p>
          <w:p>
            <w:pPr>
              <w:pStyle w:val="TableParagraph"/>
              <w:spacing w:before="8"/>
              <w:jc w:val="left"/>
              <w:rPr>
                <w:sz w:val="17"/>
              </w:rPr>
            </w:pPr>
          </w:p>
          <w:p>
            <w:pPr>
              <w:pStyle w:val="TableParagraph"/>
              <w:ind w:left="127"/>
              <w:jc w:val="left"/>
              <w:rPr>
                <w:sz w:val="12"/>
              </w:rPr>
            </w:pPr>
            <w:r>
              <w:rPr>
                <w:sz w:val="18"/>
              </w:rPr>
              <w:t>10.05</w:t>
            </w:r>
            <w:r>
              <w:rPr>
                <w:position w:val="6"/>
                <w:sz w:val="12"/>
              </w:rPr>
              <w:t>b</w:t>
            </w:r>
          </w:p>
        </w:tc>
        <w:tc>
          <w:tcPr>
            <w:tcW w:w="541" w:type="dxa"/>
            <w:tcBorders>
              <w:top w:val="nil"/>
              <w:left w:val="nil"/>
              <w:bottom w:val="nil"/>
              <w:right w:val="nil"/>
            </w:tcBorders>
          </w:tcPr>
          <w:p>
            <w:pPr>
              <w:pStyle w:val="TableParagraph"/>
              <w:spacing w:before="47"/>
              <w:ind w:left="115"/>
              <w:jc w:val="left"/>
              <w:rPr>
                <w:sz w:val="18"/>
              </w:rPr>
            </w:pPr>
            <w:r>
              <w:rPr>
                <w:sz w:val="18"/>
              </w:rPr>
              <w:t>2.92</w:t>
            </w:r>
          </w:p>
          <w:p>
            <w:pPr>
              <w:pStyle w:val="TableParagraph"/>
              <w:jc w:val="left"/>
              <w:rPr>
                <w:sz w:val="18"/>
              </w:rPr>
            </w:pPr>
          </w:p>
          <w:p>
            <w:pPr>
              <w:pStyle w:val="TableParagraph"/>
              <w:jc w:val="left"/>
              <w:rPr>
                <w:sz w:val="18"/>
              </w:rPr>
            </w:pPr>
          </w:p>
          <w:p>
            <w:pPr>
              <w:pStyle w:val="TableParagraph"/>
              <w:ind w:left="115"/>
              <w:jc w:val="left"/>
              <w:rPr>
                <w:sz w:val="18"/>
              </w:rPr>
            </w:pPr>
            <w:r>
              <w:rPr>
                <w:sz w:val="18"/>
              </w:rPr>
              <w:t>0.43</w:t>
            </w:r>
          </w:p>
        </w:tc>
        <w:tc>
          <w:tcPr>
            <w:tcW w:w="832" w:type="dxa"/>
            <w:tcBorders>
              <w:top w:val="nil"/>
              <w:left w:val="nil"/>
              <w:bottom w:val="nil"/>
              <w:right w:val="nil"/>
            </w:tcBorders>
          </w:tcPr>
          <w:p>
            <w:pPr>
              <w:pStyle w:val="TableParagraph"/>
              <w:spacing w:before="47"/>
              <w:ind w:left="153"/>
              <w:jc w:val="left"/>
              <w:rPr>
                <w:sz w:val="18"/>
              </w:rPr>
            </w:pPr>
            <w:r>
              <w:rPr>
                <w:sz w:val="18"/>
              </w:rPr>
              <w:t>0.044</w:t>
            </w:r>
          </w:p>
          <w:p>
            <w:pPr>
              <w:pStyle w:val="TableParagraph"/>
              <w:jc w:val="left"/>
              <w:rPr>
                <w:sz w:val="18"/>
              </w:rPr>
            </w:pPr>
          </w:p>
          <w:p>
            <w:pPr>
              <w:pStyle w:val="TableParagraph"/>
              <w:jc w:val="left"/>
              <w:rPr>
                <w:sz w:val="18"/>
              </w:rPr>
            </w:pPr>
          </w:p>
          <w:p>
            <w:pPr>
              <w:pStyle w:val="TableParagraph"/>
              <w:ind w:left="110"/>
              <w:jc w:val="left"/>
              <w:rPr>
                <w:sz w:val="18"/>
              </w:rPr>
            </w:pPr>
            <w:r>
              <w:rPr>
                <w:sz w:val="18"/>
              </w:rPr>
              <w:t>0.0001</w:t>
            </w:r>
          </w:p>
        </w:tc>
        <w:tc>
          <w:tcPr>
            <w:tcW w:w="1077" w:type="dxa"/>
            <w:tcBorders>
              <w:top w:val="nil"/>
              <w:left w:val="nil"/>
              <w:bottom w:val="nil"/>
              <w:right w:val="nil"/>
            </w:tcBorders>
          </w:tcPr>
          <w:p>
            <w:pPr>
              <w:pStyle w:val="TableParagraph"/>
              <w:spacing w:before="47"/>
              <w:ind w:left="269"/>
              <w:jc w:val="left"/>
              <w:rPr>
                <w:sz w:val="18"/>
              </w:rPr>
            </w:pPr>
            <w:r>
              <w:rPr>
                <w:sz w:val="18"/>
              </w:rPr>
              <w:t>0.846</w:t>
            </w:r>
          </w:p>
          <w:p>
            <w:pPr>
              <w:pStyle w:val="TableParagraph"/>
              <w:jc w:val="left"/>
              <w:rPr>
                <w:sz w:val="18"/>
              </w:rPr>
            </w:pPr>
          </w:p>
          <w:p>
            <w:pPr>
              <w:pStyle w:val="TableParagraph"/>
              <w:jc w:val="left"/>
              <w:rPr>
                <w:sz w:val="18"/>
              </w:rPr>
            </w:pPr>
          </w:p>
          <w:p>
            <w:pPr>
              <w:pStyle w:val="TableParagraph"/>
              <w:ind w:left="226"/>
              <w:jc w:val="left"/>
              <w:rPr>
                <w:sz w:val="18"/>
              </w:rPr>
            </w:pPr>
            <w:r>
              <w:rPr>
                <w:sz w:val="18"/>
              </w:rPr>
              <w:t>0.0002</w:t>
            </w:r>
          </w:p>
        </w:tc>
        <w:tc>
          <w:tcPr>
            <w:tcW w:w="1010" w:type="dxa"/>
            <w:tcBorders>
              <w:top w:val="nil"/>
              <w:left w:val="nil"/>
              <w:bottom w:val="nil"/>
              <w:right w:val="nil"/>
            </w:tcBorders>
          </w:tcPr>
          <w:p>
            <w:pPr>
              <w:pStyle w:val="TableParagraph"/>
              <w:spacing w:before="47"/>
              <w:ind w:left="355"/>
              <w:jc w:val="left"/>
              <w:rPr>
                <w:sz w:val="18"/>
              </w:rPr>
            </w:pPr>
            <w:r>
              <w:rPr>
                <w:sz w:val="18"/>
              </w:rPr>
              <w:t>0.453</w:t>
            </w:r>
          </w:p>
          <w:p>
            <w:pPr>
              <w:pStyle w:val="TableParagraph"/>
              <w:jc w:val="left"/>
              <w:rPr>
                <w:sz w:val="18"/>
              </w:rPr>
            </w:pPr>
          </w:p>
          <w:p>
            <w:pPr>
              <w:pStyle w:val="TableParagraph"/>
              <w:jc w:val="left"/>
              <w:rPr>
                <w:sz w:val="18"/>
              </w:rPr>
            </w:pPr>
          </w:p>
          <w:p>
            <w:pPr>
              <w:pStyle w:val="TableParagraph"/>
              <w:ind w:left="355"/>
              <w:jc w:val="left"/>
              <w:rPr>
                <w:sz w:val="18"/>
              </w:rPr>
            </w:pPr>
            <w:r>
              <w:rPr>
                <w:sz w:val="18"/>
              </w:rPr>
              <w:t>0.001</w:t>
            </w:r>
          </w:p>
        </w:tc>
        <w:tc>
          <w:tcPr>
            <w:tcW w:w="949" w:type="dxa"/>
            <w:tcBorders>
              <w:top w:val="nil"/>
              <w:left w:val="nil"/>
              <w:bottom w:val="nil"/>
              <w:right w:val="nil"/>
            </w:tcBorders>
          </w:tcPr>
          <w:p>
            <w:pPr>
              <w:pStyle w:val="TableParagraph"/>
              <w:spacing w:before="47"/>
              <w:ind w:left="248"/>
              <w:jc w:val="left"/>
              <w:rPr>
                <w:sz w:val="18"/>
              </w:rPr>
            </w:pPr>
            <w:r>
              <w:rPr>
                <w:sz w:val="18"/>
              </w:rPr>
              <w:t>0.006</w:t>
            </w:r>
          </w:p>
          <w:p>
            <w:pPr>
              <w:pStyle w:val="TableParagraph"/>
              <w:jc w:val="left"/>
              <w:rPr>
                <w:sz w:val="18"/>
              </w:rPr>
            </w:pPr>
          </w:p>
          <w:p>
            <w:pPr>
              <w:pStyle w:val="TableParagraph"/>
              <w:jc w:val="left"/>
              <w:rPr>
                <w:sz w:val="18"/>
              </w:rPr>
            </w:pPr>
          </w:p>
          <w:p>
            <w:pPr>
              <w:pStyle w:val="TableParagraph"/>
              <w:ind w:left="248"/>
              <w:jc w:val="left"/>
              <w:rPr>
                <w:sz w:val="18"/>
              </w:rPr>
            </w:pPr>
            <w:r>
              <w:rPr>
                <w:sz w:val="18"/>
              </w:rPr>
              <w:t>0.001</w:t>
            </w:r>
          </w:p>
        </w:tc>
        <w:tc>
          <w:tcPr>
            <w:tcW w:w="946" w:type="dxa"/>
            <w:tcBorders>
              <w:top w:val="nil"/>
              <w:left w:val="nil"/>
              <w:bottom w:val="nil"/>
              <w:right w:val="nil"/>
            </w:tcBorders>
          </w:tcPr>
          <w:p>
            <w:pPr>
              <w:pStyle w:val="TableParagraph"/>
              <w:spacing w:before="47"/>
              <w:ind w:left="295" w:firstLine="50"/>
              <w:jc w:val="left"/>
              <w:rPr>
                <w:sz w:val="18"/>
              </w:rPr>
            </w:pPr>
            <w:r>
              <w:rPr>
                <w:w w:val="99"/>
                <w:sz w:val="18"/>
              </w:rPr>
              <w:t>Q</w:t>
            </w:r>
          </w:p>
          <w:p>
            <w:pPr>
              <w:pStyle w:val="TableParagraph"/>
              <w:jc w:val="left"/>
              <w:rPr>
                <w:sz w:val="18"/>
              </w:rPr>
            </w:pPr>
          </w:p>
          <w:p>
            <w:pPr>
              <w:pStyle w:val="TableParagraph"/>
              <w:jc w:val="left"/>
              <w:rPr>
                <w:sz w:val="18"/>
              </w:rPr>
            </w:pPr>
          </w:p>
          <w:p>
            <w:pPr>
              <w:pStyle w:val="TableParagraph"/>
              <w:ind w:left="295"/>
              <w:jc w:val="left"/>
              <w:rPr>
                <w:sz w:val="18"/>
              </w:rPr>
            </w:pPr>
            <w:r>
              <w:rPr>
                <w:sz w:val="18"/>
              </w:rPr>
              <w:t>NS</w:t>
            </w:r>
          </w:p>
        </w:tc>
      </w:tr>
      <w:tr>
        <w:trPr>
          <w:trHeight w:val="311" w:hRule="exact"/>
        </w:trPr>
        <w:tc>
          <w:tcPr>
            <w:tcW w:w="1400" w:type="dxa"/>
            <w:tcBorders>
              <w:top w:val="nil"/>
              <w:left w:val="nil"/>
              <w:bottom w:val="nil"/>
              <w:right w:val="nil"/>
            </w:tcBorders>
          </w:tcPr>
          <w:p>
            <w:pPr>
              <w:pStyle w:val="TableParagraph"/>
              <w:spacing w:before="47"/>
              <w:ind w:left="69" w:right="58"/>
              <w:jc w:val="left"/>
              <w:rPr>
                <w:sz w:val="18"/>
              </w:rPr>
            </w:pPr>
            <w:r>
              <w:rPr>
                <w:sz w:val="18"/>
              </w:rPr>
              <w:t>Intermedias</w:t>
            </w:r>
          </w:p>
        </w:tc>
        <w:tc>
          <w:tcPr>
            <w:tcW w:w="776" w:type="dxa"/>
            <w:tcBorders>
              <w:top w:val="nil"/>
              <w:left w:val="nil"/>
              <w:bottom w:val="nil"/>
              <w:right w:val="nil"/>
            </w:tcBorders>
          </w:tcPr>
          <w:p>
            <w:pPr>
              <w:pStyle w:val="TableParagraph"/>
              <w:spacing w:before="43"/>
              <w:ind w:left="154"/>
              <w:jc w:val="left"/>
              <w:rPr>
                <w:sz w:val="12"/>
              </w:rPr>
            </w:pPr>
            <w:r>
              <w:rPr>
                <w:sz w:val="18"/>
              </w:rPr>
              <w:t>10.65</w:t>
            </w:r>
            <w:r>
              <w:rPr>
                <w:position w:val="6"/>
                <w:sz w:val="12"/>
              </w:rPr>
              <w:t>a</w:t>
            </w:r>
          </w:p>
        </w:tc>
        <w:tc>
          <w:tcPr>
            <w:tcW w:w="784" w:type="dxa"/>
            <w:tcBorders>
              <w:top w:val="nil"/>
              <w:left w:val="nil"/>
              <w:bottom w:val="nil"/>
              <w:right w:val="nil"/>
            </w:tcBorders>
          </w:tcPr>
          <w:p>
            <w:pPr>
              <w:pStyle w:val="TableParagraph"/>
              <w:spacing w:before="43"/>
              <w:ind w:right="204"/>
              <w:jc w:val="right"/>
              <w:rPr>
                <w:sz w:val="12"/>
              </w:rPr>
            </w:pPr>
            <w:r>
              <w:rPr>
                <w:sz w:val="18"/>
              </w:rPr>
              <w:t>9.47</w:t>
            </w:r>
            <w:r>
              <w:rPr>
                <w:position w:val="6"/>
                <w:sz w:val="12"/>
              </w:rPr>
              <w:t>a</w:t>
            </w:r>
          </w:p>
        </w:tc>
        <w:tc>
          <w:tcPr>
            <w:tcW w:w="729" w:type="dxa"/>
            <w:tcBorders>
              <w:top w:val="nil"/>
              <w:left w:val="nil"/>
              <w:bottom w:val="nil"/>
              <w:right w:val="nil"/>
            </w:tcBorders>
          </w:tcPr>
          <w:p>
            <w:pPr>
              <w:pStyle w:val="TableParagraph"/>
              <w:spacing w:before="43"/>
              <w:ind w:left="68" w:right="64"/>
              <w:rPr>
                <w:sz w:val="12"/>
              </w:rPr>
            </w:pPr>
            <w:r>
              <w:rPr>
                <w:sz w:val="18"/>
              </w:rPr>
              <w:t>9.17</w:t>
            </w:r>
            <w:r>
              <w:rPr>
                <w:position w:val="6"/>
                <w:sz w:val="12"/>
              </w:rPr>
              <w:t>a</w:t>
            </w:r>
          </w:p>
        </w:tc>
        <w:tc>
          <w:tcPr>
            <w:tcW w:w="756" w:type="dxa"/>
            <w:tcBorders>
              <w:top w:val="nil"/>
              <w:left w:val="nil"/>
              <w:bottom w:val="nil"/>
              <w:right w:val="nil"/>
            </w:tcBorders>
          </w:tcPr>
          <w:p>
            <w:pPr>
              <w:pStyle w:val="TableParagraph"/>
              <w:spacing w:before="43"/>
              <w:ind w:left="127"/>
              <w:jc w:val="left"/>
              <w:rPr>
                <w:sz w:val="12"/>
              </w:rPr>
            </w:pPr>
            <w:r>
              <w:rPr>
                <w:sz w:val="18"/>
              </w:rPr>
              <w:t>14.16</w:t>
            </w:r>
            <w:r>
              <w:rPr>
                <w:position w:val="6"/>
                <w:sz w:val="12"/>
              </w:rPr>
              <w:t>b</w:t>
            </w:r>
          </w:p>
        </w:tc>
        <w:tc>
          <w:tcPr>
            <w:tcW w:w="541" w:type="dxa"/>
            <w:tcBorders>
              <w:top w:val="nil"/>
              <w:left w:val="nil"/>
              <w:bottom w:val="nil"/>
              <w:right w:val="nil"/>
            </w:tcBorders>
          </w:tcPr>
          <w:p>
            <w:pPr>
              <w:pStyle w:val="TableParagraph"/>
              <w:spacing w:before="47"/>
              <w:ind w:left="115"/>
              <w:jc w:val="left"/>
              <w:rPr>
                <w:sz w:val="18"/>
              </w:rPr>
            </w:pPr>
            <w:r>
              <w:rPr>
                <w:sz w:val="18"/>
              </w:rPr>
              <w:t>0.42</w:t>
            </w:r>
          </w:p>
        </w:tc>
        <w:tc>
          <w:tcPr>
            <w:tcW w:w="832" w:type="dxa"/>
            <w:tcBorders>
              <w:top w:val="nil"/>
              <w:left w:val="nil"/>
              <w:bottom w:val="nil"/>
              <w:right w:val="nil"/>
            </w:tcBorders>
          </w:tcPr>
          <w:p>
            <w:pPr>
              <w:pStyle w:val="TableParagraph"/>
              <w:spacing w:before="47"/>
              <w:ind w:left="110"/>
              <w:jc w:val="left"/>
              <w:rPr>
                <w:sz w:val="18"/>
              </w:rPr>
            </w:pPr>
            <w:r>
              <w:rPr>
                <w:sz w:val="18"/>
              </w:rPr>
              <w:t>0.0001</w:t>
            </w:r>
          </w:p>
        </w:tc>
        <w:tc>
          <w:tcPr>
            <w:tcW w:w="1077" w:type="dxa"/>
            <w:tcBorders>
              <w:top w:val="nil"/>
              <w:left w:val="nil"/>
              <w:bottom w:val="nil"/>
              <w:right w:val="nil"/>
            </w:tcBorders>
          </w:tcPr>
          <w:p>
            <w:pPr>
              <w:pStyle w:val="TableParagraph"/>
              <w:spacing w:before="47"/>
              <w:ind w:left="269"/>
              <w:jc w:val="left"/>
              <w:rPr>
                <w:sz w:val="18"/>
              </w:rPr>
            </w:pPr>
            <w:r>
              <w:rPr>
                <w:sz w:val="18"/>
              </w:rPr>
              <w:t>0.566</w:t>
            </w:r>
          </w:p>
        </w:tc>
        <w:tc>
          <w:tcPr>
            <w:tcW w:w="1010" w:type="dxa"/>
            <w:tcBorders>
              <w:top w:val="nil"/>
              <w:left w:val="nil"/>
              <w:bottom w:val="nil"/>
              <w:right w:val="nil"/>
            </w:tcBorders>
          </w:tcPr>
          <w:p>
            <w:pPr>
              <w:pStyle w:val="TableParagraph"/>
              <w:spacing w:before="47"/>
              <w:ind w:right="246"/>
              <w:jc w:val="right"/>
              <w:rPr>
                <w:sz w:val="18"/>
              </w:rPr>
            </w:pPr>
            <w:r>
              <w:rPr>
                <w:sz w:val="18"/>
              </w:rPr>
              <w:t>0.002</w:t>
            </w:r>
          </w:p>
        </w:tc>
        <w:tc>
          <w:tcPr>
            <w:tcW w:w="949" w:type="dxa"/>
            <w:tcBorders>
              <w:top w:val="nil"/>
              <w:left w:val="nil"/>
              <w:bottom w:val="nil"/>
              <w:right w:val="nil"/>
            </w:tcBorders>
          </w:tcPr>
          <w:p>
            <w:pPr>
              <w:pStyle w:val="TableParagraph"/>
              <w:spacing w:before="47"/>
              <w:ind w:left="248"/>
              <w:jc w:val="left"/>
              <w:rPr>
                <w:sz w:val="18"/>
              </w:rPr>
            </w:pPr>
            <w:r>
              <w:rPr>
                <w:sz w:val="18"/>
              </w:rPr>
              <w:t>0.001</w:t>
            </w:r>
          </w:p>
        </w:tc>
        <w:tc>
          <w:tcPr>
            <w:tcW w:w="946" w:type="dxa"/>
            <w:tcBorders>
              <w:top w:val="nil"/>
              <w:left w:val="nil"/>
              <w:bottom w:val="nil"/>
              <w:right w:val="nil"/>
            </w:tcBorders>
          </w:tcPr>
          <w:p>
            <w:pPr>
              <w:pStyle w:val="TableParagraph"/>
              <w:spacing w:before="47"/>
              <w:ind w:left="345"/>
              <w:jc w:val="left"/>
              <w:rPr>
                <w:sz w:val="18"/>
              </w:rPr>
            </w:pPr>
            <w:r>
              <w:rPr>
                <w:w w:val="99"/>
                <w:sz w:val="18"/>
              </w:rPr>
              <w:t>Q</w:t>
            </w:r>
          </w:p>
        </w:tc>
      </w:tr>
      <w:tr>
        <w:trPr>
          <w:trHeight w:val="368" w:hRule="exact"/>
        </w:trPr>
        <w:tc>
          <w:tcPr>
            <w:tcW w:w="1400" w:type="dxa"/>
            <w:tcBorders>
              <w:top w:val="nil"/>
              <w:left w:val="nil"/>
              <w:bottom w:val="single" w:sz="4" w:space="0" w:color="000000"/>
              <w:right w:val="nil"/>
            </w:tcBorders>
          </w:tcPr>
          <w:p>
            <w:pPr>
              <w:pStyle w:val="TableParagraph"/>
              <w:spacing w:before="48"/>
              <w:ind w:left="69" w:right="58"/>
              <w:jc w:val="left"/>
              <w:rPr>
                <w:sz w:val="18"/>
              </w:rPr>
            </w:pPr>
            <w:r>
              <w:rPr>
                <w:sz w:val="18"/>
              </w:rPr>
              <w:t>Claras</w:t>
            </w:r>
          </w:p>
        </w:tc>
        <w:tc>
          <w:tcPr>
            <w:tcW w:w="776" w:type="dxa"/>
            <w:tcBorders>
              <w:top w:val="nil"/>
              <w:left w:val="nil"/>
              <w:bottom w:val="single" w:sz="4" w:space="0" w:color="000000"/>
              <w:right w:val="nil"/>
            </w:tcBorders>
          </w:tcPr>
          <w:p>
            <w:pPr>
              <w:pStyle w:val="TableParagraph"/>
              <w:spacing w:before="44"/>
              <w:ind w:left="154"/>
              <w:jc w:val="left"/>
              <w:rPr>
                <w:sz w:val="12"/>
              </w:rPr>
            </w:pPr>
            <w:r>
              <w:rPr>
                <w:sz w:val="18"/>
              </w:rPr>
              <w:t>13.47</w:t>
            </w:r>
            <w:r>
              <w:rPr>
                <w:position w:val="6"/>
                <w:sz w:val="12"/>
              </w:rPr>
              <w:t>a</w:t>
            </w:r>
          </w:p>
        </w:tc>
        <w:tc>
          <w:tcPr>
            <w:tcW w:w="784" w:type="dxa"/>
            <w:tcBorders>
              <w:top w:val="nil"/>
              <w:left w:val="nil"/>
              <w:bottom w:val="single" w:sz="4" w:space="0" w:color="000000"/>
              <w:right w:val="nil"/>
            </w:tcBorders>
          </w:tcPr>
          <w:p>
            <w:pPr>
              <w:pStyle w:val="TableParagraph"/>
              <w:spacing w:before="44"/>
              <w:ind w:right="159"/>
              <w:jc w:val="right"/>
              <w:rPr>
                <w:sz w:val="12"/>
              </w:rPr>
            </w:pPr>
            <w:r>
              <w:rPr>
                <w:sz w:val="18"/>
              </w:rPr>
              <w:t>13.54</w:t>
            </w:r>
            <w:r>
              <w:rPr>
                <w:position w:val="6"/>
                <w:sz w:val="12"/>
              </w:rPr>
              <w:t>a</w:t>
            </w:r>
          </w:p>
        </w:tc>
        <w:tc>
          <w:tcPr>
            <w:tcW w:w="729" w:type="dxa"/>
            <w:tcBorders>
              <w:top w:val="nil"/>
              <w:left w:val="nil"/>
              <w:bottom w:val="single" w:sz="4" w:space="0" w:color="000000"/>
              <w:right w:val="nil"/>
            </w:tcBorders>
          </w:tcPr>
          <w:p>
            <w:pPr>
              <w:pStyle w:val="TableParagraph"/>
              <w:spacing w:before="44"/>
              <w:ind w:left="68" w:right="64"/>
              <w:rPr>
                <w:sz w:val="12"/>
              </w:rPr>
            </w:pPr>
            <w:r>
              <w:rPr>
                <w:sz w:val="18"/>
              </w:rPr>
              <w:t>12.68</w:t>
            </w:r>
            <w:r>
              <w:rPr>
                <w:position w:val="6"/>
                <w:sz w:val="12"/>
              </w:rPr>
              <w:t>a</w:t>
            </w:r>
          </w:p>
        </w:tc>
        <w:tc>
          <w:tcPr>
            <w:tcW w:w="756" w:type="dxa"/>
            <w:tcBorders>
              <w:top w:val="nil"/>
              <w:left w:val="nil"/>
              <w:bottom w:val="single" w:sz="4" w:space="0" w:color="000000"/>
              <w:right w:val="nil"/>
            </w:tcBorders>
          </w:tcPr>
          <w:p>
            <w:pPr>
              <w:pStyle w:val="TableParagraph"/>
              <w:spacing w:before="44"/>
              <w:ind w:left="127"/>
              <w:jc w:val="left"/>
              <w:rPr>
                <w:sz w:val="12"/>
              </w:rPr>
            </w:pPr>
            <w:r>
              <w:rPr>
                <w:sz w:val="18"/>
              </w:rPr>
              <w:t>17.86</w:t>
            </w:r>
            <w:r>
              <w:rPr>
                <w:position w:val="6"/>
                <w:sz w:val="12"/>
              </w:rPr>
              <w:t>b</w:t>
            </w:r>
          </w:p>
        </w:tc>
        <w:tc>
          <w:tcPr>
            <w:tcW w:w="541" w:type="dxa"/>
            <w:tcBorders>
              <w:top w:val="nil"/>
              <w:left w:val="nil"/>
              <w:bottom w:val="single" w:sz="4" w:space="0" w:color="000000"/>
              <w:right w:val="nil"/>
            </w:tcBorders>
          </w:tcPr>
          <w:p>
            <w:pPr>
              <w:pStyle w:val="TableParagraph"/>
              <w:spacing w:before="48"/>
              <w:ind w:left="115"/>
              <w:jc w:val="left"/>
              <w:rPr>
                <w:sz w:val="18"/>
              </w:rPr>
            </w:pPr>
            <w:r>
              <w:rPr>
                <w:sz w:val="18"/>
              </w:rPr>
              <w:t>0.64</w:t>
            </w:r>
          </w:p>
        </w:tc>
        <w:tc>
          <w:tcPr>
            <w:tcW w:w="832" w:type="dxa"/>
            <w:tcBorders>
              <w:top w:val="nil"/>
              <w:left w:val="nil"/>
              <w:bottom w:val="single" w:sz="4" w:space="0" w:color="000000"/>
              <w:right w:val="nil"/>
            </w:tcBorders>
          </w:tcPr>
          <w:p>
            <w:pPr>
              <w:pStyle w:val="TableParagraph"/>
              <w:spacing w:before="48"/>
              <w:ind w:left="110"/>
              <w:jc w:val="left"/>
              <w:rPr>
                <w:sz w:val="18"/>
              </w:rPr>
            </w:pPr>
            <w:r>
              <w:rPr>
                <w:sz w:val="18"/>
              </w:rPr>
              <w:t>0.0001</w:t>
            </w:r>
          </w:p>
        </w:tc>
        <w:tc>
          <w:tcPr>
            <w:tcW w:w="1077" w:type="dxa"/>
            <w:tcBorders>
              <w:top w:val="nil"/>
              <w:left w:val="nil"/>
              <w:bottom w:val="single" w:sz="4" w:space="0" w:color="000000"/>
              <w:right w:val="nil"/>
            </w:tcBorders>
          </w:tcPr>
          <w:p>
            <w:pPr>
              <w:pStyle w:val="TableParagraph"/>
              <w:spacing w:before="48"/>
              <w:ind w:left="293"/>
              <w:jc w:val="left"/>
              <w:rPr>
                <w:sz w:val="18"/>
              </w:rPr>
            </w:pPr>
            <w:r>
              <w:rPr>
                <w:sz w:val="18"/>
              </w:rPr>
              <w:t>0.106</w:t>
            </w:r>
          </w:p>
        </w:tc>
        <w:tc>
          <w:tcPr>
            <w:tcW w:w="1010" w:type="dxa"/>
            <w:tcBorders>
              <w:top w:val="nil"/>
              <w:left w:val="nil"/>
              <w:bottom w:val="single" w:sz="4" w:space="0" w:color="000000"/>
              <w:right w:val="nil"/>
            </w:tcBorders>
          </w:tcPr>
          <w:p>
            <w:pPr>
              <w:pStyle w:val="TableParagraph"/>
              <w:spacing w:before="48"/>
              <w:ind w:right="246"/>
              <w:jc w:val="right"/>
              <w:rPr>
                <w:sz w:val="18"/>
              </w:rPr>
            </w:pPr>
            <w:r>
              <w:rPr>
                <w:sz w:val="18"/>
              </w:rPr>
              <w:t>0.037</w:t>
            </w:r>
          </w:p>
        </w:tc>
        <w:tc>
          <w:tcPr>
            <w:tcW w:w="949" w:type="dxa"/>
            <w:tcBorders>
              <w:top w:val="nil"/>
              <w:left w:val="nil"/>
              <w:bottom w:val="single" w:sz="4" w:space="0" w:color="000000"/>
              <w:right w:val="nil"/>
            </w:tcBorders>
          </w:tcPr>
          <w:p>
            <w:pPr>
              <w:pStyle w:val="TableParagraph"/>
              <w:spacing w:before="48"/>
              <w:ind w:left="248"/>
              <w:jc w:val="left"/>
              <w:rPr>
                <w:sz w:val="18"/>
              </w:rPr>
            </w:pPr>
            <w:r>
              <w:rPr>
                <w:sz w:val="18"/>
              </w:rPr>
              <w:t>0.001</w:t>
            </w:r>
          </w:p>
        </w:tc>
        <w:tc>
          <w:tcPr>
            <w:tcW w:w="946" w:type="dxa"/>
            <w:tcBorders>
              <w:top w:val="nil"/>
              <w:left w:val="nil"/>
              <w:bottom w:val="single" w:sz="4" w:space="0" w:color="000000"/>
              <w:right w:val="nil"/>
            </w:tcBorders>
          </w:tcPr>
          <w:p>
            <w:pPr>
              <w:pStyle w:val="TableParagraph"/>
              <w:spacing w:before="48"/>
              <w:ind w:left="345"/>
              <w:jc w:val="left"/>
              <w:rPr>
                <w:sz w:val="18"/>
              </w:rPr>
            </w:pPr>
            <w:r>
              <w:rPr>
                <w:w w:val="99"/>
                <w:sz w:val="18"/>
              </w:rPr>
              <w:t>Q</w:t>
            </w:r>
          </w:p>
        </w:tc>
      </w:tr>
    </w:tbl>
    <w:p>
      <w:pPr>
        <w:spacing w:line="240" w:lineRule="exact" w:before="0"/>
        <w:ind w:left="592" w:right="743" w:firstLine="0"/>
        <w:jc w:val="left"/>
        <w:rPr>
          <w:sz w:val="22"/>
        </w:rPr>
      </w:pPr>
      <w:r>
        <w:rPr>
          <w:position w:val="8"/>
          <w:sz w:val="14"/>
        </w:rPr>
        <w:t>1  </w:t>
      </w:r>
      <w:r>
        <w:rPr>
          <w:sz w:val="22"/>
        </w:rPr>
        <w:t>Error Estándar de la Media</w:t>
      </w:r>
    </w:p>
    <w:p>
      <w:pPr>
        <w:spacing w:line="253" w:lineRule="exact" w:before="0"/>
        <w:ind w:left="592" w:right="743" w:firstLine="0"/>
        <w:jc w:val="left"/>
        <w:rPr>
          <w:sz w:val="22"/>
        </w:rPr>
      </w:pPr>
      <w:r>
        <w:rPr>
          <w:position w:val="8"/>
          <w:sz w:val="14"/>
        </w:rPr>
        <w:t>2</w:t>
      </w:r>
      <w:r>
        <w:rPr>
          <w:sz w:val="22"/>
        </w:rPr>
        <w:t>Efectos L, Lineal; Q, Cuadrático (P&lt;0.05), NS=no significativo (P&gt;0.05)</w:t>
      </w:r>
    </w:p>
    <w:p>
      <w:pPr>
        <w:spacing w:line="255" w:lineRule="exact" w:before="0"/>
        <w:ind w:left="592" w:right="743" w:firstLine="0"/>
        <w:jc w:val="left"/>
        <w:rPr>
          <w:sz w:val="22"/>
        </w:rPr>
      </w:pPr>
      <w:r>
        <w:rPr>
          <w:position w:val="8"/>
          <w:sz w:val="14"/>
        </w:rPr>
        <w:t>ab </w:t>
      </w:r>
      <w:r>
        <w:rPr>
          <w:sz w:val="22"/>
        </w:rPr>
        <w:t>Medias con literales diferentes en la misma fila, difieren estadísticamente (P&lt;0.05).</w:t>
      </w:r>
    </w:p>
    <w:p>
      <w:pPr>
        <w:spacing w:after="0" w:line="255" w:lineRule="exact"/>
        <w:jc w:val="left"/>
        <w:rPr>
          <w:sz w:val="22"/>
        </w:rPr>
        <w:sectPr>
          <w:type w:val="continuous"/>
          <w:pgSz w:w="12240" w:h="15840"/>
          <w:pgMar w:top="1500" w:bottom="280" w:left="1280" w:right="920"/>
        </w:sectPr>
      </w:pPr>
    </w:p>
    <w:p>
      <w:pPr>
        <w:pStyle w:val="BodyText"/>
        <w:spacing w:before="7"/>
        <w:rPr>
          <w:sz w:val="9"/>
        </w:rPr>
      </w:pPr>
    </w:p>
    <w:p>
      <w:pPr>
        <w:pStyle w:val="Heading1"/>
        <w:numPr>
          <w:ilvl w:val="0"/>
          <w:numId w:val="28"/>
        </w:numPr>
        <w:tabs>
          <w:tab w:pos="4085" w:val="left" w:leader="none"/>
        </w:tabs>
        <w:spacing w:line="240" w:lineRule="auto" w:before="69" w:after="0"/>
        <w:ind w:left="4084" w:right="0" w:hanging="240"/>
        <w:jc w:val="left"/>
      </w:pPr>
      <w:bookmarkStart w:name="_bookmark76" w:id="146"/>
      <w:bookmarkEnd w:id="146"/>
      <w:r>
        <w:rPr>
          <w:b w:val="0"/>
        </w:rPr>
      </w:r>
      <w:bookmarkStart w:name="_bookmark76" w:id="147"/>
      <w:bookmarkEnd w:id="147"/>
      <w:r>
        <w:rPr/>
        <w:t>DISC</w:t>
      </w:r>
      <w:r>
        <w:rPr/>
        <w:t>USIÓN</w:t>
      </w:r>
    </w:p>
    <w:p>
      <w:pPr>
        <w:spacing w:before="137"/>
        <w:ind w:left="212" w:right="0" w:firstLine="0"/>
        <w:jc w:val="left"/>
        <w:rPr>
          <w:b/>
          <w:sz w:val="24"/>
        </w:rPr>
      </w:pPr>
      <w:bookmarkStart w:name="_bookmark77" w:id="148"/>
      <w:bookmarkEnd w:id="148"/>
      <w:r>
        <w:rPr/>
      </w:r>
      <w:r>
        <w:rPr>
          <w:b/>
          <w:sz w:val="24"/>
        </w:rPr>
        <w:t>8.1 Respuesta productiva</w:t>
      </w:r>
    </w:p>
    <w:p>
      <w:pPr>
        <w:pStyle w:val="BodyText"/>
        <w:rPr>
          <w:b/>
          <w:sz w:val="20"/>
        </w:rPr>
      </w:pPr>
    </w:p>
    <w:p>
      <w:pPr>
        <w:pStyle w:val="BodyText"/>
        <w:spacing w:before="6"/>
        <w:rPr>
          <w:b/>
          <w:sz w:val="21"/>
        </w:rPr>
      </w:pPr>
    </w:p>
    <w:p>
      <w:pPr>
        <w:pStyle w:val="BodyText"/>
        <w:spacing w:line="357" w:lineRule="auto" w:before="69"/>
        <w:ind w:left="212" w:right="105" w:firstLine="707"/>
        <w:jc w:val="both"/>
      </w:pPr>
      <w:r>
        <w:rPr/>
        <w:t>Las variables CMS, GDP, CA, EA y PVF no mostraron diferencias (P&gt;0.05). La ausencia de efecto de la adición de Cr a partir de Levadura alta en Cr (LevCr) en la respuesta productiva de corderos en engorda observada en la presente investigación, coincide con lo reportado en rumiantes por otros autores, Chang </w:t>
      </w:r>
      <w:r>
        <w:rPr>
          <w:i/>
        </w:rPr>
        <w:t>et al. </w:t>
      </w:r>
      <w:r>
        <w:rPr/>
        <w:t>(1992) mencionan que una fuente orgánica de Cr (LevCr) en dosis de 0.2 mg/kg</w:t>
      </w:r>
      <w:r>
        <w:rPr>
          <w:position w:val="9"/>
          <w:sz w:val="16"/>
        </w:rPr>
        <w:t>-1 </w:t>
      </w:r>
      <w:r>
        <w:rPr/>
        <w:t>no mejoró la GDP en novillos; por su parte, Arvizu </w:t>
      </w:r>
      <w:r>
        <w:rPr>
          <w:i/>
        </w:rPr>
        <w:t>et al. </w:t>
      </w:r>
      <w:r>
        <w:rPr/>
        <w:t>(2011) al evaluar en ovinos en pastoreo el efecto de un suplemento proteico y energético y una fuente orgánica de Cr (LevCr) con dosis de 0.25 ppm, indicaron que ninguna de las variables de crecimiento fue afectada por el Cr; Moreno </w:t>
      </w:r>
      <w:r>
        <w:rPr>
          <w:i/>
        </w:rPr>
        <w:t>et al., </w:t>
      </w:r>
      <w:r>
        <w:rPr/>
        <w:t>(2014) no observaron efecto de una fuente orgánica de Cr (LevCr) con dosis de 0.2  y</w:t>
      </w:r>
    </w:p>
    <w:p>
      <w:pPr>
        <w:pStyle w:val="BodyText"/>
        <w:spacing w:line="357" w:lineRule="auto" w:before="9"/>
        <w:ind w:left="212" w:right="103"/>
        <w:jc w:val="both"/>
      </w:pPr>
      <w:r>
        <w:rPr/>
        <w:t>0.4 ppm Cr en ovinos Suffolk, sin embargo, diversos autores han encontrado incrementos en la ganancia de peso de ovinos en engorda con la adición de LevCr con niveles entre 0.3  y 0.8 mg Cr kg</w:t>
      </w:r>
      <w:r>
        <w:rPr>
          <w:position w:val="9"/>
          <w:sz w:val="16"/>
        </w:rPr>
        <w:t>-1 </w:t>
      </w:r>
      <w:r>
        <w:rPr/>
        <w:t>MS. Así, Yan </w:t>
      </w:r>
      <w:r>
        <w:rPr>
          <w:i/>
        </w:rPr>
        <w:t>et al. </w:t>
      </w:r>
      <w:r>
        <w:rPr/>
        <w:t>(2008) al adicionar con 0.4 y 0.8 ppm de levadura de Cr en ovinos; Pollard </w:t>
      </w:r>
      <w:r>
        <w:rPr>
          <w:i/>
        </w:rPr>
        <w:t>et al</w:t>
      </w:r>
      <w:r>
        <w:rPr/>
        <w:t>. (2002)  con 0.4 ppm de LevCr en bovinos, indicaron aumento  en la GDP. En otros estudios, en bovinos bajo estrés, suplementados con LevCr, mejoraron su respuesta inmune y eficiencia productiva; novillos con 0.4 ppm de LevCr tuvieron  mayor GDP (Chang y Mowat, 1992); bovinos al inicio de la engorda ganaron más peso por efecto de la LevCr (Mowat </w:t>
      </w:r>
      <w:r>
        <w:rPr>
          <w:i/>
        </w:rPr>
        <w:t>et al., </w:t>
      </w:r>
      <w:r>
        <w:rPr/>
        <w:t>1993); bovinos y ovinos en engorda tuvieron respuesta lineal en la GDP al incluir LevCr en dosis 0.50 ppm (Moonsie-shager y Mowat, 1993); 0.30 ppm (Kraidees </w:t>
      </w:r>
      <w:r>
        <w:rPr>
          <w:i/>
        </w:rPr>
        <w:t>et al</w:t>
      </w:r>
      <w:r>
        <w:rPr/>
        <w:t>., 2009); 0.35 ppm (Domínguez-Vara </w:t>
      </w:r>
      <w:r>
        <w:rPr>
          <w:i/>
        </w:rPr>
        <w:t>et al</w:t>
      </w:r>
      <w:r>
        <w:rPr/>
        <w:t>., 2009); y 0.40 ppm (Estrada-Angulo </w:t>
      </w:r>
      <w:r>
        <w:rPr>
          <w:i/>
        </w:rPr>
        <w:t>et al</w:t>
      </w:r>
      <w:r>
        <w:rPr/>
        <w:t>., 2013). En el presente estudio se cubrió un rango de Cr suplementario (de 0.2 a 0.6 mg Cr kg</w:t>
      </w:r>
      <w:r>
        <w:rPr>
          <w:position w:val="9"/>
          <w:sz w:val="16"/>
        </w:rPr>
        <w:t>-1 </w:t>
      </w:r>
      <w:r>
        <w:rPr/>
        <w:t>MS), que abarca el rango usado en la mayoría de los experimentos, por lo que los resultados obtenidos se consideran representativos y corroboran lo variable de la respuesta que se puede esperar con relación al impacto en el desempeño productivo de los ovinos en engorda al suplementar Cr usando como fuente levaduras con alto contenido de</w:t>
      </w:r>
      <w:r>
        <w:rPr>
          <w:spacing w:val="-5"/>
        </w:rPr>
        <w:t> </w:t>
      </w:r>
      <w:r>
        <w:rPr/>
        <w:t>Cr.</w:t>
      </w:r>
    </w:p>
    <w:p>
      <w:pPr>
        <w:spacing w:after="0" w:line="357" w:lineRule="auto"/>
        <w:jc w:val="both"/>
        <w:sectPr>
          <w:headerReference w:type="default" r:id="rId98"/>
          <w:pgSz w:w="12240" w:h="15840"/>
          <w:pgMar w:header="1154" w:footer="1503" w:top="1620" w:bottom="1700" w:left="1660" w:right="1420"/>
        </w:sectPr>
      </w:pPr>
    </w:p>
    <w:p>
      <w:pPr>
        <w:pStyle w:val="BodyText"/>
        <w:spacing w:before="2"/>
        <w:rPr>
          <w:sz w:val="9"/>
        </w:rPr>
      </w:pPr>
    </w:p>
    <w:p>
      <w:pPr>
        <w:pStyle w:val="BodyText"/>
        <w:spacing w:line="360" w:lineRule="auto" w:before="69"/>
        <w:ind w:left="212" w:right="106" w:firstLine="707"/>
        <w:jc w:val="both"/>
      </w:pPr>
      <w:r>
        <w:rPr/>
        <w:t>La perspectiva del empleo de LevCr con otras fuentes de Cr orgánico usadas en la nutrición de rumiantes, como el picolinato de Cr (PicCr) es similar, dado que en algunos casos no existe efecto en la respuesta productiva de los ovinos, Forbes </w:t>
      </w:r>
      <w:r>
        <w:rPr>
          <w:i/>
        </w:rPr>
        <w:t>et al. </w:t>
      </w:r>
      <w:r>
        <w:rPr/>
        <w:t>(1998) reportaron que la adición de 0.37 ppm de PicCr no afectó el crecimiento de ovinos; Guifen </w:t>
      </w:r>
      <w:r>
        <w:rPr>
          <w:i/>
        </w:rPr>
        <w:t>et al. </w:t>
      </w:r>
      <w:r>
        <w:rPr/>
        <w:t>(2011) no observaron efectos en la respuesta productiva en novillos usando una fuente orgánica  de Cr (PicCr) en contraste Olsen </w:t>
      </w:r>
      <w:r>
        <w:rPr>
          <w:i/>
        </w:rPr>
        <w:t>et al. </w:t>
      </w:r>
      <w:r>
        <w:rPr/>
        <w:t>(1996); indicaron que     la adición de 0.5 a</w:t>
      </w:r>
    </w:p>
    <w:p>
      <w:pPr>
        <w:pStyle w:val="BodyText"/>
        <w:spacing w:line="282" w:lineRule="exact"/>
        <w:ind w:left="212"/>
      </w:pPr>
      <w:r>
        <w:rPr/>
        <w:t>1.0 mg Cr kg</w:t>
      </w:r>
      <w:r>
        <w:rPr>
          <w:position w:val="9"/>
          <w:sz w:val="16"/>
        </w:rPr>
        <w:t>-1  </w:t>
      </w:r>
      <w:r>
        <w:rPr/>
        <w:t>MS apreciaron aumento en la ganancia de peso en ovinos.</w:t>
      </w:r>
    </w:p>
    <w:p>
      <w:pPr>
        <w:spacing w:line="360" w:lineRule="auto" w:before="137"/>
        <w:ind w:left="212" w:right="105" w:firstLine="707"/>
        <w:jc w:val="both"/>
        <w:rPr>
          <w:sz w:val="23"/>
        </w:rPr>
      </w:pPr>
      <w:r>
        <w:rPr>
          <w:sz w:val="24"/>
        </w:rPr>
        <w:t>Es evidente que la respuesta del Cr orgánico en el crecimiento de rumiantes aún es inconsistente; más aún, las bases para justificar las inconsistencias en la respuesta del crecimiento a la suplementación con LevCr no están claras. Diversas investigaciones señalan que la eficacia de la suplementación con LevCr depende del nivel  de administración y del tipo de levadura utilizada (Valdés </w:t>
      </w:r>
      <w:r>
        <w:rPr>
          <w:i/>
          <w:sz w:val="24"/>
        </w:rPr>
        <w:t>et al., </w:t>
      </w:r>
      <w:r>
        <w:rPr>
          <w:sz w:val="24"/>
        </w:rPr>
        <w:t>2011). Por otra parte existen otra serie de factores que pueden influir en la respuesta de este mineral, factores tales como la edad de los animales, el tiempo de suplementación, el manejo nutricional previo al experimento, la composición nutrimental de la dieta, el estrés y el nivel basal de Cr en los animales. Lukaski, (1999) menciona que los efectos ambiguos sobre el crecimiento en animales, probablemente se refiere a si el contenido de Cr en la dieta ha sido adecuado para satisfacer las necesidades fisiológicas de estos, </w:t>
      </w:r>
      <w:r>
        <w:rPr>
          <w:spacing w:val="-3"/>
          <w:sz w:val="24"/>
        </w:rPr>
        <w:t>ya </w:t>
      </w:r>
      <w:r>
        <w:rPr>
          <w:sz w:val="24"/>
        </w:rPr>
        <w:t>que el Cr ingerido en la dieta, el Cr absorbido y el Cr metabolizado se altera por diversos  factores, por tanto, el contenido de  Cr ingerido no es proporcional a la cantidad de Cr disponible para potenciar la acción de la insulina </w:t>
      </w:r>
      <w:r>
        <w:rPr>
          <w:sz w:val="23"/>
        </w:rPr>
        <w:t>(Bunting, 1999; Mowat, 1994; Hunt y Stoecker, 1996), por otra parte, los beneficios más consistentes del Cr en la respuesta productiva se han asociado con animales sometidos a estrés en bovinos (Chang y Mowat, 1992; Moonsie-Shageer y Mowat, 1993) estos estudios indican que el Cr en la dieta de terneros sometidos a estrés por transporte y vacunación, mejoró la ganancia de peso inicial, Kraidess </w:t>
      </w:r>
      <w:r>
        <w:rPr>
          <w:i/>
          <w:sz w:val="23"/>
        </w:rPr>
        <w:t>et al., </w:t>
      </w:r>
      <w:r>
        <w:rPr>
          <w:sz w:val="23"/>
        </w:rPr>
        <w:t>(2009) indicaron mejoras en la GDP de ovinos sometidos a estrés con la adición de Cr en la dieta (LevCr), así mismo Juárez, (2006) indica  que la ausencia de respuesta del Cr se puede asociar con el estado de carencia del mineral, </w:t>
      </w:r>
      <w:r>
        <w:rPr>
          <w:spacing w:val="-3"/>
          <w:sz w:val="23"/>
        </w:rPr>
        <w:t>ya </w:t>
      </w:r>
      <w:r>
        <w:rPr>
          <w:sz w:val="23"/>
        </w:rPr>
        <w:t>que en humanos el papel del Cr en el metabolismo de la glucosa, se manifiesta cuando el mineral</w:t>
      </w:r>
      <w:r>
        <w:rPr>
          <w:spacing w:val="18"/>
          <w:sz w:val="23"/>
        </w:rPr>
        <w:t> </w:t>
      </w:r>
      <w:r>
        <w:rPr>
          <w:sz w:val="23"/>
        </w:rPr>
        <w:t>es</w:t>
      </w:r>
      <w:r>
        <w:rPr>
          <w:spacing w:val="17"/>
          <w:sz w:val="23"/>
        </w:rPr>
        <w:t> </w:t>
      </w:r>
      <w:r>
        <w:rPr>
          <w:sz w:val="23"/>
        </w:rPr>
        <w:t>incluido</w:t>
      </w:r>
      <w:r>
        <w:rPr>
          <w:spacing w:val="18"/>
          <w:sz w:val="23"/>
        </w:rPr>
        <w:t> </w:t>
      </w:r>
      <w:r>
        <w:rPr>
          <w:sz w:val="23"/>
        </w:rPr>
        <w:t>en</w:t>
      </w:r>
      <w:r>
        <w:rPr>
          <w:spacing w:val="18"/>
          <w:sz w:val="23"/>
        </w:rPr>
        <w:t> </w:t>
      </w:r>
      <w:r>
        <w:rPr>
          <w:sz w:val="23"/>
        </w:rPr>
        <w:t>la</w:t>
      </w:r>
      <w:r>
        <w:rPr>
          <w:spacing w:val="18"/>
          <w:sz w:val="23"/>
        </w:rPr>
        <w:t> </w:t>
      </w:r>
      <w:r>
        <w:rPr>
          <w:sz w:val="23"/>
        </w:rPr>
        <w:t>dieta</w:t>
      </w:r>
      <w:r>
        <w:rPr>
          <w:spacing w:val="18"/>
          <w:sz w:val="23"/>
        </w:rPr>
        <w:t> </w:t>
      </w:r>
      <w:r>
        <w:rPr>
          <w:sz w:val="23"/>
        </w:rPr>
        <w:t>en</w:t>
      </w:r>
      <w:r>
        <w:rPr>
          <w:spacing w:val="18"/>
          <w:sz w:val="23"/>
        </w:rPr>
        <w:t> </w:t>
      </w:r>
      <w:r>
        <w:rPr>
          <w:sz w:val="23"/>
        </w:rPr>
        <w:t>estados</w:t>
      </w:r>
      <w:r>
        <w:rPr>
          <w:spacing w:val="17"/>
          <w:sz w:val="23"/>
        </w:rPr>
        <w:t> </w:t>
      </w:r>
      <w:r>
        <w:rPr>
          <w:sz w:val="23"/>
        </w:rPr>
        <w:t>de</w:t>
      </w:r>
      <w:r>
        <w:rPr>
          <w:spacing w:val="18"/>
          <w:sz w:val="23"/>
        </w:rPr>
        <w:t> </w:t>
      </w:r>
      <w:r>
        <w:rPr>
          <w:sz w:val="23"/>
        </w:rPr>
        <w:t>deficiencia,</w:t>
      </w:r>
      <w:r>
        <w:rPr>
          <w:spacing w:val="18"/>
          <w:sz w:val="23"/>
        </w:rPr>
        <w:t> </w:t>
      </w:r>
      <w:r>
        <w:rPr>
          <w:sz w:val="23"/>
        </w:rPr>
        <w:t>en</w:t>
      </w:r>
      <w:r>
        <w:rPr>
          <w:spacing w:val="18"/>
          <w:sz w:val="23"/>
        </w:rPr>
        <w:t> </w:t>
      </w:r>
      <w:r>
        <w:rPr>
          <w:sz w:val="23"/>
        </w:rPr>
        <w:t>cambio</w:t>
      </w:r>
      <w:r>
        <w:rPr>
          <w:spacing w:val="18"/>
          <w:sz w:val="23"/>
        </w:rPr>
        <w:t> </w:t>
      </w:r>
      <w:r>
        <w:rPr>
          <w:sz w:val="23"/>
        </w:rPr>
        <w:t>cuando</w:t>
      </w:r>
      <w:r>
        <w:rPr>
          <w:spacing w:val="15"/>
          <w:sz w:val="23"/>
        </w:rPr>
        <w:t> </w:t>
      </w:r>
      <w:r>
        <w:rPr>
          <w:sz w:val="23"/>
        </w:rPr>
        <w:t>se</w:t>
      </w:r>
      <w:r>
        <w:rPr>
          <w:spacing w:val="18"/>
          <w:sz w:val="23"/>
        </w:rPr>
        <w:t> </w:t>
      </w:r>
      <w:r>
        <w:rPr>
          <w:sz w:val="23"/>
        </w:rPr>
        <w:t>suplementa</w:t>
      </w:r>
      <w:r>
        <w:rPr>
          <w:spacing w:val="18"/>
          <w:sz w:val="23"/>
        </w:rPr>
        <w:t> </w:t>
      </w:r>
      <w:r>
        <w:rPr>
          <w:sz w:val="23"/>
        </w:rPr>
        <w:t>en</w:t>
      </w:r>
    </w:p>
    <w:p>
      <w:pPr>
        <w:spacing w:after="0" w:line="360" w:lineRule="auto"/>
        <w:jc w:val="both"/>
        <w:rPr>
          <w:sz w:val="23"/>
        </w:rPr>
        <w:sectPr>
          <w:pgSz w:w="12240" w:h="15840"/>
          <w:pgMar w:header="1154" w:footer="1503" w:top="1620" w:bottom="1700" w:left="1660" w:right="1420"/>
        </w:sectPr>
      </w:pPr>
    </w:p>
    <w:p>
      <w:pPr>
        <w:pStyle w:val="BodyText"/>
        <w:rPr>
          <w:sz w:val="9"/>
        </w:rPr>
      </w:pPr>
    </w:p>
    <w:p>
      <w:pPr>
        <w:spacing w:line="360" w:lineRule="auto" w:before="71"/>
        <w:ind w:left="212" w:right="0" w:firstLine="0"/>
        <w:jc w:val="left"/>
        <w:rPr>
          <w:sz w:val="23"/>
        </w:rPr>
      </w:pPr>
      <w:r>
        <w:rPr>
          <w:sz w:val="23"/>
        </w:rPr>
        <w:t>otras condiciones como en individuos sanos o diabéticos que consumen dietas normales, los resultados son inconsistentes (Vincent, 2000; Cefalú y Hu, 2004).</w:t>
      </w:r>
    </w:p>
    <w:p>
      <w:pPr>
        <w:pStyle w:val="BodyText"/>
        <w:rPr>
          <w:sz w:val="22"/>
        </w:rPr>
      </w:pPr>
    </w:p>
    <w:p>
      <w:pPr>
        <w:pStyle w:val="Heading1"/>
        <w:numPr>
          <w:ilvl w:val="1"/>
          <w:numId w:val="29"/>
        </w:numPr>
        <w:tabs>
          <w:tab w:pos="573" w:val="left" w:leader="none"/>
        </w:tabs>
        <w:spacing w:line="240" w:lineRule="auto" w:before="154" w:after="0"/>
        <w:ind w:left="572" w:right="0" w:hanging="360"/>
        <w:jc w:val="left"/>
      </w:pPr>
      <w:bookmarkStart w:name="_bookmark78" w:id="149"/>
      <w:bookmarkEnd w:id="149"/>
      <w:r>
        <w:rPr>
          <w:b w:val="0"/>
        </w:rPr>
      </w:r>
      <w:bookmarkStart w:name="_bookmark78" w:id="150"/>
      <w:bookmarkEnd w:id="150"/>
      <w:r>
        <w:rPr/>
        <w:t>E</w:t>
      </w:r>
      <w:r>
        <w:rPr/>
        <w:t>nsayo metabólico (Metabolitos en</w:t>
      </w:r>
      <w:r>
        <w:rPr>
          <w:spacing w:val="-11"/>
        </w:rPr>
        <w:t> </w:t>
      </w:r>
      <w:r>
        <w:rPr/>
        <w:t>plasma)</w:t>
      </w:r>
    </w:p>
    <w:p>
      <w:pPr>
        <w:pStyle w:val="BodyText"/>
        <w:rPr>
          <w:b/>
        </w:rPr>
      </w:pPr>
    </w:p>
    <w:p>
      <w:pPr>
        <w:pStyle w:val="BodyText"/>
        <w:spacing w:before="6"/>
        <w:rPr>
          <w:b/>
          <w:sz w:val="23"/>
        </w:rPr>
      </w:pPr>
    </w:p>
    <w:p>
      <w:pPr>
        <w:pStyle w:val="BodyText"/>
        <w:spacing w:line="360" w:lineRule="auto"/>
        <w:ind w:left="212" w:right="105" w:firstLine="707"/>
        <w:jc w:val="both"/>
      </w:pPr>
      <w:r>
        <w:rPr/>
        <w:t>El Cr influye en el metabolismo lipídico, los lípidos de la sangre con frecuencia bajan cuando la dieta se suplementa con Cr (Mertz, 1993; Abraham </w:t>
      </w:r>
      <w:r>
        <w:rPr>
          <w:i/>
        </w:rPr>
        <w:t>et al., </w:t>
      </w:r>
      <w:r>
        <w:rPr/>
        <w:t>1992); sin embargo, en rumiantes este resultado ha sido inconsistente. En esta investigación, sólo en la semana siete de prueba, en ayuno, las dosis de 0.2 y 0.4 mg Cr/kg MS disminuyeron el contenido de triglicéridos (P&lt;0.01); también hubo un efecto cuadrático (P&lt;0.05) por la  dosis de Cr. En la semana dos postalimentación, las dosis de 0.4 y 0.6 ppm no redujeron los (P&gt;0.05). Estos resultados coincide con la respuesta cuadrática encontrada por diversos autores, Domínguez </w:t>
      </w:r>
      <w:r>
        <w:rPr>
          <w:i/>
        </w:rPr>
        <w:t>et al. </w:t>
      </w:r>
      <w:r>
        <w:rPr/>
        <w:t>(2009) indicaron una respuesta cuadrática en la concentración de triglicéridos en ovinos al suplementar 0.25 y 0.35 mg Cr/kg MS a partir de LevCr. Así mismo, la suplementación entre 0.25 a 0.8 mg Cr/kg MS con PicCr ha disminuido los triglicéridos circulantes en ovinos, Kitchalong </w:t>
      </w:r>
      <w:r>
        <w:rPr>
          <w:i/>
        </w:rPr>
        <w:t>et al. </w:t>
      </w:r>
      <w:r>
        <w:rPr/>
        <w:t>(1995) encontraron que en ovinos Suffolk; la dosis de 0.25 ppm Cr (PicCr) redujo el colesterol plasmático, el cual disminuyó en 27% en la 2ª semana del experimento, Uyanik (2001) reportaron que con 0.2 y 0.4 ppm de Cr disminuyeron el nivel de triglicéridos en ovinos y Yan </w:t>
      </w:r>
      <w:r>
        <w:rPr>
          <w:i/>
        </w:rPr>
        <w:t>et al. </w:t>
      </w:r>
      <w:r>
        <w:rPr/>
        <w:t>(2008) resportaron una reducción del nivel de triglicéridos en ovinos suplementados con Cr (LevCr) en dosis de 400 y 800 ppb. Esta actividad del Cr en el metabolismo de lípidos en los rumiantes,  también es evidente en no rumiantes, Lien et al. (1999) en pollos de engorda indicaron una disminución de triglicéridos en plasma con </w:t>
      </w:r>
      <w:r>
        <w:rPr>
          <w:sz w:val="23"/>
        </w:rPr>
        <w:t>con 1600 ppb de Cr, </w:t>
      </w:r>
      <w:r>
        <w:rPr/>
        <w:t>Toghyani et al. (2012), encontraron una reducción de la concentración de triglicéridos en plasma con 1 500 µg de Nicotinato de cromo en aves bajo estrés, este mismo resultado fue reportado por Noori et  al. (2012) con 200, 400 u 800 ppb MetCr en pollo de</w:t>
      </w:r>
      <w:r>
        <w:rPr>
          <w:spacing w:val="-8"/>
        </w:rPr>
        <w:t> </w:t>
      </w:r>
      <w:r>
        <w:rPr/>
        <w:t>engorda.</w:t>
      </w:r>
    </w:p>
    <w:p>
      <w:pPr>
        <w:pStyle w:val="BodyText"/>
        <w:spacing w:line="360" w:lineRule="auto" w:before="6"/>
        <w:ind w:left="212" w:right="106" w:firstLine="707"/>
        <w:jc w:val="both"/>
      </w:pPr>
      <w:r>
        <w:rPr/>
        <w:t>La falta de efecto observable durante el resto de los muestreos coincide con lo apreciado en otros estudios con Cr adicional en ovinos y bovinos. DePew </w:t>
      </w:r>
      <w:r>
        <w:rPr>
          <w:i/>
        </w:rPr>
        <w:t>et al</w:t>
      </w:r>
      <w:r>
        <w:rPr/>
        <w:t>. (1996) indicaron  que  0.5  ppm  de  PicCr  no  modificó  los  triglicéridos  o  colesterol  en ovinos,</w:t>
      </w:r>
    </w:p>
    <w:p>
      <w:pPr>
        <w:spacing w:after="0" w:line="360" w:lineRule="auto"/>
        <w:jc w:val="both"/>
        <w:sectPr>
          <w:pgSz w:w="12240" w:h="15840"/>
          <w:pgMar w:header="1154" w:footer="1503" w:top="1620" w:bottom="1700" w:left="1660" w:right="1420"/>
        </w:sectPr>
      </w:pPr>
    </w:p>
    <w:p>
      <w:pPr>
        <w:pStyle w:val="BodyText"/>
        <w:spacing w:before="2"/>
        <w:rPr>
          <w:sz w:val="9"/>
        </w:rPr>
      </w:pPr>
    </w:p>
    <w:p>
      <w:pPr>
        <w:pStyle w:val="BodyText"/>
        <w:spacing w:line="360" w:lineRule="auto" w:before="69"/>
        <w:ind w:left="212" w:right="104"/>
        <w:jc w:val="both"/>
      </w:pPr>
      <w:r>
        <w:rPr/>
        <w:t>similares resultados fueron reportados por Forbes </w:t>
      </w:r>
      <w:r>
        <w:rPr>
          <w:i/>
        </w:rPr>
        <w:t>et al. </w:t>
      </w:r>
      <w:r>
        <w:rPr/>
        <w:t>(1998) con 0.37 ppm de PicCr; Emami et al. (2012) también reportaron que 15 mg/kg MetCr en la dieta de cabritos, no modificó la concentración de triglicéridos en plasma, lo anterior también coincide con lo observado al dar LevCr a terneros y novillos en crecimiento donde los AGNE circulantes  no fueron afectados (Chang y Mowat, 1992; Bunting </w:t>
      </w:r>
      <w:r>
        <w:rPr>
          <w:i/>
        </w:rPr>
        <w:t>et al., </w:t>
      </w:r>
      <w:r>
        <w:rPr/>
        <w:t>1994), así mismo, la concentración de triglicéridos no fue modificada por la inclusión de 200 ppb MetCr en la dieta de cerdos en finalización (Peres </w:t>
      </w:r>
      <w:r>
        <w:rPr>
          <w:i/>
        </w:rPr>
        <w:t>et al.,</w:t>
      </w:r>
      <w:r>
        <w:rPr>
          <w:i/>
          <w:spacing w:val="-6"/>
        </w:rPr>
        <w:t> </w:t>
      </w:r>
      <w:r>
        <w:rPr/>
        <w:t>2014).</w:t>
      </w:r>
    </w:p>
    <w:p>
      <w:pPr>
        <w:pStyle w:val="BodyText"/>
        <w:spacing w:line="360" w:lineRule="auto" w:before="4"/>
        <w:ind w:left="212" w:right="106" w:firstLine="707"/>
        <w:jc w:val="both"/>
      </w:pPr>
      <w:r>
        <w:rPr/>
        <w:t>La disminución de triglicéridos por efecto del Cr podría indicar que el Cr mejora la capacidad de transporte hepático de triglicéridos y promueve su catabolismo debido al incremento de la actividad de la lipasa lipoproteica (LPL) en plasma (Yan </w:t>
      </w:r>
      <w:r>
        <w:rPr>
          <w:i/>
        </w:rPr>
        <w:t>et al., </w:t>
      </w:r>
      <w:r>
        <w:rPr/>
        <w:t>2008).</w:t>
      </w:r>
    </w:p>
    <w:p>
      <w:pPr>
        <w:pStyle w:val="BodyText"/>
        <w:spacing w:line="360" w:lineRule="auto" w:before="6"/>
        <w:ind w:left="212" w:right="105" w:firstLine="707"/>
        <w:jc w:val="both"/>
      </w:pPr>
      <w:r>
        <w:rPr/>
        <w:t>La medición de la concentración de urea se usa para evaluar el metabolismo proteico, este metabolito se origina del amonio absorbido por el rumen o del catabolismo de aminoácidos (Colin-Schoellen </w:t>
      </w:r>
      <w:r>
        <w:rPr>
          <w:i/>
        </w:rPr>
        <w:t>et al., </w:t>
      </w:r>
      <w:r>
        <w:rPr/>
        <w:t>1998). </w:t>
      </w:r>
      <w:r>
        <w:rPr>
          <w:spacing w:val="-3"/>
        </w:rPr>
        <w:t>La </w:t>
      </w:r>
      <w:r>
        <w:rPr/>
        <w:t>concentración de urea en plasma en la presente investigación, solo en la semana 11 (posterior a la alimentación) presentó una respuesta cuadrática al nivel del cromo suplementado en la dieta (P&lt;0.05), el nivel más  bajo de urea se presentó en los corderos que recibieron la dosis más alta de cromo (0.6 mg Cr/kg de MS). En el resto de las mediciones no se encontró efecto del nivel de cromo adicional en la concentración de urea en plasma (P&gt;0.05). Este resultado coincide con Kitchalong </w:t>
      </w:r>
      <w:r>
        <w:rPr>
          <w:i/>
        </w:rPr>
        <w:t>et al. </w:t>
      </w:r>
      <w:r>
        <w:rPr/>
        <w:t>(1995) quienes no encontraron efecto del PicCr en la concentración de urea, albúmina y proteína total en plasma de ovinos, así mismo, en novillos el PicCr no influyó en la concentración plasmática de urea, proteína o creatinina Bunting </w:t>
      </w:r>
      <w:r>
        <w:rPr>
          <w:i/>
        </w:rPr>
        <w:t>et al.</w:t>
      </w:r>
      <w:r>
        <w:rPr/>
        <w:t>, (1994) en contraste, Chang y Mowat (1992) indicaron un aumento en la concentración de urea, albúmina y proteína total en suero de bovinos estresados al suplementar con LevCr,  también en cerdos Tang et al. (2001) indicaron que la concentración de urea en plasma se incrementó en la en la segunda semana del experimento efecto del PicCr y LevCr (200µg/kg) en cerdos, Pechova et al. (2002) indicaron que 5 y 8mg/animal/día de LevCr en toros en engorda presentaron una elevada concentración de proteínas totales en plasma así como una menor concentración de urea. Se asume que estas diferencias se pueden deber a una</w:t>
      </w:r>
      <w:r>
        <w:rPr>
          <w:spacing w:val="45"/>
        </w:rPr>
        <w:t> </w:t>
      </w:r>
      <w:r>
        <w:rPr/>
        <w:t>síntesis</w:t>
      </w:r>
      <w:r>
        <w:rPr>
          <w:spacing w:val="47"/>
        </w:rPr>
        <w:t> </w:t>
      </w:r>
      <w:r>
        <w:rPr/>
        <w:t>proteica</w:t>
      </w:r>
      <w:r>
        <w:rPr>
          <w:spacing w:val="45"/>
        </w:rPr>
        <w:t> </w:t>
      </w:r>
      <w:r>
        <w:rPr/>
        <w:t>más</w:t>
      </w:r>
      <w:r>
        <w:rPr>
          <w:spacing w:val="47"/>
        </w:rPr>
        <w:t> </w:t>
      </w:r>
      <w:r>
        <w:rPr/>
        <w:t>intensiva</w:t>
      </w:r>
      <w:r>
        <w:rPr>
          <w:spacing w:val="51"/>
        </w:rPr>
        <w:t> </w:t>
      </w:r>
      <w:r>
        <w:rPr/>
        <w:t>y</w:t>
      </w:r>
      <w:r>
        <w:rPr>
          <w:spacing w:val="41"/>
        </w:rPr>
        <w:t> </w:t>
      </w:r>
      <w:r>
        <w:rPr/>
        <w:t>una</w:t>
      </w:r>
      <w:r>
        <w:rPr>
          <w:spacing w:val="48"/>
        </w:rPr>
        <w:t> </w:t>
      </w:r>
      <w:r>
        <w:rPr/>
        <w:t>menor</w:t>
      </w:r>
      <w:r>
        <w:rPr>
          <w:spacing w:val="46"/>
        </w:rPr>
        <w:t> </w:t>
      </w:r>
      <w:r>
        <w:rPr/>
        <w:t>cantidad</w:t>
      </w:r>
      <w:r>
        <w:rPr>
          <w:spacing w:val="48"/>
        </w:rPr>
        <w:t> </w:t>
      </w:r>
      <w:r>
        <w:rPr/>
        <w:t>de</w:t>
      </w:r>
      <w:r>
        <w:rPr>
          <w:spacing w:val="45"/>
        </w:rPr>
        <w:t> </w:t>
      </w:r>
      <w:r>
        <w:rPr/>
        <w:t>nitrógeno</w:t>
      </w:r>
      <w:r>
        <w:rPr>
          <w:spacing w:val="48"/>
        </w:rPr>
        <w:t> </w:t>
      </w:r>
      <w:r>
        <w:rPr/>
        <w:t>residual</w:t>
      </w:r>
      <w:r>
        <w:rPr>
          <w:spacing w:val="54"/>
        </w:rPr>
        <w:t> </w:t>
      </w:r>
      <w:r>
        <w:rPr/>
        <w:t>que</w:t>
      </w:r>
      <w:r>
        <w:rPr>
          <w:spacing w:val="45"/>
        </w:rPr>
        <w:t> </w:t>
      </w:r>
      <w:r>
        <w:rPr/>
        <w:t>se</w:t>
      </w:r>
    </w:p>
    <w:p>
      <w:pPr>
        <w:spacing w:after="0" w:line="360" w:lineRule="auto"/>
        <w:jc w:val="both"/>
        <w:sectPr>
          <w:pgSz w:w="12240" w:h="15840"/>
          <w:pgMar w:header="1154" w:footer="1503" w:top="1620" w:bottom="1700" w:left="1660" w:right="1420"/>
        </w:sectPr>
      </w:pPr>
    </w:p>
    <w:p>
      <w:pPr>
        <w:pStyle w:val="BodyText"/>
        <w:spacing w:before="2"/>
        <w:rPr>
          <w:sz w:val="9"/>
        </w:rPr>
      </w:pPr>
    </w:p>
    <w:p>
      <w:pPr>
        <w:pStyle w:val="BodyText"/>
        <w:spacing w:line="360" w:lineRule="auto" w:before="69"/>
        <w:ind w:left="212" w:right="106"/>
        <w:jc w:val="both"/>
      </w:pPr>
      <w:r>
        <w:rPr/>
        <w:t>produce en el ciclo hepático de la urea. Esto puede estar relacionado con la influencia del  Cr en los procesos metabólicos como la incorporación de aminoácidos a proteínas para aumentar la eficiencia de uso de la proteína por la célula y el organismo, aumentando la retención y depósito de proteína en tejidos y por tanto, de masa muscular </w:t>
      </w:r>
      <w:r>
        <w:rPr>
          <w:sz w:val="23"/>
        </w:rPr>
        <w:t>(Mertz, 1987). </w:t>
      </w:r>
      <w:r>
        <w:rPr/>
        <w:t>No obstante, las mediciones de estos metabolitos nitrogenados en plasma podrían no tener la sensibilidad necesaria para predecir cambios en el metabolismo del nitrógeno por efecto de la suplementación con Cr (Ingraham y Kappel,</w:t>
      </w:r>
      <w:r>
        <w:rPr>
          <w:spacing w:val="-11"/>
        </w:rPr>
        <w:t> </w:t>
      </w:r>
      <w:r>
        <w:rPr/>
        <w:t>1988).</w:t>
      </w:r>
    </w:p>
    <w:p>
      <w:pPr>
        <w:pStyle w:val="BodyText"/>
        <w:spacing w:line="360" w:lineRule="auto" w:before="4"/>
        <w:ind w:left="212" w:right="104" w:firstLine="707"/>
        <w:jc w:val="both"/>
      </w:pPr>
      <w:r>
        <w:rPr/>
        <w:t>El nivel de glucosa sólo fue modificado por el Cr (P&lt;0.01) en la semana once después de alimentar a los ovinos, observándose un efecto cuadrático por la dosis de Cr; el menor contenido de glucosa fue con 0.2 y 0.4 ppm de Cr; la diminución  cuadrática (P&lt;0.05) de la concentración de glucosa en plasma apreciada en la semana 11, puede ser consecuencia de la participación del Cr como parte de la molécula de cromodulina, que facilita la entrada de glucosa a la célula al ayudar a mejorar la señalización de la insulina al estabilizar la subunidad del receptor de insulina (Mertz, 1993). La capacidad del Cr adicionado como de LevCr para incrementar la tasa de retiro de la glucosa en sangre, ha sido ampliamente observada en pruebas de reto como en humanos y animales de  laboratorio (Anderson 1989; Mertz, 1993). Debido a que el nivel de glucosa circulante tiende a ser homeostáticamente mantenido constante en rumiantes, es difícil, bajo las condiciones de pruebas de alimentación, apreciar cambios en este metabolito, como se ha observado en pruebas de comportamiento productivo en terneros; (Bunting </w:t>
      </w:r>
      <w:r>
        <w:rPr>
          <w:i/>
        </w:rPr>
        <w:t>et al. </w:t>
      </w:r>
      <w:r>
        <w:rPr/>
        <w:t>1994), indicaron</w:t>
      </w:r>
      <w:r>
        <w:rPr>
          <w:spacing w:val="16"/>
        </w:rPr>
        <w:t> </w:t>
      </w:r>
      <w:r>
        <w:rPr/>
        <w:t>que</w:t>
      </w:r>
      <w:r>
        <w:rPr>
          <w:spacing w:val="16"/>
        </w:rPr>
        <w:t> </w:t>
      </w:r>
      <w:r>
        <w:rPr/>
        <w:t>la</w:t>
      </w:r>
      <w:r>
        <w:rPr>
          <w:spacing w:val="16"/>
        </w:rPr>
        <w:t> </w:t>
      </w:r>
      <w:r>
        <w:rPr/>
        <w:t>concentración</w:t>
      </w:r>
      <w:r>
        <w:rPr>
          <w:spacing w:val="17"/>
        </w:rPr>
        <w:t> </w:t>
      </w:r>
      <w:r>
        <w:rPr/>
        <w:t>de</w:t>
      </w:r>
      <w:r>
        <w:rPr>
          <w:spacing w:val="16"/>
        </w:rPr>
        <w:t> </w:t>
      </w:r>
      <w:r>
        <w:rPr/>
        <w:t>glucosa</w:t>
      </w:r>
      <w:r>
        <w:rPr>
          <w:spacing w:val="16"/>
        </w:rPr>
        <w:t> </w:t>
      </w:r>
      <w:r>
        <w:rPr/>
        <w:t>en</w:t>
      </w:r>
      <w:r>
        <w:rPr>
          <w:spacing w:val="16"/>
        </w:rPr>
        <w:t> </w:t>
      </w:r>
      <w:r>
        <w:rPr/>
        <w:t>plasma</w:t>
      </w:r>
      <w:r>
        <w:rPr>
          <w:spacing w:val="16"/>
        </w:rPr>
        <w:t> </w:t>
      </w:r>
      <w:r>
        <w:rPr/>
        <w:t>no</w:t>
      </w:r>
      <w:r>
        <w:rPr>
          <w:spacing w:val="16"/>
        </w:rPr>
        <w:t> </w:t>
      </w:r>
      <w:r>
        <w:rPr/>
        <w:t>fue</w:t>
      </w:r>
      <w:r>
        <w:rPr>
          <w:spacing w:val="15"/>
        </w:rPr>
        <w:t> </w:t>
      </w:r>
      <w:r>
        <w:rPr/>
        <w:t>modificada</w:t>
      </w:r>
      <w:r>
        <w:rPr>
          <w:spacing w:val="16"/>
        </w:rPr>
        <w:t> </w:t>
      </w:r>
      <w:r>
        <w:rPr/>
        <w:t>por</w:t>
      </w:r>
      <w:r>
        <w:rPr>
          <w:spacing w:val="16"/>
        </w:rPr>
        <w:t> </w:t>
      </w:r>
      <w:r>
        <w:rPr/>
        <w:t>el</w:t>
      </w:r>
      <w:r>
        <w:rPr>
          <w:spacing w:val="23"/>
        </w:rPr>
        <w:t> </w:t>
      </w:r>
      <w:r>
        <w:rPr/>
        <w:t>PicCr</w:t>
      </w:r>
      <w:r>
        <w:rPr>
          <w:spacing w:val="16"/>
        </w:rPr>
        <w:t> </w:t>
      </w:r>
      <w:r>
        <w:rPr/>
        <w:t>(370</w:t>
      </w:r>
    </w:p>
    <w:p>
      <w:pPr>
        <w:pStyle w:val="BodyText"/>
        <w:spacing w:line="357" w:lineRule="auto" w:before="4"/>
        <w:ind w:left="212" w:right="104"/>
        <w:jc w:val="both"/>
      </w:pPr>
      <w:r>
        <w:rPr/>
        <w:t>µg/kg); Pechova </w:t>
      </w:r>
      <w:r>
        <w:rPr>
          <w:i/>
        </w:rPr>
        <w:t>et al. </w:t>
      </w:r>
      <w:r>
        <w:rPr/>
        <w:t>(1992) no encontraron efecto en la concentración de glucosa en plasma de toros en engorda en repuesta a la suplementación con 5 y 8 mg/animal/d</w:t>
      </w:r>
      <w:r>
        <w:rPr>
          <w:position w:val="9"/>
          <w:sz w:val="16"/>
        </w:rPr>
        <w:t>-1 </w:t>
      </w:r>
      <w:r>
        <w:rPr/>
        <w:t>de Cr (LevCr); por lo que la usencia de dicho efecto durante las primeras siete semanas de muestreo, en esta investigación más que deberse a una menor sensibilidad a la insulina por parte de los rumiantes como fue sugerido en épocas pasadas (Herdt, 1988) puede atribuirse a las condiciones en que se desarrolló el presente</w:t>
      </w:r>
      <w:r>
        <w:rPr>
          <w:spacing w:val="-7"/>
        </w:rPr>
        <w:t> </w:t>
      </w:r>
      <w:r>
        <w:rPr/>
        <w:t>experimento.</w:t>
      </w:r>
    </w:p>
    <w:p>
      <w:pPr>
        <w:pStyle w:val="BodyText"/>
        <w:spacing w:line="360" w:lineRule="auto" w:before="9"/>
        <w:ind w:left="212" w:right="105" w:firstLine="707"/>
        <w:jc w:val="both"/>
      </w:pPr>
      <w:r>
        <w:rPr/>
        <w:t>La insulina reduce la glucosa circulante al estimular su uso, aumenta la síntesis de glucógeno y reduce la gluconeogénesis (Vernon y Sasaki, 1991).</w:t>
      </w:r>
      <w:r>
        <w:rPr>
          <w:spacing w:val="50"/>
        </w:rPr>
        <w:t> </w:t>
      </w:r>
      <w:r>
        <w:rPr/>
        <w:t>Yan </w:t>
      </w:r>
      <w:r>
        <w:rPr>
          <w:i/>
        </w:rPr>
        <w:t>et al., </w:t>
      </w:r>
      <w:r>
        <w:rPr/>
        <w:t>(2009) al</w:t>
      </w:r>
    </w:p>
    <w:p>
      <w:pPr>
        <w:spacing w:after="0" w:line="360" w:lineRule="auto"/>
        <w:jc w:val="both"/>
        <w:sectPr>
          <w:pgSz w:w="12240" w:h="15840"/>
          <w:pgMar w:header="1154" w:footer="1503" w:top="1620" w:bottom="1700" w:left="1660" w:right="1420"/>
        </w:sectPr>
      </w:pPr>
    </w:p>
    <w:p>
      <w:pPr>
        <w:pStyle w:val="BodyText"/>
        <w:spacing w:before="2"/>
        <w:rPr>
          <w:sz w:val="9"/>
        </w:rPr>
      </w:pPr>
    </w:p>
    <w:p>
      <w:pPr>
        <w:pStyle w:val="BodyText"/>
        <w:spacing w:line="360" w:lineRule="auto" w:before="69"/>
        <w:ind w:left="212" w:right="105"/>
        <w:jc w:val="both"/>
      </w:pPr>
      <w:r>
        <w:rPr/>
        <w:t>suplementar con diferentes niveles de LevCr en ovinos (400 y 800 ppm) encontraron que el nivel de insulina y la relación insulina-glucosa fue menor con 400 ppm LevCr, con este nivel de Cr suplementario hubo una mejor actividad de la insulina que con el nivel de 800 ppm; así mismo Kegley </w:t>
      </w:r>
      <w:r>
        <w:rPr>
          <w:i/>
        </w:rPr>
        <w:t>et al. </w:t>
      </w:r>
      <w:r>
        <w:rPr/>
        <w:t>(2000) indicaron que 400mg/kg CrL-Met aumentó la respuesta de la insulina a la glucosa intravenosa, pero no con 800 mg/kg CrL-Met, otras fuentes orgánicas como PicCr en bovinos (0.8 mg/kg) no modificó la concentración de glucosa o la concentración de insulina (Besong </w:t>
      </w:r>
      <w:r>
        <w:rPr>
          <w:i/>
        </w:rPr>
        <w:t>et al., </w:t>
      </w:r>
      <w:r>
        <w:rPr/>
        <w:t>2001); Chang y Mowat, (1992) al incluir 0.4 mg/kg LevCr en bovinos indicaron que la concentración de glucosa en plasma fue menor en los animales suplementados, Sano </w:t>
      </w:r>
      <w:r>
        <w:rPr>
          <w:i/>
        </w:rPr>
        <w:t>et al. </w:t>
      </w:r>
      <w:r>
        <w:rPr/>
        <w:t>(1997) al incluir 0.5 ppm (LevCr) en ovinos no encontraron efectos en la concentración de glucosa en plasma, Uyanik, (2001) indicó una modificación en la concentración de glucosa en ovinos al suplementar con 200 ppb Cr en el día 55 del experimento, estos resultados ambiguos también pueden atribuirse  al estado de Cr del organismo, que está estrechamente relacionado con contenido de Cr en el alimento (Yan </w:t>
      </w:r>
      <w:r>
        <w:rPr>
          <w:i/>
        </w:rPr>
        <w:t>et al.,</w:t>
      </w:r>
      <w:r>
        <w:rPr>
          <w:i/>
          <w:spacing w:val="-4"/>
        </w:rPr>
        <w:t> </w:t>
      </w:r>
      <w:r>
        <w:rPr/>
        <w:t>2008).</w:t>
      </w:r>
    </w:p>
    <w:p>
      <w:pPr>
        <w:pStyle w:val="BodyText"/>
      </w:pPr>
    </w:p>
    <w:p>
      <w:pPr>
        <w:pStyle w:val="Heading1"/>
        <w:numPr>
          <w:ilvl w:val="1"/>
          <w:numId w:val="29"/>
        </w:numPr>
        <w:tabs>
          <w:tab w:pos="573" w:val="left" w:leader="none"/>
        </w:tabs>
        <w:spacing w:line="240" w:lineRule="auto" w:before="148" w:after="0"/>
        <w:ind w:left="572" w:right="0" w:hanging="360"/>
        <w:jc w:val="both"/>
      </w:pPr>
      <w:bookmarkStart w:name="_bookmark79" w:id="151"/>
      <w:bookmarkEnd w:id="151"/>
      <w:r>
        <w:rPr>
          <w:b w:val="0"/>
        </w:rPr>
      </w:r>
      <w:bookmarkStart w:name="_bookmark79" w:id="152"/>
      <w:bookmarkEnd w:id="152"/>
      <w:r>
        <w:rPr/>
        <w:t>Conc</w:t>
      </w:r>
      <w:r>
        <w:rPr/>
        <w:t>entración de macro y micro minerales en</w:t>
      </w:r>
      <w:r>
        <w:rPr>
          <w:spacing w:val="-10"/>
        </w:rPr>
        <w:t> </w:t>
      </w:r>
      <w:r>
        <w:rPr/>
        <w:t>tejidos</w:t>
      </w:r>
    </w:p>
    <w:p>
      <w:pPr>
        <w:pStyle w:val="BodyText"/>
        <w:spacing w:line="357" w:lineRule="auto" w:before="135"/>
        <w:ind w:left="212" w:right="100" w:firstLine="707"/>
        <w:jc w:val="both"/>
        <w:rPr>
          <w:sz w:val="16"/>
        </w:rPr>
      </w:pPr>
      <w:r>
        <w:rPr/>
        <w:t>En el Cuadro 14 se observan los resultados del efecto de la concentración de Cr en  la dieta sobre el contenido de Ca, P, Mg, Na y K. </w:t>
      </w:r>
      <w:r>
        <w:rPr>
          <w:spacing w:val="-3"/>
        </w:rPr>
        <w:t>La </w:t>
      </w:r>
      <w:r>
        <w:rPr/>
        <w:t>concentración de Ca, P, Mg y Na no fue afectada por el nivel de Cr adicional en la dieta (P&gt;0.05) en hígado; el K, mostró una respuesta cuadrática (P&lt;0.05) tanto en hígado como en hueso; en hígado, la concentración de P, Mg y Na en hueso no fue afectada por el nivel de Cr (P&gt;0.05), no obstante, la concentración de Ca en hueso fue afectada (P&lt;0.05) por el nivel de cromo adicional en la dieta (el valor mas bajo correspondió a los corderos que recibieron 0.4 mg Cr kg</w:t>
      </w:r>
      <w:r>
        <w:rPr>
          <w:position w:val="9"/>
          <w:sz w:val="16"/>
        </w:rPr>
        <w:t>-1 </w:t>
      </w:r>
      <w:r>
        <w:rPr/>
        <w:t>MS). Existe evidencia limitada, que sugiere que el Cr puede interactuar con otros minerales. Moonsie-Shageer y Mowat (1993) analizaron las interacciones entre el Cr, Ca y Mg, y encontraron que la suplementación con Cr estaba asociada a incrementos en la concentración de Ca y Mg en el día 7 de la prueba, lo anterior al suplementar con 0.2, 0.5 y 1 ppm LevCr en terneros bajo estrés, este resultado sugirió que el Cr pudo haber evitado las pérdidas inducidas por el estrés de Ca y Mg, en contraste, la suplementación con 0.2 mg</w:t>
      </w:r>
      <w:r>
        <w:rPr>
          <w:spacing w:val="10"/>
        </w:rPr>
        <w:t> </w:t>
      </w:r>
      <w:r>
        <w:rPr/>
        <w:t>kg</w:t>
      </w:r>
      <w:r>
        <w:rPr>
          <w:position w:val="9"/>
          <w:sz w:val="16"/>
        </w:rPr>
        <w:t>-</w:t>
      </w:r>
    </w:p>
    <w:p>
      <w:pPr>
        <w:spacing w:after="0" w:line="357" w:lineRule="auto"/>
        <w:jc w:val="both"/>
        <w:rPr>
          <w:sz w:val="16"/>
        </w:rPr>
        <w:sectPr>
          <w:pgSz w:w="12240" w:h="15840"/>
          <w:pgMar w:header="1154" w:footer="1503" w:top="1620" w:bottom="1700" w:left="1660" w:right="1420"/>
        </w:sectPr>
      </w:pPr>
    </w:p>
    <w:p>
      <w:pPr>
        <w:pStyle w:val="BodyText"/>
        <w:spacing w:line="357" w:lineRule="auto" w:before="159"/>
        <w:ind w:left="212" w:right="104"/>
        <w:jc w:val="both"/>
      </w:pPr>
      <w:r>
        <w:rPr>
          <w:position w:val="9"/>
          <w:sz w:val="16"/>
        </w:rPr>
        <w:t>1 </w:t>
      </w:r>
      <w:r>
        <w:rPr/>
        <w:t>LevCr en bovinos no modificó la concentración de Ca, P y Mg (Chang </w:t>
      </w:r>
      <w:r>
        <w:rPr>
          <w:i/>
        </w:rPr>
        <w:t>et al., </w:t>
      </w:r>
      <w:r>
        <w:rPr/>
        <w:t>1992), en no rumiantes, los resultados también son variables, Luseba, (2013) reportó que 0.3 mg/kg</w:t>
      </w:r>
      <w:r>
        <w:rPr>
          <w:position w:val="9"/>
          <w:sz w:val="16"/>
        </w:rPr>
        <w:t>-1 </w:t>
      </w:r>
      <w:r>
        <w:rPr/>
        <w:t>de Sulfato de cromo en cerdos, disminuyó la concentración de Ca en hígado, sin embargo las concentraciones de P y Mg no fueron modificadas al suplementar Cr, Sirirat </w:t>
      </w:r>
      <w:r>
        <w:rPr>
          <w:i/>
        </w:rPr>
        <w:t>et al</w:t>
      </w:r>
      <w:r>
        <w:rPr/>
        <w:t>. (2013) indicaron que 500 a 3000 ppb de NanoCrPic en gallinas ponedoras incrementó la concentración de Ca y P en hígado, este mismo resultado fue reportado por Sirirat </w:t>
      </w:r>
      <w:r>
        <w:rPr>
          <w:i/>
        </w:rPr>
        <w:t>et al</w:t>
      </w:r>
      <w:r>
        <w:rPr/>
        <w:t>. (2012) con 500 a 3000 ppb de NanoCrPic en pollo de engorda. Las alteraciones en estos minerales, también se puede atribuir a diferencias en el consumo de materia seca.</w:t>
      </w:r>
    </w:p>
    <w:p>
      <w:pPr>
        <w:pStyle w:val="BodyText"/>
        <w:spacing w:line="357" w:lineRule="auto" w:before="9"/>
        <w:ind w:left="212" w:right="105" w:firstLine="707"/>
        <w:jc w:val="both"/>
      </w:pPr>
      <w:r>
        <w:rPr/>
        <w:t>En el Cuadro15 se presenta la concentración de los microminerales Fe, Cu, Cr y Zn en hígado y en hueso. La concentración de Fe, Cu y Cr fue afectada por las dosis de Cr (P&lt;0.05). Hay evidencias del efecto de la suplementación del Cr sobre el metabolismo de otros minerales; se ha demostrado que el Cr puede afectar el metabolismo del hierro, lo cual ha sido reportado por Lukaski </w:t>
      </w:r>
      <w:r>
        <w:rPr>
          <w:i/>
        </w:rPr>
        <w:t>et al. </w:t>
      </w:r>
      <w:r>
        <w:rPr/>
        <w:t>(1996) al suplementar con PicCr en humanos, por otra parte; Ani y Mostaghie, (1992) indicaron que la administración diaria de Cr (1 mg/kg) en ratas disminuyó la concentración de hierro en suero y la capacidad de unión del hierro total en 28 y 11% respectivamente, Anderson </w:t>
      </w:r>
      <w:r>
        <w:rPr>
          <w:i/>
        </w:rPr>
        <w:t>et al. </w:t>
      </w:r>
      <w:r>
        <w:rPr/>
        <w:t>(1996) reportaron una disminución en las concentraciones de hierro en tejidos en ratas en respuesta a la suplementación con cromo (5000 ng Cr/gr de dieta). </w:t>
      </w:r>
      <w:r>
        <w:rPr>
          <w:spacing w:val="-3"/>
        </w:rPr>
        <w:t>La </w:t>
      </w:r>
      <w:r>
        <w:rPr/>
        <w:t>relación entre el cromo y el hierro se investiga desde que se hizo evidente que ambos minerales son transportados por la transferrina (Vincent, 2000. En este estudio, el Fe en hígado bajó al aumentar el Cr, pero todos los tratamientos tuvieron más Fe de lo adecuado (&gt;300 ppm) (Puls, 1994), por lo tanto, lejos de considerarse como  un efecto detrimental, más bien puede apreciarse como un acercamiento a la normalidad, dado que la concentración de Fe en el hígado de los corderos que recibieron 0.4 mg Cr kg</w:t>
      </w:r>
      <w:r>
        <w:rPr>
          <w:position w:val="9"/>
          <w:sz w:val="16"/>
        </w:rPr>
        <w:t>-1 </w:t>
      </w:r>
      <w:r>
        <w:rPr/>
        <w:t>MS se acercó a 1.4 veces el nivel máximo deseable de 300 mg kg</w:t>
      </w:r>
      <w:r>
        <w:rPr>
          <w:position w:val="9"/>
          <w:sz w:val="16"/>
        </w:rPr>
        <w:t>1 </w:t>
      </w:r>
      <w:r>
        <w:rPr/>
        <w:t>MS, en comparación con las concentraciones 2.3 y 2.0 veces mayores, observadas en los ovinos del grupo control (0 Cr adicional) y del que recibió 0.6 mg Cr kg</w:t>
      </w:r>
      <w:r>
        <w:rPr>
          <w:position w:val="9"/>
          <w:sz w:val="16"/>
        </w:rPr>
        <w:t>-1 </w:t>
      </w:r>
      <w:r>
        <w:rPr/>
        <w:t>MS. La disminución lineal (P&lt;0.05) en el contenido de Fe en hueso en respuesta a la adición de niveles crecientes de Cr, hace evidente la interacción entre estos dos minerales </w:t>
      </w:r>
      <w:r>
        <w:rPr>
          <w:spacing w:val="-3"/>
        </w:rPr>
        <w:t>y, </w:t>
      </w:r>
      <w:r>
        <w:rPr/>
        <w:t>al igual que en el caso del Fe en hígado, el</w:t>
      </w:r>
      <w:r>
        <w:rPr>
          <w:spacing w:val="20"/>
        </w:rPr>
        <w:t> </w:t>
      </w:r>
      <w:r>
        <w:rPr/>
        <w:t>efecto</w:t>
      </w:r>
      <w:r>
        <w:rPr>
          <w:spacing w:val="20"/>
        </w:rPr>
        <w:t> </w:t>
      </w:r>
      <w:r>
        <w:rPr/>
        <w:t>del</w:t>
      </w:r>
      <w:r>
        <w:rPr>
          <w:spacing w:val="20"/>
        </w:rPr>
        <w:t> </w:t>
      </w:r>
      <w:r>
        <w:rPr/>
        <w:t>Cr</w:t>
      </w:r>
      <w:r>
        <w:rPr>
          <w:spacing w:val="19"/>
        </w:rPr>
        <w:t> </w:t>
      </w:r>
      <w:r>
        <w:rPr/>
        <w:t>parece</w:t>
      </w:r>
      <w:r>
        <w:rPr>
          <w:spacing w:val="19"/>
        </w:rPr>
        <w:t> </w:t>
      </w:r>
      <w:r>
        <w:rPr/>
        <w:t>tender</w:t>
      </w:r>
      <w:r>
        <w:rPr>
          <w:spacing w:val="19"/>
        </w:rPr>
        <w:t> </w:t>
      </w:r>
      <w:r>
        <w:rPr/>
        <w:t>a</w:t>
      </w:r>
      <w:r>
        <w:rPr>
          <w:spacing w:val="19"/>
        </w:rPr>
        <w:t> </w:t>
      </w:r>
      <w:r>
        <w:rPr/>
        <w:t>normalizar</w:t>
      </w:r>
      <w:r>
        <w:rPr>
          <w:spacing w:val="19"/>
        </w:rPr>
        <w:t> </w:t>
      </w:r>
      <w:r>
        <w:rPr/>
        <w:t>los</w:t>
      </w:r>
      <w:r>
        <w:rPr>
          <w:spacing w:val="21"/>
        </w:rPr>
        <w:t> </w:t>
      </w:r>
      <w:r>
        <w:rPr/>
        <w:t>valores,</w:t>
      </w:r>
      <w:r>
        <w:rPr>
          <w:spacing w:val="20"/>
        </w:rPr>
        <w:t> </w:t>
      </w:r>
      <w:r>
        <w:rPr/>
        <w:t>lejos</w:t>
      </w:r>
      <w:r>
        <w:rPr>
          <w:spacing w:val="20"/>
        </w:rPr>
        <w:t> </w:t>
      </w:r>
      <w:r>
        <w:rPr/>
        <w:t>de</w:t>
      </w:r>
      <w:r>
        <w:rPr>
          <w:spacing w:val="19"/>
        </w:rPr>
        <w:t> </w:t>
      </w:r>
      <w:r>
        <w:rPr/>
        <w:t>inducir</w:t>
      </w:r>
      <w:r>
        <w:rPr>
          <w:spacing w:val="19"/>
        </w:rPr>
        <w:t> </w:t>
      </w:r>
      <w:r>
        <w:rPr/>
        <w:t>a</w:t>
      </w:r>
      <w:r>
        <w:rPr>
          <w:spacing w:val="21"/>
        </w:rPr>
        <w:t> </w:t>
      </w:r>
      <w:r>
        <w:rPr/>
        <w:t>una</w:t>
      </w:r>
      <w:r>
        <w:rPr>
          <w:spacing w:val="19"/>
        </w:rPr>
        <w:t> </w:t>
      </w:r>
      <w:r>
        <w:rPr/>
        <w:t>carencia</w:t>
      </w:r>
      <w:r>
        <w:rPr>
          <w:spacing w:val="19"/>
        </w:rPr>
        <w:t> </w:t>
      </w:r>
      <w:r>
        <w:rPr/>
        <w:t>de</w:t>
      </w:r>
    </w:p>
    <w:p>
      <w:pPr>
        <w:spacing w:after="0" w:line="357" w:lineRule="auto"/>
        <w:jc w:val="both"/>
        <w:sectPr>
          <w:pgSz w:w="12240" w:h="15840"/>
          <w:pgMar w:header="1154" w:footer="1503" w:top="1620" w:bottom="1700" w:left="1660" w:right="1420"/>
        </w:sectPr>
      </w:pPr>
    </w:p>
    <w:p>
      <w:pPr>
        <w:pStyle w:val="BodyText"/>
        <w:spacing w:before="2"/>
        <w:rPr>
          <w:sz w:val="9"/>
        </w:rPr>
      </w:pPr>
    </w:p>
    <w:p>
      <w:pPr>
        <w:pStyle w:val="BodyText"/>
        <w:spacing w:line="350" w:lineRule="auto" w:before="69"/>
        <w:ind w:left="212" w:right="106"/>
        <w:jc w:val="both"/>
      </w:pPr>
      <w:r>
        <w:rPr/>
        <w:t>Fe, considerando que el tratamiento control tuvo 1.7 veces el nivel máximo admisible (30 mg kg</w:t>
      </w:r>
      <w:r>
        <w:rPr>
          <w:position w:val="9"/>
          <w:sz w:val="16"/>
        </w:rPr>
        <w:t>-1 </w:t>
      </w:r>
      <w:r>
        <w:rPr/>
        <w:t>MS) (Puls, 1994), los valores fueron proporcionalmente 1.1, 1.2 y 0.9 veces el máximo permisible en el hueso de los corderos alimentados con niveles de 0.2, 0.4 y 0.6  mg Cr kg</w:t>
      </w:r>
      <w:r>
        <w:rPr>
          <w:position w:val="9"/>
          <w:sz w:val="16"/>
        </w:rPr>
        <w:t>-1 </w:t>
      </w:r>
      <w:r>
        <w:rPr/>
        <w:t>MS,</w:t>
      </w:r>
      <w:r>
        <w:rPr>
          <w:spacing w:val="13"/>
        </w:rPr>
        <w:t> </w:t>
      </w:r>
      <w:r>
        <w:rPr/>
        <w:t>respectivamente.</w:t>
      </w:r>
    </w:p>
    <w:p>
      <w:pPr>
        <w:pStyle w:val="BodyText"/>
        <w:spacing w:line="355" w:lineRule="auto" w:before="8"/>
        <w:ind w:left="212" w:right="105" w:firstLine="707"/>
        <w:jc w:val="both"/>
      </w:pPr>
      <w:r>
        <w:rPr/>
        <w:t>La respuesta cuadrática (P&lt;0.05) observada en la concentración de Cu en hígado puede ser interpretada en el mismo sentido, considerando que en los animales que  recibieron 0.2 mg Cr kg</w:t>
      </w:r>
      <w:r>
        <w:rPr>
          <w:position w:val="9"/>
          <w:sz w:val="16"/>
        </w:rPr>
        <w:t>-1 </w:t>
      </w:r>
      <w:r>
        <w:rPr/>
        <w:t>MS la concentración de Cu fue 1.2 veces mayor a lo deseable (100 mg kg</w:t>
      </w:r>
      <w:r>
        <w:rPr>
          <w:position w:val="9"/>
          <w:sz w:val="16"/>
        </w:rPr>
        <w:t>-1 </w:t>
      </w:r>
      <w:r>
        <w:rPr/>
        <w:t>MS), en comparación a 1.9 y 1.8 veces observada en los corderos del grupo control y los del grupo que recibió 0.6 mg Cr kg</w:t>
      </w:r>
      <w:r>
        <w:rPr>
          <w:position w:val="9"/>
          <w:sz w:val="16"/>
        </w:rPr>
        <w:t>-1 </w:t>
      </w:r>
      <w:r>
        <w:rPr/>
        <w:t>MS; en hueso el valor medio adecuado es de 5 ppm, pero no fue detectado (Puls, 1994). </w:t>
      </w:r>
      <w:r>
        <w:rPr>
          <w:spacing w:val="-3"/>
        </w:rPr>
        <w:t>La </w:t>
      </w:r>
      <w:r>
        <w:rPr/>
        <w:t>interacción de Cr con Cu ha sido  reportada en bovinos en bovinos, la suplementación de 0.8 ppm de LevCr aumento el Cu en plasma (Pechova </w:t>
      </w:r>
      <w:r>
        <w:rPr>
          <w:i/>
        </w:rPr>
        <w:t>et al., </w:t>
      </w:r>
      <w:r>
        <w:rPr/>
        <w:t>2002), en conejos, Sahin </w:t>
      </w:r>
      <w:r>
        <w:rPr>
          <w:i/>
        </w:rPr>
        <w:t>et al</w:t>
      </w:r>
      <w:r>
        <w:rPr/>
        <w:t>. (1999) reportaron un incremento en la concentración de Cu en suero y tejidos por efecto de 200 o 400 ppb de Cr. La interacción entre microminerales es compleja y la información relevante disponible es escasa. La interacción del Cu con el Zn, Se, Cd y Fe se ha investigado, pero se sabe poco de la interacción entre el Cr y el Cu (Pechova </w:t>
      </w:r>
      <w:r>
        <w:rPr>
          <w:i/>
        </w:rPr>
        <w:t>et al.,</w:t>
      </w:r>
      <w:r>
        <w:rPr>
          <w:i/>
          <w:spacing w:val="-9"/>
        </w:rPr>
        <w:t> </w:t>
      </w:r>
      <w:r>
        <w:rPr/>
        <w:t>2002).</w:t>
      </w:r>
    </w:p>
    <w:p>
      <w:pPr>
        <w:pStyle w:val="BodyText"/>
        <w:spacing w:line="357" w:lineRule="auto" w:before="12"/>
        <w:ind w:left="212" w:right="103" w:firstLine="707"/>
        <w:jc w:val="both"/>
      </w:pPr>
      <w:r>
        <w:rPr/>
        <w:t>El incremento lineal en el contenido de Cr en hígado y hueso (P&lt;0.05) indica que el Cr adicionado fue disponible para su absorción y coincide con lo observado por otros autores, al aumentar el nivel de PicCr en ovinos (de 0.5-1.0 ppm) aumentó el contenido de Cr en hígado (Olsen </w:t>
      </w:r>
      <w:r>
        <w:rPr>
          <w:i/>
        </w:rPr>
        <w:t>et al., </w:t>
      </w:r>
      <w:r>
        <w:rPr/>
        <w:t>1996); en novillos al incluir 0.20, 0.60 y 1.20 ppm de Cr aumentó su nivel en hígado (Ghifen </w:t>
      </w:r>
      <w:r>
        <w:rPr>
          <w:i/>
        </w:rPr>
        <w:t>et al., </w:t>
      </w:r>
      <w:r>
        <w:rPr/>
        <w:t>2011 en general, los niveles de Cr en hígado se mantuvieron en el rango deseable de 0.04 a 3.8 mg kg</w:t>
      </w:r>
      <w:r>
        <w:rPr>
          <w:position w:val="9"/>
          <w:sz w:val="16"/>
        </w:rPr>
        <w:t>-1</w:t>
      </w:r>
      <w:r>
        <w:rPr/>
        <w:t>, de acuerdo a valores obtenidos con bovinos (Puls, 1994).</w:t>
      </w:r>
    </w:p>
    <w:p>
      <w:pPr>
        <w:pStyle w:val="BodyText"/>
        <w:spacing w:line="357" w:lineRule="auto" w:before="6"/>
        <w:ind w:left="212" w:right="104" w:firstLine="707"/>
        <w:jc w:val="both"/>
      </w:pPr>
      <w:r>
        <w:rPr/>
        <w:t>El nivel de Zn en hígado y hueso no cambió (P&gt;0.05) al suplementar Cr; todos los tratamientos tuvieron exceso de Zn (&gt;75 ppm); en cambio, en hueso, según la referencia indicada fue adecuado (Puls, 1994). Estos resultados coinciden con lo reportado por Chang </w:t>
      </w:r>
      <w:r>
        <w:rPr>
          <w:i/>
        </w:rPr>
        <w:t>et al</w:t>
      </w:r>
      <w:r>
        <w:rPr/>
        <w:t>. (1992) en novillos en donde la concentración de Zn no fue modificada en tejidos  como hígado y riñón en respuesta a la suplementación de LevCr (0.2 mg/kg</w:t>
      </w:r>
      <w:r>
        <w:rPr>
          <w:position w:val="9"/>
          <w:sz w:val="16"/>
        </w:rPr>
        <w:t>-1</w:t>
      </w:r>
      <w:r>
        <w:rPr/>
        <w:t>); Amatya </w:t>
      </w:r>
      <w:r>
        <w:rPr>
          <w:i/>
        </w:rPr>
        <w:t>et </w:t>
      </w:r>
      <w:r>
        <w:rPr>
          <w:i/>
        </w:rPr>
        <w:t>al.   </w:t>
      </w:r>
      <w:r>
        <w:rPr/>
        <w:t>(2004)   reportaron   que   la   concentración   de   Zn   en   plasma   en   respuesta   a</w:t>
      </w:r>
      <w:r>
        <w:rPr>
          <w:spacing w:val="51"/>
        </w:rPr>
        <w:t> </w:t>
      </w:r>
      <w:r>
        <w:rPr/>
        <w:t>la</w:t>
      </w:r>
    </w:p>
    <w:p>
      <w:pPr>
        <w:spacing w:after="0" w:line="357" w:lineRule="auto"/>
        <w:jc w:val="both"/>
        <w:sectPr>
          <w:pgSz w:w="12240" w:h="15840"/>
          <w:pgMar w:header="1154" w:footer="1503" w:top="1620" w:bottom="1700" w:left="1660" w:right="1420"/>
        </w:sectPr>
      </w:pPr>
    </w:p>
    <w:p>
      <w:pPr>
        <w:pStyle w:val="BodyText"/>
        <w:spacing w:before="2"/>
        <w:rPr>
          <w:sz w:val="9"/>
        </w:rPr>
      </w:pPr>
    </w:p>
    <w:p>
      <w:pPr>
        <w:pStyle w:val="BodyText"/>
        <w:spacing w:line="357" w:lineRule="auto" w:before="69"/>
        <w:ind w:left="212" w:right="107"/>
        <w:jc w:val="both"/>
      </w:pPr>
      <w:r>
        <w:rPr/>
        <w:t>suplementación de Cr, no fue afectada en aves, Pechova </w:t>
      </w:r>
      <w:r>
        <w:rPr>
          <w:i/>
        </w:rPr>
        <w:t>et al. </w:t>
      </w:r>
      <w:r>
        <w:rPr/>
        <w:t>(2002) indicaron que la concentración de Zn en plasma no fue afectada en respuesta a la suplementación de Cr (LevCr 5 y 8 mg/animal/d</w:t>
      </w:r>
      <w:r>
        <w:rPr>
          <w:position w:val="9"/>
          <w:sz w:val="16"/>
        </w:rPr>
        <w:t>-1</w:t>
      </w:r>
      <w:r>
        <w:rPr/>
        <w:t>) en toros en engorda, en contraste, Sahin </w:t>
      </w:r>
      <w:r>
        <w:rPr>
          <w:i/>
        </w:rPr>
        <w:t>et al. </w:t>
      </w:r>
      <w:r>
        <w:rPr/>
        <w:t>(1999) en conejos, reportaron un incremento en la concentración de Zn en suero y plasma por efecto de 200 o 400 ppb de Cr.</w:t>
      </w:r>
    </w:p>
    <w:p>
      <w:pPr>
        <w:pStyle w:val="BodyText"/>
      </w:pPr>
    </w:p>
    <w:p>
      <w:pPr>
        <w:pStyle w:val="Heading1"/>
        <w:numPr>
          <w:ilvl w:val="1"/>
          <w:numId w:val="29"/>
        </w:numPr>
        <w:tabs>
          <w:tab w:pos="573" w:val="left" w:leader="none"/>
        </w:tabs>
        <w:spacing w:line="240" w:lineRule="auto" w:before="150" w:after="0"/>
        <w:ind w:left="572" w:right="0" w:hanging="360"/>
        <w:jc w:val="both"/>
      </w:pPr>
      <w:bookmarkStart w:name="_bookmark80" w:id="153"/>
      <w:bookmarkEnd w:id="153"/>
      <w:r>
        <w:rPr>
          <w:b w:val="0"/>
        </w:rPr>
      </w:r>
      <w:bookmarkStart w:name="_bookmark80" w:id="154"/>
      <w:bookmarkEnd w:id="154"/>
      <w:r>
        <w:rPr/>
        <w:t>Cont</w:t>
      </w:r>
      <w:r>
        <w:rPr/>
        <w:t>enido de ácidos grasos en la grasa</w:t>
      </w:r>
      <w:r>
        <w:rPr>
          <w:spacing w:val="-15"/>
        </w:rPr>
        <w:t> </w:t>
      </w:r>
      <w:r>
        <w:rPr/>
        <w:t>intramuscular</w:t>
      </w:r>
    </w:p>
    <w:p>
      <w:pPr>
        <w:pStyle w:val="BodyText"/>
        <w:spacing w:line="360" w:lineRule="auto" w:before="132"/>
        <w:ind w:left="212" w:right="105" w:firstLine="707"/>
        <w:jc w:val="both"/>
      </w:pPr>
      <w:r>
        <w:rPr/>
        <w:t>En la presente investigación los AG con mayor contenido en la GIM de la carne de los ovinos fueron el oleico (C18:1n9), lo cual coincide con lo reportado por otras investigaciones (Mamani y Gallo, 2013; Cruz </w:t>
      </w:r>
      <w:r>
        <w:rPr>
          <w:i/>
        </w:rPr>
        <w:t>et al. </w:t>
      </w:r>
      <w:r>
        <w:rPr/>
        <w:t>2014); palmítico (C16:0) y esteárico (C18:0) cuyos valores son similares a lo observado por otros autores (Popova, 2014); Mamani y Gallo, 2013; Cividini </w:t>
      </w:r>
      <w:r>
        <w:rPr>
          <w:i/>
        </w:rPr>
        <w:t>et al. </w:t>
      </w:r>
      <w:r>
        <w:rPr/>
        <w:t>2008), y el linoleico (C18:2n6) que coincide con lo encontrado en otras investigaciones (Mamani y Gallo, 2013; Margetín </w:t>
      </w:r>
      <w:r>
        <w:rPr>
          <w:i/>
        </w:rPr>
        <w:t>et al., </w:t>
      </w:r>
      <w:r>
        <w:rPr/>
        <w:t>2014)</w:t>
      </w:r>
    </w:p>
    <w:p>
      <w:pPr>
        <w:pStyle w:val="BodyText"/>
        <w:spacing w:line="360" w:lineRule="auto" w:before="4"/>
        <w:ind w:left="212" w:right="103" w:firstLine="707"/>
        <w:jc w:val="both"/>
      </w:pPr>
      <w:r>
        <w:rPr/>
        <w:t>En el perfil de AG saturados, resaltan las concentraciones de los AG palmítico (C16:0) y esteárico (C18:0), cuyo nivel se redujo de forma lineal (P&lt;0.01) al aumentar el  Cr en la dieta; por lo tanto, el contenido de ambos AG en el tratamiento control vs suplementados con Cr disminuyó 10.83 y 6.71%, respectivamente. Esta respuesta biológica coincide con la menor concentración (16.10%) de triglicéridos observada en la semana siete por efecto del Cr, así como con la reducción (13.41%) de la GIM del </w:t>
      </w:r>
      <w:r>
        <w:rPr>
          <w:i/>
        </w:rPr>
        <w:t>Longissimus dorsi </w:t>
      </w:r>
      <w:r>
        <w:rPr/>
        <w:t>por efecto del Cr suplementado. Contario a lo encontrado en el presente estudio, en cerdos el CrPic aumentó la concentración de los AGS mirístico (C14:0) y esteárico (C18:0) (Lien </w:t>
      </w:r>
      <w:r>
        <w:rPr>
          <w:i/>
        </w:rPr>
        <w:t>et </w:t>
      </w:r>
      <w:r>
        <w:rPr>
          <w:i/>
        </w:rPr>
        <w:t>al.,</w:t>
      </w:r>
      <w:r>
        <w:rPr>
          <w:i/>
          <w:spacing w:val="-1"/>
        </w:rPr>
        <w:t> </w:t>
      </w:r>
      <w:r>
        <w:rPr/>
        <w:t>2001).</w:t>
      </w:r>
    </w:p>
    <w:p>
      <w:pPr>
        <w:pStyle w:val="BodyText"/>
        <w:spacing w:line="357" w:lineRule="auto" w:before="6"/>
        <w:ind w:left="212" w:right="105" w:firstLine="707"/>
        <w:jc w:val="both"/>
      </w:pPr>
      <w:r>
        <w:rPr/>
        <w:t>En el perfil de AG insaturados destacan las concentraciones de los AG oleico (C18:1) y linoleico (C18:2); el AG oleico no fue afectado al suplementar Cr a los ovinos;  en contraste, el nivel de los otros AG insaturados aumentó de forma lineal (P&lt;0.05) por el Cr adicionado a la dieta; por lo tanto, el contenido de estos AGI en los tratamientos control vs suplementados con Cr, aumentó en promedio 26.28% (rango de 4.90 a 65.62%) para los cuatro AGI. Estos resultados difieren de los obtenidos por Bučko </w:t>
      </w:r>
      <w:r>
        <w:rPr>
          <w:i/>
        </w:rPr>
        <w:t>et al. </w:t>
      </w:r>
      <w:r>
        <w:rPr/>
        <w:t>(2012) en cerdos suplementados</w:t>
      </w:r>
      <w:r>
        <w:rPr>
          <w:spacing w:val="13"/>
        </w:rPr>
        <w:t> </w:t>
      </w:r>
      <w:r>
        <w:rPr/>
        <w:t>con</w:t>
      </w:r>
      <w:r>
        <w:rPr>
          <w:spacing w:val="15"/>
        </w:rPr>
        <w:t> </w:t>
      </w:r>
      <w:r>
        <w:rPr/>
        <w:t>0.75</w:t>
      </w:r>
      <w:r>
        <w:rPr>
          <w:spacing w:val="15"/>
        </w:rPr>
        <w:t> </w:t>
      </w:r>
      <w:r>
        <w:rPr/>
        <w:t>mg</w:t>
      </w:r>
      <w:r>
        <w:rPr>
          <w:spacing w:val="11"/>
        </w:rPr>
        <w:t> </w:t>
      </w:r>
      <w:r>
        <w:rPr/>
        <w:t>de</w:t>
      </w:r>
      <w:r>
        <w:rPr>
          <w:spacing w:val="12"/>
        </w:rPr>
        <w:t> </w:t>
      </w:r>
      <w:r>
        <w:rPr/>
        <w:t>nicotinato</w:t>
      </w:r>
      <w:r>
        <w:rPr>
          <w:spacing w:val="15"/>
        </w:rPr>
        <w:t> </w:t>
      </w:r>
      <w:r>
        <w:rPr/>
        <w:t>de</w:t>
      </w:r>
      <w:r>
        <w:rPr>
          <w:spacing w:val="12"/>
        </w:rPr>
        <w:t> </w:t>
      </w:r>
      <w:r>
        <w:rPr/>
        <w:t>Cr</w:t>
      </w:r>
      <w:r>
        <w:rPr>
          <w:spacing w:val="17"/>
        </w:rPr>
        <w:t> </w:t>
      </w:r>
      <w:r>
        <w:rPr/>
        <w:t>kg</w:t>
      </w:r>
      <w:r>
        <w:rPr>
          <w:position w:val="9"/>
          <w:sz w:val="16"/>
        </w:rPr>
        <w:t>-1</w:t>
      </w:r>
      <w:r>
        <w:rPr>
          <w:spacing w:val="15"/>
          <w:position w:val="9"/>
          <w:sz w:val="16"/>
        </w:rPr>
        <w:t> </w:t>
      </w:r>
      <w:r>
        <w:rPr/>
        <w:t>MS,</w:t>
      </w:r>
      <w:r>
        <w:rPr>
          <w:spacing w:val="13"/>
        </w:rPr>
        <w:t> </w:t>
      </w:r>
      <w:r>
        <w:rPr/>
        <w:t>en</w:t>
      </w:r>
      <w:r>
        <w:rPr>
          <w:spacing w:val="15"/>
        </w:rPr>
        <w:t> </w:t>
      </w:r>
      <w:r>
        <w:rPr/>
        <w:t>cuyo</w:t>
      </w:r>
      <w:r>
        <w:rPr>
          <w:spacing w:val="15"/>
        </w:rPr>
        <w:t> </w:t>
      </w:r>
      <w:r>
        <w:rPr/>
        <w:t>estudio,</w:t>
      </w:r>
      <w:r>
        <w:rPr>
          <w:spacing w:val="13"/>
        </w:rPr>
        <w:t> </w:t>
      </w:r>
      <w:r>
        <w:rPr/>
        <w:t>el</w:t>
      </w:r>
      <w:r>
        <w:rPr>
          <w:spacing w:val="16"/>
        </w:rPr>
        <w:t> </w:t>
      </w:r>
      <w:r>
        <w:rPr/>
        <w:t>contenido</w:t>
      </w:r>
      <w:r>
        <w:rPr>
          <w:spacing w:val="13"/>
        </w:rPr>
        <w:t> </w:t>
      </w:r>
      <w:r>
        <w:rPr/>
        <w:t>de</w:t>
      </w:r>
    </w:p>
    <w:p>
      <w:pPr>
        <w:spacing w:after="0" w:line="357" w:lineRule="auto"/>
        <w:jc w:val="both"/>
        <w:sectPr>
          <w:pgSz w:w="12240" w:h="15840"/>
          <w:pgMar w:header="1154" w:footer="1503" w:top="1620" w:bottom="1700" w:left="1660" w:right="1420"/>
        </w:sectPr>
      </w:pPr>
    </w:p>
    <w:p>
      <w:pPr>
        <w:pStyle w:val="BodyText"/>
        <w:spacing w:before="2"/>
        <w:rPr>
          <w:sz w:val="9"/>
        </w:rPr>
      </w:pPr>
    </w:p>
    <w:p>
      <w:pPr>
        <w:pStyle w:val="BodyText"/>
        <w:spacing w:line="360" w:lineRule="auto" w:before="69"/>
        <w:ind w:left="212" w:right="105"/>
        <w:jc w:val="both"/>
      </w:pPr>
      <w:r>
        <w:rPr/>
        <w:t>AG saturados e insaturados de la GIM no fue afectado por el Cr. En cerdos el CrPic aumentó el contenido de los AGI oleico (C18:1) y linoleico (C18:2) (Lien </w:t>
      </w:r>
      <w:r>
        <w:rPr>
          <w:i/>
        </w:rPr>
        <w:t>et al., </w:t>
      </w:r>
      <w:r>
        <w:rPr/>
        <w:t>2001). Se ha indicado que el ácido graso oleico es benéfico para la salud del organismo, reduce el colesterol libre e induce a una mayor captación del colesterol sanguíneo, disminuyendo así la concentración de lipoproteínas de baja densidad y aumentando las de alta densidad  (Pérez </w:t>
      </w:r>
      <w:r>
        <w:rPr>
          <w:i/>
        </w:rPr>
        <w:t>et al.,</w:t>
      </w:r>
      <w:r>
        <w:rPr>
          <w:i/>
          <w:spacing w:val="-5"/>
        </w:rPr>
        <w:t> </w:t>
      </w:r>
      <w:r>
        <w:rPr/>
        <w:t>2012).</w:t>
      </w:r>
    </w:p>
    <w:p>
      <w:pPr>
        <w:pStyle w:val="BodyText"/>
        <w:spacing w:line="360" w:lineRule="auto" w:before="6"/>
        <w:ind w:left="212" w:right="104" w:firstLine="707"/>
        <w:jc w:val="both"/>
      </w:pPr>
      <w:r>
        <w:rPr/>
        <w:t>Diversos estudios (Wood </w:t>
      </w:r>
      <w:r>
        <w:rPr>
          <w:i/>
        </w:rPr>
        <w:t>et al., </w:t>
      </w:r>
      <w:r>
        <w:rPr/>
        <w:t>2004; Teye </w:t>
      </w:r>
      <w:r>
        <w:rPr>
          <w:i/>
        </w:rPr>
        <w:t>et al., </w:t>
      </w:r>
      <w:r>
        <w:rPr/>
        <w:t>2006) han encontrado una  relación positiva entre el engrasamiento de la canal, el contenido de GIM y la distribución del perfil de AG en la carne, indicando que al aumentar el tejido adiposo subcutáneo se incrementa el nivel de ácidos grasos saturados y disminuye el de ácidos grasos insaturados; con respecto a lo anterior, el Cr puede influir en el metabolismo de los lípidos y por lo tanto en el perfil de los AG de la grasa almacenada, y esto puede ser una de la razones en la mejoría observada en algunos atributos de la calidad de la carne </w:t>
      </w:r>
      <w:r>
        <w:rPr>
          <w:b/>
        </w:rPr>
        <w:t>(</w:t>
      </w:r>
      <w:r>
        <w:rPr/>
        <w:t>Jackson </w:t>
      </w:r>
      <w:r>
        <w:rPr>
          <w:i/>
        </w:rPr>
        <w:t>et al., </w:t>
      </w:r>
      <w:r>
        <w:rPr/>
        <w:t>2009). En cerdos el CrPic influyó en el contenido de GIM (Wenk </w:t>
      </w:r>
      <w:r>
        <w:rPr>
          <w:i/>
        </w:rPr>
        <w:t>et al., </w:t>
      </w:r>
      <w:r>
        <w:rPr/>
        <w:t>1995). En la presente investigación hubo una reducción de la GIM como respuesta a la adición del Cr suplementario, pero además el Cr influyó en la composición de la GIM, pues al aumentar el nivel de Cr suplementado se redujo el contenido de AGS y aumentó el de AGPI, lo que  hace a la carne un producto más saludable. Este resultado coincide con la función del Cr en la modulación del metabolismo energético entre los tejidos muscular y adiposo (Yan </w:t>
      </w:r>
      <w:r>
        <w:rPr>
          <w:i/>
        </w:rPr>
        <w:t>et al., </w:t>
      </w:r>
      <w:r>
        <w:rPr/>
        <w:t>2008; McNamara y Valdez, 2005), lo cual está asociado con un aumento de la sensibilidad de la insulina Mertz, 1993), y con cambios en la actividad de las lipasas lipoproteicas a nivel de tejido adiposo subcutáneo y músculo esquelético; un ejemplo de esto, es el aumento en plasma de los AGNE (AG no esterificados) lo cual es un indicador de la intensificación del catabolismo en tejido adiposo y la menor ß-oxidación de lípidos en la mitocondria, con posibles efectos en la reducción de la grasa dorsal (Yan  </w:t>
      </w:r>
      <w:r>
        <w:rPr>
          <w:i/>
        </w:rPr>
        <w:t>et al.,</w:t>
      </w:r>
      <w:r>
        <w:rPr>
          <w:i/>
          <w:spacing w:val="-11"/>
        </w:rPr>
        <w:t> </w:t>
      </w:r>
      <w:r>
        <w:rPr/>
        <w:t>2008)</w:t>
      </w:r>
    </w:p>
    <w:p>
      <w:pPr>
        <w:pStyle w:val="BodyText"/>
        <w:rPr>
          <w:sz w:val="25"/>
        </w:rPr>
      </w:pPr>
    </w:p>
    <w:p>
      <w:pPr>
        <w:pStyle w:val="Heading1"/>
        <w:numPr>
          <w:ilvl w:val="1"/>
          <w:numId w:val="29"/>
        </w:numPr>
        <w:tabs>
          <w:tab w:pos="633" w:val="left" w:leader="none"/>
        </w:tabs>
        <w:spacing w:line="240" w:lineRule="auto" w:before="0" w:after="0"/>
        <w:ind w:left="632" w:right="0" w:hanging="360"/>
        <w:jc w:val="both"/>
      </w:pPr>
      <w:bookmarkStart w:name="_bookmark81" w:id="155"/>
      <w:bookmarkEnd w:id="155"/>
      <w:r>
        <w:rPr>
          <w:b w:val="0"/>
        </w:rPr>
      </w:r>
      <w:bookmarkStart w:name="_bookmark81" w:id="156"/>
      <w:bookmarkEnd w:id="156"/>
      <w:r>
        <w:rPr/>
        <w:t>Ca</w:t>
      </w:r>
      <w:r>
        <w:rPr/>
        <w:t>racterísticas de la</w:t>
      </w:r>
      <w:r>
        <w:rPr>
          <w:spacing w:val="-5"/>
        </w:rPr>
        <w:t> </w:t>
      </w:r>
      <w:r>
        <w:rPr/>
        <w:t>canal</w:t>
      </w:r>
    </w:p>
    <w:p>
      <w:pPr>
        <w:pStyle w:val="BodyText"/>
        <w:spacing w:line="360" w:lineRule="auto" w:before="132"/>
        <w:ind w:left="212" w:right="106" w:firstLine="707"/>
        <w:jc w:val="both"/>
      </w:pPr>
      <w:r>
        <w:rPr/>
        <w:t>En el Cuadro 17 se observan los resultados de peso al sacrificio, pesos de la canal caliente y fría; rendimiento de la canal, área del ojo de chuleta, engrasamiento, conformación muscular, medidas lineales de las canales e índice de compacidad. No se</w:t>
      </w:r>
    </w:p>
    <w:p>
      <w:pPr>
        <w:spacing w:after="0" w:line="360" w:lineRule="auto"/>
        <w:jc w:val="both"/>
        <w:sectPr>
          <w:pgSz w:w="12240" w:h="15840"/>
          <w:pgMar w:header="1154" w:footer="1503" w:top="1620" w:bottom="1700" w:left="1660" w:right="1420"/>
        </w:sectPr>
      </w:pPr>
    </w:p>
    <w:p>
      <w:pPr>
        <w:pStyle w:val="BodyText"/>
        <w:spacing w:before="2"/>
        <w:rPr>
          <w:sz w:val="9"/>
        </w:rPr>
      </w:pPr>
    </w:p>
    <w:p>
      <w:pPr>
        <w:pStyle w:val="BodyText"/>
        <w:spacing w:line="360" w:lineRule="auto" w:before="69"/>
        <w:ind w:left="212" w:right="144"/>
        <w:jc w:val="both"/>
      </w:pPr>
      <w:r>
        <w:rPr/>
        <w:t>encontró efecto (P&gt;0.05)de la suplementación de cromo en ninguna de estas variables. Este resultado coincide con otros estudios en los que 0.20 ppm de LevCr no afectó las características de la canal de bovinos en engorda (Chang </w:t>
      </w:r>
      <w:r>
        <w:rPr>
          <w:i/>
        </w:rPr>
        <w:t>et al., </w:t>
      </w:r>
      <w:r>
        <w:rPr/>
        <w:t>1992), así mismo, la inclusión dietaria de 0.90 ppm de Cr orgánico (LevCr) no afectó la canal de novillos (Danielsson y Pehrson, 1998); resultados similares son reportados al suplementar con 0.25  y 0.5 ppm de PicCr en bovinos de engorda (Hong </w:t>
      </w:r>
      <w:r>
        <w:rPr>
          <w:i/>
        </w:rPr>
        <w:t>et al., </w:t>
      </w:r>
      <w:r>
        <w:rPr/>
        <w:t>2002); Guifen </w:t>
      </w:r>
      <w:r>
        <w:rPr>
          <w:i/>
        </w:rPr>
        <w:t>et al., </w:t>
      </w:r>
      <w:r>
        <w:rPr/>
        <w:t>(2011) indicaron que el PicCr no influyó en el rendimiento de la canal de novillos suplementados con 0.20, 0.60 y 1.20 ppm de Cr. En contraste, otros autores han reportado una disminución en el espesor de la grasa dorsal en ovinos suplementados con 0.1 ppm de Cr orgánico (Gardner </w:t>
      </w:r>
      <w:r>
        <w:rPr>
          <w:i/>
        </w:rPr>
        <w:t>et al., </w:t>
      </w:r>
      <w:r>
        <w:rPr/>
        <w:t>1998); así mismo, en ovinos en pastoreo la inclusión de 0.25 ppm de LevCr redujo la grasa dorsal en 18.4 % (Arvizu </w:t>
      </w:r>
      <w:r>
        <w:rPr>
          <w:i/>
        </w:rPr>
        <w:t>et al., </w:t>
      </w:r>
      <w:r>
        <w:rPr/>
        <w:t>2011); en canales de ovinos suplementados </w:t>
      </w:r>
      <w:r>
        <w:rPr>
          <w:position w:val="2"/>
        </w:rPr>
        <w:t>con 0.4 ppm de CrCl</w:t>
      </w:r>
      <w:r>
        <w:rPr>
          <w:sz w:val="16"/>
        </w:rPr>
        <w:t>3  </w:t>
      </w:r>
      <w:r>
        <w:rPr>
          <w:position w:val="2"/>
        </w:rPr>
        <w:t>(Uyanik, 2001); 0.35 ppm de LevCr (Domínguez et al., 2009); y </w:t>
      </w:r>
      <w:r>
        <w:rPr>
          <w:spacing w:val="6"/>
          <w:position w:val="2"/>
        </w:rPr>
        <w:t> </w:t>
      </w:r>
      <w:r>
        <w:rPr>
          <w:position w:val="2"/>
        </w:rPr>
        <w:t>0.4,</w:t>
      </w:r>
    </w:p>
    <w:p>
      <w:pPr>
        <w:pStyle w:val="BodyText"/>
        <w:spacing w:line="360" w:lineRule="auto" w:before="3"/>
        <w:ind w:left="212" w:right="145"/>
        <w:jc w:val="both"/>
      </w:pPr>
      <w:r>
        <w:rPr/>
        <w:t>0.8 y 1.2 ppm de LevCr (Estrada-Angulo </w:t>
      </w:r>
      <w:r>
        <w:rPr>
          <w:i/>
        </w:rPr>
        <w:t>et al</w:t>
      </w:r>
      <w:r>
        <w:rPr/>
        <w:t>., 2013) así como 0.4 ppm de LevCr (Yan e</w:t>
      </w:r>
      <w:r>
        <w:rPr>
          <w:i/>
        </w:rPr>
        <w:t>t </w:t>
      </w:r>
      <w:r>
        <w:rPr>
          <w:i/>
        </w:rPr>
        <w:t>al., </w:t>
      </w:r>
      <w:r>
        <w:rPr/>
        <w:t>2009) promovieron un aumento en el área del ojo de chuleta, Moreno </w:t>
      </w:r>
      <w:r>
        <w:rPr>
          <w:i/>
        </w:rPr>
        <w:t>et al</w:t>
      </w:r>
      <w:r>
        <w:rPr/>
        <w:t>. (2014) indicaron que la conformación muscular y el perímetro de la pierna aumentaron, y la grasa perirrenal disminuyó de forma lineal al aumentar el Cr suplementado de 0.2 a 0.4 ppm en la dieta de ovinos; Kraidess </w:t>
      </w:r>
      <w:r>
        <w:rPr>
          <w:i/>
        </w:rPr>
        <w:t>et al. </w:t>
      </w:r>
      <w:r>
        <w:rPr/>
        <w:t>(2009) reportaron mejoras en el peso de la canal de ovinos suplementados con 0.3 ppm LevCr. La literatura muestra inconsistencias al suplementar Cr sobre las características de las canales de distintas especies pecuarias, pero de acuerdo con algunos autores, se puede asumir que el aumentar la dosis de Cr por arriba de 0.35 ppm, provocó efecto en alguna característica de la canal, así mismo la variabilidad en este  sentido es similar a la discutida en la respuesta productiva y parcialmente relacionada con ella.</w:t>
      </w:r>
    </w:p>
    <w:p>
      <w:pPr>
        <w:pStyle w:val="BodyText"/>
        <w:spacing w:before="8"/>
      </w:pPr>
    </w:p>
    <w:p>
      <w:pPr>
        <w:pStyle w:val="Heading1"/>
        <w:spacing w:before="0"/>
        <w:ind w:left="212"/>
        <w:jc w:val="both"/>
      </w:pPr>
      <w:bookmarkStart w:name="_bookmark82" w:id="157"/>
      <w:bookmarkEnd w:id="157"/>
      <w:r>
        <w:rPr>
          <w:b w:val="0"/>
        </w:rPr>
      </w:r>
      <w:r>
        <w:rPr/>
        <w:t>8.6 Calidad de la carne</w:t>
      </w:r>
    </w:p>
    <w:p>
      <w:pPr>
        <w:pStyle w:val="BodyText"/>
        <w:rPr>
          <w:b/>
        </w:rPr>
      </w:pPr>
    </w:p>
    <w:p>
      <w:pPr>
        <w:pStyle w:val="BodyText"/>
        <w:spacing w:before="7"/>
        <w:rPr>
          <w:b/>
          <w:sz w:val="23"/>
        </w:rPr>
      </w:pPr>
    </w:p>
    <w:p>
      <w:pPr>
        <w:pStyle w:val="BodyText"/>
        <w:spacing w:line="360" w:lineRule="auto"/>
        <w:ind w:left="212" w:right="112"/>
        <w:jc w:val="both"/>
      </w:pPr>
      <w:r>
        <w:rPr/>
        <w:t>En el Cuadro 18 se observan los resultados de la composición química e indicadores de la calidad del músculo </w:t>
      </w:r>
      <w:r>
        <w:rPr>
          <w:i/>
        </w:rPr>
        <w:t>Longissimus dorsi </w:t>
      </w:r>
      <w:r>
        <w:rPr/>
        <w:t>de ovinos. No hubo diferencias en el contenido de humedad y proteína cruda (P&gt;0.05). Estos valores son característicos en la carne de ovino (Lin </w:t>
      </w:r>
      <w:r>
        <w:rPr>
          <w:i/>
        </w:rPr>
        <w:t>et al. </w:t>
      </w:r>
      <w:r>
        <w:rPr/>
        <w:t>1998, López </w:t>
      </w:r>
      <w:r>
        <w:rPr>
          <w:i/>
        </w:rPr>
        <w:t>et al., </w:t>
      </w:r>
      <w:r>
        <w:rPr/>
        <w:t>2000). Este resultado es similar a lo reportado en  cerdos   por</w:t>
      </w:r>
    </w:p>
    <w:p>
      <w:pPr>
        <w:spacing w:after="0" w:line="360" w:lineRule="auto"/>
        <w:jc w:val="both"/>
        <w:sectPr>
          <w:pgSz w:w="12240" w:h="15840"/>
          <w:pgMar w:header="1154" w:footer="1503" w:top="1620" w:bottom="1700" w:left="1660" w:right="1380"/>
        </w:sectPr>
      </w:pPr>
    </w:p>
    <w:p>
      <w:pPr>
        <w:pStyle w:val="BodyText"/>
        <w:spacing w:before="2"/>
        <w:rPr>
          <w:sz w:val="9"/>
        </w:rPr>
      </w:pPr>
    </w:p>
    <w:p>
      <w:pPr>
        <w:pStyle w:val="BodyText"/>
        <w:spacing w:line="357" w:lineRule="auto" w:before="69"/>
        <w:ind w:left="212" w:right="109"/>
        <w:jc w:val="both"/>
      </w:pPr>
      <w:r>
        <w:rPr/>
        <w:t>Ondѓej </w:t>
      </w:r>
      <w:r>
        <w:rPr>
          <w:i/>
        </w:rPr>
        <w:t>et al. </w:t>
      </w:r>
      <w:r>
        <w:rPr/>
        <w:t>(2013) quienes indicaron que el Cr orgánico no incrementó la proteína, pero contrasta con lo reportado en pollo de engorda; Anandhi </w:t>
      </w:r>
      <w:r>
        <w:rPr>
          <w:i/>
        </w:rPr>
        <w:t>et al. </w:t>
      </w:r>
      <w:r>
        <w:rPr/>
        <w:t>(2006) quienes indicaron un incremento en el porcentaje de proteína en músculo (muslo) al suplementar con Cr orgánico (250, 500 y 750 µg Cr/kg); así mismo, Suksombat y Kanchenatawee (2005) encontraron mayor contenido de proteína en aves suplementadas con PicCr y LevCr (200, 400 y 800ppb). Por otra parte, este resultado es semejante a lo reportado por otros autores en la especie ovina; Arvizu </w:t>
      </w:r>
      <w:r>
        <w:rPr>
          <w:i/>
        </w:rPr>
        <w:t>et al. </w:t>
      </w:r>
      <w:r>
        <w:rPr/>
        <w:t>(2011) indicaron que al evaluar en ovinos en pastoreo, el efecto de una fuente orgánica de Cr (LevCr) en dosis de 2.5 gr/ovino/d</w:t>
      </w:r>
      <w:r>
        <w:rPr>
          <w:position w:val="9"/>
          <w:sz w:val="16"/>
        </w:rPr>
        <w:t>-1 </w:t>
      </w:r>
      <w:r>
        <w:rPr/>
        <w:t>no afectó el contenido de proteína en la carne; Moreno </w:t>
      </w:r>
      <w:r>
        <w:rPr>
          <w:i/>
        </w:rPr>
        <w:t>et al. </w:t>
      </w:r>
      <w:r>
        <w:rPr/>
        <w:t>(2014) no encontraron aumento en el contenido de proteína en la carne de ovinos por la suplementación de LevCr (0.2 y 0.4 ppm) sin embargo; contrasta con Ziyad (2013) quien reportó incrementos en la proteína en ovinos suplementados con una fuente orgánica de Cr (LevCr) en dosis de 0.5 y 1 g.</w:t>
      </w:r>
    </w:p>
    <w:p>
      <w:pPr>
        <w:pStyle w:val="BodyText"/>
        <w:spacing w:line="357" w:lineRule="auto" w:before="9"/>
        <w:ind w:left="212" w:right="110"/>
        <w:jc w:val="both"/>
      </w:pPr>
      <w:r>
        <w:rPr/>
        <w:t>En esta investigación se encontró que la grasa intramuscular (GIM) de la carne de los  ovinos disminuyó (P&lt;0.05) al suplementar Cr (0.2 y 0.4 ppm) en forma cuadrática  (P&lt;0.01); esta reducción cuadrática de la grasa en la carne en respuesta a la adición de Cr hace evidente que el Cr suplementario en niveles de entre 0.2 y 0.4 mg kg</w:t>
      </w:r>
      <w:r>
        <w:rPr>
          <w:position w:val="9"/>
          <w:sz w:val="16"/>
        </w:rPr>
        <w:t>-1 </w:t>
      </w:r>
      <w:r>
        <w:rPr/>
        <w:t>MS tiene  efectos benéficos en el metabolismo energético de los rumiantes, lo cual coincide con lo observado en los triglicéridos y glucosa en plasma. Este resultado concuerda con Arvizu </w:t>
      </w:r>
      <w:r>
        <w:rPr>
          <w:i/>
        </w:rPr>
        <w:t>et </w:t>
      </w:r>
      <w:r>
        <w:rPr>
          <w:i/>
        </w:rPr>
        <w:t>al. </w:t>
      </w:r>
      <w:r>
        <w:rPr/>
        <w:t>(2011) quienes observaron que el Cr redujo 15.3 % la grasa en la carne; así mismo,  Ziyad (2013) indicó una disminución de la grasa en ovinos  usando LevCr en dosis de 0.5 y 1 g. El menor contenido de grasa en la carne contribuye a una alimentación saludable de personas que consuman carne de ovinos alimentados con dietas complementadas con Cr orgánico en proporción equivalente entre 0.2 y 0.4 mg kg</w:t>
      </w:r>
      <w:r>
        <w:rPr>
          <w:position w:val="9"/>
          <w:sz w:val="16"/>
        </w:rPr>
        <w:t>-1</w:t>
      </w:r>
      <w:r>
        <w:rPr>
          <w:spacing w:val="10"/>
          <w:position w:val="9"/>
          <w:sz w:val="16"/>
        </w:rPr>
        <w:t> </w:t>
      </w:r>
      <w:r>
        <w:rPr/>
        <w:t>MS.</w:t>
      </w:r>
    </w:p>
    <w:p>
      <w:pPr>
        <w:pStyle w:val="BodyText"/>
        <w:spacing w:line="360" w:lineRule="auto"/>
        <w:ind w:left="212" w:right="114"/>
        <w:jc w:val="both"/>
      </w:pPr>
      <w:r>
        <w:rPr/>
        <w:t>No obstante, es preciso señalar que la grasa intramuscular presente en la carne permite que se distingan algunas características sensoriales deseables como la jugosidad, terneza, aroma y digestibilidad; además, el tejido adiposo intramuscular e intermuscular contribuye en la firmeza de la carne, e igualmente, un mayor contenido de grasa intramuscular da una mayor terneza y jugosidad a la carne (Olleta </w:t>
      </w:r>
      <w:r>
        <w:rPr>
          <w:i/>
        </w:rPr>
        <w:t>et al., </w:t>
      </w:r>
      <w:r>
        <w:rPr/>
        <w:t>1992).</w:t>
      </w:r>
    </w:p>
    <w:p>
      <w:pPr>
        <w:spacing w:after="0" w:line="360" w:lineRule="auto"/>
        <w:jc w:val="both"/>
        <w:sectPr>
          <w:pgSz w:w="12240" w:h="15840"/>
          <w:pgMar w:header="1154" w:footer="1503" w:top="1620" w:bottom="1700" w:left="1660" w:right="1380"/>
        </w:sectPr>
      </w:pPr>
    </w:p>
    <w:p>
      <w:pPr>
        <w:pStyle w:val="BodyText"/>
        <w:spacing w:before="2"/>
        <w:rPr>
          <w:sz w:val="9"/>
        </w:rPr>
      </w:pPr>
    </w:p>
    <w:p>
      <w:pPr>
        <w:pStyle w:val="BodyText"/>
        <w:spacing w:line="360" w:lineRule="auto" w:before="69"/>
        <w:ind w:left="212" w:right="111"/>
        <w:jc w:val="both"/>
      </w:pPr>
      <w:r>
        <w:rPr/>
        <w:t>El contenido de cenizas en la carne disminuyó linealmente (P&lt;0.0004) y fue menor en el T3 y T4 (1.58 y 1.59 g/100g ) con respecto al T1 y T2 (1.82 y 1.66 g/100g) (P&lt;0.05). Esta diminución lineal (P&lt;0.05) en el contenido de cenizas de la carne que se obtuvo en éste experimento como respuesta a la inclusión de niveles crecientes de Cr en la dieta, es un resultado que </w:t>
      </w:r>
      <w:r>
        <w:rPr>
          <w:spacing w:val="-3"/>
        </w:rPr>
        <w:t>ya </w:t>
      </w:r>
      <w:r>
        <w:rPr/>
        <w:t>ha sido observado previamente en experimentos con ovinos Suffolk (Moreno </w:t>
      </w:r>
      <w:r>
        <w:rPr>
          <w:i/>
        </w:rPr>
        <w:t>et al., </w:t>
      </w:r>
      <w:r>
        <w:rPr/>
        <w:t>2014). Las implicaciones de este hallazgo son difíciles de valorar con la información actual, en primera instancia puede interpretarse como un menor aporte mineral de la carne, sin embargo, las determinaciones de Fe, Cu y Zn realizadas en hígado y hueso, indicaron que la disminución del contenido de Fe y Cu no fue en detrimento directo, sino un acercamiento a los valores considerados normales de estos minerales en los órganos muestreados; en tanto que el Zn no fue modificado; lo cual puede sugerir que un fenómeno parecido pudiese presentarse en el músculo. En forma adicional, sí se valoran los efectos conjuntos de la adición de Cr orgánico en la carne, una disminución ligera en el contenido de algunos minerales (los cuales pudieran estar presentes en exceso), al tiempo que hay una reducción de la grasa, pero sin cambio en el contenido de proteína, significa, de alguna manera, que el contenido de materia orgánica no grasa de la carne puede ser aumentado y con ello contribuir a una sana alimentación. Este resultado sugiere la necesidad de abundar en la investigación sobre la influencia de la adición de Cr en la composición mineral de la carne, además de su impacto en el contenido de grasa y</w:t>
      </w:r>
      <w:r>
        <w:rPr>
          <w:spacing w:val="-11"/>
        </w:rPr>
        <w:t> </w:t>
      </w:r>
      <w:r>
        <w:rPr/>
        <w:t>proteína.</w:t>
      </w:r>
    </w:p>
    <w:p>
      <w:pPr>
        <w:pStyle w:val="BodyText"/>
        <w:spacing w:line="360" w:lineRule="auto" w:before="4"/>
        <w:ind w:left="212" w:right="110"/>
        <w:jc w:val="both"/>
      </w:pPr>
      <w:r>
        <w:rPr/>
        <w:t>Con respecto a los indicadores de calidad no se observan diferencias (P&gt;0.05) en los valores </w:t>
      </w:r>
      <w:r>
        <w:rPr>
          <w:position w:val="2"/>
        </w:rPr>
        <w:t>iniciales a pH</w:t>
      </w:r>
      <w:r>
        <w:rPr>
          <w:sz w:val="16"/>
        </w:rPr>
        <w:t>45 </w:t>
      </w:r>
      <w:r>
        <w:rPr>
          <w:position w:val="2"/>
        </w:rPr>
        <w:t>y pH</w:t>
      </w:r>
      <w:r>
        <w:rPr>
          <w:sz w:val="16"/>
        </w:rPr>
        <w:t>24</w:t>
      </w:r>
      <w:r>
        <w:rPr>
          <w:position w:val="2"/>
        </w:rPr>
        <w:t>; los valores iniciales a pH</w:t>
      </w:r>
      <w:r>
        <w:rPr>
          <w:sz w:val="16"/>
        </w:rPr>
        <w:t>45 </w:t>
      </w:r>
      <w:r>
        <w:rPr>
          <w:position w:val="2"/>
        </w:rPr>
        <w:t>se ubicaron entre 5.9 y 6.0 y descendieron a 5.4 y 5.6 (pH</w:t>
      </w:r>
      <w:r>
        <w:rPr>
          <w:sz w:val="16"/>
        </w:rPr>
        <w:t>24</w:t>
      </w:r>
      <w:r>
        <w:rPr>
          <w:position w:val="2"/>
        </w:rPr>
        <w:t>), estos valores se encuentran dentro del rango normal en la </w:t>
      </w:r>
      <w:r>
        <w:rPr/>
        <w:t>carne de ovino (Sañudo </w:t>
      </w:r>
      <w:r>
        <w:rPr>
          <w:i/>
        </w:rPr>
        <w:t>et al., </w:t>
      </w:r>
      <w:r>
        <w:rPr/>
        <w:t>2003; Cano </w:t>
      </w:r>
      <w:r>
        <w:rPr>
          <w:i/>
        </w:rPr>
        <w:t>et al., </w:t>
      </w:r>
      <w:r>
        <w:rPr/>
        <w:t>2003). </w:t>
      </w:r>
      <w:r>
        <w:rPr>
          <w:spacing w:val="-3"/>
        </w:rPr>
        <w:t>La </w:t>
      </w:r>
      <w:r>
        <w:rPr/>
        <w:t>ausencia de efecto del Cr suplementario (P&gt;0.05) en el pH en respuesta a la adición de LevCr coincide con lo observado en carne de conejo (Lambertini </w:t>
      </w:r>
      <w:r>
        <w:rPr>
          <w:i/>
        </w:rPr>
        <w:t>et al. </w:t>
      </w:r>
      <w:r>
        <w:rPr/>
        <w:t>2003), quienes indicaron que el pH de la carne de conejos no fue modificado por una fuente orgánica de Cr (LevCr) en dosis de 0.4</w:t>
      </w:r>
      <w:r>
        <w:rPr>
          <w:spacing w:val="16"/>
        </w:rPr>
        <w:t> </w:t>
      </w:r>
      <w:r>
        <w:rPr/>
        <w:t>y</w:t>
      </w:r>
    </w:p>
    <w:p>
      <w:pPr>
        <w:pStyle w:val="BodyText"/>
        <w:spacing w:line="352" w:lineRule="auto" w:before="4"/>
        <w:ind w:left="212" w:right="113"/>
        <w:jc w:val="both"/>
      </w:pPr>
      <w:r>
        <w:rPr/>
        <w:t>0.8 mg/kg; por otra parte la adición de otras fuentes de Cr orgánico como el propionato de Cr (200 ppb Cr), nicotinato de Cr (0.75 mg/kg</w:t>
      </w:r>
      <w:r>
        <w:rPr>
          <w:position w:val="9"/>
          <w:sz w:val="16"/>
        </w:rPr>
        <w:t>-1 </w:t>
      </w:r>
      <w:r>
        <w:rPr/>
        <w:t>Cr</w:t>
      </w:r>
      <w:r>
        <w:rPr>
          <w:position w:val="9"/>
          <w:sz w:val="16"/>
        </w:rPr>
        <w:t>3+</w:t>
      </w:r>
      <w:r>
        <w:rPr/>
        <w:t>), metionina de Cr (200 ppb) y LevCr (200 ppb) tampoco han modificado el pH de la carne de cerdo (Matthews </w:t>
      </w:r>
      <w:r>
        <w:rPr>
          <w:i/>
        </w:rPr>
        <w:t>et al., </w:t>
      </w:r>
      <w:r>
        <w:rPr/>
        <w:t>2003;</w:t>
      </w:r>
    </w:p>
    <w:p>
      <w:pPr>
        <w:spacing w:after="0" w:line="352" w:lineRule="auto"/>
        <w:jc w:val="both"/>
        <w:sectPr>
          <w:pgSz w:w="12240" w:h="15840"/>
          <w:pgMar w:header="1154" w:footer="1503" w:top="1620" w:bottom="1700" w:left="1660" w:right="1380"/>
        </w:sectPr>
      </w:pPr>
    </w:p>
    <w:p>
      <w:pPr>
        <w:pStyle w:val="BodyText"/>
        <w:spacing w:before="2"/>
        <w:rPr>
          <w:sz w:val="9"/>
        </w:rPr>
      </w:pPr>
    </w:p>
    <w:p>
      <w:pPr>
        <w:pStyle w:val="BodyText"/>
        <w:spacing w:line="357" w:lineRule="auto" w:before="69"/>
        <w:ind w:left="212" w:right="111"/>
        <w:jc w:val="both"/>
      </w:pPr>
      <w:r>
        <w:rPr/>
        <w:t>Ondѓej </w:t>
      </w:r>
      <w:r>
        <w:rPr>
          <w:i/>
        </w:rPr>
        <w:t>et al., </w:t>
      </w:r>
      <w:r>
        <w:rPr/>
        <w:t>2013; Peres </w:t>
      </w:r>
      <w:r>
        <w:rPr>
          <w:i/>
        </w:rPr>
        <w:t>et al.,</w:t>
      </w:r>
      <w:r>
        <w:rPr/>
        <w:t>2014; ), resultados semejantes se observan en pollo de engorda, Toghyani </w:t>
      </w:r>
      <w:r>
        <w:rPr>
          <w:i/>
        </w:rPr>
        <w:t>et al. </w:t>
      </w:r>
      <w:r>
        <w:rPr/>
        <w:t>(2008) indicaron que el pH de la carne no fue modificado por la inclusión de 500, 1000 o 1500 µg/kg</w:t>
      </w:r>
      <w:r>
        <w:rPr>
          <w:position w:val="9"/>
          <w:sz w:val="16"/>
        </w:rPr>
        <w:t>-1 </w:t>
      </w:r>
      <w:r>
        <w:rPr/>
        <w:t>de Nicotinato de Cr, Amatya </w:t>
      </w:r>
      <w:r>
        <w:rPr>
          <w:i/>
        </w:rPr>
        <w:t>et al. </w:t>
      </w:r>
      <w:r>
        <w:rPr/>
        <w:t>(2004) señalaron que el pH de la carne de pollo de engorda no fue modificado por efecto del Cr (0.2 mg/kg LevCr).</w:t>
      </w:r>
    </w:p>
    <w:p>
      <w:pPr>
        <w:pStyle w:val="BodyText"/>
        <w:spacing w:line="360" w:lineRule="auto" w:before="6"/>
        <w:ind w:left="212" w:right="113"/>
        <w:jc w:val="both"/>
      </w:pPr>
      <w:r>
        <w:rPr/>
        <w:t>En cuanto a el color, este no fue afectado en ninguna de sus coordenadas (L*, a*, b*) por el nivel de Cr (P&gt;0.05). Los valores de luminosidad (L*) son similares a lo registrado por Cano </w:t>
      </w:r>
      <w:r>
        <w:rPr>
          <w:i/>
        </w:rPr>
        <w:t>et al., </w:t>
      </w:r>
      <w:r>
        <w:rPr/>
        <w:t>(2003) y Torres, (2013), los índices de rojo (a*) y de amarillo (b*) ofrecen valores semejantes a los registrado por Rodríguez </w:t>
      </w:r>
      <w:r>
        <w:rPr>
          <w:i/>
        </w:rPr>
        <w:t>et al. </w:t>
      </w:r>
      <w:r>
        <w:rPr/>
        <w:t>(2008) y Torres, (2013). La  ausencia de efecto (P&gt;0.05) de la adición de Cr en la coloración de la carne que se apreció en la presente investigación, puede ser un resultado esperable, considerando que en los experimentos desarrollados con animales no rumiantes alimentados con dietas suplementadas con Cr no se apreció efecto alguno, Lambertini </w:t>
      </w:r>
      <w:r>
        <w:rPr>
          <w:i/>
        </w:rPr>
        <w:t>et al. </w:t>
      </w:r>
      <w:r>
        <w:rPr/>
        <w:t>(2004) quienes indicaron que el color no fue modificado por efecto de la fuente orgánica de Cr (LevCr) en conejos; Lindemann </w:t>
      </w:r>
      <w:r>
        <w:rPr>
          <w:i/>
        </w:rPr>
        <w:t>et al. </w:t>
      </w:r>
      <w:r>
        <w:rPr/>
        <w:t>(2008) mencionaron que no hubo diferencias en el color por efecto de una fuente orgánica de Cr en cerdos; así mismo, Matthews </w:t>
      </w:r>
      <w:r>
        <w:rPr>
          <w:i/>
        </w:rPr>
        <w:t>et al. </w:t>
      </w:r>
      <w:r>
        <w:rPr/>
        <w:t>(2003) reportaron que el color (medición objetiva y subjetiva) de la carne de cerdos no fue modificada por el Cr (propionato de Cr); Peres </w:t>
      </w:r>
      <w:r>
        <w:rPr>
          <w:i/>
        </w:rPr>
        <w:t>et al. </w:t>
      </w:r>
      <w:r>
        <w:rPr/>
        <w:t>(2014) no encontraron diferencias en el color de la carne de cerdos por efecto de MetCr (200 ppb), en rumiantes el resultado es semejante, Sung </w:t>
      </w:r>
      <w:r>
        <w:rPr>
          <w:i/>
        </w:rPr>
        <w:t>et al. </w:t>
      </w:r>
      <w:r>
        <w:rPr/>
        <w:t>(2015) señalaron que 200 ppb MetCr no modificó el color de la carne de bovinos, </w:t>
      </w:r>
      <w:r>
        <w:rPr>
          <w:spacing w:val="-3"/>
        </w:rPr>
        <w:t>no </w:t>
      </w:r>
      <w:r>
        <w:rPr/>
        <w:t>obstante, Ondѓej </w:t>
      </w:r>
      <w:r>
        <w:rPr>
          <w:i/>
        </w:rPr>
        <w:t>et al. </w:t>
      </w:r>
      <w:r>
        <w:rPr/>
        <w:t>(2013) en cerdos reportaron que la coordenada de color L* (que representa la luminosidad) aumentó por el efecto de una fuente orgánica de Cr, sin modificar los valores de a* y</w:t>
      </w:r>
      <w:r>
        <w:rPr>
          <w:spacing w:val="-8"/>
        </w:rPr>
        <w:t> </w:t>
      </w:r>
      <w:r>
        <w:rPr/>
        <w:t>b*.</w:t>
      </w:r>
    </w:p>
    <w:p>
      <w:pPr>
        <w:pStyle w:val="BodyText"/>
        <w:spacing w:line="360" w:lineRule="auto" w:before="4"/>
        <w:ind w:left="212" w:right="113"/>
        <w:jc w:val="both"/>
      </w:pPr>
      <w:r>
        <w:rPr/>
        <w:t>El colágeno en la carne fue diferente entre tratamientos (P&lt;0.03), con aumento lineal a medida que se incrementó la cantidad de Cr suplementado. El contenido de colágeno puede ser diferente dentro de la misma especie y raza, así mismo, modificarse tanto por la edad como por el músculo seleccionado (Heinze </w:t>
      </w:r>
      <w:r>
        <w:rPr>
          <w:i/>
        </w:rPr>
        <w:t>et al., </w:t>
      </w:r>
      <w:r>
        <w:rPr/>
        <w:t>1986). El contenido de colágeno obtenido en la presente investigación, es ligeramente mayor a lo reportado por López </w:t>
      </w:r>
      <w:r>
        <w:rPr>
          <w:i/>
        </w:rPr>
        <w:t>et al. </w:t>
      </w:r>
      <w:r>
        <w:rPr/>
        <w:t>(2000) en esta  raza  y menores  a  lo  reportado  por    Hill,  (1966)  en  corderos.  El  colágeno  es una</w:t>
      </w:r>
    </w:p>
    <w:p>
      <w:pPr>
        <w:spacing w:after="0" w:line="360" w:lineRule="auto"/>
        <w:jc w:val="both"/>
        <w:sectPr>
          <w:pgSz w:w="12240" w:h="15840"/>
          <w:pgMar w:header="1154" w:footer="1503" w:top="1620" w:bottom="1700" w:left="1660" w:right="1380"/>
        </w:sectPr>
      </w:pPr>
    </w:p>
    <w:p>
      <w:pPr>
        <w:pStyle w:val="BodyText"/>
        <w:spacing w:before="2"/>
        <w:rPr>
          <w:sz w:val="9"/>
        </w:rPr>
      </w:pPr>
    </w:p>
    <w:p>
      <w:pPr>
        <w:pStyle w:val="BodyText"/>
        <w:spacing w:line="360" w:lineRule="auto" w:before="69"/>
        <w:ind w:left="212" w:right="113"/>
        <w:jc w:val="both"/>
      </w:pPr>
      <w:r>
        <w:rPr/>
        <w:t>glucoproteína fibrosa de bajo valor biológico, </w:t>
      </w:r>
      <w:r>
        <w:rPr>
          <w:spacing w:val="-3"/>
        </w:rPr>
        <w:t>ya </w:t>
      </w:r>
      <w:r>
        <w:rPr/>
        <w:t>que no posee triptófano y cisteína y es baja en aminoácidos esenciales, sin embargo influye en la textura de la carne, por lo tanto, su aumento por efecto del Cr es importante y puede relacionarse con la función del Cr en el metabolismo al incorporar aminoácidos al interior de la célula para la síntesis proteica (Anderson, 1987), por otra parte, aunque el contenido de colágeno insoluble se relaciona con un incremento en la dureza de la carne, la ausencia de efecto de la adición de Cr en la fuerza de corte (P&gt;0.05) en la presente investigación, puede indicar que el incremento en el valor de colágeno total pudo estar dado por un incremento en la síntesis de colágeno soluble, por tanto se sugiere, que en futuras investigaciones se determinen las dos fracciones de colágeno (soluble e</w:t>
      </w:r>
      <w:r>
        <w:rPr>
          <w:spacing w:val="-5"/>
        </w:rPr>
        <w:t> </w:t>
      </w:r>
      <w:r>
        <w:rPr/>
        <w:t>insoluble).</w:t>
      </w:r>
    </w:p>
    <w:p>
      <w:pPr>
        <w:pStyle w:val="BodyText"/>
        <w:spacing w:line="360" w:lineRule="auto" w:before="6"/>
        <w:ind w:left="212" w:right="118"/>
        <w:jc w:val="both"/>
      </w:pPr>
      <w:r>
        <w:rPr/>
        <w:t>Alarcón, (2002) indica que las técnicas de medición para determinar la fuerza de corte, no siempre son iguales, pero es posible afirmar que los músculos más tiernos, cualquiera que sea el sistema de medición, obtendrán los valores más bajos, al contrario de los músculos más duros. De acuerdo a la clasificación de suavidad, con base en la fuerza de corte utilizada por Belew </w:t>
      </w:r>
      <w:r>
        <w:rPr>
          <w:i/>
        </w:rPr>
        <w:t>et al. </w:t>
      </w:r>
      <w:r>
        <w:rPr/>
        <w:t>(2003) quienes consideraron como carne muy suave a la que presenta una fuerza de corte &lt;3.2 kg, seguida de la carne suave (fuerza de corte entre 3.2  </w:t>
      </w:r>
      <w:r>
        <w:rPr>
          <w:spacing w:val="37"/>
        </w:rPr>
        <w:t> </w:t>
      </w:r>
      <w:r>
        <w:rPr/>
        <w:t>y</w:t>
      </w:r>
    </w:p>
    <w:p>
      <w:pPr>
        <w:pStyle w:val="BodyText"/>
        <w:spacing w:line="360" w:lineRule="auto" w:before="6"/>
        <w:ind w:left="212" w:right="112"/>
        <w:jc w:val="both"/>
      </w:pPr>
      <w:r>
        <w:rPr/>
        <w:t>3.9 kg) y finalmente, la carne clasificada como dura (fuerza de corte &gt;4.6 kg), la fuerza de corte obtenida en esta investigación se encuentra dentro del rango de la carne clasificada como </w:t>
      </w:r>
      <w:r>
        <w:rPr>
          <w:i/>
        </w:rPr>
        <w:t>muy suave</w:t>
      </w:r>
      <w:r>
        <w:rPr/>
        <w:t>, este valor es menor a lo reportado por Arvizu </w:t>
      </w:r>
      <w:r>
        <w:rPr>
          <w:i/>
        </w:rPr>
        <w:t>et al. </w:t>
      </w:r>
      <w:r>
        <w:rPr/>
        <w:t>(2011) en esta raza, y mayor a lo señalado por Mondragón </w:t>
      </w:r>
      <w:r>
        <w:rPr>
          <w:i/>
        </w:rPr>
        <w:t>et al. </w:t>
      </w:r>
      <w:r>
        <w:rPr/>
        <w:t>(2010); no obstante se encuentran dentro del rango de la terneza establecida por la industria cárnica ovina, tanto de Estados Unidos como de Nueva Zelanda, que indican que para retener o acceder a nuevos mercados deben ser menores o iguales a una fuerza de corte de 5 Kg (Bickerstaffe, 1996).</w:t>
      </w:r>
    </w:p>
    <w:p>
      <w:pPr>
        <w:pStyle w:val="BodyText"/>
        <w:spacing w:line="357" w:lineRule="auto" w:before="4"/>
        <w:ind w:left="212" w:right="112"/>
        <w:jc w:val="both"/>
      </w:pPr>
      <w:r>
        <w:rPr/>
        <w:t>La ausencia de efecto de la adición de Cr en la fuerza de corte (P&gt;0.05) concuerda con lo reportado por diversas investigaciones en las que el Cr adicional no ha impactado en la fuerza de corte en carne de ovinos y cerdos, así Arvizu </w:t>
      </w:r>
      <w:r>
        <w:rPr>
          <w:i/>
        </w:rPr>
        <w:t>et al. </w:t>
      </w:r>
      <w:r>
        <w:rPr/>
        <w:t>(2011) indicaron que la fuerza de corte no fue modificada por la concentración de Cr orgánico (2.5 g/ovino/d</w:t>
      </w:r>
      <w:r>
        <w:rPr>
          <w:position w:val="9"/>
          <w:sz w:val="16"/>
        </w:rPr>
        <w:t>-1</w:t>
      </w:r>
      <w:r>
        <w:rPr/>
        <w:t>) en ovinos en pastoreo; en bovinos Sung </w:t>
      </w:r>
      <w:r>
        <w:rPr>
          <w:i/>
        </w:rPr>
        <w:t>et al. </w:t>
      </w:r>
      <w:r>
        <w:rPr/>
        <w:t>(2015) señalaron que 200 ppb MetCr no modificó la textura de la carne, Ondѓej </w:t>
      </w:r>
      <w:r>
        <w:rPr>
          <w:i/>
        </w:rPr>
        <w:t>et al. </w:t>
      </w:r>
      <w:r>
        <w:rPr/>
        <w:t>(2013) no    encontraron efecto del Cr (nicotinato de Cr) en</w:t>
      </w:r>
    </w:p>
    <w:p>
      <w:pPr>
        <w:spacing w:after="0" w:line="357" w:lineRule="auto"/>
        <w:jc w:val="both"/>
        <w:sectPr>
          <w:pgSz w:w="12240" w:h="15840"/>
          <w:pgMar w:header="1154" w:footer="1503" w:top="1620" w:bottom="1700" w:left="1660" w:right="1380"/>
        </w:sectPr>
      </w:pPr>
    </w:p>
    <w:p>
      <w:pPr>
        <w:pStyle w:val="BodyText"/>
        <w:spacing w:line="360" w:lineRule="auto" w:before="159"/>
        <w:ind w:left="212" w:right="109"/>
        <w:jc w:val="both"/>
      </w:pPr>
      <w:r>
        <w:rPr/>
        <w:t>la fuerza de corte de la carne de cerdos con dosis de 0.75 mg/kg</w:t>
      </w:r>
      <w:r>
        <w:rPr>
          <w:position w:val="9"/>
          <w:sz w:val="16"/>
        </w:rPr>
        <w:t>-1</w:t>
      </w:r>
      <w:r>
        <w:rPr/>
        <w:t>, en la misma especie, Matthews </w:t>
      </w:r>
      <w:r>
        <w:rPr>
          <w:i/>
        </w:rPr>
        <w:t>et al. </w:t>
      </w:r>
      <w:r>
        <w:rPr/>
        <w:t>(2003) indicaron que la fuerza de corte no fue modificada por una fuente orgánica de Cr (Propionato de Cr) en dosis de 0.200 ppb, en contraste, algunos estudios indican que la inclusión de Cr ha incrementado la fuerza de corte; Moreno </w:t>
      </w:r>
      <w:r>
        <w:rPr>
          <w:i/>
        </w:rPr>
        <w:t>et al. </w:t>
      </w:r>
      <w:r>
        <w:rPr/>
        <w:t>(2014) reportaron un efecto cuadrático en la fuerza de corte de ovinos Suffolk al usar LevCr (0.2  y</w:t>
      </w:r>
    </w:p>
    <w:p>
      <w:pPr>
        <w:pStyle w:val="BodyText"/>
        <w:spacing w:line="360" w:lineRule="auto" w:before="4"/>
        <w:ind w:left="212" w:right="114"/>
        <w:jc w:val="both"/>
      </w:pPr>
      <w:r>
        <w:rPr/>
        <w:t>0.4 ppm), siendo la fuerza de corte mayor con la dosis 0.4 ppm; Boleman </w:t>
      </w:r>
      <w:r>
        <w:rPr>
          <w:i/>
        </w:rPr>
        <w:t>et al. </w:t>
      </w:r>
      <w:r>
        <w:rPr/>
        <w:t>(1995) reportaron un incremento en la fuerza de corte de la carne de cerdos suplementados con PicCr con dosis de 200ppb, por lo tanto, no es del todo claro si en esos casos se debió a un aumento en el contenido de colágeno o a una disminución en el de grasa, que también afecta esta variable o a una combinación de ambas, así mismo, se requieren estudios adicionales sobre análisis sensorial en la carne de ovinos tratados con Cr, para determinar si estos valores de colágeno afectan la dureza de la carne al ser detectado por el consumidor</w:t>
      </w:r>
    </w:p>
    <w:p>
      <w:pPr>
        <w:pStyle w:val="BodyText"/>
      </w:pPr>
    </w:p>
    <w:p>
      <w:pPr>
        <w:pStyle w:val="Heading1"/>
        <w:numPr>
          <w:ilvl w:val="1"/>
          <w:numId w:val="30"/>
        </w:numPr>
        <w:tabs>
          <w:tab w:pos="573" w:val="left" w:leader="none"/>
        </w:tabs>
        <w:spacing w:line="240" w:lineRule="auto" w:before="148" w:after="0"/>
        <w:ind w:left="572" w:right="0" w:hanging="360"/>
        <w:jc w:val="both"/>
      </w:pPr>
      <w:bookmarkStart w:name="_bookmark83" w:id="158"/>
      <w:bookmarkEnd w:id="158"/>
      <w:r>
        <w:rPr>
          <w:b w:val="0"/>
        </w:rPr>
      </w:r>
      <w:bookmarkStart w:name="_bookmark83" w:id="159"/>
      <w:bookmarkEnd w:id="159"/>
      <w:r>
        <w:rPr/>
        <w:t>C</w:t>
      </w:r>
      <w:r>
        <w:rPr/>
        <w:t>ostos de</w:t>
      </w:r>
      <w:r>
        <w:rPr>
          <w:spacing w:val="-6"/>
        </w:rPr>
        <w:t> </w:t>
      </w:r>
      <w:r>
        <w:rPr/>
        <w:t>producción</w:t>
      </w:r>
    </w:p>
    <w:p>
      <w:pPr>
        <w:pStyle w:val="BodyText"/>
        <w:rPr>
          <w:b/>
        </w:rPr>
      </w:pPr>
    </w:p>
    <w:p>
      <w:pPr>
        <w:pStyle w:val="BodyText"/>
        <w:spacing w:before="6"/>
        <w:rPr>
          <w:b/>
          <w:sz w:val="23"/>
        </w:rPr>
      </w:pPr>
    </w:p>
    <w:p>
      <w:pPr>
        <w:pStyle w:val="BodyText"/>
        <w:spacing w:line="360" w:lineRule="auto"/>
        <w:ind w:left="212" w:right="111"/>
        <w:jc w:val="both"/>
      </w:pPr>
      <w:r>
        <w:rPr/>
        <w:t>Los costos de producción se elevan conforme aumenta la concentración de Cr en la dieta; sin embargo, la relación beneficio-costo en todos los tratamientos nos indica que la inversión inicial se recuperó satisfactoriamente, ya que por cada peso invertido, se recuperó 1.5, 1.4 y 1.3 pesos mexicanos. Como se puede apreciar, la relación beneficio-costo fue mayor para 0.2 ppm LevCr con respecto al testigo y menor para la dosis más alta de Cr (0.6 ppm LevCr); el nivel 0.4 ppm LevCr presentó una relación beneficio-costo semejante al control. Por lo tanto, los ovinos en engorda intensiva respondieron económicamente mejor a una dosis de 0.2 ppm</w:t>
      </w:r>
      <w:r>
        <w:rPr>
          <w:spacing w:val="-3"/>
        </w:rPr>
        <w:t> </w:t>
      </w:r>
      <w:r>
        <w:rPr/>
        <w:t>LevCr.</w:t>
      </w:r>
    </w:p>
    <w:p>
      <w:pPr>
        <w:pStyle w:val="BodyText"/>
      </w:pPr>
    </w:p>
    <w:p>
      <w:pPr>
        <w:pStyle w:val="Heading1"/>
        <w:numPr>
          <w:ilvl w:val="1"/>
          <w:numId w:val="30"/>
        </w:numPr>
        <w:tabs>
          <w:tab w:pos="573" w:val="left" w:leader="none"/>
        </w:tabs>
        <w:spacing w:line="240" w:lineRule="auto" w:before="145" w:after="0"/>
        <w:ind w:left="572" w:right="0" w:hanging="360"/>
        <w:jc w:val="both"/>
      </w:pPr>
      <w:bookmarkStart w:name="_bookmark84" w:id="160"/>
      <w:bookmarkEnd w:id="160"/>
      <w:r>
        <w:rPr>
          <w:b w:val="0"/>
        </w:rPr>
      </w:r>
      <w:bookmarkStart w:name="_bookmark84" w:id="161"/>
      <w:bookmarkEnd w:id="161"/>
      <w:r>
        <w:rPr/>
        <w:t>A</w:t>
      </w:r>
      <w:r>
        <w:rPr/>
        <w:t>nálisis de fibras</w:t>
      </w:r>
      <w:r>
        <w:rPr>
          <w:spacing w:val="-11"/>
        </w:rPr>
        <w:t> </w:t>
      </w:r>
      <w:r>
        <w:rPr/>
        <w:t>musculares</w:t>
      </w:r>
    </w:p>
    <w:p>
      <w:pPr>
        <w:pStyle w:val="BodyText"/>
        <w:rPr>
          <w:b/>
        </w:rPr>
      </w:pPr>
    </w:p>
    <w:p>
      <w:pPr>
        <w:pStyle w:val="BodyText"/>
        <w:spacing w:before="7"/>
        <w:rPr>
          <w:b/>
          <w:sz w:val="23"/>
        </w:rPr>
      </w:pPr>
    </w:p>
    <w:p>
      <w:pPr>
        <w:pStyle w:val="BodyText"/>
        <w:spacing w:line="360" w:lineRule="auto"/>
        <w:ind w:left="212" w:right="144" w:firstLine="707"/>
        <w:jc w:val="both"/>
      </w:pPr>
      <w:r>
        <w:rPr/>
        <w:t>Las fibras musculares esqueléticas en ovinos se han clasificado a través de los años, de acuerdo a diferentes nomenclaturas, que se han empleado de forma indiscriminada, la investigación realizada para la clasificación de las fibras del músculo esquelético en ovinos,</w:t>
      </w:r>
    </w:p>
    <w:p>
      <w:pPr>
        <w:spacing w:after="0" w:line="360" w:lineRule="auto"/>
        <w:jc w:val="both"/>
        <w:sectPr>
          <w:pgSz w:w="12240" w:h="15840"/>
          <w:pgMar w:header="1154" w:footer="1503" w:top="1620" w:bottom="1700" w:left="1660" w:right="1380"/>
        </w:sectPr>
      </w:pPr>
    </w:p>
    <w:p>
      <w:pPr>
        <w:pStyle w:val="BodyText"/>
        <w:spacing w:before="2"/>
        <w:rPr>
          <w:sz w:val="9"/>
        </w:rPr>
      </w:pPr>
    </w:p>
    <w:p>
      <w:pPr>
        <w:pStyle w:val="BodyText"/>
        <w:spacing w:line="360" w:lineRule="auto" w:before="69"/>
        <w:ind w:left="212" w:right="107"/>
        <w:jc w:val="both"/>
      </w:pPr>
      <w:r>
        <w:rPr/>
        <w:t>indican la dificultad para diferenciar entre los tipos fibrilares IIA y IIB, por lo tanto ha sido necesario implementar el uso de técnicas metabólicas (NADH-TR) para identificar las  fibras rápidas oxidativa glucolíticas (FOG) y las rápida glucolíticas (FG) (Peinado </w:t>
      </w:r>
      <w:r>
        <w:rPr>
          <w:i/>
        </w:rPr>
        <w:t>et al., </w:t>
      </w:r>
      <w:r>
        <w:rPr/>
        <w:t>2004; Susuki y Cassens,</w:t>
      </w:r>
      <w:r>
        <w:rPr>
          <w:spacing w:val="-7"/>
        </w:rPr>
        <w:t> </w:t>
      </w:r>
      <w:r>
        <w:rPr/>
        <w:t>1983).</w:t>
      </w:r>
    </w:p>
    <w:p>
      <w:pPr>
        <w:pStyle w:val="BodyText"/>
        <w:spacing w:line="360" w:lineRule="auto" w:before="6"/>
        <w:ind w:left="212" w:right="105"/>
        <w:jc w:val="both"/>
      </w:pPr>
      <w:r>
        <w:rPr/>
        <w:t>Peinado </w:t>
      </w:r>
      <w:r>
        <w:rPr>
          <w:i/>
        </w:rPr>
        <w:t>et al. </w:t>
      </w:r>
      <w:r>
        <w:rPr/>
        <w:t>(2004) al realizar la caracterización de la composición fibrilar del músculo </w:t>
      </w:r>
      <w:r>
        <w:rPr>
          <w:i/>
        </w:rPr>
        <w:t>Longissimus thoracis </w:t>
      </w:r>
      <w:r>
        <w:rPr/>
        <w:t>en ovinos, señalaron que se identificaron los tipos I, IIA, IIB y las fibras IIC. Los resultados de esta investigación revelaron que los tipos de fibras IIA y IIB  se pueden separar histoquímicamente en ovinos, usando la técnica m-ATPasa correcta. Las técnicas de miosina ATPasa usada por estos autores correspondieron a la técnica de  ATPasa miosínica con preincubación alcalina (Método de Snow </w:t>
      </w:r>
      <w:r>
        <w:rPr>
          <w:i/>
        </w:rPr>
        <w:t>et al., </w:t>
      </w:r>
      <w:r>
        <w:rPr/>
        <w:t>1982; modificado por Latorre </w:t>
      </w:r>
      <w:r>
        <w:rPr>
          <w:i/>
        </w:rPr>
        <w:t>et al., </w:t>
      </w:r>
      <w:r>
        <w:rPr/>
        <w:t>1993), así como la técnica de ATPasa miosínica con preincubación ácida (método de Dubowitz y Brooke, 1973; modificado por Gil, 1986), en esta técnica, la concentración del acetato sódico es muy baja y a la solución preincubadora se incorpora cloruro sódico. Para demostrar la actividad metabólica de las fibras, emplearon la técnica  de la nicotinamida adenina dinucleótido tetrazolium reductasa (NADH-TR) y menadione- vinculada α-glicerofosfato deshidrogenasa (α-MGPDH) (método de Dubowitz y Brooke, 1973; modificado por Gil,</w:t>
      </w:r>
      <w:r>
        <w:rPr>
          <w:spacing w:val="-4"/>
        </w:rPr>
        <w:t> </w:t>
      </w:r>
      <w:r>
        <w:rPr/>
        <w:t>1986).</w:t>
      </w:r>
    </w:p>
    <w:p>
      <w:pPr>
        <w:pStyle w:val="BodyText"/>
        <w:spacing w:line="360" w:lineRule="auto" w:before="4"/>
        <w:ind w:left="212" w:right="104"/>
        <w:jc w:val="both"/>
      </w:pPr>
      <w:r>
        <w:rPr/>
        <w:t>En la presente investigación, la técnica ATPasa miosínica empleada fue la técnica de ATPasa miosínica con preincubación alcalina (Método de Snow </w:t>
      </w:r>
      <w:r>
        <w:rPr>
          <w:i/>
        </w:rPr>
        <w:t>et al., </w:t>
      </w:r>
      <w:r>
        <w:rPr/>
        <w:t>1982; modificado por Latorre </w:t>
      </w:r>
      <w:r>
        <w:rPr>
          <w:i/>
        </w:rPr>
        <w:t>et al., </w:t>
      </w:r>
      <w:r>
        <w:rPr/>
        <w:t>1993) mientras que para demostrar la actividad metabólica de las fibras  se empleó la técnica de la nicotinamida adenina dinucleótido tetrazolium reductasa (NADH-TR) (método de Dubowitz y Brooke, 1973; modificado por Gil, 1986), </w:t>
      </w:r>
      <w:r>
        <w:rPr>
          <w:spacing w:val="-3"/>
        </w:rPr>
        <w:t>no </w:t>
      </w:r>
      <w:r>
        <w:rPr/>
        <w:t>obstante, no se empleó la técnica de ATPasa miosínica con preincubación ácida (método de Dubowitz y Brooke, 1973; modificado por Gil, 1986) y menadione-vinculada α- glicerofosfato deshidrogenasa (α-MGPDH) (método de Dubowitz y Brooke, 1973; modificado por Gil, 1986), por lo tanto, aún no es posible emitir resultados sobre la composición fibrilar en el </w:t>
      </w:r>
      <w:r>
        <w:rPr>
          <w:i/>
        </w:rPr>
        <w:t>longissimus dorsi </w:t>
      </w:r>
      <w:r>
        <w:rPr/>
        <w:t>de los ovinos suplementados con diferentes niveles de</w:t>
      </w:r>
      <w:r>
        <w:rPr>
          <w:spacing w:val="-5"/>
        </w:rPr>
        <w:t> </w:t>
      </w:r>
      <w:r>
        <w:rPr/>
        <w:t>LevCr.</w:t>
      </w:r>
    </w:p>
    <w:p>
      <w:pPr>
        <w:spacing w:after="0" w:line="360" w:lineRule="auto"/>
        <w:jc w:val="both"/>
        <w:sectPr>
          <w:pgSz w:w="12240" w:h="15840"/>
          <w:pgMar w:header="1154" w:footer="1503" w:top="1620" w:bottom="1700" w:left="1660" w:right="1420"/>
        </w:sectPr>
      </w:pPr>
    </w:p>
    <w:p>
      <w:pPr>
        <w:pStyle w:val="BodyText"/>
        <w:spacing w:before="7"/>
        <w:rPr>
          <w:sz w:val="9"/>
        </w:rPr>
      </w:pPr>
    </w:p>
    <w:p>
      <w:pPr>
        <w:pStyle w:val="Heading1"/>
        <w:numPr>
          <w:ilvl w:val="0"/>
          <w:numId w:val="28"/>
        </w:numPr>
        <w:tabs>
          <w:tab w:pos="4012" w:val="left" w:leader="none"/>
        </w:tabs>
        <w:spacing w:line="240" w:lineRule="auto" w:before="69" w:after="0"/>
        <w:ind w:left="4011" w:right="0" w:hanging="240"/>
        <w:jc w:val="left"/>
      </w:pPr>
      <w:bookmarkStart w:name="_bookmark85" w:id="162"/>
      <w:bookmarkEnd w:id="162"/>
      <w:r>
        <w:rPr>
          <w:b w:val="0"/>
        </w:rPr>
      </w:r>
      <w:bookmarkStart w:name="_bookmark85" w:id="163"/>
      <w:bookmarkEnd w:id="163"/>
      <w:r>
        <w:rPr/>
        <w:t>CON</w:t>
      </w:r>
      <w:r>
        <w:rPr/>
        <w:t>CLUSIÓNES</w:t>
      </w:r>
    </w:p>
    <w:p>
      <w:pPr>
        <w:pStyle w:val="BodyText"/>
        <w:rPr>
          <w:b/>
        </w:rPr>
      </w:pPr>
    </w:p>
    <w:p>
      <w:pPr>
        <w:pStyle w:val="BodyText"/>
        <w:spacing w:before="6"/>
        <w:rPr>
          <w:b/>
          <w:sz w:val="23"/>
        </w:rPr>
      </w:pPr>
    </w:p>
    <w:p>
      <w:pPr>
        <w:pStyle w:val="BodyText"/>
        <w:spacing w:line="360" w:lineRule="auto"/>
        <w:ind w:left="432"/>
      </w:pPr>
      <w:r>
        <w:rPr/>
        <w:t>De acuerdo con los resultados obtenidos en la presente investigación, se concluye lo siguiente:</w:t>
      </w:r>
    </w:p>
    <w:p>
      <w:pPr>
        <w:pStyle w:val="BodyText"/>
      </w:pPr>
    </w:p>
    <w:p>
      <w:pPr>
        <w:pStyle w:val="ListParagraph"/>
        <w:numPr>
          <w:ilvl w:val="2"/>
          <w:numId w:val="30"/>
        </w:numPr>
        <w:tabs>
          <w:tab w:pos="1513" w:val="left" w:leader="none"/>
        </w:tabs>
        <w:spacing w:line="240" w:lineRule="auto" w:before="143" w:after="0"/>
        <w:ind w:left="1512" w:right="0" w:hanging="360"/>
        <w:jc w:val="left"/>
        <w:rPr>
          <w:sz w:val="24"/>
        </w:rPr>
      </w:pPr>
      <w:r>
        <w:rPr>
          <w:sz w:val="24"/>
        </w:rPr>
        <w:t>El cromo no afectó la respuesta productiva ni en las características de la</w:t>
      </w:r>
      <w:r>
        <w:rPr>
          <w:spacing w:val="-13"/>
          <w:sz w:val="24"/>
        </w:rPr>
        <w:t> </w:t>
      </w:r>
      <w:r>
        <w:rPr>
          <w:sz w:val="24"/>
        </w:rPr>
        <w:t>canal.</w:t>
      </w:r>
    </w:p>
    <w:p>
      <w:pPr>
        <w:pStyle w:val="ListParagraph"/>
        <w:numPr>
          <w:ilvl w:val="2"/>
          <w:numId w:val="30"/>
        </w:numPr>
        <w:tabs>
          <w:tab w:pos="1513" w:val="left" w:leader="none"/>
        </w:tabs>
        <w:spacing w:line="360" w:lineRule="auto" w:before="139" w:after="0"/>
        <w:ind w:left="1512" w:right="106" w:hanging="360"/>
        <w:jc w:val="both"/>
        <w:rPr>
          <w:sz w:val="24"/>
        </w:rPr>
      </w:pPr>
      <w:r>
        <w:rPr>
          <w:sz w:val="24"/>
        </w:rPr>
        <w:t>El cromo afectó la concentración de triglicéridos en la semana siete en estado de ayuno, de glucosa en la semana once después de suministrar alimento y de urea en la semana once después de suministrar</w:t>
      </w:r>
      <w:r>
        <w:rPr>
          <w:spacing w:val="-6"/>
          <w:sz w:val="24"/>
        </w:rPr>
        <w:t> </w:t>
      </w:r>
      <w:r>
        <w:rPr>
          <w:sz w:val="24"/>
        </w:rPr>
        <w:t>alimento.</w:t>
      </w:r>
    </w:p>
    <w:p>
      <w:pPr>
        <w:pStyle w:val="ListParagraph"/>
        <w:numPr>
          <w:ilvl w:val="2"/>
          <w:numId w:val="30"/>
        </w:numPr>
        <w:tabs>
          <w:tab w:pos="1513" w:val="left" w:leader="none"/>
        </w:tabs>
        <w:spacing w:line="360" w:lineRule="auto" w:before="4" w:after="0"/>
        <w:ind w:left="1512" w:right="105" w:hanging="360"/>
        <w:jc w:val="both"/>
        <w:rPr>
          <w:sz w:val="24"/>
        </w:rPr>
      </w:pPr>
      <w:r>
        <w:rPr>
          <w:sz w:val="24"/>
        </w:rPr>
        <w:t>El cromo disminuyó la concentración de los ácidos grasos saturados palmítico (C16:0); esteárico (C18:0), e incrementó la concentración de los ácidos grasos monoinsaturados Palmitoleico (C16:1), vaccénico (C18:1n-7) y de los ácidos grasos poliinsaturados linoleico (C18:2) y araquidónico</w:t>
      </w:r>
      <w:r>
        <w:rPr>
          <w:spacing w:val="-13"/>
          <w:sz w:val="24"/>
        </w:rPr>
        <w:t> </w:t>
      </w:r>
      <w:r>
        <w:rPr>
          <w:sz w:val="24"/>
        </w:rPr>
        <w:t>(C20:4).</w:t>
      </w:r>
    </w:p>
    <w:p>
      <w:pPr>
        <w:pStyle w:val="ListParagraph"/>
        <w:numPr>
          <w:ilvl w:val="2"/>
          <w:numId w:val="30"/>
        </w:numPr>
        <w:tabs>
          <w:tab w:pos="1513" w:val="left" w:leader="none"/>
        </w:tabs>
        <w:spacing w:line="360" w:lineRule="auto" w:before="4" w:after="0"/>
        <w:ind w:left="1512" w:right="106" w:hanging="360"/>
        <w:jc w:val="both"/>
        <w:rPr>
          <w:sz w:val="24"/>
        </w:rPr>
      </w:pPr>
      <w:r>
        <w:rPr>
          <w:sz w:val="24"/>
        </w:rPr>
        <w:t>El cromo redujo la concentración de cenizas; y afectó el nivel de Fe, Cr y K en hígado y hueso,  Cu en hígado y Ca en</w:t>
      </w:r>
      <w:r>
        <w:rPr>
          <w:spacing w:val="-9"/>
          <w:sz w:val="24"/>
        </w:rPr>
        <w:t> </w:t>
      </w:r>
      <w:r>
        <w:rPr>
          <w:sz w:val="24"/>
        </w:rPr>
        <w:t>hueso.</w:t>
      </w:r>
    </w:p>
    <w:p>
      <w:pPr>
        <w:pStyle w:val="ListParagraph"/>
        <w:numPr>
          <w:ilvl w:val="2"/>
          <w:numId w:val="30"/>
        </w:numPr>
        <w:tabs>
          <w:tab w:pos="1513" w:val="left" w:leader="none"/>
        </w:tabs>
        <w:spacing w:line="360" w:lineRule="auto" w:before="4" w:after="0"/>
        <w:ind w:left="1512" w:right="107" w:hanging="360"/>
        <w:jc w:val="both"/>
        <w:rPr>
          <w:sz w:val="24"/>
        </w:rPr>
      </w:pPr>
      <w:r>
        <w:rPr>
          <w:sz w:val="24"/>
        </w:rPr>
        <w:t>El cromo disminuyó el contenido de grasa intramuscular e incrementó el de colágeno en la carne, y tendió a modificar su terneza, pero no afectó otro indicador de su</w:t>
      </w:r>
      <w:r>
        <w:rPr>
          <w:spacing w:val="-5"/>
          <w:sz w:val="24"/>
        </w:rPr>
        <w:t> </w:t>
      </w:r>
      <w:r>
        <w:rPr>
          <w:sz w:val="24"/>
        </w:rPr>
        <w:t>calidad.</w:t>
      </w:r>
    </w:p>
    <w:p>
      <w:pPr>
        <w:pStyle w:val="ListParagraph"/>
        <w:numPr>
          <w:ilvl w:val="2"/>
          <w:numId w:val="30"/>
        </w:numPr>
        <w:tabs>
          <w:tab w:pos="1513" w:val="left" w:leader="none"/>
        </w:tabs>
        <w:spacing w:line="360" w:lineRule="auto" w:before="6" w:after="0"/>
        <w:ind w:left="1512" w:right="111" w:hanging="360"/>
        <w:jc w:val="both"/>
        <w:rPr>
          <w:sz w:val="24"/>
        </w:rPr>
      </w:pPr>
      <w:r>
        <w:rPr>
          <w:sz w:val="24"/>
        </w:rPr>
        <w:t>De acuerdo al análisis de costos, los ovinos en engorda intensiva respondieron económicamente mejor a la dosis de 0.2 ppm</w:t>
      </w:r>
      <w:r>
        <w:rPr>
          <w:spacing w:val="-6"/>
          <w:sz w:val="24"/>
        </w:rPr>
        <w:t> </w:t>
      </w:r>
      <w:r>
        <w:rPr>
          <w:sz w:val="24"/>
        </w:rPr>
        <w:t>LevCr.</w:t>
      </w:r>
    </w:p>
    <w:p>
      <w:pPr>
        <w:pStyle w:val="ListParagraph"/>
        <w:numPr>
          <w:ilvl w:val="2"/>
          <w:numId w:val="30"/>
        </w:numPr>
        <w:tabs>
          <w:tab w:pos="1513" w:val="left" w:leader="none"/>
        </w:tabs>
        <w:spacing w:line="240" w:lineRule="auto" w:before="6" w:after="0"/>
        <w:ind w:left="1512" w:right="0" w:hanging="360"/>
        <w:jc w:val="left"/>
        <w:rPr>
          <w:sz w:val="24"/>
        </w:rPr>
      </w:pPr>
      <w:r>
        <w:rPr>
          <w:sz w:val="24"/>
        </w:rPr>
        <w:t>Los resultados de la presente investigación sugieren que con la adición de </w:t>
      </w:r>
      <w:r>
        <w:rPr>
          <w:spacing w:val="57"/>
          <w:sz w:val="24"/>
        </w:rPr>
        <w:t> </w:t>
      </w:r>
      <w:r>
        <w:rPr>
          <w:sz w:val="24"/>
        </w:rPr>
        <w:t>entre</w:t>
      </w:r>
    </w:p>
    <w:p>
      <w:pPr>
        <w:pStyle w:val="BodyText"/>
        <w:spacing w:line="360" w:lineRule="auto" w:before="137"/>
        <w:ind w:left="1512" w:right="105"/>
        <w:jc w:val="both"/>
      </w:pPr>
      <w:r>
        <w:rPr/>
        <w:t>0.2 y 0.4 mg Cr/kg de MS en forma de levadura con alto contenido de Cr, se induce una serie de cambios metabólicos, cuyas principales manifestaciones son un normalización en el contenido de Fe y Cu en el hígado, una disminución en  el contenido de grasa de la carne, disminución del contenido de ácidos grasos saturados e incremento de los ácidos grasos insaturados, sin ser suficientes para modificar la respuesta productiva de los ovinos en</w:t>
      </w:r>
      <w:r>
        <w:rPr>
          <w:spacing w:val="-13"/>
        </w:rPr>
        <w:t> </w:t>
      </w:r>
      <w:r>
        <w:rPr/>
        <w:t>engorda.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r>
        <w:rPr/>
        <w:pict>
          <v:group style="position:absolute;margin-left:77.75pt;margin-top:18.221594pt;width:435.5pt;height:21.05pt;mso-position-horizontal-relative:page;mso-position-vertical-relative:paragraph;z-index:2296;mso-wrap-distance-left:0;mso-wrap-distance-right:0" coordorigin="1555,364" coordsize="8710,421">
            <v:line style="position:absolute" from="1565,540" to="10255,540" stroked="true" strokeweight="1pt" strokecolor="#808080"/>
            <v:shape style="position:absolute;left:5503;top:387;width:819;height:376" coordorigin="5503,387" coordsize="819,376" path="m6259,387l5566,387,5541,392,5521,405,5508,425,5503,450,5503,700,5508,725,5521,745,5541,758,5566,763,6259,763,6284,758,6304,745,6317,725,6322,700,6322,450,6317,425,6304,405,6284,392,6259,387xe" filled="true" fillcolor="#ffffff" stroked="false">
              <v:path arrowok="t"/>
              <v:fill type="solid"/>
            </v:shape>
            <v:shape style="position:absolute;left:5480;top:364;width:108;height:421" type="#_x0000_t75" stroked="false">
              <v:imagedata r:id="rId39" o:title=""/>
            </v:shape>
            <v:shape style="position:absolute;left:6237;top:364;width:108;height:421" type="#_x0000_t75" stroked="false">
              <v:imagedata r:id="rId101" o:title=""/>
            </v:shape>
            <v:shape style="position:absolute;left:5733;top:460;width:360;height:240" type="#_x0000_t202" filled="false" stroked="false">
              <v:textbox inset="0,0,0,0">
                <w:txbxContent>
                  <w:p>
                    <w:pPr>
                      <w:spacing w:line="240" w:lineRule="exact" w:before="0"/>
                      <w:ind w:left="0" w:right="-20" w:firstLine="0"/>
                      <w:jc w:val="left"/>
                      <w:rPr>
                        <w:sz w:val="24"/>
                      </w:rPr>
                    </w:pPr>
                    <w:r>
                      <w:rPr>
                        <w:sz w:val="24"/>
                      </w:rPr>
                      <w:t>136</w:t>
                    </w:r>
                  </w:p>
                </w:txbxContent>
              </v:textbox>
              <w10:wrap type="none"/>
            </v:shape>
            <w10:wrap type="topAndBottom"/>
          </v:group>
        </w:pict>
      </w:r>
    </w:p>
    <w:p>
      <w:pPr>
        <w:spacing w:after="0"/>
        <w:rPr>
          <w:sz w:val="28"/>
        </w:rPr>
        <w:sectPr>
          <w:headerReference w:type="default" r:id="rId99"/>
          <w:footerReference w:type="default" r:id="rId100"/>
          <w:pgSz w:w="12240" w:h="15840"/>
          <w:pgMar w:header="1154" w:footer="0" w:top="1620" w:bottom="280" w:left="1440" w:right="1420"/>
        </w:sectPr>
      </w:pPr>
    </w:p>
    <w:p>
      <w:pPr>
        <w:pStyle w:val="BodyText"/>
        <w:spacing w:before="2"/>
        <w:rPr>
          <w:sz w:val="9"/>
        </w:rPr>
      </w:pPr>
    </w:p>
    <w:p>
      <w:pPr>
        <w:pStyle w:val="ListParagraph"/>
        <w:numPr>
          <w:ilvl w:val="2"/>
          <w:numId w:val="30"/>
        </w:numPr>
        <w:tabs>
          <w:tab w:pos="1293" w:val="left" w:leader="none"/>
        </w:tabs>
        <w:spacing w:line="360" w:lineRule="auto" w:before="69" w:after="0"/>
        <w:ind w:left="1292" w:right="108" w:hanging="360"/>
        <w:jc w:val="both"/>
        <w:rPr>
          <w:sz w:val="24"/>
        </w:rPr>
      </w:pPr>
      <w:r>
        <w:rPr>
          <w:sz w:val="24"/>
        </w:rPr>
        <w:t>Para lograr la correcta caracterización de la composición fibrilar del músculo </w:t>
      </w:r>
      <w:r>
        <w:rPr>
          <w:i/>
          <w:sz w:val="24"/>
        </w:rPr>
        <w:t>longissimus dorsi </w:t>
      </w:r>
      <w:r>
        <w:rPr>
          <w:sz w:val="24"/>
        </w:rPr>
        <w:t>de ovinos áun se debe complementar la técnica m-ATPasa empleada.</w:t>
      </w:r>
    </w:p>
    <w:p>
      <w:pPr>
        <w:spacing w:after="0" w:line="360" w:lineRule="auto"/>
        <w:jc w:val="both"/>
        <w:rPr>
          <w:sz w:val="24"/>
        </w:rPr>
        <w:sectPr>
          <w:headerReference w:type="default" r:id="rId102"/>
          <w:footerReference w:type="default" r:id="rId103"/>
          <w:pgSz w:w="12240" w:h="15840"/>
          <w:pgMar w:header="1154" w:footer="1503" w:top="1620" w:bottom="1700" w:left="1660" w:right="1420"/>
          <w:pgNumType w:start="137"/>
        </w:sectPr>
      </w:pPr>
    </w:p>
    <w:p>
      <w:pPr>
        <w:pStyle w:val="BodyText"/>
        <w:spacing w:before="7"/>
        <w:rPr>
          <w:sz w:val="9"/>
        </w:rPr>
      </w:pPr>
    </w:p>
    <w:p>
      <w:pPr>
        <w:pStyle w:val="Heading1"/>
        <w:numPr>
          <w:ilvl w:val="0"/>
          <w:numId w:val="28"/>
        </w:numPr>
        <w:tabs>
          <w:tab w:pos="3506" w:val="left" w:leader="none"/>
        </w:tabs>
        <w:spacing w:line="240" w:lineRule="auto" w:before="69" w:after="0"/>
        <w:ind w:left="3505" w:right="0" w:hanging="360"/>
        <w:jc w:val="left"/>
      </w:pPr>
      <w:bookmarkStart w:name="_bookmark86" w:id="164"/>
      <w:bookmarkEnd w:id="164"/>
      <w:r>
        <w:rPr>
          <w:b w:val="0"/>
        </w:rPr>
      </w:r>
      <w:bookmarkStart w:name="_bookmark86" w:id="165"/>
      <w:bookmarkEnd w:id="165"/>
      <w:r>
        <w:rPr/>
        <w:t>L</w:t>
      </w:r>
      <w:r>
        <w:rPr/>
        <w:t>ITERATURA</w:t>
      </w:r>
      <w:r>
        <w:rPr>
          <w:spacing w:val="-5"/>
        </w:rPr>
        <w:t> </w:t>
      </w:r>
      <w:r>
        <w:rPr/>
        <w:t>CITADA</w:t>
      </w:r>
    </w:p>
    <w:p>
      <w:pPr>
        <w:spacing w:line="278" w:lineRule="auto" w:before="131"/>
        <w:ind w:left="920" w:right="110" w:hanging="281"/>
        <w:jc w:val="both"/>
        <w:rPr>
          <w:sz w:val="22"/>
        </w:rPr>
      </w:pPr>
      <w:r>
        <w:rPr>
          <w:sz w:val="22"/>
        </w:rPr>
        <w:t>Abraham, A. S., Sonnenblick, M. and Eini, M. (1982). The action of chromium on serum lipids and on atherosclerosis in cholesterol-fed rabbits. Atherosclerosis. 42:185-195.</w:t>
      </w:r>
    </w:p>
    <w:p>
      <w:pPr>
        <w:spacing w:line="276" w:lineRule="auto" w:before="0"/>
        <w:ind w:left="920" w:right="102" w:hanging="281"/>
        <w:jc w:val="both"/>
        <w:rPr>
          <w:sz w:val="22"/>
        </w:rPr>
      </w:pPr>
      <w:r>
        <w:rPr>
          <w:sz w:val="22"/>
        </w:rPr>
        <w:t>Abraham, A. S., Brooks, B. A. and Eylath, U. (1992). The effects of  chromium supplementation on serum glucose and lipids in patients with and without non-insulin- dependien diabetes. Metabolism. 41:768-771.</w:t>
      </w:r>
    </w:p>
    <w:p>
      <w:pPr>
        <w:spacing w:line="276" w:lineRule="auto" w:before="1"/>
        <w:ind w:left="920" w:right="108" w:hanging="281"/>
        <w:jc w:val="both"/>
        <w:rPr>
          <w:sz w:val="22"/>
        </w:rPr>
      </w:pPr>
      <w:r>
        <w:rPr>
          <w:sz w:val="22"/>
        </w:rPr>
        <w:t>Alarcón, H. (2002). Comparación de la fuerza de cizalla y capacidad de retención de agua en músculos multipineados provenientes de corderos Corriedale x Corriedale, Suffolk x Corriedale y Texel x Corriedale faenados a dos pesos diferentes. Tesis de Maestría.  Facultad de Ciencias Veterinarias, Universidad Austral de</w:t>
      </w:r>
      <w:r>
        <w:rPr>
          <w:spacing w:val="-11"/>
          <w:sz w:val="22"/>
        </w:rPr>
        <w:t> </w:t>
      </w:r>
      <w:r>
        <w:rPr>
          <w:sz w:val="22"/>
        </w:rPr>
        <w:t>Chile.</w:t>
      </w:r>
    </w:p>
    <w:p>
      <w:pPr>
        <w:spacing w:before="1"/>
        <w:ind w:left="639" w:right="0" w:firstLine="0"/>
        <w:jc w:val="left"/>
        <w:rPr>
          <w:sz w:val="22"/>
        </w:rPr>
      </w:pPr>
      <w:r>
        <w:rPr>
          <w:sz w:val="22"/>
        </w:rPr>
        <w:t>Alvi,  A.  S.  (1980)  The  influence  of  sex  status  on  meat  quality  characteristics  in  sheep.</w:t>
      </w:r>
    </w:p>
    <w:p>
      <w:pPr>
        <w:spacing w:before="40"/>
        <w:ind w:left="920" w:right="0" w:firstLine="0"/>
        <w:jc w:val="left"/>
        <w:rPr>
          <w:sz w:val="22"/>
        </w:rPr>
      </w:pPr>
      <w:r>
        <w:rPr>
          <w:sz w:val="22"/>
        </w:rPr>
        <w:t>Fleischwirtschaft. 60:2037.</w:t>
      </w:r>
    </w:p>
    <w:p>
      <w:pPr>
        <w:spacing w:line="276" w:lineRule="auto" w:before="37"/>
        <w:ind w:left="920" w:right="108" w:hanging="281"/>
        <w:jc w:val="both"/>
        <w:rPr>
          <w:sz w:val="22"/>
        </w:rPr>
      </w:pPr>
      <w:r>
        <w:rPr>
          <w:sz w:val="22"/>
        </w:rPr>
        <w:t>Amatya, J. L., Haldart, S. and Ghosh, T. K. (2004). Effects of chromium supplementation from inorganic and organic sources on nutrient utilization, mineral metabolism and meat quality in broiler chickens exposed to natural heat stress. Animal Science. 79:241-253.</w:t>
      </w:r>
    </w:p>
    <w:p>
      <w:pPr>
        <w:spacing w:line="278" w:lineRule="auto" w:before="1"/>
        <w:ind w:left="920" w:right="112" w:hanging="281"/>
        <w:jc w:val="both"/>
        <w:rPr>
          <w:sz w:val="22"/>
        </w:rPr>
      </w:pPr>
      <w:r>
        <w:rPr>
          <w:sz w:val="22"/>
        </w:rPr>
        <w:t>AMSA. (1992). “Guidelines for meat color evaluation”. American Meat Science. Chicago IL. Association National Live Stock and Meat Board.</w:t>
      </w:r>
    </w:p>
    <w:p>
      <w:pPr>
        <w:spacing w:line="276" w:lineRule="auto" w:before="0"/>
        <w:ind w:left="920" w:right="111" w:hanging="281"/>
        <w:jc w:val="both"/>
        <w:rPr>
          <w:sz w:val="22"/>
        </w:rPr>
      </w:pPr>
      <w:r>
        <w:rPr>
          <w:sz w:val="22"/>
        </w:rPr>
        <w:t>Anandhi, M., Mathivanan, R., Viswanathan, K. and Mohan, B. (2006). Dietary inclusion organic chromium on production and carcass characteristics of broilers. International Journal of Poultry Science.</w:t>
      </w:r>
      <w:r>
        <w:rPr>
          <w:spacing w:val="-10"/>
          <w:sz w:val="22"/>
        </w:rPr>
        <w:t> </w:t>
      </w:r>
      <w:r>
        <w:rPr>
          <w:sz w:val="22"/>
        </w:rPr>
        <w:t>5(9):880-884.</w:t>
      </w:r>
    </w:p>
    <w:p>
      <w:pPr>
        <w:spacing w:line="278" w:lineRule="auto" w:before="1"/>
        <w:ind w:left="920" w:right="111" w:hanging="281"/>
        <w:jc w:val="both"/>
        <w:rPr>
          <w:sz w:val="22"/>
        </w:rPr>
      </w:pPr>
      <w:r>
        <w:rPr>
          <w:sz w:val="22"/>
        </w:rPr>
        <w:t>Anderson, R. A. (1987). Chromium. In. W. Mertz. Trace elements in human and animal nutrition. 5a Ed. Academic Press, Inc. San Diego, CA. pp 225-244. Anderson</w:t>
      </w:r>
    </w:p>
    <w:p>
      <w:pPr>
        <w:spacing w:line="251" w:lineRule="exact" w:before="0"/>
        <w:ind w:left="639" w:right="0" w:firstLine="0"/>
        <w:jc w:val="left"/>
        <w:rPr>
          <w:sz w:val="22"/>
        </w:rPr>
      </w:pPr>
      <w:r>
        <w:rPr>
          <w:sz w:val="22"/>
        </w:rPr>
        <w:t>Anderson, R. A. (1989). Essentiality of chromium in humans. Sci. Total Environ. 86, 75–81.</w:t>
      </w:r>
    </w:p>
    <w:p>
      <w:pPr>
        <w:spacing w:line="276" w:lineRule="auto" w:before="38"/>
        <w:ind w:left="920" w:right="104" w:hanging="281"/>
        <w:jc w:val="both"/>
        <w:rPr>
          <w:sz w:val="22"/>
        </w:rPr>
      </w:pPr>
      <w:r>
        <w:rPr>
          <w:sz w:val="22"/>
        </w:rPr>
        <w:t>Anderson, R. A., Kozlowski A.S. (1985): Chromium intake, absorption and excretion of subjects consuming self-selected diets. American Journal of Clinical Nutrition. 41, 571– 577.</w:t>
      </w:r>
    </w:p>
    <w:p>
      <w:pPr>
        <w:spacing w:line="276" w:lineRule="auto" w:before="1"/>
        <w:ind w:left="920" w:right="112" w:hanging="281"/>
        <w:jc w:val="both"/>
        <w:rPr>
          <w:sz w:val="22"/>
        </w:rPr>
      </w:pPr>
      <w:r>
        <w:rPr>
          <w:sz w:val="22"/>
        </w:rPr>
        <w:t>Anderson, R. A., Bryden, N.A., Polansky, M.M. and Gautschi, K. (1996). Dietary chromium effects on tissue chromium concentrations and chromium absorption in rats. Journal of Trace Elements in Experimental Medicine.</w:t>
      </w:r>
      <w:r>
        <w:rPr>
          <w:spacing w:val="-12"/>
          <w:sz w:val="22"/>
        </w:rPr>
        <w:t> </w:t>
      </w:r>
      <w:r>
        <w:rPr>
          <w:sz w:val="22"/>
        </w:rPr>
        <w:t>9:11-25.</w:t>
      </w:r>
    </w:p>
    <w:p>
      <w:pPr>
        <w:spacing w:before="1"/>
        <w:ind w:left="639" w:right="0" w:firstLine="0"/>
        <w:jc w:val="left"/>
        <w:rPr>
          <w:sz w:val="22"/>
        </w:rPr>
      </w:pPr>
      <w:r>
        <w:rPr>
          <w:sz w:val="22"/>
        </w:rPr>
        <w:t>Anderson, R. A. (1997). Nutritional factors influencing the glucose/insulin system: Chromium.</w:t>
      </w:r>
    </w:p>
    <w:p>
      <w:pPr>
        <w:spacing w:before="40"/>
        <w:ind w:left="920" w:right="0" w:firstLine="0"/>
        <w:jc w:val="left"/>
        <w:rPr>
          <w:sz w:val="22"/>
        </w:rPr>
      </w:pPr>
      <w:r>
        <w:rPr>
          <w:sz w:val="22"/>
        </w:rPr>
        <w:t>J. Am. Coll. Nutr. 16:404-410.</w:t>
      </w:r>
    </w:p>
    <w:p>
      <w:pPr>
        <w:spacing w:before="37"/>
        <w:ind w:left="639" w:right="0" w:firstLine="0"/>
        <w:jc w:val="left"/>
        <w:rPr>
          <w:sz w:val="22"/>
        </w:rPr>
      </w:pPr>
      <w:r>
        <w:rPr>
          <w:sz w:val="22"/>
        </w:rPr>
        <w:t>Anderson R. A. (1998). Effects of chromium on body composition and weight loss. Nutr   Rev.</w:t>
      </w:r>
    </w:p>
    <w:p>
      <w:pPr>
        <w:spacing w:before="37"/>
        <w:ind w:left="920" w:right="0" w:firstLine="0"/>
        <w:jc w:val="left"/>
        <w:rPr>
          <w:sz w:val="22"/>
        </w:rPr>
      </w:pPr>
      <w:r>
        <w:rPr>
          <w:sz w:val="22"/>
        </w:rPr>
        <w:t>56:266-270.</w:t>
      </w:r>
    </w:p>
    <w:p>
      <w:pPr>
        <w:spacing w:line="278" w:lineRule="auto" w:before="37"/>
        <w:ind w:left="920" w:right="112" w:hanging="281"/>
        <w:jc w:val="both"/>
        <w:rPr>
          <w:sz w:val="22"/>
        </w:rPr>
      </w:pPr>
      <w:r>
        <w:rPr>
          <w:sz w:val="22"/>
        </w:rPr>
        <w:t>Ani, M. and Moshtaghie, A. A. (1992). The effect of chromium on parameters related to iron metabolism. Biol. Trace Elem. Res. 32:57-64.</w:t>
      </w:r>
    </w:p>
    <w:p>
      <w:pPr>
        <w:spacing w:line="276" w:lineRule="auto" w:before="0"/>
        <w:ind w:left="920" w:right="110" w:hanging="281"/>
        <w:jc w:val="both"/>
        <w:rPr>
          <w:sz w:val="22"/>
        </w:rPr>
      </w:pPr>
      <w:r>
        <w:rPr>
          <w:sz w:val="22"/>
        </w:rPr>
        <w:t>Ani, M. and Moshtaghie, A. A. (1992). The effect of chromium on parameters related to iron metabolism”. Biological Trace Element Research. 32, 57-64.</w:t>
      </w:r>
    </w:p>
    <w:p>
      <w:pPr>
        <w:spacing w:line="276" w:lineRule="auto" w:before="1"/>
        <w:ind w:left="920" w:right="114" w:hanging="281"/>
        <w:jc w:val="both"/>
        <w:rPr>
          <w:sz w:val="22"/>
        </w:rPr>
      </w:pPr>
      <w:r>
        <w:rPr>
          <w:sz w:val="22"/>
        </w:rPr>
        <w:t>A.O.A.C. Official Methods of Analysis. 2005; 18th ed. Association of Official Analytical Chemists.      Arlington, VA., USA.</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1" w:hanging="281"/>
        <w:jc w:val="both"/>
        <w:rPr>
          <w:sz w:val="22"/>
        </w:rPr>
      </w:pPr>
      <w:r>
        <w:rPr>
          <w:sz w:val="22"/>
        </w:rPr>
        <w:t>Arvizu, R. R., Domínguez, I. A., Rubio, M. S., Bórquez, J. L., González, M. and Jaramillo, G. (2011). Effects of genotype, level of supplementation and organic chromium on growth performance, carcass, and meat traits grazing lambs. Meat Science. 88, 404-408.</w:t>
      </w:r>
    </w:p>
    <w:p>
      <w:pPr>
        <w:spacing w:line="278" w:lineRule="auto" w:before="1"/>
        <w:ind w:left="920" w:right="114" w:hanging="281"/>
        <w:jc w:val="both"/>
        <w:rPr>
          <w:sz w:val="22"/>
        </w:rPr>
      </w:pPr>
      <w:r>
        <w:rPr>
          <w:sz w:val="22"/>
        </w:rPr>
        <w:t>Bailey, A. J. y Sims, T. J. (1977) Meat tenderness: Distribution of molecular species of  collagen in bovine muscles. J. Sci. Food Agric. 28:565.</w:t>
      </w:r>
    </w:p>
    <w:p>
      <w:pPr>
        <w:spacing w:line="276" w:lineRule="auto" w:before="0"/>
        <w:ind w:left="920" w:right="114" w:hanging="281"/>
        <w:jc w:val="both"/>
        <w:rPr>
          <w:sz w:val="22"/>
        </w:rPr>
      </w:pPr>
      <w:r>
        <w:rPr>
          <w:sz w:val="22"/>
        </w:rPr>
        <w:t>Belew, J. B., Brooks, J. C., McKenna D. R. and Savell., J. W. (2003). Warner Bratzler shear evaluation of 40 bovine muscles. Meat Sci. 64: 507-512.</w:t>
      </w:r>
    </w:p>
    <w:p>
      <w:pPr>
        <w:spacing w:before="1"/>
        <w:ind w:left="639" w:right="0" w:firstLine="0"/>
        <w:jc w:val="left"/>
        <w:rPr>
          <w:sz w:val="22"/>
        </w:rPr>
      </w:pPr>
      <w:r>
        <w:rPr>
          <w:sz w:val="22"/>
        </w:rPr>
        <w:t>Beltrán, J. A. and Roncalés, P. (2000). Determinación de la textura. In: Cañeque, V. &amp; Sañudo,</w:t>
      </w:r>
    </w:p>
    <w:p>
      <w:pPr>
        <w:spacing w:line="276" w:lineRule="auto" w:before="40"/>
        <w:ind w:left="920" w:right="0" w:firstLine="0"/>
        <w:jc w:val="left"/>
        <w:rPr>
          <w:sz w:val="22"/>
        </w:rPr>
      </w:pPr>
      <w:r>
        <w:rPr>
          <w:sz w:val="22"/>
        </w:rPr>
        <w:t>C. Metodología para el estudio de la calidad de la canal y de la carne en rumiantes. Instituto Nacional de Investigación y Tecnología Agraria y Alimentaria, Madrid, pp. 168-174.</w:t>
      </w:r>
    </w:p>
    <w:p>
      <w:pPr>
        <w:spacing w:line="276" w:lineRule="auto" w:before="1"/>
        <w:ind w:left="920" w:right="113" w:hanging="281"/>
        <w:jc w:val="both"/>
        <w:rPr>
          <w:sz w:val="22"/>
        </w:rPr>
      </w:pPr>
      <w:r>
        <w:rPr>
          <w:sz w:val="22"/>
        </w:rPr>
        <w:t>Besong, S., Kackson, J. A., Trammel, D. S., and Akay, V. (2001). Influence of supplemental chromium on concentrations of of liver triglyceride, blood metabolites and rumen VAF profile in steers fed a moderately high fat diet. Journal of Dairy Science. 84:1679-1685.</w:t>
      </w:r>
    </w:p>
    <w:p>
      <w:pPr>
        <w:spacing w:line="276" w:lineRule="auto" w:before="3"/>
        <w:ind w:left="920" w:right="109" w:hanging="281"/>
        <w:jc w:val="both"/>
        <w:rPr>
          <w:sz w:val="22"/>
        </w:rPr>
      </w:pPr>
      <w:r>
        <w:rPr>
          <w:sz w:val="22"/>
        </w:rPr>
        <w:t>Bickerstaffe, R. 1996. Proteases and meat quality. The Proceeding of the New Zealand Society of Animal Production. 56:153-162.</w:t>
      </w:r>
    </w:p>
    <w:p>
      <w:pPr>
        <w:spacing w:before="1"/>
        <w:ind w:left="639" w:right="0" w:firstLine="0"/>
        <w:jc w:val="left"/>
        <w:rPr>
          <w:sz w:val="22"/>
        </w:rPr>
      </w:pPr>
      <w:r>
        <w:rPr>
          <w:sz w:val="22"/>
        </w:rPr>
        <w:t>Bligh, E. G. y Dyer, W. Y. (1995). A rapid method of total lipid extraction and purification.</w:t>
      </w:r>
    </w:p>
    <w:p>
      <w:pPr>
        <w:spacing w:before="37"/>
        <w:ind w:left="920" w:right="0" w:firstLine="0"/>
        <w:jc w:val="left"/>
        <w:rPr>
          <w:sz w:val="22"/>
        </w:rPr>
      </w:pPr>
      <w:r>
        <w:rPr>
          <w:sz w:val="22"/>
        </w:rPr>
        <w:t>Can. J Biochem. Physiol. 37:911-917.</w:t>
      </w:r>
    </w:p>
    <w:p>
      <w:pPr>
        <w:spacing w:line="276" w:lineRule="auto" w:before="40"/>
        <w:ind w:left="639" w:right="97" w:firstLine="0"/>
        <w:jc w:val="left"/>
        <w:rPr>
          <w:sz w:val="22"/>
        </w:rPr>
      </w:pPr>
      <w:r>
        <w:rPr>
          <w:sz w:val="22"/>
        </w:rPr>
        <w:t>Body, D. R. (1988) The lipid composition of adipose tissue. Prog. Lipid Res. 27:39-60. Boleman, S. L., Boleman, S. J. Bidner, T. D. Southern, L .L., ward, T. L., Pontif, J. E. and Pije,</w:t>
      </w:r>
    </w:p>
    <w:p>
      <w:pPr>
        <w:spacing w:line="276" w:lineRule="auto" w:before="1"/>
        <w:ind w:left="920" w:right="0" w:firstLine="0"/>
        <w:jc w:val="left"/>
        <w:rPr>
          <w:sz w:val="22"/>
        </w:rPr>
      </w:pPr>
      <w:r>
        <w:rPr>
          <w:sz w:val="22"/>
        </w:rPr>
        <w:t>M. M. (1995). Effect of chromium picolinate on growth, body composition, and tissue accretion in pigs. Journal of Animal Science. 73:20033-20042.</w:t>
      </w:r>
    </w:p>
    <w:p>
      <w:pPr>
        <w:spacing w:line="278" w:lineRule="auto" w:before="1"/>
        <w:ind w:left="920" w:right="111" w:hanging="281"/>
        <w:jc w:val="both"/>
        <w:rPr>
          <w:sz w:val="22"/>
        </w:rPr>
      </w:pPr>
      <w:r>
        <w:rPr>
          <w:sz w:val="22"/>
        </w:rPr>
        <w:t>Bonomi, A., Bonomi, B. M. and Mazzotti, A. (2000). Organoc chromium in light  lamb feeding. Rivista di Scienza dell´alimentazione. 29:53-63.</w:t>
      </w:r>
    </w:p>
    <w:p>
      <w:pPr>
        <w:spacing w:line="276" w:lineRule="auto" w:before="0"/>
        <w:ind w:left="920" w:right="113" w:hanging="281"/>
        <w:jc w:val="both"/>
        <w:rPr>
          <w:sz w:val="22"/>
        </w:rPr>
      </w:pPr>
      <w:r>
        <w:rPr>
          <w:sz w:val="22"/>
        </w:rPr>
        <w:t>Bonet, M., y Kopp, J. (1984). Dosage du collagene dans les tissues conjonctifs, la viande et les produits. Cah. Techn. INRA.5:19-30.</w:t>
      </w:r>
    </w:p>
    <w:p>
      <w:pPr>
        <w:spacing w:line="276" w:lineRule="auto" w:before="1"/>
        <w:ind w:left="920" w:right="112" w:hanging="281"/>
        <w:jc w:val="both"/>
        <w:rPr>
          <w:sz w:val="22"/>
        </w:rPr>
      </w:pPr>
      <w:r>
        <w:rPr>
          <w:sz w:val="22"/>
        </w:rPr>
        <w:t>Bučko, O., Lehotayová, A., Petrák, J., Vavrišínová, K., Šimko, M, Juráček, M. (2012). Effect of organic chromium to carcass composition and chemical composition of adductor muscle in Large White breed. Research in Pig Breeding.</w:t>
      </w:r>
      <w:r>
        <w:rPr>
          <w:spacing w:val="-16"/>
          <w:sz w:val="22"/>
        </w:rPr>
        <w:t> </w:t>
      </w:r>
      <w:r>
        <w:rPr>
          <w:sz w:val="22"/>
        </w:rPr>
        <w:t>6:5-9.</w:t>
      </w:r>
    </w:p>
    <w:p>
      <w:pPr>
        <w:spacing w:line="276" w:lineRule="auto" w:before="1"/>
        <w:ind w:left="920" w:right="111" w:hanging="281"/>
        <w:jc w:val="both"/>
        <w:rPr>
          <w:sz w:val="22"/>
        </w:rPr>
      </w:pPr>
      <w:r>
        <w:rPr>
          <w:sz w:val="22"/>
        </w:rPr>
        <w:t>Bunting, L. D., Fernandez, J. M., Thompson, D. L. and Sourthen Jr, L. L. (1994). Influence of chromium picolinate on glucose usage and metabolic criteria in growing Holstein calves Journal of Animal Science. 72:1591-1599.</w:t>
      </w:r>
    </w:p>
    <w:p>
      <w:pPr>
        <w:spacing w:line="276" w:lineRule="auto" w:before="3"/>
        <w:ind w:left="920" w:right="108" w:hanging="281"/>
        <w:jc w:val="both"/>
        <w:rPr>
          <w:sz w:val="22"/>
        </w:rPr>
      </w:pPr>
      <w:r>
        <w:rPr>
          <w:sz w:val="22"/>
        </w:rPr>
        <w:t>Cano, E., Peña, B. T .F., Martos, P. J., Domenech, G. V., Alcalde, A. M. J., García, M. A., Herrera, G. M., Rodero, S. E., Acero, R. C. (2003). Calidad de la canal y de la carne en corderos ligeros de raza Segureña. Archivos de Zootecnia. 52(199):315-326.</w:t>
      </w:r>
    </w:p>
    <w:p>
      <w:pPr>
        <w:spacing w:line="276" w:lineRule="auto" w:before="1"/>
        <w:ind w:left="920" w:right="109" w:hanging="281"/>
        <w:jc w:val="both"/>
        <w:rPr>
          <w:sz w:val="22"/>
        </w:rPr>
      </w:pPr>
      <w:r>
        <w:rPr>
          <w:sz w:val="22"/>
        </w:rPr>
        <w:t>Cañeque, V. y Sañudo, C. (2001). Metodología para el studio de la calidad de la canal y de la carne en ruminates. Ed. Ministerio de Ciencia y Tecnología Instituto Nacional de Investigación y Tecnologia Agraria, España. pp. 30-40.</w:t>
      </w:r>
    </w:p>
    <w:p>
      <w:pPr>
        <w:spacing w:before="1"/>
        <w:ind w:left="639" w:right="0" w:firstLine="0"/>
        <w:jc w:val="left"/>
        <w:rPr>
          <w:sz w:val="22"/>
        </w:rPr>
      </w:pPr>
      <w:r>
        <w:rPr>
          <w:sz w:val="22"/>
        </w:rPr>
        <w:t>Cassens, R. G. and Cooper, C. C. (1971). Red and white muscle. Advances in Food   Research.</w:t>
      </w:r>
    </w:p>
    <w:p>
      <w:pPr>
        <w:spacing w:before="37"/>
        <w:ind w:left="920" w:right="0" w:firstLine="0"/>
        <w:jc w:val="left"/>
        <w:rPr>
          <w:sz w:val="22"/>
        </w:rPr>
      </w:pPr>
      <w:r>
        <w:rPr>
          <w:sz w:val="22"/>
        </w:rPr>
        <w:t>19:1-74.</w:t>
      </w:r>
    </w:p>
    <w:p>
      <w:pPr>
        <w:spacing w:line="278" w:lineRule="auto" w:before="37"/>
        <w:ind w:left="920" w:right="111" w:hanging="281"/>
        <w:jc w:val="both"/>
        <w:rPr>
          <w:sz w:val="22"/>
        </w:rPr>
      </w:pPr>
      <w:r>
        <w:rPr>
          <w:sz w:val="22"/>
        </w:rPr>
        <w:t>Cefalu, W. T. and Hu, F. B. (2004). Role of chromium in human health and diabetes. Diabetes Care. 27(11):2741-2751.</w:t>
      </w:r>
    </w:p>
    <w:p>
      <w:pPr>
        <w:spacing w:after="0" w:line="278"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05" w:hanging="281"/>
        <w:jc w:val="both"/>
        <w:rPr>
          <w:sz w:val="22"/>
        </w:rPr>
      </w:pPr>
      <w:r>
        <w:rPr>
          <w:sz w:val="22"/>
        </w:rPr>
        <w:t>Chang, X., Mowat, D. N. and Spiers, G. A. (1992). Carcass characteristics and tissue-mineral contents of steers fed supplemental chromium. Canadian Journal of Animal Science. 72:663-669.</w:t>
      </w:r>
    </w:p>
    <w:p>
      <w:pPr>
        <w:spacing w:line="278" w:lineRule="auto" w:before="1"/>
        <w:ind w:left="920" w:right="114" w:hanging="281"/>
        <w:jc w:val="both"/>
        <w:rPr>
          <w:sz w:val="22"/>
        </w:rPr>
      </w:pPr>
      <w:r>
        <w:rPr>
          <w:sz w:val="22"/>
        </w:rPr>
        <w:t>Chang, X. and Mowat, D. N. (1992). Supplemental chromium for stresses and growing feeder calves. Journal of Animal Science. 70:559-565.</w:t>
      </w:r>
    </w:p>
    <w:p>
      <w:pPr>
        <w:spacing w:line="276" w:lineRule="auto" w:before="0"/>
        <w:ind w:left="920" w:right="107" w:hanging="281"/>
        <w:jc w:val="both"/>
        <w:rPr>
          <w:sz w:val="22"/>
        </w:rPr>
      </w:pPr>
      <w:r>
        <w:rPr>
          <w:sz w:val="22"/>
        </w:rPr>
        <w:t>Chang, X., Mowat, D. N. and Mallard, B. A. (1994). Supplemental organic and inorganic chromium with niacin for stressed feeder calves. J. Anim. Sci. 72 (Suppl.1):132.</w:t>
      </w:r>
    </w:p>
    <w:p>
      <w:pPr>
        <w:spacing w:line="276" w:lineRule="auto" w:before="1"/>
        <w:ind w:left="920" w:right="108" w:hanging="281"/>
        <w:jc w:val="both"/>
        <w:rPr>
          <w:sz w:val="22"/>
        </w:rPr>
      </w:pPr>
      <w:r>
        <w:rPr>
          <w:sz w:val="22"/>
        </w:rPr>
        <w:t>Chang X., Mallard B. A., Mowat D. N. (1996). Effects ofchromium on health status, blood neutrophil phagocytosis and in vitro lymphocyte blastogenesis of dairy cows. Veterinary Immunology and Immunopathology, 52, 37–52.</w:t>
      </w:r>
    </w:p>
    <w:p>
      <w:pPr>
        <w:spacing w:line="276" w:lineRule="auto" w:before="1"/>
        <w:ind w:left="920" w:right="114" w:hanging="281"/>
        <w:jc w:val="both"/>
        <w:rPr>
          <w:sz w:val="22"/>
        </w:rPr>
      </w:pPr>
      <w:r>
        <w:rPr>
          <w:sz w:val="22"/>
        </w:rPr>
        <w:t>Champe, P. C., Harvey, R. A. (2004). Metabolic effects of insulin and glucagon. In: Lippincott’s Illustrated Reviews: Biochemistry, 3rd Edition, Baltimore. p. 305 - 318.</w:t>
      </w:r>
    </w:p>
    <w:p>
      <w:pPr>
        <w:spacing w:line="276" w:lineRule="auto" w:before="1"/>
        <w:ind w:left="920" w:right="110" w:hanging="281"/>
        <w:jc w:val="both"/>
        <w:rPr>
          <w:sz w:val="22"/>
        </w:rPr>
      </w:pPr>
      <w:r>
        <w:rPr>
          <w:sz w:val="22"/>
        </w:rPr>
        <w:t>Choe, J. H., Choi, Y. M., Lee, S. H., Shin, H. G., Ryu, Y. C., Hong, K. C. (2008). The relation between glycogen, lactate content and muscle fiber type composition, and their influence on postmortem glycolytic rate and pork quality. Meat Sci, 80:355-362.</w:t>
      </w:r>
    </w:p>
    <w:p>
      <w:pPr>
        <w:spacing w:line="276" w:lineRule="auto" w:before="1"/>
        <w:ind w:left="920" w:right="102" w:hanging="281"/>
        <w:jc w:val="both"/>
        <w:rPr>
          <w:sz w:val="22"/>
        </w:rPr>
      </w:pPr>
      <w:r>
        <w:rPr>
          <w:sz w:val="22"/>
        </w:rPr>
        <w:t>Chrystall, B. B., Devine, C. E., Snodgrass, M., y Ellery, S. (1982) Tenderness of exercise- stressed lambs. N. Z. J. Agric. Res.v25:331.</w:t>
      </w:r>
    </w:p>
    <w:p>
      <w:pPr>
        <w:spacing w:line="276" w:lineRule="auto" w:before="3"/>
        <w:ind w:left="920" w:right="102" w:hanging="281"/>
        <w:jc w:val="both"/>
        <w:rPr>
          <w:sz w:val="22"/>
        </w:rPr>
      </w:pPr>
      <w:r>
        <w:rPr>
          <w:sz w:val="22"/>
        </w:rPr>
        <w:t>Cividini, A., Levart, A. and Žgur, S. Fatty acid composition of lamb meat as affected by production System, weaning and sex. Acta agriculturae Slovenica, 2008. Suplement 2: 47- 52.</w:t>
      </w:r>
    </w:p>
    <w:p>
      <w:pPr>
        <w:spacing w:line="276" w:lineRule="auto" w:before="1"/>
        <w:ind w:left="920" w:right="110" w:hanging="281"/>
        <w:jc w:val="both"/>
        <w:rPr>
          <w:sz w:val="22"/>
        </w:rPr>
      </w:pPr>
      <w:r>
        <w:rPr>
          <w:sz w:val="22"/>
        </w:rPr>
        <w:t>Cohen M. D., Kargacin B., Klein C. B., Costa, M. (1993). Mechanisms of chromium carcinogenity and toxicity.Critical Reviews in Toxicology, 23, 255–281.</w:t>
      </w:r>
    </w:p>
    <w:p>
      <w:pPr>
        <w:spacing w:line="276" w:lineRule="auto" w:before="3"/>
        <w:ind w:left="920" w:right="108" w:hanging="281"/>
        <w:jc w:val="both"/>
        <w:rPr>
          <w:sz w:val="22"/>
        </w:rPr>
      </w:pPr>
      <w:r>
        <w:rPr>
          <w:sz w:val="22"/>
        </w:rPr>
        <w:t>Colin-Schoellen, O., Jurjanz, S., Laurent, F. (1998). Nitrogen supply and fermentescible nitrogen deficit in total mixed ratio for dairy cows: Influence on milk yield and composition. Rencontre Recherche Ruminants 5:</w:t>
      </w:r>
      <w:r>
        <w:rPr>
          <w:spacing w:val="-7"/>
          <w:sz w:val="22"/>
        </w:rPr>
        <w:t> </w:t>
      </w:r>
      <w:r>
        <w:rPr>
          <w:sz w:val="22"/>
        </w:rPr>
        <w:t>222.</w:t>
      </w:r>
    </w:p>
    <w:p>
      <w:pPr>
        <w:spacing w:line="278" w:lineRule="auto" w:before="1"/>
        <w:ind w:left="920" w:right="105" w:hanging="281"/>
        <w:jc w:val="both"/>
        <w:rPr>
          <w:sz w:val="22"/>
        </w:rPr>
      </w:pPr>
      <w:r>
        <w:rPr>
          <w:sz w:val="22"/>
        </w:rPr>
        <w:t>Colomer-Rocher, F. (1984). Metodología de Clasificación de Canales Ovinas: Methodology to classify carcass in lambs. Oleaginosas Españolas, Madrid, Spain.</w:t>
      </w:r>
    </w:p>
    <w:p>
      <w:pPr>
        <w:spacing w:line="276" w:lineRule="auto" w:before="0"/>
        <w:ind w:left="920" w:right="107" w:hanging="281"/>
        <w:jc w:val="both"/>
        <w:rPr>
          <w:sz w:val="22"/>
        </w:rPr>
      </w:pPr>
      <w:r>
        <w:rPr>
          <w:sz w:val="22"/>
        </w:rPr>
        <w:t>Cruz, G. M. I., Sánchez, M. D. I., López, C. J., Munguia, X. J. A., Molina, B .R. M., Rivera, A. F., Hernández, Ch. J. F. Caracterización del perfil de ácidos grasos en carne de borrego de engorda utilizando cromatografía de gases. (2014). Nacameh. 8 (1): 39</w:t>
      </w:r>
      <w:r>
        <w:rPr>
          <w:rFonts w:ascii="Cambria Math" w:hAnsi="Cambria Math"/>
          <w:sz w:val="22"/>
        </w:rPr>
        <w:t>‐</w:t>
      </w:r>
      <w:r>
        <w:rPr>
          <w:sz w:val="22"/>
        </w:rPr>
        <w:t>49.</w:t>
      </w:r>
    </w:p>
    <w:p>
      <w:pPr>
        <w:spacing w:line="276" w:lineRule="auto" w:before="1"/>
        <w:ind w:left="920" w:right="111" w:hanging="281"/>
        <w:jc w:val="both"/>
        <w:rPr>
          <w:sz w:val="22"/>
        </w:rPr>
      </w:pPr>
      <w:r>
        <w:rPr>
          <w:sz w:val="22"/>
        </w:rPr>
        <w:t>Danielsson, D. A. and Pehrson, B. (1998). Effects of chromium supplementation on the growth and carcascc quality of bulls fed grain based diet during the finishing period. Journal of Veterinary Medicine Series A. 45:219-224.</w:t>
      </w:r>
    </w:p>
    <w:p>
      <w:pPr>
        <w:spacing w:before="1"/>
        <w:ind w:left="639" w:right="0" w:firstLine="0"/>
        <w:jc w:val="left"/>
        <w:rPr>
          <w:sz w:val="22"/>
        </w:rPr>
      </w:pPr>
      <w:r>
        <w:rPr>
          <w:sz w:val="22"/>
        </w:rPr>
        <w:t>Dattilo,  A.  M.  y Miguel, S.  G.  (2003).  Chromium in  health  and  disease.  Nutrition Today.</w:t>
      </w:r>
    </w:p>
    <w:p>
      <w:pPr>
        <w:spacing w:before="40"/>
        <w:ind w:left="920" w:right="0" w:firstLine="0"/>
        <w:jc w:val="left"/>
        <w:rPr>
          <w:sz w:val="22"/>
        </w:rPr>
      </w:pPr>
      <w:r>
        <w:rPr>
          <w:sz w:val="22"/>
        </w:rPr>
        <w:t>38:121-133.</w:t>
      </w:r>
    </w:p>
    <w:p>
      <w:pPr>
        <w:spacing w:line="276" w:lineRule="auto" w:before="38"/>
        <w:ind w:left="920" w:right="113" w:hanging="281"/>
        <w:jc w:val="both"/>
        <w:rPr>
          <w:sz w:val="22"/>
        </w:rPr>
      </w:pPr>
      <w:r>
        <w:rPr>
          <w:sz w:val="22"/>
        </w:rPr>
        <w:t>Davis C. M., Vincent J. B. (1997). Isolation and characterization of a biologically active hromium oligopeptide from bovine liver. Archives of Biochemistry and Biophysics. 339, 335–343.</w:t>
      </w:r>
    </w:p>
    <w:p>
      <w:pPr>
        <w:spacing w:line="276" w:lineRule="auto" w:before="3"/>
        <w:ind w:left="920" w:right="112" w:hanging="281"/>
        <w:jc w:val="both"/>
        <w:rPr>
          <w:sz w:val="22"/>
        </w:rPr>
      </w:pPr>
      <w:r>
        <w:rPr>
          <w:sz w:val="22"/>
        </w:rPr>
        <w:t>Delfa, R., Lahoz, F. and González, C. (1995). Modelos de clasificación de canales ovinas en la Unión Europea. Eurocarne. 37:37-44.</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05" w:hanging="281"/>
        <w:jc w:val="both"/>
        <w:rPr>
          <w:sz w:val="22"/>
        </w:rPr>
      </w:pPr>
      <w:r>
        <w:rPr>
          <w:sz w:val="22"/>
        </w:rPr>
        <w:t>DePew, C. L., Bunting, L. D., Thompson Jr, D. L. and Gran, D. T (1996). Chromium  picolinate does not alter intake or lipid metabolism in lambs fed standar or high-fat diets. Journal of Dairy Science. 79(Suppl.1). 140.</w:t>
      </w:r>
      <w:r>
        <w:rPr>
          <w:spacing w:val="-21"/>
          <w:sz w:val="22"/>
        </w:rPr>
        <w:t> </w:t>
      </w:r>
      <w:r>
        <w:rPr>
          <w:sz w:val="22"/>
        </w:rPr>
        <w:t>(Abstract).</w:t>
      </w:r>
    </w:p>
    <w:p>
      <w:pPr>
        <w:spacing w:line="276" w:lineRule="auto" w:before="1"/>
        <w:ind w:left="920" w:right="106" w:hanging="281"/>
        <w:jc w:val="both"/>
        <w:rPr>
          <w:sz w:val="22"/>
        </w:rPr>
      </w:pPr>
      <w:r>
        <w:rPr>
          <w:sz w:val="22"/>
        </w:rPr>
        <w:t>Díaz, D. Ch. M. T. (2001). Características de la canal y de la carne de corderos lechales Manchegos. Correlaciones y ecuaciones de predicción. Tesis Doctoral. Universidad Complutese de Madrid.</w:t>
      </w:r>
    </w:p>
    <w:p>
      <w:pPr>
        <w:spacing w:line="276" w:lineRule="auto" w:before="1"/>
        <w:ind w:left="920" w:right="109" w:hanging="281"/>
        <w:jc w:val="both"/>
        <w:rPr>
          <w:sz w:val="22"/>
        </w:rPr>
      </w:pPr>
      <w:r>
        <w:rPr>
          <w:sz w:val="22"/>
        </w:rPr>
        <w:t>Domínguez, V. I. A., Haro, G. F. y Martínez, H. G. (1999). Evaluación del comportamiento productivo y características de la canal de ovinos para abasto suplementados con el complejo orgánico Cromo L-Metionina. In: Memorias del X Congreso Nacional de Producción Ovina. Facultad de Medicina Veterinaria y Zootecnia. UAV. AMTEO, México.pp.6-10.</w:t>
      </w:r>
    </w:p>
    <w:p>
      <w:pPr>
        <w:spacing w:line="276" w:lineRule="auto" w:before="1"/>
        <w:ind w:left="920" w:right="109" w:hanging="281"/>
        <w:jc w:val="both"/>
        <w:rPr>
          <w:sz w:val="22"/>
        </w:rPr>
      </w:pPr>
      <w:r>
        <w:rPr>
          <w:sz w:val="22"/>
        </w:rPr>
        <w:t>Domínguez, V. I. A., González, M. S. S., Pinos, R. J. M., Bórquez, G. J. L., Bárcena, G. R., Mendoza, M. M. G., Zapata, L. E. and Landois, P. L. L. (2009). Effects of feeding selenium-yeast and chromium-yeast to finishing lambs on growth, carcass characteristics, and blood hormones and metabolites. Animal Feed Science and Technology. 152:42-49.</w:t>
      </w:r>
    </w:p>
    <w:p>
      <w:pPr>
        <w:spacing w:line="276" w:lineRule="auto" w:before="1"/>
        <w:ind w:left="920" w:right="111" w:hanging="281"/>
        <w:jc w:val="both"/>
        <w:rPr>
          <w:sz w:val="22"/>
        </w:rPr>
      </w:pPr>
      <w:r>
        <w:rPr>
          <w:sz w:val="22"/>
        </w:rPr>
        <w:t>Dransfield, E., Nute, G. R., Hogg, B. W., y Walters, B. R. (1990) Carcass and eating quality of ram, castrated ram and ewe lambs. Anim. Prod. 50:291-299.</w:t>
      </w:r>
    </w:p>
    <w:p>
      <w:pPr>
        <w:spacing w:line="276" w:lineRule="auto" w:before="3"/>
        <w:ind w:left="920" w:right="110" w:hanging="281"/>
        <w:jc w:val="both"/>
        <w:rPr>
          <w:sz w:val="22"/>
        </w:rPr>
      </w:pPr>
      <w:r>
        <w:rPr>
          <w:sz w:val="22"/>
        </w:rPr>
        <w:t>Dreyer, J. H., Naude, R. T., Henning, J. W. N., y Rossouw, E. (1977) The influence breed, castration and age on muscle fibre type and diameter in Friesland and Afrikaner cattle. S. Afr. J. Anim. Sci.7: 171-180.</w:t>
      </w:r>
    </w:p>
    <w:p>
      <w:pPr>
        <w:spacing w:before="1"/>
        <w:ind w:left="639" w:right="0" w:firstLine="0"/>
        <w:jc w:val="left"/>
        <w:rPr>
          <w:sz w:val="22"/>
        </w:rPr>
      </w:pPr>
      <w:r>
        <w:rPr>
          <w:sz w:val="22"/>
        </w:rPr>
        <w:t>Dubowitz,  V.  (1985).  Muscle  biopsy:  A  practical  approach.  2a  ed.  Ed.  Bailliére Tindall.</w:t>
      </w:r>
    </w:p>
    <w:p>
      <w:pPr>
        <w:spacing w:before="37"/>
        <w:ind w:left="920" w:right="0" w:firstLine="0"/>
        <w:jc w:val="left"/>
        <w:rPr>
          <w:sz w:val="22"/>
        </w:rPr>
      </w:pPr>
      <w:r>
        <w:rPr>
          <w:sz w:val="22"/>
        </w:rPr>
        <w:t>London.</w:t>
      </w:r>
    </w:p>
    <w:p>
      <w:pPr>
        <w:spacing w:line="276" w:lineRule="auto" w:before="40"/>
        <w:ind w:left="920" w:right="104" w:hanging="281"/>
        <w:jc w:val="both"/>
        <w:rPr>
          <w:sz w:val="22"/>
        </w:rPr>
      </w:pPr>
      <w:r>
        <w:rPr>
          <w:sz w:val="22"/>
        </w:rPr>
        <w:t>Dubowitz, V. y Brooke, M. H. (1973). A practical approach. 1a ed. Ed. W.B. Saunders Company. London.</w:t>
      </w:r>
    </w:p>
    <w:p>
      <w:pPr>
        <w:spacing w:before="1"/>
        <w:ind w:left="639" w:right="0" w:firstLine="0"/>
        <w:jc w:val="left"/>
        <w:rPr>
          <w:sz w:val="22"/>
        </w:rPr>
      </w:pPr>
      <w:r>
        <w:rPr>
          <w:sz w:val="22"/>
        </w:rPr>
        <w:t>Ducros V. (1992). Chromium metabolism. Biological Trace Element Research, 32, 65–77.</w:t>
      </w:r>
    </w:p>
    <w:p>
      <w:pPr>
        <w:spacing w:line="276" w:lineRule="auto" w:before="37"/>
        <w:ind w:left="920" w:right="106" w:hanging="281"/>
        <w:jc w:val="both"/>
        <w:rPr>
          <w:sz w:val="22"/>
        </w:rPr>
      </w:pPr>
      <w:r>
        <w:rPr>
          <w:sz w:val="22"/>
        </w:rPr>
        <w:t>Duckett, S. K., Snowder, G.D. and Cockett, N. E. (2000). Effect of the callipyge gene on muscle growth, calpastatin activity, and tenderness of three muscles across the growth curve. J. of Anim. Sci.</w:t>
      </w:r>
      <w:r>
        <w:rPr>
          <w:spacing w:val="-9"/>
          <w:sz w:val="22"/>
        </w:rPr>
        <w:t> </w:t>
      </w:r>
      <w:r>
        <w:rPr>
          <w:sz w:val="22"/>
        </w:rPr>
        <w:t>78:2836-2841.</w:t>
      </w:r>
    </w:p>
    <w:p>
      <w:pPr>
        <w:spacing w:line="276" w:lineRule="auto" w:before="1"/>
        <w:ind w:left="920" w:right="109" w:hanging="281"/>
        <w:jc w:val="both"/>
        <w:rPr>
          <w:sz w:val="22"/>
        </w:rPr>
      </w:pPr>
      <w:r>
        <w:rPr>
          <w:sz w:val="22"/>
        </w:rPr>
        <w:t>Engle, T.E., Ahola, J. K. and Dorton, K. L., 2005. Inhibition of trace mineral metabolism in ruminants. Intermountain Nutrition Conference, ih Annual Meeting, Salt Lake City, UT Jan. 25-26. p. 173-191.</w:t>
      </w:r>
    </w:p>
    <w:p>
      <w:pPr>
        <w:spacing w:line="276" w:lineRule="auto" w:before="3"/>
        <w:ind w:left="920" w:right="114" w:hanging="281"/>
        <w:jc w:val="both"/>
        <w:rPr>
          <w:sz w:val="22"/>
        </w:rPr>
      </w:pPr>
      <w:r>
        <w:rPr>
          <w:sz w:val="22"/>
        </w:rPr>
        <w:t>Enser, M., Hallett, K., Hewelt, B., Fursey, G. A., y Wood, J. D. (1996) Fatty acid content and composition of English beef, lamb and pork at retail. Meat Sci., 42, 443-456.</w:t>
      </w:r>
    </w:p>
    <w:p>
      <w:pPr>
        <w:spacing w:line="276" w:lineRule="auto" w:before="1"/>
        <w:ind w:left="920" w:right="106" w:hanging="281"/>
        <w:jc w:val="both"/>
        <w:rPr>
          <w:sz w:val="22"/>
        </w:rPr>
      </w:pPr>
      <w:r>
        <w:rPr>
          <w:sz w:val="22"/>
        </w:rPr>
        <w:t>Emami, A., Zali, A., Ganjhanlou, M., Akbari, Akbari-Afjani, A. (2012). Nutrient disgestibility, carcass characteristics and plasma metabolites in goat’s kids fed diets supplemented with chromium methionine.  Online J. Anim. Feed Res. 2 (2): 127-132.</w:t>
      </w:r>
    </w:p>
    <w:p>
      <w:pPr>
        <w:spacing w:line="276" w:lineRule="auto" w:before="1"/>
        <w:ind w:left="920" w:right="105" w:hanging="281"/>
        <w:jc w:val="both"/>
        <w:rPr>
          <w:sz w:val="22"/>
        </w:rPr>
      </w:pPr>
      <w:r>
        <w:rPr>
          <w:sz w:val="22"/>
        </w:rPr>
        <w:t>Essén-Gustavsson, B., Karlstrom, K., and Lundstrom, K. (1992). Muscle fibre characteristics and metabolic response at slaughter in pigs of different halothane genotypes and their relation to meat quality. J. of Anim. Sci. 86:3290-3299.</w:t>
      </w:r>
    </w:p>
    <w:p>
      <w:pPr>
        <w:spacing w:line="278" w:lineRule="auto" w:before="1"/>
        <w:ind w:left="920" w:right="102" w:hanging="281"/>
        <w:jc w:val="both"/>
        <w:rPr>
          <w:sz w:val="22"/>
        </w:rPr>
      </w:pPr>
      <w:r>
        <w:rPr>
          <w:sz w:val="22"/>
        </w:rPr>
        <w:t>Estrada-Angulo, A., Valdés, Y.S., Carrillo-Muro, O., Castro-Pérez, B. I., Barreras, A., López- Soto, M. A., Plascencia, A., Dávila-Ramos, H., Rios, F.G., Zinn, R. A. (2013). Effects of</w:t>
      </w:r>
    </w:p>
    <w:p>
      <w:pPr>
        <w:spacing w:after="0" w:line="278"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05" w:firstLine="0"/>
        <w:jc w:val="both"/>
        <w:rPr>
          <w:sz w:val="22"/>
        </w:rPr>
      </w:pPr>
      <w:r>
        <w:rPr>
          <w:sz w:val="22"/>
        </w:rPr>
        <w:t>feeding different levels of chromium enriched live yeast in hairy lambs fed a corn-based diet: effects on growth performance, dietary energetics, carcass traits visceral organ mass. Anim. Prod. Sci. </w:t>
      </w:r>
      <w:hyperlink r:id="rId104">
        <w:r>
          <w:rPr>
            <w:sz w:val="22"/>
          </w:rPr>
          <w:t>http://dx.doi.org/10.1071/AN12192.</w:t>
        </w:r>
      </w:hyperlink>
    </w:p>
    <w:p>
      <w:pPr>
        <w:spacing w:line="278" w:lineRule="auto" w:before="1"/>
        <w:ind w:left="920" w:right="112" w:hanging="281"/>
        <w:jc w:val="both"/>
        <w:rPr>
          <w:sz w:val="22"/>
        </w:rPr>
      </w:pPr>
      <w:r>
        <w:rPr>
          <w:sz w:val="22"/>
        </w:rPr>
        <w:t>Evans, G.W. (1989).The effect of Chromium Picolinate on insulin controlled parameters in humans. Int. J. Biosocial. Me. Res. 11:163.</w:t>
      </w:r>
    </w:p>
    <w:p>
      <w:pPr>
        <w:spacing w:line="276" w:lineRule="auto" w:before="0"/>
        <w:ind w:left="920" w:right="104" w:hanging="281"/>
        <w:jc w:val="both"/>
        <w:rPr>
          <w:sz w:val="22"/>
        </w:rPr>
      </w:pPr>
      <w:r>
        <w:rPr>
          <w:sz w:val="22"/>
        </w:rPr>
        <w:t>Evans, G. W. and Bowman, T. D. (1992). Chromium picolinate increases membrane fluidity and rate of insulin internalization. Journal of Inorganic Biochemistre. 48:243-250.</w:t>
      </w:r>
    </w:p>
    <w:p>
      <w:pPr>
        <w:spacing w:line="278" w:lineRule="auto" w:before="1"/>
        <w:ind w:left="920" w:right="111" w:hanging="281"/>
        <w:jc w:val="both"/>
        <w:rPr>
          <w:sz w:val="22"/>
        </w:rPr>
      </w:pPr>
      <w:r>
        <w:rPr>
          <w:sz w:val="22"/>
        </w:rPr>
        <w:t>Evans, G.w. y D. J. Pauchnik. (1993). Composition and biological activity of Chromium pyridine carboxylate complexes. J. Inorg.Biochem. 49:177.</w:t>
      </w:r>
    </w:p>
    <w:p>
      <w:pPr>
        <w:spacing w:line="276" w:lineRule="auto" w:before="0"/>
        <w:ind w:left="920" w:right="107" w:hanging="281"/>
        <w:jc w:val="both"/>
        <w:rPr>
          <w:sz w:val="22"/>
        </w:rPr>
      </w:pPr>
      <w:r>
        <w:rPr>
          <w:sz w:val="22"/>
        </w:rPr>
        <w:t>Fajardo, V., Pacheco, P., Hudson, R., Jimenez, I. and Martinez-Gómez, M. (2008). Differences in morphology and contractility of the bulbospongiosus and pubococcygeus muscles in nulliparous and multiparous rabbits. International Urogynecology Journal.19: 843-849.</w:t>
      </w:r>
    </w:p>
    <w:p>
      <w:pPr>
        <w:spacing w:line="278" w:lineRule="auto" w:before="1"/>
        <w:ind w:left="920" w:right="112" w:hanging="281"/>
        <w:jc w:val="both"/>
        <w:rPr>
          <w:sz w:val="22"/>
        </w:rPr>
      </w:pPr>
      <w:r>
        <w:rPr>
          <w:sz w:val="22"/>
        </w:rPr>
        <w:t>FAO (2013). Produción y sanidad animal. Carne y productos cárnicos. Recuperado de </w:t>
      </w:r>
      <w:hyperlink r:id="rId105">
        <w:r>
          <w:rPr>
            <w:sz w:val="22"/>
          </w:rPr>
          <w:t>http://www.fao.org/ag/againfo/hemes/fr/meat/backgr_composition.html.</w:t>
        </w:r>
      </w:hyperlink>
    </w:p>
    <w:p>
      <w:pPr>
        <w:spacing w:line="276" w:lineRule="auto" w:before="0"/>
        <w:ind w:left="920" w:right="112" w:hanging="281"/>
        <w:jc w:val="both"/>
        <w:rPr>
          <w:sz w:val="22"/>
        </w:rPr>
      </w:pPr>
      <w:r>
        <w:rPr>
          <w:sz w:val="22"/>
        </w:rPr>
        <w:t>FAO (2013). Perspectivas alimentarias (resumenens de mercados). Recuperado de </w:t>
      </w:r>
      <w:hyperlink r:id="rId106">
        <w:r>
          <w:rPr>
            <w:sz w:val="22"/>
          </w:rPr>
          <w:t>http://www.fao.org/docrep/018/al999s.pdf</w:t>
        </w:r>
      </w:hyperlink>
    </w:p>
    <w:p>
      <w:pPr>
        <w:spacing w:line="276" w:lineRule="auto" w:before="1"/>
        <w:ind w:left="920" w:right="110" w:hanging="281"/>
        <w:jc w:val="both"/>
        <w:rPr>
          <w:sz w:val="22"/>
        </w:rPr>
      </w:pPr>
      <w:r>
        <w:rPr>
          <w:sz w:val="22"/>
        </w:rPr>
        <w:t>Fick, K. A., L. R. McDowell, P. H. Miles, N. S. Wilkinson, J. D. Funk, J. H. Conrad, y R.Valdivia. (1979). Métodos de análisis de minerales para tejidos de plantas y animales. Universidad de Florida. Gainesville, FL. USA. 135p.</w:t>
      </w:r>
    </w:p>
    <w:p>
      <w:pPr>
        <w:spacing w:line="276" w:lineRule="auto" w:before="1"/>
        <w:ind w:left="920" w:right="105" w:hanging="281"/>
        <w:jc w:val="both"/>
        <w:rPr>
          <w:sz w:val="22"/>
        </w:rPr>
      </w:pPr>
      <w:r>
        <w:rPr>
          <w:sz w:val="22"/>
        </w:rPr>
        <w:t>Fiedler, I., Kuchenmeister, U., Ender, K., Wicke, M., y Lengerken, G. (1994). Fiber-type characteristics and meat quality in longissimus muscle of normal and halothane sensitive pigs. Journal of Muscle Research and Cell Motility. 15:187-188.</w:t>
      </w:r>
    </w:p>
    <w:p>
      <w:pPr>
        <w:spacing w:before="3"/>
        <w:ind w:left="639" w:right="0" w:firstLine="0"/>
        <w:jc w:val="left"/>
        <w:rPr>
          <w:sz w:val="22"/>
        </w:rPr>
      </w:pPr>
      <w:r>
        <w:rPr>
          <w:sz w:val="22"/>
        </w:rPr>
        <w:t>Forbes, C. D., Fernandez, J. M., Bunting, L. D., Southern, L. L., Thompson Jr. D. L. Gentry, L.</w:t>
      </w:r>
    </w:p>
    <w:p>
      <w:pPr>
        <w:spacing w:line="276" w:lineRule="auto" w:before="38"/>
        <w:ind w:left="920" w:right="112" w:firstLine="0"/>
        <w:jc w:val="both"/>
        <w:rPr>
          <w:sz w:val="22"/>
        </w:rPr>
      </w:pPr>
      <w:r>
        <w:rPr>
          <w:sz w:val="22"/>
        </w:rPr>
        <w:t>R. and Chapa, A. M. (1998). Growth and metabolic characteristics of Suffolk and Gulf Coast Native yearling ewes supplemented with chromium tripicolinate. Small Ruminant Research. 28:149-160.</w:t>
      </w:r>
    </w:p>
    <w:p>
      <w:pPr>
        <w:spacing w:line="276" w:lineRule="auto" w:before="3"/>
        <w:ind w:left="920" w:right="110" w:hanging="281"/>
        <w:jc w:val="both"/>
        <w:rPr>
          <w:sz w:val="22"/>
        </w:rPr>
      </w:pPr>
      <w:r>
        <w:rPr>
          <w:sz w:val="22"/>
        </w:rPr>
        <w:t>Forrest, J. C., Aberle, E. D., Hedrick, H. B., Judge, M. B. y Merkel, R. A.  (1979).  Propiedades de la carne. En: Fundamentos de ciencia de la carne. Ed. Acribia. Zaragoza, España. pp.</w:t>
      </w:r>
      <w:r>
        <w:rPr>
          <w:spacing w:val="1"/>
          <w:sz w:val="22"/>
        </w:rPr>
        <w:t> </w:t>
      </w:r>
      <w:r>
        <w:rPr>
          <w:sz w:val="22"/>
        </w:rPr>
        <w:t>364.</w:t>
      </w:r>
    </w:p>
    <w:p>
      <w:pPr>
        <w:spacing w:line="276" w:lineRule="auto" w:before="1"/>
        <w:ind w:left="920" w:right="105" w:hanging="281"/>
        <w:jc w:val="both"/>
        <w:rPr>
          <w:sz w:val="22"/>
        </w:rPr>
      </w:pPr>
      <w:r>
        <w:rPr>
          <w:sz w:val="22"/>
        </w:rPr>
        <w:t>Frank, A., Anke, M., Danielsson, R. (2000). Experimental copper and chromium deficiency and additional molybdenum supplementation in goats. Feed consummation and weight development. Sci. Total Environ.</w:t>
      </w:r>
      <w:r>
        <w:rPr>
          <w:spacing w:val="-6"/>
          <w:sz w:val="22"/>
        </w:rPr>
        <w:t> </w:t>
      </w:r>
      <w:r>
        <w:rPr>
          <w:sz w:val="22"/>
        </w:rPr>
        <w:t>249:133–142.</w:t>
      </w:r>
    </w:p>
    <w:p>
      <w:pPr>
        <w:spacing w:line="276" w:lineRule="auto" w:before="1"/>
        <w:ind w:left="920" w:right="110" w:hanging="281"/>
        <w:jc w:val="both"/>
        <w:rPr>
          <w:sz w:val="22"/>
        </w:rPr>
      </w:pPr>
      <w:r>
        <w:rPr>
          <w:sz w:val="22"/>
        </w:rPr>
        <w:t>Galián. J.M. (2007). Características de la canal y calidad de la carne, composición mineral y lipídica del cerdo Chato Murciano y su cruce con Ibérico. Efecto del sitema de manejo. Tesis Doctoral. Universidad de Murcia. España.</w:t>
      </w:r>
    </w:p>
    <w:p>
      <w:pPr>
        <w:spacing w:line="276" w:lineRule="auto" w:before="4"/>
        <w:ind w:left="920" w:right="109" w:hanging="281"/>
        <w:jc w:val="both"/>
        <w:rPr>
          <w:sz w:val="22"/>
        </w:rPr>
      </w:pPr>
      <w:r>
        <w:rPr>
          <w:sz w:val="22"/>
        </w:rPr>
        <w:t>García, J. A., Nuñez, F. A., Rodríguez, F. A., Priet, C., Molina, N., Domínguez, L. (1998). Calidad de la canal y de la cane de borregos Pelibuey castrados. Tec. Pec.Mexico. 36(3):225-232.</w:t>
      </w:r>
    </w:p>
    <w:p>
      <w:pPr>
        <w:spacing w:line="276" w:lineRule="auto" w:before="1"/>
        <w:ind w:left="920" w:right="111" w:hanging="281"/>
        <w:jc w:val="both"/>
        <w:rPr>
          <w:sz w:val="22"/>
        </w:rPr>
      </w:pPr>
      <w:r>
        <w:rPr>
          <w:sz w:val="22"/>
        </w:rPr>
        <w:t>Gardner, G. E., Pethick, D. W., and Smith, G. (1998). Effect of chromium chelative supplementation on the metabolism of glycogen and lipid in adult Merino sheep. Australian Journal Agriculture Research. 49, 137-145.</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1" w:hanging="281"/>
        <w:jc w:val="both"/>
        <w:rPr>
          <w:sz w:val="22"/>
        </w:rPr>
      </w:pPr>
      <w:r>
        <w:rPr>
          <w:sz w:val="22"/>
        </w:rPr>
        <w:t>Garrido M. D., Bañón S. y Álvarez D. 2005. Medida del pH. En: Estandarización de las metodologías para evaluar la calidad del producto (animal vivo, canal, carne y grasa) Ed. Cañeque V. y Sañudo C. pp. 206-215. INIA.</w:t>
      </w:r>
    </w:p>
    <w:p>
      <w:pPr>
        <w:spacing w:line="276" w:lineRule="auto" w:before="1"/>
        <w:ind w:left="920" w:right="104" w:hanging="281"/>
        <w:jc w:val="both"/>
        <w:rPr>
          <w:sz w:val="22"/>
        </w:rPr>
      </w:pPr>
      <w:r>
        <w:rPr>
          <w:sz w:val="22"/>
        </w:rPr>
        <w:t>Gentry, L .R., Fernández, J. M., Ward, T. L., White, T. W., Southern, L. L, Bidner, T. D., Thompson, D. L., Horohov, Jr, D. W., Chapa, A. M. and Sahlu, T. (1999). Dietary protein and chromium tripicolinate in Suffolk wether lambs: effects on production characteristics, metabolic and hormonal responses, and immune status. Journal of Animal Science. 77:1284-1294</w:t>
      </w:r>
    </w:p>
    <w:p>
      <w:pPr>
        <w:spacing w:before="3"/>
        <w:ind w:left="639" w:right="0" w:firstLine="0"/>
        <w:jc w:val="left"/>
        <w:rPr>
          <w:sz w:val="22"/>
        </w:rPr>
      </w:pPr>
      <w:r>
        <w:rPr>
          <w:sz w:val="22"/>
        </w:rPr>
        <w:t>Giese J. (1995). Measuring physical propierties of foods. Food Technol. 49 (2). pp. 54-63.</w:t>
      </w:r>
    </w:p>
    <w:p>
      <w:pPr>
        <w:spacing w:line="276" w:lineRule="auto" w:before="37"/>
        <w:ind w:left="920" w:right="107" w:hanging="281"/>
        <w:jc w:val="both"/>
        <w:rPr>
          <w:sz w:val="22"/>
        </w:rPr>
      </w:pPr>
      <w:r>
        <w:rPr>
          <w:sz w:val="22"/>
        </w:rPr>
        <w:t>Gil, f. (1986). Diferenciación postnatal de los tipos de miofibrillas de algunos músculos del perro. Tesis Doctoral. Universidad de Murcia.</w:t>
      </w:r>
    </w:p>
    <w:p>
      <w:pPr>
        <w:spacing w:line="276" w:lineRule="auto" w:before="1"/>
        <w:ind w:left="920" w:right="103" w:hanging="281"/>
        <w:jc w:val="both"/>
        <w:rPr>
          <w:sz w:val="22"/>
        </w:rPr>
      </w:pPr>
      <w:r>
        <w:rPr>
          <w:sz w:val="22"/>
        </w:rPr>
        <w:t>Gil, M., Serra, X., Gispert, M., Oliver, M. A., Sañudo, C., Panea, B., Olleta, J. L., Campo, M., Olivám, M., Osor, K., García-Cachán, M.D., Cruz-Sagredo, R., Izquierdo, M., Espejo, M. y Piedrafita, J. (2001). The effect of bread production systems on the myosin heavy chain I, the biochemical characteristicas and the colour variables of longissimus thoracis from seven Spanish beef cattle breeds. Meat Science. 5:181-184.</w:t>
      </w:r>
    </w:p>
    <w:p>
      <w:pPr>
        <w:spacing w:line="276" w:lineRule="auto" w:before="1"/>
        <w:ind w:left="920" w:right="110" w:hanging="281"/>
        <w:jc w:val="both"/>
        <w:rPr>
          <w:sz w:val="22"/>
        </w:rPr>
      </w:pPr>
      <w:r>
        <w:rPr>
          <w:sz w:val="22"/>
        </w:rPr>
        <w:t>Guifen, L., Fachun, W., Enliang, S., Xiaomu, L., Xiuwen, T. and Zhenshan, L. (2011). Effects of chromium picolinate supplementation on the growth, carcass quality and gene expression of beef during the finishing periode. Molecualr Biology Reports. 38:4469-4474.</w:t>
      </w:r>
    </w:p>
    <w:p>
      <w:pPr>
        <w:spacing w:line="276" w:lineRule="auto" w:before="1"/>
        <w:ind w:left="920" w:right="109" w:hanging="281"/>
        <w:jc w:val="both"/>
        <w:rPr>
          <w:sz w:val="22"/>
        </w:rPr>
      </w:pPr>
      <w:r>
        <w:rPr>
          <w:sz w:val="22"/>
        </w:rPr>
        <w:t>Guerrreo, L. I., Ponce, A. E. y Pérez, M. L. (2002). Curso práctico de tecnología de carnes y pescado. Universidad Metropolitana. Unidad Iztapalapa. D.F. México. Pag. 171.</w:t>
      </w:r>
    </w:p>
    <w:p>
      <w:pPr>
        <w:spacing w:line="276" w:lineRule="auto" w:before="1"/>
        <w:ind w:left="920" w:right="111" w:hanging="281"/>
        <w:jc w:val="both"/>
        <w:rPr>
          <w:sz w:val="22"/>
        </w:rPr>
      </w:pPr>
      <w:r>
        <w:rPr>
          <w:sz w:val="22"/>
        </w:rPr>
        <w:t>Grijalva, H. M. I., Ballesteros, V. M. N., Cabrera, P. R. M. (2001). Contenido de cromo en alimentos y estimación de su ingestión dietaria en el Noroeste de México. Archivos Latinoamericanos de Nutrición. 51(1): 105-110.</w:t>
      </w:r>
    </w:p>
    <w:p>
      <w:pPr>
        <w:spacing w:line="276" w:lineRule="auto" w:before="1"/>
        <w:ind w:left="920" w:right="113" w:hanging="281"/>
        <w:jc w:val="both"/>
        <w:rPr>
          <w:sz w:val="22"/>
        </w:rPr>
      </w:pPr>
      <w:r>
        <w:rPr>
          <w:sz w:val="22"/>
        </w:rPr>
        <w:t>Hamm R. (1986). Functional properties of the myofibrilar system and their measurements. En: Muscle as food. (Bechtel, P.J.), Academic Press, Orlando. pp. 135-199.</w:t>
      </w:r>
    </w:p>
    <w:p>
      <w:pPr>
        <w:spacing w:line="276" w:lineRule="auto" w:before="3"/>
        <w:ind w:left="920" w:right="111" w:hanging="281"/>
        <w:jc w:val="both"/>
        <w:rPr>
          <w:sz w:val="22"/>
        </w:rPr>
      </w:pPr>
      <w:r>
        <w:rPr>
          <w:sz w:val="22"/>
        </w:rPr>
        <w:t>Heinze, P. H., Smitt, M. C., Naude, R. T., y Boccadr, R. L. (1986). Influence of breed and age on collagen content and solubility of some ovine and goat muscle. In 32nd European Meeting of meat research workers proceeding., hent-Belgium.</w:t>
      </w:r>
    </w:p>
    <w:p>
      <w:pPr>
        <w:spacing w:line="276" w:lineRule="auto" w:before="1"/>
        <w:ind w:left="920" w:right="113" w:hanging="281"/>
        <w:jc w:val="both"/>
        <w:rPr>
          <w:sz w:val="22"/>
        </w:rPr>
      </w:pPr>
      <w:r>
        <w:rPr>
          <w:sz w:val="22"/>
        </w:rPr>
        <w:t>Herdt, T. H. (1988). Fuel homeostasis in the ruminant. Veterinary Clinics of North America Food Animal Practice 4:21.</w:t>
      </w:r>
    </w:p>
    <w:p>
      <w:pPr>
        <w:spacing w:line="276" w:lineRule="auto" w:before="3"/>
        <w:ind w:left="920" w:right="109" w:hanging="281"/>
        <w:jc w:val="both"/>
        <w:rPr>
          <w:sz w:val="22"/>
        </w:rPr>
      </w:pPr>
      <w:r>
        <w:rPr>
          <w:sz w:val="22"/>
        </w:rPr>
        <w:t>Herring, H. K., Cassens, R. G., Suess, G. G., Brungardt, V. H., y Briskey, E. J. (1967) Tenderness and associated characteristics of stretched and contracted bovine muscles. J. Food Sci. 32:317.</w:t>
      </w:r>
    </w:p>
    <w:p>
      <w:pPr>
        <w:spacing w:line="278" w:lineRule="auto" w:before="1"/>
        <w:ind w:left="920" w:right="114" w:hanging="281"/>
        <w:jc w:val="both"/>
        <w:rPr>
          <w:sz w:val="22"/>
        </w:rPr>
      </w:pPr>
      <w:r>
        <w:rPr>
          <w:sz w:val="22"/>
        </w:rPr>
        <w:t>Hill, F. (1966). The solubility of intramuscular collagen in meat animals of various ages. J. Food Sci., 31, 161-166.</w:t>
      </w:r>
    </w:p>
    <w:p>
      <w:pPr>
        <w:spacing w:line="276" w:lineRule="auto" w:before="0"/>
        <w:ind w:left="920" w:right="106" w:hanging="281"/>
        <w:jc w:val="both"/>
        <w:rPr>
          <w:sz w:val="22"/>
        </w:rPr>
      </w:pPr>
      <w:r>
        <w:rPr>
          <w:sz w:val="22"/>
        </w:rPr>
        <w:t>Hoffmann K. (1990). Definition and measurement of meat quality. Proc. 36th ICoMST. La Habana, Cuba. pp. 941-954.</w:t>
      </w:r>
    </w:p>
    <w:p>
      <w:pPr>
        <w:spacing w:line="276" w:lineRule="auto" w:before="1"/>
        <w:ind w:left="920" w:right="110" w:hanging="281"/>
        <w:jc w:val="both"/>
        <w:rPr>
          <w:sz w:val="22"/>
        </w:rPr>
      </w:pPr>
      <w:r>
        <w:rPr>
          <w:sz w:val="22"/>
        </w:rPr>
        <w:t>Holownia, K., Chinnan, M. S., Reynolds, A. E. y Koehler, P. E. (2003). Evaluation on induced color changes in chicken breast during simulation of pink color defects. Poultry Science. 82_1049-1059.</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2" w:hanging="281"/>
        <w:jc w:val="both"/>
        <w:rPr>
          <w:sz w:val="22"/>
        </w:rPr>
      </w:pPr>
      <w:r>
        <w:rPr>
          <w:sz w:val="22"/>
        </w:rPr>
        <w:t>Honikel K. O. (1997). Reference methods supported by OECD and their use in Mediterranean meat products. Food Chemistry. 9:573-582.</w:t>
      </w:r>
    </w:p>
    <w:p>
      <w:pPr>
        <w:spacing w:line="276" w:lineRule="auto" w:before="1"/>
        <w:ind w:left="920" w:right="113" w:hanging="281"/>
        <w:jc w:val="both"/>
        <w:rPr>
          <w:sz w:val="22"/>
        </w:rPr>
      </w:pPr>
      <w:r>
        <w:rPr>
          <w:sz w:val="22"/>
        </w:rPr>
        <w:t>Honikel K. O. (1998). Reference Methods for the assessment of physical characteristics of meat. Meat Science 49 (4). pp. 447-457.</w:t>
      </w:r>
    </w:p>
    <w:p>
      <w:pPr>
        <w:spacing w:line="276" w:lineRule="auto" w:before="3"/>
        <w:ind w:left="920" w:right="110" w:hanging="281"/>
        <w:jc w:val="both"/>
        <w:rPr>
          <w:sz w:val="22"/>
        </w:rPr>
      </w:pPr>
      <w:r>
        <w:rPr>
          <w:sz w:val="22"/>
        </w:rPr>
        <w:t>Hong, Z. S., Jim, M. G., Han, S. Y., Lee, H. G. and Choi, Y. J. (2002). Effects of chromium picolinate on growth performance, carcass characteristics and plasma components in Holstein bulls. Journal of Animal Science and Technology. 44:419-426.</w:t>
      </w:r>
    </w:p>
    <w:p>
      <w:pPr>
        <w:spacing w:line="276" w:lineRule="auto" w:before="1"/>
        <w:ind w:left="639" w:right="105" w:hanging="7"/>
        <w:jc w:val="center"/>
        <w:rPr>
          <w:sz w:val="22"/>
        </w:rPr>
      </w:pPr>
      <w:r>
        <w:rPr>
          <w:sz w:val="22"/>
        </w:rPr>
        <w:t>Hunt, C. D., Stoecker, B. J. (1996). Deliverations and evaluations of the approaches, endpoints and paradigms of boron, chromium and fluoride dietary recommendations. J. Nutr.126:9S Ingraham, R. H. and Kappel, L. C. (1988). Metabolic profile testing. Veterinary Clinics of</w:t>
      </w:r>
    </w:p>
    <w:p>
      <w:pPr>
        <w:spacing w:before="1"/>
        <w:ind w:left="920" w:right="0" w:firstLine="0"/>
        <w:jc w:val="left"/>
        <w:rPr>
          <w:sz w:val="22"/>
        </w:rPr>
      </w:pPr>
      <w:r>
        <w:rPr>
          <w:sz w:val="22"/>
        </w:rPr>
        <w:t>North America Food Animal Practice.4:391.</w:t>
      </w:r>
    </w:p>
    <w:p>
      <w:pPr>
        <w:spacing w:line="276" w:lineRule="auto" w:before="38"/>
        <w:ind w:left="920" w:right="110" w:hanging="281"/>
        <w:jc w:val="both"/>
        <w:rPr>
          <w:sz w:val="22"/>
        </w:rPr>
      </w:pPr>
      <w:r>
        <w:rPr>
          <w:sz w:val="22"/>
        </w:rPr>
        <w:t>Jackson, A. R., Powell, S., Johnston, S. L., Matthews, J. O., Bidner, T. D., Valdez, F. R, Southern, L. L. (2009). The effect of chromium as chromium propionate on growth performance, carcass traits, meat quality, and the fatty acid profile of fat from pigs fed no supplemented dietary fat, choice white grease, or tallow. J. Anim. Sci. 87:4032-4041.</w:t>
      </w:r>
    </w:p>
    <w:p>
      <w:pPr>
        <w:spacing w:line="276" w:lineRule="auto" w:before="1"/>
        <w:ind w:left="920" w:right="105" w:hanging="281"/>
        <w:jc w:val="both"/>
        <w:rPr>
          <w:sz w:val="22"/>
        </w:rPr>
      </w:pPr>
      <w:r>
        <w:rPr>
          <w:sz w:val="22"/>
        </w:rPr>
        <w:t>Jeejebhoy, K. N., Chu, R. C., Marliss, E. B., Greenberg, G. R., Bruce-Robertson, A. (1977). Chromium deficiency, glucose intolerance and neuropathy reversed by chromium supplementation in a patient receiving longterm total parenteral nutrition. Am. J. Clin. Nutr. 30, 351-358.</w:t>
      </w:r>
    </w:p>
    <w:p>
      <w:pPr>
        <w:spacing w:line="276" w:lineRule="auto" w:before="1"/>
        <w:ind w:left="920" w:right="111" w:hanging="281"/>
        <w:jc w:val="both"/>
        <w:rPr>
          <w:sz w:val="22"/>
        </w:rPr>
      </w:pPr>
      <w:r>
        <w:rPr>
          <w:sz w:val="22"/>
        </w:rPr>
        <w:t>Juárez, B. F. (2006). Efecto de diferentes niveles de metionina de cromo en lípidos séricos, función renal, respuesta productive y carcaterísticas de canal en ovinos. Tesis Doctoral. Facultad de Medicina Veterinaria y Zootecnia. Universidad de Colima. Tecomán, Colima. México.</w:t>
      </w:r>
    </w:p>
    <w:p>
      <w:pPr>
        <w:spacing w:before="1"/>
        <w:ind w:left="639" w:right="0" w:firstLine="0"/>
        <w:jc w:val="left"/>
        <w:rPr>
          <w:sz w:val="22"/>
        </w:rPr>
      </w:pPr>
      <w:r>
        <w:rPr>
          <w:sz w:val="22"/>
        </w:rPr>
        <w:t>Juturu, V. y Komorowski, J. R. (2002). Chromium: a systematic overview and metaanalysis.</w:t>
      </w:r>
    </w:p>
    <w:p>
      <w:pPr>
        <w:spacing w:before="37"/>
        <w:ind w:left="920" w:right="0" w:firstLine="0"/>
        <w:jc w:val="left"/>
        <w:rPr>
          <w:sz w:val="22"/>
        </w:rPr>
      </w:pPr>
      <w:r>
        <w:rPr>
          <w:sz w:val="22"/>
        </w:rPr>
        <w:t>Diabetes. 51(S2):A488.</w:t>
      </w:r>
    </w:p>
    <w:p>
      <w:pPr>
        <w:spacing w:line="276" w:lineRule="auto" w:before="37"/>
        <w:ind w:left="920" w:right="108" w:hanging="281"/>
        <w:jc w:val="both"/>
        <w:rPr>
          <w:sz w:val="22"/>
        </w:rPr>
      </w:pPr>
      <w:r>
        <w:rPr>
          <w:sz w:val="22"/>
        </w:rPr>
        <w:t>Karlsson, A., Enfalt, A. C., Essen-Gustavsson, B., Lundstrom, K., Rydhmer, L., and Stern, S. (1993). Muscle histochemical and biochemical-properties in relation to meat quality during selection for increased lean tissue-growth rate in pigs. J. of Anim. Sci. 71:930−938.</w:t>
      </w:r>
    </w:p>
    <w:p>
      <w:pPr>
        <w:spacing w:line="276" w:lineRule="auto" w:before="1"/>
        <w:ind w:left="920" w:right="110" w:hanging="281"/>
        <w:jc w:val="both"/>
        <w:rPr>
          <w:sz w:val="22"/>
        </w:rPr>
      </w:pPr>
      <w:r>
        <w:rPr>
          <w:sz w:val="22"/>
        </w:rPr>
        <w:t>Karlsson, A. H., Klont, R. E., and Fernandez, X. (1999). Skeletal muscle fibers factors for pork quality.  Livestock Prod. Sci. 60:255-269.</w:t>
      </w:r>
    </w:p>
    <w:p>
      <w:pPr>
        <w:spacing w:line="276" w:lineRule="auto" w:before="1"/>
        <w:ind w:left="920" w:right="102" w:hanging="281"/>
        <w:jc w:val="both"/>
        <w:rPr>
          <w:sz w:val="22"/>
        </w:rPr>
      </w:pPr>
      <w:r>
        <w:rPr>
          <w:sz w:val="22"/>
        </w:rPr>
        <w:t>Kegley, E. B., Galloway, D, L., and Fakler, T. M. (2000). Effect of dietary chromium-L- methionine on glucose metabolism of beef steers. Journal of Animal Science. 78:3177- 3183.</w:t>
      </w:r>
    </w:p>
    <w:p>
      <w:pPr>
        <w:spacing w:line="276" w:lineRule="auto" w:before="1"/>
        <w:ind w:left="920" w:right="107" w:hanging="281"/>
        <w:jc w:val="both"/>
        <w:rPr>
          <w:sz w:val="22"/>
        </w:rPr>
      </w:pPr>
      <w:r>
        <w:rPr>
          <w:sz w:val="22"/>
        </w:rPr>
        <w:t>Kegley, E. B., Spears, J. W. and Brown, T. T. Jr. (1997). Effect of Shipping and Chromium Supplementation on Performance, Immune Response, and Disease Resistance of Steers. Journal of Animal Science. 75:1956-1964.</w:t>
      </w:r>
    </w:p>
    <w:p>
      <w:pPr>
        <w:spacing w:line="276" w:lineRule="auto" w:before="1"/>
        <w:ind w:left="920" w:right="111" w:hanging="281"/>
        <w:jc w:val="both"/>
        <w:rPr>
          <w:sz w:val="22"/>
        </w:rPr>
      </w:pPr>
      <w:r>
        <w:rPr>
          <w:sz w:val="22"/>
        </w:rPr>
        <w:t>Kim, Y. H., Han, I. K., Choi, Y. J., Shin, I. S., Chae, B. J. and Kang, T. H. (1996). Effects of dietary levels of chromium picolinate on growth performance carcass quality and serum traits in broilers chicks. Asian-Australas J. Anim. Sci. 9:341-347.</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2" w:hanging="281"/>
        <w:jc w:val="both"/>
        <w:rPr>
          <w:sz w:val="22"/>
        </w:rPr>
      </w:pPr>
      <w:r>
        <w:rPr>
          <w:sz w:val="22"/>
        </w:rPr>
        <w:t>Kitchalong, L., Fernandez, J. M., Bunting, L. D., Southern, L. L and Bidner, T. D. (1995). Influence of chromium tripicolinate on glucose metabolism and nutrient partitioning in growing lambs. Journal of Animal Science. 73:2694-2705.</w:t>
      </w:r>
    </w:p>
    <w:p>
      <w:pPr>
        <w:spacing w:line="276" w:lineRule="auto" w:before="1"/>
        <w:ind w:left="920" w:right="105" w:hanging="281"/>
        <w:jc w:val="both"/>
        <w:rPr>
          <w:sz w:val="22"/>
        </w:rPr>
      </w:pPr>
      <w:r>
        <w:rPr>
          <w:sz w:val="22"/>
        </w:rPr>
        <w:t>Kraidess, M. S., Al-Haidary, I. A., Mufarrej, S. I., Al-Saiady, M. Y., Metwally, H. M. and Hussein, M. S. (2009). Effects of supplemental chromium levels on performance, digestibility and carcass characteristics of transport –stressed lambs. Asian-Australasian Journal of Animal Science. 22:8, 338 1124-1132.</w:t>
      </w:r>
    </w:p>
    <w:p>
      <w:pPr>
        <w:spacing w:line="278" w:lineRule="auto" w:before="1"/>
        <w:ind w:left="920" w:right="112" w:hanging="281"/>
        <w:jc w:val="both"/>
        <w:rPr>
          <w:sz w:val="22"/>
        </w:rPr>
      </w:pPr>
      <w:r>
        <w:rPr>
          <w:sz w:val="22"/>
        </w:rPr>
        <w:t>Kreider, R. B. (1999). Dietary supplements and the promotion of muscle growth with resistance exercise. Sports</w:t>
      </w:r>
      <w:r>
        <w:rPr>
          <w:spacing w:val="-9"/>
          <w:sz w:val="22"/>
        </w:rPr>
        <w:t> </w:t>
      </w:r>
      <w:r>
        <w:rPr>
          <w:sz w:val="22"/>
        </w:rPr>
        <w:t>Medicine.27:97-110.</w:t>
      </w:r>
    </w:p>
    <w:p>
      <w:pPr>
        <w:spacing w:line="251" w:lineRule="exact" w:before="0"/>
        <w:ind w:left="639" w:right="0" w:firstLine="0"/>
        <w:jc w:val="left"/>
        <w:rPr>
          <w:sz w:val="22"/>
        </w:rPr>
      </w:pPr>
      <w:r>
        <w:rPr>
          <w:sz w:val="22"/>
        </w:rPr>
        <w:t>Kramer, A. (1994). Use  of  color  measurements  in quality control  of  food. Food     Technol.</w:t>
      </w:r>
    </w:p>
    <w:p>
      <w:pPr>
        <w:spacing w:before="37"/>
        <w:ind w:left="920" w:right="0" w:firstLine="0"/>
        <w:jc w:val="both"/>
        <w:rPr>
          <w:sz w:val="22"/>
        </w:rPr>
      </w:pPr>
      <w:r>
        <w:rPr>
          <w:sz w:val="22"/>
        </w:rPr>
        <w:t>48(0):63-71.</w:t>
      </w:r>
    </w:p>
    <w:p>
      <w:pPr>
        <w:spacing w:line="276" w:lineRule="auto" w:before="38"/>
        <w:ind w:left="920" w:right="110" w:hanging="281"/>
        <w:jc w:val="both"/>
        <w:rPr>
          <w:sz w:val="22"/>
        </w:rPr>
      </w:pPr>
      <w:r>
        <w:rPr>
          <w:sz w:val="22"/>
        </w:rPr>
        <w:t>Klont, R. E., Brocks, L. and Eikelenboom, G. (1998). Muscle fiber type and meat quality. Meat Sci. Vol 49, Nº Suppl: I S219-S229.</w:t>
      </w:r>
    </w:p>
    <w:p>
      <w:pPr>
        <w:spacing w:line="276" w:lineRule="auto" w:before="3"/>
        <w:ind w:left="920" w:right="108" w:hanging="281"/>
        <w:jc w:val="both"/>
        <w:rPr>
          <w:sz w:val="22"/>
        </w:rPr>
      </w:pPr>
      <w:r>
        <w:rPr>
          <w:sz w:val="22"/>
        </w:rPr>
        <w:t>Koohmaraie, M. (1992) Muscle proteinases and meat aging. In 38th International Congress of Meat Science and Technology. Clermont-Ferrand. France. Proc. 1:61.</w:t>
      </w:r>
    </w:p>
    <w:p>
      <w:pPr>
        <w:spacing w:line="276" w:lineRule="auto" w:before="1"/>
        <w:ind w:left="920" w:right="109" w:hanging="281"/>
        <w:jc w:val="both"/>
        <w:rPr>
          <w:sz w:val="22"/>
        </w:rPr>
      </w:pPr>
      <w:r>
        <w:rPr>
          <w:sz w:val="22"/>
        </w:rPr>
        <w:t>Lambertini, L., Vignola, G., Beone, G.M., Zaghini, G. and Formigonia, A. (2004). Effects of chromium yeast supplementation on growth performance and meat quality in rabbits. World Rabit Science. 12:33-47.</w:t>
      </w:r>
    </w:p>
    <w:p>
      <w:pPr>
        <w:spacing w:line="276" w:lineRule="auto" w:before="1"/>
        <w:ind w:left="920" w:right="113" w:hanging="281"/>
        <w:jc w:val="both"/>
        <w:rPr>
          <w:sz w:val="22"/>
        </w:rPr>
      </w:pPr>
      <w:r>
        <w:rPr>
          <w:sz w:val="22"/>
        </w:rPr>
        <w:t>Langwinsky, D., y Patino, H. O. (2002). A Nutrição de ruminantes e os complexos orgânicos de minerais. Tortuga. p.</w:t>
      </w:r>
      <w:r>
        <w:rPr>
          <w:spacing w:val="-6"/>
          <w:sz w:val="22"/>
        </w:rPr>
        <w:t> </w:t>
      </w:r>
      <w:r>
        <w:rPr>
          <w:sz w:val="22"/>
        </w:rPr>
        <w:t>52.</w:t>
      </w:r>
    </w:p>
    <w:p>
      <w:pPr>
        <w:spacing w:before="1"/>
        <w:ind w:left="639" w:right="0" w:firstLine="0"/>
        <w:jc w:val="left"/>
        <w:rPr>
          <w:sz w:val="22"/>
        </w:rPr>
      </w:pPr>
      <w:r>
        <w:rPr>
          <w:sz w:val="22"/>
        </w:rPr>
        <w:t>Larzul, C., Lefacheur, L., Ecolan, P., Gogué, J., Talmant, A., Sellier, P., Le Roy, P. and Monin,</w:t>
      </w:r>
    </w:p>
    <w:p>
      <w:pPr>
        <w:spacing w:line="276" w:lineRule="auto" w:before="37"/>
        <w:ind w:left="920" w:right="112" w:firstLine="0"/>
        <w:jc w:val="both"/>
        <w:rPr>
          <w:sz w:val="22"/>
        </w:rPr>
      </w:pPr>
      <w:r>
        <w:rPr>
          <w:sz w:val="22"/>
        </w:rPr>
        <w:t>G. (1997). Phenotypic and genetic parameters for longissimus muscle fiber characteristics  in relation to growth, carcass, and meat quality traits in Large White Pigs. J. Anim. Sci. 75:3126-3137.</w:t>
      </w:r>
    </w:p>
    <w:p>
      <w:pPr>
        <w:spacing w:line="276" w:lineRule="auto" w:before="1"/>
        <w:ind w:left="920" w:right="110" w:hanging="281"/>
        <w:jc w:val="both"/>
        <w:rPr>
          <w:sz w:val="22"/>
        </w:rPr>
      </w:pPr>
      <w:r>
        <w:rPr>
          <w:sz w:val="22"/>
        </w:rPr>
        <w:t>Latorre, R., Gil., F., Vázquez, J.M., Moreno, F., Mascarello, F. y Ramírez, G. (1993). Skeletal muscle fiber types in the dog. J. Anatomi. 182: 329-337.</w:t>
      </w:r>
    </w:p>
    <w:p>
      <w:pPr>
        <w:spacing w:before="3"/>
        <w:ind w:left="639" w:right="0" w:firstLine="0"/>
        <w:jc w:val="left"/>
        <w:rPr>
          <w:sz w:val="22"/>
        </w:rPr>
      </w:pPr>
      <w:r>
        <w:rPr>
          <w:sz w:val="22"/>
        </w:rPr>
        <w:t>Lawrie R. A. 1998. Glucólisis postmortem. En: Ciencia de la carne. Ed. Acribia S.A. Zaragoza.</w:t>
      </w:r>
    </w:p>
    <w:p>
      <w:pPr>
        <w:spacing w:before="37"/>
        <w:ind w:left="920" w:right="0" w:firstLine="0"/>
        <w:jc w:val="both"/>
        <w:rPr>
          <w:sz w:val="22"/>
        </w:rPr>
      </w:pPr>
      <w:r>
        <w:rPr>
          <w:sz w:val="22"/>
        </w:rPr>
        <w:t>España. pp. 77-79.</w:t>
      </w:r>
    </w:p>
    <w:p>
      <w:pPr>
        <w:spacing w:line="276" w:lineRule="auto" w:before="37"/>
        <w:ind w:left="920" w:right="110" w:hanging="281"/>
        <w:jc w:val="both"/>
        <w:rPr>
          <w:sz w:val="22"/>
        </w:rPr>
      </w:pPr>
      <w:r>
        <w:rPr>
          <w:sz w:val="22"/>
        </w:rPr>
        <w:t>Lebret, B., Lefaucheur, L. and Mourot, J. (1999). La qualité de la viande de porc. Influence des facteurs d’ èlevage non génétiques sur les caractéristiques du tisu musculaire. INRA Prod. Anim. 22(1): 11-28.</w:t>
      </w:r>
    </w:p>
    <w:p>
      <w:pPr>
        <w:spacing w:before="3"/>
        <w:ind w:left="639" w:right="0" w:firstLine="0"/>
        <w:jc w:val="left"/>
        <w:rPr>
          <w:sz w:val="22"/>
        </w:rPr>
      </w:pPr>
      <w:r>
        <w:rPr>
          <w:sz w:val="22"/>
        </w:rPr>
        <w:t>Lefaucheur, L. (1989). Les differents types de fibres musculaires chez le porc. INRA. Prod.</w:t>
      </w:r>
    </w:p>
    <w:p>
      <w:pPr>
        <w:spacing w:before="37"/>
        <w:ind w:left="920" w:right="0" w:firstLine="0"/>
        <w:jc w:val="both"/>
        <w:rPr>
          <w:sz w:val="22"/>
        </w:rPr>
      </w:pPr>
      <w:r>
        <w:rPr>
          <w:sz w:val="22"/>
        </w:rPr>
        <w:t>Anim. (Francia). 2(3): 205-213.</w:t>
      </w:r>
    </w:p>
    <w:p>
      <w:pPr>
        <w:spacing w:line="276" w:lineRule="auto" w:before="37"/>
        <w:ind w:left="920" w:right="114" w:hanging="281"/>
        <w:jc w:val="both"/>
        <w:rPr>
          <w:sz w:val="22"/>
        </w:rPr>
      </w:pPr>
      <w:r>
        <w:rPr>
          <w:sz w:val="22"/>
        </w:rPr>
        <w:t>Lin, K. C., Cross, H. R., Johnson, H. K., Breidenstein, B. C., Ono, K. (1998). Nutrient Composition of US and New Zeland lamb. J. Food. Comp. Anal. 1:166-167.</w:t>
      </w:r>
    </w:p>
    <w:p>
      <w:pPr>
        <w:spacing w:line="276" w:lineRule="auto" w:before="4"/>
        <w:ind w:left="920" w:right="106" w:hanging="281"/>
        <w:jc w:val="both"/>
        <w:rPr>
          <w:sz w:val="22"/>
        </w:rPr>
      </w:pPr>
      <w:r>
        <w:rPr>
          <w:sz w:val="22"/>
        </w:rPr>
        <w:t>Lien, T. F., Horng, Y. M. and Yang, K. H. (1999). Performance, serum characteristics, carcass traits and lipid metabolism of broilers as affected by supplementation of chromium picolinate. Br. Poult. Sci. 40:357-363. Lien, T.F., Wu, C.P., Wang, B.J., Shiao, M.S., Shiao, T.Y., Lin, B.H., Lu, J.J. and Hu, C.Y. (2001). Effects of supplemental level of chromium picolinate on the growth performance, serum traits, carcass characteristics and lipid metabolism of growing-finishing pigs. Animal Science. 72: 289-296.</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487" w:right="108" w:firstLine="0"/>
        <w:jc w:val="right"/>
        <w:rPr>
          <w:sz w:val="22"/>
        </w:rPr>
      </w:pPr>
      <w:r>
        <w:rPr>
          <w:sz w:val="22"/>
        </w:rPr>
        <w:t>Linschneer, W. G. y Vergroesen, A. J. (1988). Lipid digestion and metabolism. In: Modern</w:t>
      </w:r>
      <w:r>
        <w:rPr>
          <w:w w:val="100"/>
          <w:sz w:val="22"/>
        </w:rPr>
        <w:t> </w:t>
      </w:r>
      <w:r>
        <w:rPr>
          <w:sz w:val="22"/>
        </w:rPr>
        <w:t>Nutrition in Health and Disease. V. Young y M. Shills (Eds). Lea and Fediger, Philadelphia.</w:t>
      </w:r>
      <w:r>
        <w:rPr>
          <w:w w:val="100"/>
          <w:sz w:val="22"/>
        </w:rPr>
        <w:t> </w:t>
      </w:r>
      <w:r>
        <w:rPr>
          <w:sz w:val="22"/>
        </w:rPr>
        <w:t>Lien, T. F., Wu, C. P., Wang, B.J., Shiao. M. S., Shiao, T. Y., Lin, B.H., Lu, J. J. Hu, C. Y.</w:t>
      </w:r>
    </w:p>
    <w:p>
      <w:pPr>
        <w:spacing w:line="276" w:lineRule="auto" w:before="1"/>
        <w:ind w:left="920" w:right="104" w:firstLine="0"/>
        <w:jc w:val="both"/>
        <w:rPr>
          <w:sz w:val="22"/>
        </w:rPr>
      </w:pPr>
      <w:r>
        <w:rPr>
          <w:sz w:val="22"/>
        </w:rPr>
        <w:t>(2001). Effect of supplemental levels of chromium picolinate on the growth performance, serum traits, carcass characteristics and lipid metabolism of growing-finishing pigs. Anim Sci. 72:289-296.</w:t>
      </w:r>
    </w:p>
    <w:p>
      <w:pPr>
        <w:spacing w:line="276" w:lineRule="auto" w:before="1"/>
        <w:ind w:left="920" w:right="102" w:hanging="281"/>
        <w:jc w:val="both"/>
        <w:rPr>
          <w:sz w:val="22"/>
        </w:rPr>
      </w:pPr>
      <w:r>
        <w:rPr>
          <w:sz w:val="22"/>
        </w:rPr>
        <w:t>Lindemann, M. D., Wood, C. M., Harper, A. F., Kornegay, E. T., Anderson, R. A. (1995). Dietary chromium picolinate additions improve gain: feed and carcass characteristics in growing-finishing pigs and increase litter size in reproducing sows. J. Anim. Sci.73:457- 465</w:t>
      </w:r>
    </w:p>
    <w:p>
      <w:pPr>
        <w:spacing w:line="276" w:lineRule="auto" w:before="1"/>
        <w:ind w:left="920" w:right="107" w:hanging="281"/>
        <w:jc w:val="both"/>
        <w:rPr>
          <w:sz w:val="22"/>
        </w:rPr>
      </w:pPr>
      <w:r>
        <w:rPr>
          <w:sz w:val="22"/>
        </w:rPr>
        <w:t>Lindemann, M. D., Cromwell, G. L., Monegue, H. J. and Purser, K. W. (2008). Effect of chromium source on tissue concentration of chromium in pigs. Journal of Animal Science. 86:2971-2978.</w:t>
      </w:r>
    </w:p>
    <w:p>
      <w:pPr>
        <w:spacing w:before="3"/>
        <w:ind w:left="639" w:right="0" w:firstLine="0"/>
        <w:jc w:val="left"/>
        <w:rPr>
          <w:sz w:val="22"/>
        </w:rPr>
      </w:pPr>
      <w:r>
        <w:rPr>
          <w:sz w:val="22"/>
        </w:rPr>
        <w:t>Lister, D. (1980). Hormones, metabolism and growth. Reprod. Nutr. Develop. 20: 225-233.</w:t>
      </w:r>
    </w:p>
    <w:p>
      <w:pPr>
        <w:spacing w:line="276" w:lineRule="auto" w:before="37"/>
        <w:ind w:left="920" w:right="107" w:hanging="281"/>
        <w:jc w:val="both"/>
        <w:rPr>
          <w:sz w:val="22"/>
        </w:rPr>
      </w:pPr>
      <w:r>
        <w:rPr>
          <w:sz w:val="22"/>
        </w:rPr>
        <w:t>López, P. M. G., Rubio, L. MS., V´aldés, M. S.E. (2000). Efecto del cruzamiento, sexo y doeta en la composición química de la carne de ovinos Pelibuey con Rambouillet y Suffolk. Veterinaria méxico. 31(1): 11-19.</w:t>
      </w:r>
    </w:p>
    <w:p>
      <w:pPr>
        <w:spacing w:line="276" w:lineRule="auto" w:before="3"/>
        <w:ind w:left="920" w:right="108" w:hanging="281"/>
        <w:jc w:val="both"/>
        <w:rPr>
          <w:sz w:val="22"/>
        </w:rPr>
      </w:pPr>
      <w:r>
        <w:rPr>
          <w:sz w:val="22"/>
        </w:rPr>
        <w:t>Lukaski, H. C., Bolonchuc, W. W., Siders, W. A. and Milne, D. B. (1996). Chromium supplementation and resistence training: effects on body composition, strength and trace element status of men. American Journal of Clinical Nutrition. 63:954-965.</w:t>
      </w:r>
    </w:p>
    <w:p>
      <w:pPr>
        <w:spacing w:before="1"/>
        <w:ind w:left="639" w:right="0" w:firstLine="0"/>
        <w:jc w:val="left"/>
        <w:rPr>
          <w:sz w:val="22"/>
        </w:rPr>
      </w:pPr>
      <w:r>
        <w:rPr>
          <w:sz w:val="22"/>
        </w:rPr>
        <w:t>Lukaski, H. C. (1999). Chromium as a supplement. Annual Review of Nutrition. 19:279-302.</w:t>
      </w:r>
    </w:p>
    <w:p>
      <w:pPr>
        <w:spacing w:line="276" w:lineRule="auto" w:before="37"/>
        <w:ind w:left="920" w:right="108" w:hanging="281"/>
        <w:jc w:val="both"/>
        <w:rPr>
          <w:sz w:val="22"/>
        </w:rPr>
      </w:pPr>
      <w:r>
        <w:rPr>
          <w:sz w:val="22"/>
        </w:rPr>
        <w:t>Luseba, D. (2013). Effects of sodium selenite and chromium sulphate as metabolic modifiers on stress alleviation, performance and liver mineral contents of feedlot Bonsmara cross steers. African Journal of Agricultural research. 8(47): 6012-6020. DOI: 10.5897/AJAR11.2444.</w:t>
      </w:r>
    </w:p>
    <w:p>
      <w:pPr>
        <w:spacing w:line="276" w:lineRule="auto" w:before="1"/>
        <w:ind w:left="920" w:right="112" w:hanging="281"/>
        <w:jc w:val="both"/>
        <w:rPr>
          <w:sz w:val="22"/>
        </w:rPr>
      </w:pPr>
      <w:r>
        <w:rPr>
          <w:sz w:val="22"/>
        </w:rPr>
        <w:t>Maltin, C. A., Warkup, C. C., Matthews, K. R., Grant, C. M., Porter, A. D. and Delday, M. I. (1997). Pig muscle characteristics as a source of variation in eating quality. Meat Sci.47: 237-248.</w:t>
      </w:r>
    </w:p>
    <w:p>
      <w:pPr>
        <w:spacing w:line="276" w:lineRule="auto" w:before="1"/>
        <w:ind w:left="920" w:right="106" w:hanging="281"/>
        <w:jc w:val="both"/>
        <w:rPr>
          <w:sz w:val="22"/>
        </w:rPr>
      </w:pPr>
      <w:r>
        <w:rPr>
          <w:sz w:val="22"/>
        </w:rPr>
        <w:t>Mamani, L. yGallo, C. Perfil de ácidos grasos de carne de ovino y caballo criados bajo un sistema de producción extensiva. (2013). Rev Inv Vet Perú. 24(3): 257-263.</w:t>
      </w:r>
    </w:p>
    <w:p>
      <w:pPr>
        <w:spacing w:line="276" w:lineRule="auto" w:before="1"/>
        <w:ind w:left="920" w:right="107" w:hanging="281"/>
        <w:jc w:val="both"/>
        <w:rPr>
          <w:sz w:val="22"/>
        </w:rPr>
      </w:pPr>
      <w:r>
        <w:rPr>
          <w:sz w:val="22"/>
        </w:rPr>
        <w:t>Margetín, M., Apolen, D., Oravcová, M., Vavrisinová, K., Peskovicová, D., Luptáková, L., Krupová, Z., Bucko, O., Blascko, J. Fatty Acids Profile of Intramuscular Fat in  Light Lambs Traditionally and Artificially Reared. (2014). Journal of Central European Agriculture. 15(1):117-129.</w:t>
      </w:r>
    </w:p>
    <w:p>
      <w:pPr>
        <w:spacing w:before="1"/>
        <w:ind w:left="639" w:right="0" w:firstLine="0"/>
        <w:jc w:val="left"/>
        <w:rPr>
          <w:sz w:val="22"/>
        </w:rPr>
      </w:pPr>
      <w:r>
        <w:rPr>
          <w:sz w:val="22"/>
        </w:rPr>
        <w:t>Matthews, J. O., Higbie, A. D., Southern, L. L., Coombs, D. F., Bidner, T. D. and Odgaard,  R.</w:t>
      </w:r>
    </w:p>
    <w:p>
      <w:pPr>
        <w:spacing w:line="276" w:lineRule="auto" w:before="40"/>
        <w:ind w:left="920" w:right="109" w:firstLine="0"/>
        <w:jc w:val="both"/>
        <w:rPr>
          <w:sz w:val="22"/>
        </w:rPr>
      </w:pPr>
      <w:r>
        <w:rPr>
          <w:sz w:val="22"/>
        </w:rPr>
        <w:t>L. (2003). Effect of chromium propionate and metabolizable energy on growth, carcass traits, and pork quality of growing-finishing pigs. Journal of Animal Science 81:191-196</w:t>
      </w:r>
    </w:p>
    <w:p>
      <w:pPr>
        <w:spacing w:line="276" w:lineRule="auto" w:before="1"/>
        <w:ind w:left="920" w:right="112" w:hanging="281"/>
        <w:jc w:val="both"/>
        <w:rPr>
          <w:sz w:val="22"/>
        </w:rPr>
      </w:pPr>
      <w:r>
        <w:rPr>
          <w:sz w:val="22"/>
        </w:rPr>
        <w:t>McNamara J. P., Valdez F. (2005): Adipose tissue metabolism and production responses to calcium propionate and chromium propionate. Journal of Dairy Science. 88: 498–507.</w:t>
      </w:r>
    </w:p>
    <w:p>
      <w:pPr>
        <w:spacing w:before="1"/>
        <w:ind w:left="639" w:right="0" w:firstLine="0"/>
        <w:jc w:val="left"/>
        <w:rPr>
          <w:sz w:val="22"/>
        </w:rPr>
      </w:pPr>
      <w:r>
        <w:rPr>
          <w:sz w:val="22"/>
        </w:rPr>
        <w:t>McDowell,  L.  R.  (1992). Minerals  in  Animal  and Human  Nutrition.  Academic  Press  Inc.</w:t>
      </w:r>
    </w:p>
    <w:p>
      <w:pPr>
        <w:spacing w:before="40"/>
        <w:ind w:left="920" w:right="0" w:firstLine="0"/>
        <w:jc w:val="both"/>
        <w:rPr>
          <w:sz w:val="22"/>
        </w:rPr>
      </w:pPr>
      <w:r>
        <w:rPr>
          <w:sz w:val="22"/>
        </w:rPr>
        <w:t>Harcourt Brace Jovanovich Publishers, San Diego, CA.</w:t>
      </w:r>
    </w:p>
    <w:p>
      <w:pPr>
        <w:spacing w:after="0"/>
        <w:jc w:val="both"/>
        <w:rPr>
          <w:sz w:val="22"/>
        </w:rPr>
        <w:sectPr>
          <w:pgSz w:w="12240" w:h="15840"/>
          <w:pgMar w:header="1154" w:footer="1503" w:top="1620" w:bottom="1700" w:left="1660" w:right="1420"/>
        </w:sectPr>
      </w:pPr>
    </w:p>
    <w:p>
      <w:pPr>
        <w:pStyle w:val="BodyText"/>
        <w:spacing w:before="10"/>
        <w:rPr>
          <w:sz w:val="8"/>
        </w:rPr>
      </w:pPr>
    </w:p>
    <w:p>
      <w:pPr>
        <w:spacing w:before="72"/>
        <w:ind w:left="639" w:right="0" w:firstLine="0"/>
        <w:jc w:val="left"/>
        <w:rPr>
          <w:sz w:val="22"/>
        </w:rPr>
      </w:pPr>
      <w:r>
        <w:rPr>
          <w:sz w:val="22"/>
        </w:rPr>
        <w:t>Mertz, W. (1969). Chromium occurrence and function in biological    system. Am Physiol Soc.</w:t>
      </w:r>
    </w:p>
    <w:p>
      <w:pPr>
        <w:spacing w:before="37"/>
        <w:ind w:left="920" w:right="0" w:firstLine="0"/>
        <w:jc w:val="both"/>
        <w:rPr>
          <w:sz w:val="22"/>
        </w:rPr>
      </w:pPr>
      <w:r>
        <w:rPr>
          <w:sz w:val="22"/>
        </w:rPr>
        <w:t>49:163-239.</w:t>
      </w:r>
    </w:p>
    <w:p>
      <w:pPr>
        <w:spacing w:line="276" w:lineRule="auto" w:before="37"/>
        <w:ind w:left="920" w:right="112" w:hanging="281"/>
        <w:jc w:val="both"/>
        <w:rPr>
          <w:sz w:val="22"/>
        </w:rPr>
      </w:pPr>
      <w:r>
        <w:rPr>
          <w:sz w:val="22"/>
        </w:rPr>
        <w:t>Mertz, W. (1987). Trace Elements in Human and Animal Nutrition. 5a. Vol. 1,  Academic Press. Inc., USA. pp: 225-243</w:t>
      </w:r>
    </w:p>
    <w:p>
      <w:pPr>
        <w:spacing w:line="276" w:lineRule="auto" w:before="3"/>
        <w:ind w:left="487" w:right="108" w:firstLine="0"/>
        <w:jc w:val="right"/>
        <w:rPr>
          <w:sz w:val="22"/>
        </w:rPr>
      </w:pPr>
      <w:r>
        <w:rPr>
          <w:sz w:val="22"/>
        </w:rPr>
        <w:t>Mertz, W. (1993). Chromium in human nutrition: A review. Journal of Nutrition. 123:626-633.</w:t>
      </w:r>
      <w:r>
        <w:rPr>
          <w:w w:val="100"/>
          <w:sz w:val="22"/>
        </w:rPr>
        <w:t> </w:t>
      </w:r>
      <w:r>
        <w:rPr>
          <w:sz w:val="22"/>
        </w:rPr>
        <w:t>Miller, L. F., Judge, M. D., Diekeman, M. A. y Aarbele, E. D. (1989) Relationships among</w:t>
      </w:r>
      <w:r>
        <w:rPr>
          <w:w w:val="100"/>
          <w:sz w:val="22"/>
        </w:rPr>
        <w:t> </w:t>
      </w:r>
      <w:r>
        <w:rPr>
          <w:sz w:val="22"/>
        </w:rPr>
        <w:t>intramuscular collagen, serum hydroxyproline and serum testosterone in growing rams  and</w:t>
      </w:r>
    </w:p>
    <w:p>
      <w:pPr>
        <w:spacing w:before="1"/>
        <w:ind w:left="920" w:right="0" w:firstLine="0"/>
        <w:jc w:val="both"/>
        <w:rPr>
          <w:sz w:val="22"/>
        </w:rPr>
      </w:pPr>
      <w:r>
        <w:rPr>
          <w:sz w:val="22"/>
        </w:rPr>
        <w:t>wethers. J. Anim. Sci. 67:698.</w:t>
      </w:r>
    </w:p>
    <w:p>
      <w:pPr>
        <w:spacing w:line="276" w:lineRule="auto" w:before="40"/>
        <w:ind w:left="920" w:right="108" w:hanging="281"/>
        <w:jc w:val="both"/>
        <w:rPr>
          <w:sz w:val="22"/>
        </w:rPr>
      </w:pPr>
      <w:r>
        <w:rPr>
          <w:sz w:val="22"/>
        </w:rPr>
        <w:t>Miller, L. F., Jusge, M. D., Diekeman, M. A., R. E., H., y Arbele, E. D. (1989) Relationships among intramuscular collagen, serum hydroxyproline and serum testosterone in growing rams and wethers. J. Anim. Sci. 67: 698.</w:t>
      </w:r>
    </w:p>
    <w:p>
      <w:pPr>
        <w:spacing w:line="276" w:lineRule="auto" w:before="1"/>
        <w:ind w:left="920" w:right="112" w:hanging="281"/>
        <w:jc w:val="both"/>
        <w:rPr>
          <w:sz w:val="22"/>
        </w:rPr>
      </w:pPr>
      <w:r>
        <w:rPr>
          <w:sz w:val="22"/>
        </w:rPr>
        <w:t>Moonsie-Shageer, S. and Mowat, D. N. (1993). Effect of level of supplemental chromium on performance, serum constituents, and immune status of stressed feeder calves J. Anim. Sci. 71: 232-238.</w:t>
      </w:r>
    </w:p>
    <w:p>
      <w:pPr>
        <w:spacing w:line="276" w:lineRule="auto" w:before="1"/>
        <w:ind w:left="920" w:right="109" w:hanging="281"/>
        <w:jc w:val="both"/>
        <w:rPr>
          <w:sz w:val="22"/>
        </w:rPr>
      </w:pPr>
      <w:r>
        <w:rPr>
          <w:sz w:val="22"/>
        </w:rPr>
        <w:t>Mooney, K. W. y Cromwell, G. L. (1997). Efficacy of chromium picolinate and chromium chloride as potential carcass modifiers in swine. J. Anim. Sci. 75:2661-2671.</w:t>
      </w:r>
    </w:p>
    <w:p>
      <w:pPr>
        <w:spacing w:before="1"/>
        <w:ind w:left="639" w:right="0" w:firstLine="0"/>
        <w:jc w:val="left"/>
        <w:rPr>
          <w:sz w:val="22"/>
        </w:rPr>
      </w:pPr>
      <w:r>
        <w:rPr>
          <w:sz w:val="22"/>
        </w:rPr>
        <w:t>Moreno, C. L., Domínguez, V. I., Borquez, G. J. L., Sanchez, T. J., Pinos, R. J., Mariezcurrena,</w:t>
      </w:r>
    </w:p>
    <w:p>
      <w:pPr>
        <w:spacing w:line="276" w:lineRule="auto" w:before="40"/>
        <w:ind w:left="920" w:right="106" w:firstLine="0"/>
        <w:jc w:val="both"/>
        <w:rPr>
          <w:sz w:val="22"/>
        </w:rPr>
      </w:pPr>
      <w:r>
        <w:rPr>
          <w:sz w:val="22"/>
        </w:rPr>
        <w:t>B. A., Morales, A. E., Salem, A. F. (2014). Effects of Organic Chromium Supplementation to Finishing Lambs Diet on Growth Performance, Carcass Characteristics and Meat  Quality. Journal of Integrative Agriculture. Doi:</w:t>
      </w:r>
      <w:r>
        <w:rPr>
          <w:spacing w:val="-25"/>
          <w:sz w:val="22"/>
        </w:rPr>
        <w:t> </w:t>
      </w:r>
      <w:r>
        <w:rPr>
          <w:sz w:val="22"/>
        </w:rPr>
        <w:t>10.1016/S2095-3119(14)60835-2.</w:t>
      </w:r>
    </w:p>
    <w:p>
      <w:pPr>
        <w:spacing w:line="276" w:lineRule="auto" w:before="1"/>
        <w:ind w:left="920" w:right="106" w:hanging="281"/>
        <w:jc w:val="both"/>
        <w:rPr>
          <w:sz w:val="22"/>
        </w:rPr>
      </w:pPr>
      <w:r>
        <w:rPr>
          <w:sz w:val="22"/>
        </w:rPr>
        <w:t>Mondragón, J., Domínguez-Vara, I. A., Pinos-Rodríguez, J. M., González, M, Borquez, J. L., Domínguez, A. and Mejía, M. L. (2010). Effects of feed supplementation of zilpaterol hydrochloride on growth performance and carcass traits of finishing lamb. Acta. Agri. Scan-Anima. Sci. 60:1, 47-52.</w:t>
      </w:r>
    </w:p>
    <w:p>
      <w:pPr>
        <w:spacing w:line="276" w:lineRule="auto" w:before="1"/>
        <w:ind w:left="920" w:right="114" w:hanging="281"/>
        <w:jc w:val="both"/>
        <w:rPr>
          <w:sz w:val="22"/>
        </w:rPr>
      </w:pPr>
      <w:r>
        <w:rPr>
          <w:sz w:val="22"/>
        </w:rPr>
        <w:t>Mowat, D., Chang, N. X. and Yang, W. Z. (1993). Chelated chromium for stressed feeder calves. Canadian Journal of Animal Science. 73:49.</w:t>
      </w:r>
    </w:p>
    <w:p>
      <w:pPr>
        <w:spacing w:before="3"/>
        <w:ind w:left="639" w:right="0" w:firstLine="0"/>
        <w:jc w:val="left"/>
        <w:rPr>
          <w:sz w:val="22"/>
        </w:rPr>
      </w:pPr>
      <w:r>
        <w:rPr>
          <w:sz w:val="22"/>
        </w:rPr>
        <w:t>Mowat,  D.  N.  (1997).  Organic  chromium  in  animal  nutrition.  Chromium  Books. Guelph.</w:t>
      </w:r>
    </w:p>
    <w:p>
      <w:pPr>
        <w:spacing w:before="37"/>
        <w:ind w:left="920" w:right="0" w:firstLine="0"/>
        <w:jc w:val="both"/>
        <w:rPr>
          <w:sz w:val="22"/>
        </w:rPr>
      </w:pPr>
      <w:r>
        <w:rPr>
          <w:sz w:val="22"/>
        </w:rPr>
        <w:t>Canadá.</w:t>
      </w:r>
    </w:p>
    <w:p>
      <w:pPr>
        <w:spacing w:line="276" w:lineRule="auto" w:before="37"/>
        <w:ind w:left="920" w:right="114" w:hanging="281"/>
        <w:jc w:val="both"/>
        <w:rPr>
          <w:sz w:val="22"/>
        </w:rPr>
      </w:pPr>
      <w:r>
        <w:rPr>
          <w:sz w:val="22"/>
        </w:rPr>
        <w:t>Murray, A. C. (1989) Factors affecting beef colour at time of grading. Can. J. Anim. Sci., 69, 347-355.</w:t>
      </w:r>
    </w:p>
    <w:p>
      <w:pPr>
        <w:spacing w:before="1"/>
        <w:ind w:left="639" w:right="0" w:firstLine="0"/>
        <w:jc w:val="left"/>
        <w:rPr>
          <w:sz w:val="22"/>
        </w:rPr>
      </w:pPr>
      <w:r>
        <w:rPr>
          <w:sz w:val="22"/>
        </w:rPr>
        <w:t>Nielsen, F. H. (1984). Ultratrace elements in nutrition. Ann. Rev. Nutr. 4:21-41.</w:t>
      </w:r>
    </w:p>
    <w:p>
      <w:pPr>
        <w:spacing w:line="276" w:lineRule="auto" w:before="40"/>
        <w:ind w:left="920" w:right="112" w:hanging="281"/>
        <w:jc w:val="both"/>
        <w:rPr>
          <w:sz w:val="22"/>
        </w:rPr>
      </w:pPr>
      <w:r>
        <w:rPr>
          <w:sz w:val="22"/>
        </w:rPr>
        <w:t>Noori, K., Farhoomand, P. y Ebrahimzadeh, S. K. (2012). Effects of the chromium methionine supplementation on performance, serum metabolites and carcass traits in broiler chickens.  J. Anim. Sci. Adv. 2(2):</w:t>
      </w:r>
      <w:r>
        <w:rPr>
          <w:spacing w:val="-10"/>
          <w:sz w:val="22"/>
        </w:rPr>
        <w:t> </w:t>
      </w:r>
      <w:r>
        <w:rPr>
          <w:sz w:val="22"/>
        </w:rPr>
        <w:t>230-235.</w:t>
      </w:r>
    </w:p>
    <w:p>
      <w:pPr>
        <w:spacing w:line="278" w:lineRule="auto" w:before="1"/>
        <w:ind w:left="920" w:right="109" w:hanging="281"/>
        <w:jc w:val="both"/>
        <w:rPr>
          <w:sz w:val="22"/>
        </w:rPr>
      </w:pPr>
      <w:r>
        <w:rPr>
          <w:sz w:val="22"/>
        </w:rPr>
        <w:t>Norman, J. L., Berg, E. P., Hetmann, H. y Lorenzen, C. L. (2003). Pork loin relative to sensory and instrumental tenderness and consumer accptance. Meat Science. 65:927-933.</w:t>
      </w:r>
    </w:p>
    <w:p>
      <w:pPr>
        <w:spacing w:line="251" w:lineRule="exact" w:before="0"/>
        <w:ind w:left="639" w:right="0" w:firstLine="0"/>
        <w:jc w:val="left"/>
        <w:rPr>
          <w:sz w:val="22"/>
        </w:rPr>
      </w:pPr>
      <w:r>
        <w:rPr>
          <w:sz w:val="22"/>
        </w:rPr>
        <w:t>NOM-009-ZOO-1994. Proceso sanitario de la carne.</w:t>
      </w:r>
    </w:p>
    <w:p>
      <w:pPr>
        <w:spacing w:line="276" w:lineRule="auto" w:before="37"/>
        <w:ind w:left="639" w:right="929" w:firstLine="0"/>
        <w:jc w:val="left"/>
        <w:rPr>
          <w:sz w:val="22"/>
        </w:rPr>
      </w:pPr>
      <w:r>
        <w:rPr>
          <w:sz w:val="22"/>
        </w:rPr>
        <w:t>NOM-051-ZOO-1995. Cuidado humanitario de los animales durante la movilización. NOM-033-ZOO-1995. Sacrificio humanitario de los animales domésticos y silvestres.</w:t>
      </w:r>
    </w:p>
    <w:p>
      <w:pPr>
        <w:spacing w:line="278" w:lineRule="auto" w:before="1"/>
        <w:ind w:left="920" w:right="110" w:hanging="281"/>
        <w:jc w:val="both"/>
        <w:rPr>
          <w:sz w:val="22"/>
        </w:rPr>
      </w:pPr>
      <w:r>
        <w:rPr>
          <w:sz w:val="22"/>
        </w:rPr>
        <w:t>NRC. (2007). Nutrient Requirements of Small Ruminants: Sheep, goats, cervids, and New World camelids. National Academy Press. Washington, DC.</w:t>
      </w:r>
    </w:p>
    <w:p>
      <w:pPr>
        <w:spacing w:after="0" w:line="278"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4" w:hanging="281"/>
        <w:jc w:val="both"/>
        <w:rPr>
          <w:sz w:val="22"/>
        </w:rPr>
      </w:pPr>
      <w:r>
        <w:rPr>
          <w:sz w:val="22"/>
        </w:rPr>
        <w:t>Offenchaber, E. G. (1994). Promotion of chromium absorption by ascorbic acid. Trace Eleven Electrolytes. 11:178.</w:t>
      </w:r>
    </w:p>
    <w:p>
      <w:pPr>
        <w:spacing w:before="1"/>
        <w:ind w:left="639" w:right="0" w:firstLine="0"/>
        <w:jc w:val="left"/>
        <w:rPr>
          <w:sz w:val="22"/>
        </w:rPr>
      </w:pPr>
      <w:r>
        <w:rPr>
          <w:sz w:val="22"/>
        </w:rPr>
        <w:t>Offer G. y Knight P. (1988). The structural basis of water-holding in meat; Part 2: Drip Losses.</w:t>
      </w:r>
    </w:p>
    <w:p>
      <w:pPr>
        <w:spacing w:before="37"/>
        <w:ind w:left="920" w:right="0" w:firstLine="0"/>
        <w:jc w:val="left"/>
        <w:rPr>
          <w:sz w:val="22"/>
        </w:rPr>
      </w:pPr>
      <w:r>
        <w:rPr>
          <w:sz w:val="22"/>
        </w:rPr>
        <w:t>En: Developments in Meat Science 4, ed. R. Lawrie, p. 173-241. Elsevier, Oxford.</w:t>
      </w:r>
    </w:p>
    <w:p>
      <w:pPr>
        <w:spacing w:line="276" w:lineRule="auto" w:before="40"/>
        <w:ind w:left="920" w:right="110" w:hanging="281"/>
        <w:jc w:val="both"/>
        <w:rPr>
          <w:sz w:val="22"/>
        </w:rPr>
      </w:pPr>
      <w:r>
        <w:rPr>
          <w:sz w:val="22"/>
        </w:rPr>
        <w:t>Okada, S., Tanimaya, M., Ohba, H. (1982). Mode of enhancement in ribonucleic acid synthesis directed by chromium (III) bound deoxyribonucleic acid. Journal of Inorganic Biochemistry.</w:t>
      </w:r>
      <w:r>
        <w:rPr>
          <w:spacing w:val="-5"/>
          <w:sz w:val="22"/>
        </w:rPr>
        <w:t> </w:t>
      </w:r>
      <w:r>
        <w:rPr>
          <w:sz w:val="22"/>
        </w:rPr>
        <w:t>17:41-49.</w:t>
      </w:r>
    </w:p>
    <w:p>
      <w:pPr>
        <w:spacing w:line="278" w:lineRule="auto" w:before="1"/>
        <w:ind w:left="920" w:right="108" w:hanging="281"/>
        <w:jc w:val="both"/>
        <w:rPr>
          <w:sz w:val="22"/>
        </w:rPr>
      </w:pPr>
      <w:r>
        <w:rPr>
          <w:sz w:val="22"/>
        </w:rPr>
        <w:t>Okada, S., Susuki, M., Ohba, H. (1983). Enhancement of ribonucleica acid synthesi by chromium (III) in mouse liver. Journal of Inorganic Biochemistry. 19:95-103.</w:t>
      </w:r>
    </w:p>
    <w:p>
      <w:pPr>
        <w:spacing w:line="251" w:lineRule="exact" w:before="0"/>
        <w:ind w:left="639" w:right="0" w:firstLine="0"/>
        <w:jc w:val="left"/>
        <w:rPr>
          <w:sz w:val="22"/>
        </w:rPr>
      </w:pPr>
      <w:r>
        <w:rPr>
          <w:sz w:val="22"/>
        </w:rPr>
        <w:t>Okada S., Tsukada H., Tezuka M. (1989).  Effect of chromium (III) on nuclear RNA-synthesis.</w:t>
      </w:r>
    </w:p>
    <w:p>
      <w:pPr>
        <w:spacing w:before="37"/>
        <w:ind w:left="920" w:right="0" w:firstLine="0"/>
        <w:jc w:val="left"/>
        <w:rPr>
          <w:sz w:val="22"/>
        </w:rPr>
      </w:pPr>
      <w:r>
        <w:rPr>
          <w:sz w:val="22"/>
        </w:rPr>
        <w:t>Biological Trace Element Research, 21, 35–39.</w:t>
      </w:r>
    </w:p>
    <w:p>
      <w:pPr>
        <w:spacing w:line="276" w:lineRule="auto" w:before="38"/>
        <w:ind w:left="920" w:right="112" w:hanging="281"/>
        <w:jc w:val="both"/>
        <w:rPr>
          <w:sz w:val="22"/>
        </w:rPr>
      </w:pPr>
      <w:r>
        <w:rPr>
          <w:sz w:val="22"/>
        </w:rPr>
        <w:t>Olleta, J. L., Sañudo, C., Sierra, I. (1992). Producción de carne en la agrupación ovina Churra Tensina: Calidad de la canal y de la carne en los tipos ternasco y cordero de cebo. Archivos de Zootecnia. 41:197-208.</w:t>
      </w:r>
    </w:p>
    <w:p>
      <w:pPr>
        <w:spacing w:line="276" w:lineRule="auto" w:before="1"/>
        <w:ind w:left="920" w:right="109" w:hanging="281"/>
        <w:jc w:val="both"/>
        <w:rPr>
          <w:sz w:val="22"/>
        </w:rPr>
      </w:pPr>
      <w:r>
        <w:rPr>
          <w:sz w:val="22"/>
        </w:rPr>
        <w:t>Olsen, Q. R., Rule, D. C., Field, R. A., Snowder, G. D., and Hu, C. Y. (1996). Dietary chromium picolinate does not influence growth or carcass composition in feedlot lambs. Sheep and Goat Research Journal, 12, 22-24.</w:t>
      </w:r>
    </w:p>
    <w:p>
      <w:pPr>
        <w:spacing w:line="276" w:lineRule="auto" w:before="3"/>
        <w:ind w:left="920" w:right="105" w:hanging="281"/>
        <w:jc w:val="both"/>
        <w:rPr>
          <w:sz w:val="22"/>
        </w:rPr>
      </w:pPr>
      <w:r>
        <w:rPr>
          <w:sz w:val="22"/>
        </w:rPr>
        <w:t>Oliver M. A., Gispert, M., Tibau J. y Diestre A. (1991). The measurement of light scattering and electrical conductivity for the prediction of pig meat at various times postmortem. Meat Science. 29:141-151.</w:t>
      </w:r>
    </w:p>
    <w:p>
      <w:pPr>
        <w:spacing w:line="276" w:lineRule="auto" w:before="1"/>
        <w:ind w:left="920" w:right="112" w:hanging="281"/>
        <w:jc w:val="both"/>
        <w:rPr>
          <w:sz w:val="22"/>
        </w:rPr>
      </w:pPr>
      <w:r>
        <w:rPr>
          <w:sz w:val="22"/>
        </w:rPr>
        <w:t>Ondřej, B., Vavrišínová, K., Petrák, J., Debrecéni, O. and Hellová, D. (2013). The analysis of pork quality affected by diet containing organic chromium. Acta Fytotechnica et Zootechnia.</w:t>
      </w:r>
      <w:r>
        <w:rPr>
          <w:spacing w:val="-4"/>
          <w:sz w:val="22"/>
        </w:rPr>
        <w:t> </w:t>
      </w:r>
      <w:r>
        <w:rPr>
          <w:sz w:val="22"/>
        </w:rPr>
        <w:t>16:19-24.</w:t>
      </w:r>
    </w:p>
    <w:p>
      <w:pPr>
        <w:spacing w:line="276" w:lineRule="auto" w:before="1"/>
        <w:ind w:left="920" w:right="104" w:hanging="281"/>
        <w:jc w:val="both"/>
        <w:rPr>
          <w:sz w:val="22"/>
        </w:rPr>
      </w:pPr>
      <w:r>
        <w:rPr>
          <w:sz w:val="22"/>
        </w:rPr>
        <w:t>Palhari, C. (2014). Desempenho e Qualidade de Carcaça de Garrotes Nelore e F1 Rubia  Galega x Nelore Suplementados com Cromo Picolinato. Mestre em  Zootecnia. Universidade Federal de Mato Grosso. Instituto de Ciências Agrárias e Ambientais Programa de Pós-graduação em</w:t>
      </w:r>
      <w:r>
        <w:rPr>
          <w:spacing w:val="-7"/>
          <w:sz w:val="22"/>
        </w:rPr>
        <w:t> </w:t>
      </w:r>
      <w:r>
        <w:rPr>
          <w:sz w:val="22"/>
        </w:rPr>
        <w:t>Zootecnia.</w:t>
      </w:r>
    </w:p>
    <w:p>
      <w:pPr>
        <w:spacing w:line="276" w:lineRule="auto" w:before="1"/>
        <w:ind w:left="920" w:right="107" w:hanging="281"/>
        <w:jc w:val="both"/>
        <w:rPr>
          <w:sz w:val="22"/>
        </w:rPr>
      </w:pPr>
      <w:r>
        <w:rPr>
          <w:sz w:val="22"/>
        </w:rPr>
        <w:t>Page, T.G., Southern, L. L., Ward, D. L., y Thompson Jr. (1993). Effect of chromium picolinate on growth and serum and carcass traits of growing-finishing pigs. J. Anim. Sci. 71:656-662.</w:t>
      </w:r>
    </w:p>
    <w:p>
      <w:pPr>
        <w:spacing w:line="276" w:lineRule="auto" w:before="1"/>
        <w:ind w:left="639" w:right="110" w:hanging="4"/>
        <w:jc w:val="center"/>
        <w:rPr>
          <w:sz w:val="22"/>
        </w:rPr>
      </w:pPr>
      <w:r>
        <w:rPr>
          <w:sz w:val="22"/>
        </w:rPr>
        <w:t>Partida, P. J. A. (2014). Calidad de la carne ovina. En: Tecnología y Ciencia de la Carne de Animales Rumiantes. Domínguez, V.I.A., y Ramírez, B.E. (Eds). Ed. Eón. México. D.F. Pearson, A. M. (1966) Desiderability of beef, its characteristics and their measurement. J.</w:t>
      </w:r>
    </w:p>
    <w:p>
      <w:pPr>
        <w:spacing w:before="1"/>
        <w:ind w:left="920" w:right="0" w:firstLine="0"/>
        <w:jc w:val="left"/>
        <w:rPr>
          <w:sz w:val="22"/>
        </w:rPr>
      </w:pPr>
      <w:r>
        <w:rPr>
          <w:sz w:val="22"/>
        </w:rPr>
        <w:t>Anim. Sci. 25:843-854.</w:t>
      </w:r>
    </w:p>
    <w:p>
      <w:pPr>
        <w:spacing w:line="278" w:lineRule="auto" w:before="37"/>
        <w:ind w:left="920" w:right="107" w:hanging="281"/>
        <w:jc w:val="both"/>
        <w:rPr>
          <w:sz w:val="22"/>
        </w:rPr>
      </w:pPr>
      <w:r>
        <w:rPr>
          <w:sz w:val="22"/>
        </w:rPr>
        <w:t>Pearson, A. M., Love, J. D., y Shorland, F. B. (1977) Warmed-over flavor in meat, poultry and fish. Adv. Food Res. 23:1.</w:t>
      </w:r>
    </w:p>
    <w:p>
      <w:pPr>
        <w:spacing w:line="276" w:lineRule="auto" w:before="0"/>
        <w:ind w:left="920" w:right="107" w:hanging="281"/>
        <w:jc w:val="both"/>
        <w:rPr>
          <w:sz w:val="22"/>
        </w:rPr>
      </w:pPr>
      <w:r>
        <w:rPr>
          <w:sz w:val="22"/>
        </w:rPr>
        <w:t>Pearson, A. M. and Young, R. B. (1989). Composition and Structue Cap I. and Skeletal Muscle fiber types. Cap. 9. In: Muscle and meat Biochem. Academic Press, London. pp. 235-265.</w:t>
      </w:r>
    </w:p>
    <w:p>
      <w:pPr>
        <w:spacing w:line="276" w:lineRule="auto" w:before="1"/>
        <w:ind w:left="920" w:right="114" w:hanging="281"/>
        <w:jc w:val="both"/>
        <w:rPr>
          <w:sz w:val="22"/>
        </w:rPr>
      </w:pPr>
      <w:r>
        <w:rPr>
          <w:sz w:val="22"/>
        </w:rPr>
        <w:t>Pechova, A. y Pavlata, L. (2007). Chromium as an essential nutrient: a review. Veterinarni Medicina, 52, (1): 1–18.</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2" w:hanging="281"/>
        <w:jc w:val="both"/>
        <w:rPr>
          <w:sz w:val="22"/>
        </w:rPr>
      </w:pPr>
      <w:r>
        <w:rPr>
          <w:sz w:val="22"/>
        </w:rPr>
        <w:t>Pechova, A., Illek, J., Sindelar, M., Pavlata, L. (2002). Effects of chromium supplementation on growth rate and metabolism in fattening bulls. Acta Veterinaria Brno. 71:</w:t>
      </w:r>
      <w:r>
        <w:rPr>
          <w:spacing w:val="-22"/>
          <w:sz w:val="22"/>
        </w:rPr>
        <w:t> </w:t>
      </w:r>
      <w:r>
        <w:rPr>
          <w:sz w:val="22"/>
        </w:rPr>
        <w:t>535-541.</w:t>
      </w:r>
    </w:p>
    <w:p>
      <w:pPr>
        <w:spacing w:line="276" w:lineRule="auto" w:before="1"/>
        <w:ind w:left="920" w:right="105" w:hanging="281"/>
        <w:jc w:val="both"/>
        <w:rPr>
          <w:sz w:val="22"/>
        </w:rPr>
      </w:pPr>
      <w:r>
        <w:rPr>
          <w:sz w:val="22"/>
        </w:rPr>
        <w:t>Peinado, B., Latorre, R., Vázquez-Autón, J. M., Poto, A., Ramíreez, G., López-Alborsa, O., Moreno, F. y Gil. F. (2004). Histochemical Skeletal Muscle Fibre Types in the Sheep. Anatom. Histolo. Embryol. 33:236-243.</w:t>
      </w:r>
    </w:p>
    <w:p>
      <w:pPr>
        <w:spacing w:line="276" w:lineRule="auto" w:before="1"/>
        <w:ind w:left="920" w:right="109" w:hanging="281"/>
        <w:jc w:val="both"/>
        <w:rPr>
          <w:sz w:val="22"/>
        </w:rPr>
      </w:pPr>
      <w:r>
        <w:rPr>
          <w:sz w:val="22"/>
        </w:rPr>
        <w:t>Peinado, B., Almela, L., Duchi, N., y Poto, A. (2008). Influencia del sistema de explotación en los tipos fibrilares de la carne de cerdo Chato Murciano. VIII SEAE. Agricultura y Alimentación Ecológica. ISBN: 978-84-612-5722-5.</w:t>
      </w:r>
    </w:p>
    <w:p>
      <w:pPr>
        <w:spacing w:line="276" w:lineRule="auto" w:before="3"/>
        <w:ind w:left="920" w:right="115" w:hanging="281"/>
        <w:jc w:val="both"/>
        <w:rPr>
          <w:sz w:val="22"/>
        </w:rPr>
      </w:pPr>
      <w:r>
        <w:rPr>
          <w:sz w:val="22"/>
        </w:rPr>
        <w:t>Peres, L. M., Bridil, A. M., da Silva, C. A., Andreo, N., Barata, C. C. P. and Dário, G. G. N. (2014). Effect of supplementing ﬁnishing pigs with different sources of chromium on performance and meat quality. Revista Brasileira de Zootecnia. 43(7):369-375.</w:t>
      </w:r>
    </w:p>
    <w:p>
      <w:pPr>
        <w:spacing w:line="276" w:lineRule="auto" w:before="1"/>
        <w:ind w:left="920" w:right="112" w:hanging="281"/>
        <w:jc w:val="both"/>
        <w:rPr>
          <w:sz w:val="22"/>
        </w:rPr>
      </w:pPr>
      <w:r>
        <w:rPr>
          <w:sz w:val="22"/>
        </w:rPr>
        <w:t>Pérez, P., Maino, M., Tomic, G., Köbrich, C., Morales, M. S., Pokniak, J. (2006). Calidad de carne de corderos lechales del cruce Suffolk down x merino precoz alemán: efecto del peso de sacrificio y sexo. Archivos de Zootecnia. 55:171-182.</w:t>
      </w:r>
    </w:p>
    <w:p>
      <w:pPr>
        <w:spacing w:line="276" w:lineRule="auto" w:before="1"/>
        <w:ind w:left="920" w:right="107" w:hanging="281"/>
        <w:jc w:val="both"/>
        <w:rPr>
          <w:sz w:val="22"/>
        </w:rPr>
      </w:pPr>
      <w:r>
        <w:rPr>
          <w:sz w:val="22"/>
        </w:rPr>
        <w:t>Perez-Alvarez, J. A., Fernandez-Lopez, J., Sayas-Barberá, M. E., y Cartagenagracia, R. (1998). Caracterización de los parámetros de color de diferentes materias primas usadas en la industria cárnica. Eurocarne, 63, 115-122.</w:t>
      </w:r>
    </w:p>
    <w:p>
      <w:pPr>
        <w:spacing w:line="276" w:lineRule="auto" w:before="3"/>
        <w:ind w:left="920" w:right="111" w:hanging="281"/>
        <w:jc w:val="both"/>
        <w:rPr>
          <w:sz w:val="22"/>
        </w:rPr>
      </w:pPr>
      <w:r>
        <w:rPr>
          <w:sz w:val="22"/>
        </w:rPr>
        <w:t>Perkin, E. (1982). Analytical Methods for the Atomic Absorption Spectrophotometer, PerkinElmer. Norwalk, CT.</w:t>
      </w:r>
    </w:p>
    <w:p>
      <w:pPr>
        <w:spacing w:line="276" w:lineRule="auto" w:before="1"/>
        <w:ind w:left="920" w:right="109" w:hanging="281"/>
        <w:jc w:val="both"/>
        <w:rPr>
          <w:sz w:val="22"/>
        </w:rPr>
      </w:pPr>
      <w:r>
        <w:rPr>
          <w:sz w:val="22"/>
        </w:rPr>
        <w:t>Pette, D. and Staron, R. S. (1990). Cellular and molecular diversities of mammalian skeletal muscle fibres. Reviews in Physiology. Biochemitry and Pharmacology. 116:2-76.</w:t>
      </w:r>
    </w:p>
    <w:p>
      <w:pPr>
        <w:spacing w:line="276" w:lineRule="auto" w:before="1"/>
        <w:ind w:left="920" w:right="110" w:hanging="281"/>
        <w:jc w:val="both"/>
        <w:rPr>
          <w:sz w:val="22"/>
        </w:rPr>
      </w:pPr>
      <w:r>
        <w:rPr>
          <w:sz w:val="22"/>
        </w:rPr>
        <w:t>Pla, M., Guerreo, L., Guardia, D., Oliver, M. A. y Blasco, A. (1998). Carcass characteristics and meat quality of rabbit line sellectes for different objetives: I. Between lines comparision. Livestock Production Science. 54:</w:t>
      </w:r>
      <w:r>
        <w:rPr>
          <w:spacing w:val="-9"/>
          <w:sz w:val="22"/>
        </w:rPr>
        <w:t> </w:t>
      </w:r>
      <w:r>
        <w:rPr>
          <w:sz w:val="22"/>
        </w:rPr>
        <w:t>115-123.</w:t>
      </w:r>
    </w:p>
    <w:p>
      <w:pPr>
        <w:spacing w:line="276" w:lineRule="auto" w:before="1"/>
        <w:ind w:left="920" w:right="109" w:hanging="281"/>
        <w:jc w:val="both"/>
        <w:rPr>
          <w:sz w:val="22"/>
        </w:rPr>
      </w:pPr>
      <w:r>
        <w:rPr>
          <w:sz w:val="22"/>
        </w:rPr>
        <w:t>Pollard, G. V. and Richardson, C. R. (1999). Effects of organic chromium on growth, efficiency and carcass characteristics of feedlot steers. In: Lyons, T. P. and K. A. Kacks (eds). Biotechnology in the Feed Industry. Proceedings of Alltech´s 15 th annual symposium. University Press. England. 537</w:t>
      </w:r>
      <w:r>
        <w:rPr>
          <w:spacing w:val="-7"/>
          <w:sz w:val="22"/>
        </w:rPr>
        <w:t> </w:t>
      </w:r>
      <w:r>
        <w:rPr>
          <w:sz w:val="22"/>
        </w:rPr>
        <w:t>p.</w:t>
      </w:r>
    </w:p>
    <w:p>
      <w:pPr>
        <w:spacing w:line="276" w:lineRule="auto" w:before="1"/>
        <w:ind w:left="920" w:right="112" w:hanging="281"/>
        <w:jc w:val="both"/>
        <w:rPr>
          <w:sz w:val="22"/>
        </w:rPr>
      </w:pPr>
      <w:r>
        <w:rPr>
          <w:sz w:val="22"/>
        </w:rPr>
        <w:t>Pollard, G. V., Richardson, C. R., and Karnezos, T. P. (2002). Effects of supplemental organic chromium on growth, feed efficiency and carcass characteristics of feedlot steers. Animal Feed Science and Technology. 98:121-128.</w:t>
      </w:r>
    </w:p>
    <w:p>
      <w:pPr>
        <w:spacing w:line="276" w:lineRule="auto" w:before="3"/>
        <w:ind w:left="920" w:right="102" w:hanging="281"/>
        <w:jc w:val="both"/>
        <w:rPr>
          <w:sz w:val="22"/>
        </w:rPr>
      </w:pPr>
      <w:r>
        <w:rPr>
          <w:sz w:val="22"/>
        </w:rPr>
        <w:t>Popova, T. Fatty acid composition of Longissimus dorsi and Semimembranosus  muscles during storage in lambs reared indoors and on pasture. (2014). J Food Agric. 26 (3): 302- 308.</w:t>
      </w:r>
    </w:p>
    <w:p>
      <w:pPr>
        <w:spacing w:before="1"/>
        <w:ind w:left="639" w:right="0" w:firstLine="0"/>
        <w:jc w:val="left"/>
        <w:rPr>
          <w:sz w:val="22"/>
        </w:rPr>
      </w:pPr>
      <w:r>
        <w:rPr>
          <w:sz w:val="22"/>
        </w:rPr>
        <w:t>Puls,  R.  (1988).  Minerals  levels  in  animal  health.  Diagnostic  Data.  Sherpa  International.</w:t>
      </w:r>
    </w:p>
    <w:p>
      <w:pPr>
        <w:spacing w:before="40"/>
        <w:ind w:left="920" w:right="0" w:firstLine="0"/>
        <w:jc w:val="left"/>
        <w:rPr>
          <w:sz w:val="22"/>
        </w:rPr>
      </w:pPr>
      <w:r>
        <w:rPr>
          <w:sz w:val="22"/>
        </w:rPr>
        <w:t>Clarbrook, Canada. p. 83-109</w:t>
      </w:r>
    </w:p>
    <w:p>
      <w:pPr>
        <w:spacing w:before="37"/>
        <w:ind w:left="639" w:right="0" w:firstLine="0"/>
        <w:jc w:val="left"/>
        <w:rPr>
          <w:sz w:val="22"/>
        </w:rPr>
      </w:pPr>
      <w:r>
        <w:rPr>
          <w:sz w:val="22"/>
        </w:rPr>
        <w:t>Puls,  R.  (1994).  Minerals  levels  in  animal  health.  Diagnostic  Data.  Sherpa  International.</w:t>
      </w:r>
    </w:p>
    <w:p>
      <w:pPr>
        <w:spacing w:before="37"/>
        <w:ind w:left="920" w:right="0" w:firstLine="0"/>
        <w:jc w:val="left"/>
        <w:rPr>
          <w:sz w:val="22"/>
        </w:rPr>
      </w:pPr>
      <w:r>
        <w:rPr>
          <w:sz w:val="22"/>
        </w:rPr>
        <w:t>Clarbrook, Canada. p. 83-109.</w:t>
      </w:r>
    </w:p>
    <w:p>
      <w:pPr>
        <w:spacing w:before="37"/>
        <w:ind w:left="639" w:right="0" w:firstLine="0"/>
        <w:jc w:val="left"/>
        <w:rPr>
          <w:sz w:val="22"/>
        </w:rPr>
      </w:pPr>
      <w:r>
        <w:rPr>
          <w:sz w:val="22"/>
        </w:rPr>
        <w:t>Poto, A., Peinado, B., y Gil, F. (2004). El Chato Murciano. Materia prima de calidad (y II).</w:t>
      </w:r>
    </w:p>
    <w:p>
      <w:pPr>
        <w:spacing w:before="37"/>
        <w:ind w:left="920" w:right="0" w:firstLine="0"/>
        <w:jc w:val="left"/>
        <w:rPr>
          <w:sz w:val="22"/>
        </w:rPr>
      </w:pPr>
      <w:r>
        <w:rPr>
          <w:sz w:val="22"/>
        </w:rPr>
        <w:t>Mundo Ganadero. 162:50-56.</w:t>
      </w:r>
    </w:p>
    <w:p>
      <w:pPr>
        <w:spacing w:after="0"/>
        <w:jc w:val="left"/>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5" w:hanging="281"/>
        <w:jc w:val="both"/>
        <w:rPr>
          <w:sz w:val="22"/>
        </w:rPr>
      </w:pPr>
      <w:r>
        <w:rPr>
          <w:sz w:val="22"/>
        </w:rPr>
        <w:t>Purchas, R. W. (1990) An assessment of the role of pH differences in determining the relative tenderness of meat from bulls and steers. Meat Sci., 27, 129-140.</w:t>
      </w:r>
    </w:p>
    <w:p>
      <w:pPr>
        <w:spacing w:line="276" w:lineRule="auto" w:before="1"/>
        <w:ind w:left="920" w:right="110" w:hanging="281"/>
        <w:jc w:val="both"/>
        <w:rPr>
          <w:sz w:val="22"/>
        </w:rPr>
      </w:pPr>
      <w:r>
        <w:rPr>
          <w:sz w:val="22"/>
        </w:rPr>
        <w:t>Ramírez, T. J. A. (2004). Caracacterísticas bioquímicas del músculo, calidad de la carne y de la grasa de conejos seleccionados por velocidad de crecimiento. Tesis Doctoral. Univerisidad Autónoma de Barcelona. España.</w:t>
      </w:r>
    </w:p>
    <w:p>
      <w:pPr>
        <w:spacing w:line="276" w:lineRule="auto" w:before="1"/>
        <w:ind w:left="920" w:right="100" w:hanging="281"/>
        <w:jc w:val="both"/>
        <w:rPr>
          <w:sz w:val="22"/>
        </w:rPr>
      </w:pPr>
      <w:r>
        <w:rPr>
          <w:sz w:val="22"/>
        </w:rPr>
        <w:t>Ranken, M. D. (2003). Manual de la inductria de carne. Mundi-Prensa. Madrid, España. p. 16- 54.</w:t>
      </w:r>
    </w:p>
    <w:p>
      <w:pPr>
        <w:spacing w:line="278" w:lineRule="auto" w:before="1"/>
        <w:ind w:left="920" w:right="107" w:hanging="281"/>
        <w:jc w:val="both"/>
        <w:rPr>
          <w:sz w:val="22"/>
        </w:rPr>
      </w:pPr>
      <w:r>
        <w:rPr>
          <w:sz w:val="22"/>
        </w:rPr>
        <w:t>Reagan, J. O., Carpenter, Z. L., y Smith, G. E. (1976) Age-related traits affecting the tenderness of the bovine longissimus muscle. J. Anim. Sci.</w:t>
      </w:r>
      <w:r>
        <w:rPr>
          <w:spacing w:val="-19"/>
          <w:sz w:val="22"/>
        </w:rPr>
        <w:t> </w:t>
      </w:r>
      <w:r>
        <w:rPr>
          <w:sz w:val="22"/>
        </w:rPr>
        <w:t>43:1198.</w:t>
      </w:r>
    </w:p>
    <w:p>
      <w:pPr>
        <w:spacing w:line="276" w:lineRule="auto" w:before="0"/>
        <w:ind w:left="920" w:right="107" w:hanging="281"/>
        <w:jc w:val="both"/>
        <w:rPr>
          <w:sz w:val="22"/>
        </w:rPr>
      </w:pPr>
      <w:r>
        <w:rPr>
          <w:sz w:val="22"/>
        </w:rPr>
        <w:t>Ria, A. J. (2002). Effect of chromium propionate and fat source on growth, carcass traits and meat quality in swine and the effect of chromium propionate on growth and carcass traits broilers. Thesis of master. Faculty of the Louisiana State University and Agricultural and Mechanical College. B.S., Louisiana State University.</w:t>
      </w:r>
    </w:p>
    <w:p>
      <w:pPr>
        <w:spacing w:line="276" w:lineRule="auto" w:before="3"/>
        <w:ind w:left="920" w:right="106" w:hanging="281"/>
        <w:jc w:val="both"/>
        <w:rPr>
          <w:sz w:val="22"/>
        </w:rPr>
      </w:pPr>
      <w:r>
        <w:rPr>
          <w:sz w:val="22"/>
        </w:rPr>
        <w:t>Rodríguez, G. H., Susin, I., Vaz, A. P., Quirino, C. M., Shibata, F. U., Contreras, C. J. C. (2008). Polpa cítrica el raḉṍes para cordeiros em confinamiento: características da carḉaca e qualidade da carne. R. Bras. Zootec. 37(10):1869-1875.</w:t>
      </w:r>
    </w:p>
    <w:p>
      <w:pPr>
        <w:spacing w:line="278" w:lineRule="auto" w:before="1"/>
        <w:ind w:left="920" w:right="105" w:hanging="281"/>
        <w:jc w:val="both"/>
        <w:rPr>
          <w:sz w:val="22"/>
        </w:rPr>
      </w:pPr>
      <w:r>
        <w:rPr>
          <w:sz w:val="22"/>
        </w:rPr>
        <w:t>Roginski, E. F. and Mertz, W. (1969). Effects of chromium (III) supplementation on glucose and amino acid metabolism in rats fed a low protein diet. J. Nutr. 97:525-530.</w:t>
      </w:r>
    </w:p>
    <w:p>
      <w:pPr>
        <w:spacing w:line="276" w:lineRule="auto" w:before="0"/>
        <w:ind w:left="920" w:right="105" w:hanging="281"/>
        <w:jc w:val="both"/>
        <w:rPr>
          <w:sz w:val="22"/>
        </w:rPr>
      </w:pPr>
      <w:r>
        <w:rPr>
          <w:sz w:val="22"/>
        </w:rPr>
        <w:t>Rubio, M. S., Delgado, E. J., Iturbe, F. A., Méndez, R. D., Cassís, L., Rosiles, R. (2005). Composición y calidad de la carne nacional e importada en el mercado formal de México. In: II encuentro. Participación de la mujer en la Ciencia. León, Guanajuato.</w:t>
      </w:r>
    </w:p>
    <w:p>
      <w:pPr>
        <w:spacing w:line="276" w:lineRule="auto" w:before="1"/>
        <w:ind w:left="920" w:right="108" w:hanging="281"/>
        <w:jc w:val="both"/>
        <w:rPr>
          <w:sz w:val="22"/>
        </w:rPr>
      </w:pPr>
      <w:r>
        <w:rPr>
          <w:sz w:val="22"/>
        </w:rPr>
        <w:t>Ruusunen, M. (1996). Composition and cross sectional area of muscle fiber types in relation to daily gain and fat content of carcass in Landrace and Yorkshire pigs. Agric. and Food Sci. 5:593-600.</w:t>
      </w:r>
    </w:p>
    <w:p>
      <w:pPr>
        <w:spacing w:line="276" w:lineRule="auto" w:before="1"/>
        <w:ind w:left="920" w:right="112" w:hanging="281"/>
        <w:jc w:val="both"/>
        <w:rPr>
          <w:sz w:val="22"/>
        </w:rPr>
      </w:pPr>
      <w:r>
        <w:rPr>
          <w:sz w:val="22"/>
        </w:rPr>
        <w:t>Rust, R. E., Olson, D. G., Kratzer, D. D., Schuler, R. O., and Vetter, R. L. (1970). M. Longissimus area of lamb carcasses. A comparison of four measurement techniques and the evaluation of operator differences. Journal of Animal Science. 30, 36-39.</w:t>
      </w:r>
    </w:p>
    <w:p>
      <w:pPr>
        <w:spacing w:line="276" w:lineRule="auto" w:before="1"/>
        <w:ind w:left="920" w:right="112" w:hanging="281"/>
        <w:jc w:val="both"/>
        <w:rPr>
          <w:sz w:val="22"/>
        </w:rPr>
      </w:pPr>
      <w:r>
        <w:rPr>
          <w:sz w:val="22"/>
        </w:rPr>
        <w:t>Ryu, Y. C., and Kim, B. C. (2005). The relationship between muscle fiber characteristics, postmortem metabolic rate, and meat quality of pig longissimus dorsi muscle. Meat Sci, 71, 351−357.</w:t>
      </w:r>
    </w:p>
    <w:p>
      <w:pPr>
        <w:spacing w:line="276" w:lineRule="auto" w:before="1"/>
        <w:ind w:left="920" w:right="106" w:hanging="281"/>
        <w:jc w:val="both"/>
        <w:rPr>
          <w:sz w:val="22"/>
        </w:rPr>
      </w:pPr>
      <w:r>
        <w:rPr>
          <w:sz w:val="22"/>
        </w:rPr>
        <w:t>Ryu, Y. C., Lee, M. H., Lee, S. K., &amp; Kim, B. C. (2006). Effect of muscle mass and fiber type composition of longissimus dorsi muscle on postmortem metabolic rate and meat quality in pigs. Journal of Muscle Foods.17:343-353.</w:t>
      </w:r>
    </w:p>
    <w:p>
      <w:pPr>
        <w:spacing w:line="276" w:lineRule="auto" w:before="1"/>
        <w:ind w:left="920" w:right="112" w:hanging="281"/>
        <w:jc w:val="both"/>
        <w:rPr>
          <w:sz w:val="22"/>
        </w:rPr>
      </w:pPr>
      <w:r>
        <w:rPr>
          <w:sz w:val="22"/>
        </w:rPr>
        <w:t>Sahin, K., Guler, T., Sahin, N., Ertas, O. N., Erkal, N. (1999). The Effect of Chromium Added into Basal Diet on Serum Total Protein, Urea, Triglyceride, Cholesterol and Serum and Tissue Chromium, Zinc, Copper Levels in Rabbits. Tr. J. of Veterinary and Animal Sciences.23: 109-113.</w:t>
      </w:r>
    </w:p>
    <w:p>
      <w:pPr>
        <w:spacing w:line="276" w:lineRule="auto" w:before="1"/>
        <w:ind w:left="920" w:right="105" w:hanging="281"/>
        <w:jc w:val="both"/>
        <w:rPr>
          <w:sz w:val="22"/>
        </w:rPr>
      </w:pPr>
      <w:r>
        <w:rPr>
          <w:sz w:val="22"/>
        </w:rPr>
        <w:t>Samanta, S., Haldar, S., Bahadur, V. and Ghosh, T. K. (2008). Chromium picolinate can ameliorate the negative effects of heat stress and enhance performance, carcass and meat traits in broiler chickens by redicing the circulatory cortisol level. J. Sci. Food Agric. 88:787-796.</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08" w:hanging="281"/>
        <w:jc w:val="both"/>
        <w:rPr>
          <w:sz w:val="22"/>
        </w:rPr>
      </w:pPr>
      <w:r>
        <w:rPr>
          <w:sz w:val="22"/>
        </w:rPr>
        <w:t>Sano, H., Mowat, D. N., Ball, R. O., Trout, D. R (1997). Effect of supplemental chromium on whole-body kinetics of glucose, lactate, and propionate in rams fed a high grain diet. Comp. Biochem. Physiol. l. 118B (1):117–121.</w:t>
      </w:r>
    </w:p>
    <w:p>
      <w:pPr>
        <w:spacing w:line="276" w:lineRule="auto" w:before="1"/>
        <w:ind w:left="920" w:right="105" w:hanging="281"/>
        <w:jc w:val="both"/>
        <w:rPr>
          <w:sz w:val="22"/>
        </w:rPr>
      </w:pPr>
      <w:r>
        <w:rPr>
          <w:sz w:val="22"/>
        </w:rPr>
        <w:t>Santos, S. J., Bessa, R. J .N., Santos, S. F. (2002). Effect of genotype, feeding system and slaughter on the quality lambs II: Fatty acid composition of meat. Livestock Production Science. 77:187-194.</w:t>
      </w:r>
    </w:p>
    <w:p>
      <w:pPr>
        <w:spacing w:line="276" w:lineRule="auto" w:before="1"/>
        <w:ind w:left="920" w:right="111" w:hanging="281"/>
        <w:jc w:val="both"/>
        <w:rPr>
          <w:sz w:val="22"/>
        </w:rPr>
      </w:pPr>
      <w:r>
        <w:rPr>
          <w:sz w:val="22"/>
        </w:rPr>
        <w:t>Sañudo, C., Santaolaria, P., Maria, G., Osorio, M., y Sierra, I. (1996) Influence of carcass weight on instrumental and sensory lamb meat quality in intensive productions systems. Meat Sci. 42:195-202.</w:t>
      </w:r>
    </w:p>
    <w:p>
      <w:pPr>
        <w:spacing w:line="276" w:lineRule="auto" w:before="1"/>
        <w:ind w:left="920" w:right="111" w:hanging="281"/>
        <w:jc w:val="both"/>
        <w:rPr>
          <w:sz w:val="22"/>
        </w:rPr>
      </w:pPr>
      <w:r>
        <w:rPr>
          <w:sz w:val="22"/>
        </w:rPr>
        <w:t>Sañudo, C. (1991). La calidad organoléptica de la carne con especial referencia a la especie ovina. Factores que la determinan, métodos de medida y causas de variación. Facultad de Veterinaria. Universidad de Zaragoza.</w:t>
      </w:r>
    </w:p>
    <w:p>
      <w:pPr>
        <w:spacing w:line="276" w:lineRule="auto" w:before="1"/>
        <w:ind w:left="920" w:right="108" w:hanging="281"/>
        <w:jc w:val="both"/>
        <w:rPr>
          <w:sz w:val="22"/>
        </w:rPr>
      </w:pPr>
      <w:r>
        <w:rPr>
          <w:sz w:val="22"/>
        </w:rPr>
        <w:t>Sañudo, C., Alfonso, M., Sánchez, A., Berge, P., Dransfield, E., Zygoyiannis, D., Stamataris, C., Thorkelsson, G., Valdimarsdottir, T., Piasentier, E., Mills, C., Nute, G. R. and Fisher, A. (2003). Meat texture of lambs from different European production systems. Australian Journal of Agricultural Research. 54, 551-560.</w:t>
      </w:r>
    </w:p>
    <w:p>
      <w:pPr>
        <w:spacing w:line="278" w:lineRule="auto" w:before="1"/>
        <w:ind w:left="920" w:right="113" w:hanging="281"/>
        <w:jc w:val="both"/>
        <w:rPr>
          <w:sz w:val="22"/>
        </w:rPr>
      </w:pPr>
      <w:r>
        <w:rPr>
          <w:sz w:val="22"/>
        </w:rPr>
        <w:t>Saskatchewan Katahdin Sheep. (1999). Nutritional analysis of Katahdin Sheep meat. Final Report. 1-9.</w:t>
      </w:r>
    </w:p>
    <w:p>
      <w:pPr>
        <w:spacing w:line="276" w:lineRule="auto" w:before="0"/>
        <w:ind w:left="920" w:right="105" w:hanging="281"/>
        <w:jc w:val="both"/>
        <w:rPr>
          <w:sz w:val="22"/>
        </w:rPr>
      </w:pPr>
      <w:r>
        <w:rPr>
          <w:sz w:val="22"/>
        </w:rPr>
        <w:t>Schrauzer G. N., Shresta K. P., Molenaar T. B., Mead S. (1986). Effects of chromium supplementation on feed energy utilization and the trace element composition in the liver and heart of glucose-exposed young mice. Biological Trace Element Research, 9, 79–87.</w:t>
      </w:r>
    </w:p>
    <w:p>
      <w:pPr>
        <w:spacing w:before="1"/>
        <w:ind w:left="639" w:right="0" w:firstLine="0"/>
        <w:jc w:val="left"/>
        <w:rPr>
          <w:sz w:val="22"/>
        </w:rPr>
      </w:pPr>
      <w:r>
        <w:rPr>
          <w:sz w:val="22"/>
        </w:rPr>
        <w:t>Schwarz,  K.  and  Mertz,  Z.  (1957).  Chromium  (III)  and  glucose  tolerance  factor.    Arch.</w:t>
      </w:r>
    </w:p>
    <w:p>
      <w:pPr>
        <w:spacing w:before="40"/>
        <w:ind w:left="920" w:right="0" w:firstLine="0"/>
        <w:jc w:val="left"/>
        <w:rPr>
          <w:sz w:val="22"/>
        </w:rPr>
      </w:pPr>
      <w:r>
        <w:rPr>
          <w:sz w:val="22"/>
        </w:rPr>
        <w:t>Biochem. Biophys. 85:292-295.</w:t>
      </w:r>
    </w:p>
    <w:p>
      <w:pPr>
        <w:spacing w:line="276" w:lineRule="auto" w:before="38"/>
        <w:ind w:left="920" w:right="113" w:hanging="281"/>
        <w:jc w:val="both"/>
        <w:rPr>
          <w:sz w:val="22"/>
        </w:rPr>
      </w:pPr>
      <w:r>
        <w:rPr>
          <w:sz w:val="22"/>
        </w:rPr>
        <w:t>Shackelford, S. D., Puerser, D. E., Simth, G. C., Griffin, C. L., Stiffler, D. M., Savell, J. W. (1992). Lean color characteristics of bullock and steer beef. J. Anim. Sci. 70(2):465-469.</w:t>
      </w:r>
    </w:p>
    <w:p>
      <w:pPr>
        <w:spacing w:line="276" w:lineRule="auto" w:before="1"/>
        <w:ind w:left="920" w:right="110" w:hanging="281"/>
        <w:jc w:val="both"/>
        <w:rPr>
          <w:sz w:val="22"/>
        </w:rPr>
      </w:pPr>
      <w:r>
        <w:rPr>
          <w:sz w:val="22"/>
        </w:rPr>
        <w:t>Shackelford, S. D., Koomaraie, M., Whipple, G., Wheeler, M., Miller, M. F., Crouse, J.D., y Reagan, J. O. (1991) Predictors of beef tenderness: development and verification. J. Food Sci. 56:1130.</w:t>
      </w:r>
    </w:p>
    <w:p>
      <w:pPr>
        <w:spacing w:before="1"/>
        <w:ind w:left="639" w:right="0" w:firstLine="0"/>
        <w:jc w:val="left"/>
        <w:rPr>
          <w:sz w:val="22"/>
        </w:rPr>
      </w:pPr>
      <w:r>
        <w:rPr>
          <w:sz w:val="22"/>
        </w:rPr>
        <w:t>SAS. (2002). User’s Guide. Statistics, Statistical Version 9. SAS Institute Inc. Cary, NC, USA.</w:t>
      </w:r>
    </w:p>
    <w:p>
      <w:pPr>
        <w:spacing w:line="276" w:lineRule="auto" w:before="37"/>
        <w:ind w:left="920" w:right="110" w:hanging="281"/>
        <w:jc w:val="both"/>
        <w:rPr>
          <w:sz w:val="22"/>
        </w:rPr>
      </w:pPr>
      <w:r>
        <w:rPr>
          <w:sz w:val="22"/>
        </w:rPr>
        <w:t>Sayre, R. N. y Briskey, E. J. (1963) Protein solubility as influenced by physiological conditions in the muscle. J. Food Sci., 28, 675.</w:t>
      </w:r>
    </w:p>
    <w:p>
      <w:pPr>
        <w:spacing w:line="276" w:lineRule="auto" w:before="3"/>
        <w:ind w:left="920" w:right="105" w:hanging="281"/>
        <w:jc w:val="both"/>
        <w:rPr>
          <w:sz w:val="22"/>
        </w:rPr>
      </w:pPr>
      <w:r>
        <w:rPr>
          <w:sz w:val="22"/>
        </w:rPr>
        <w:t>Sayas, M. E. (1997) Contribuciones al proceso tecnológico de elaboración del jamón curado: aspectos físicos, fisicoquímicos y ultraestructurales en los procesos de curado tradicional y rápido. Tesis Doctoral. Valencia. Universidad Politécnica de Valencia.</w:t>
      </w:r>
    </w:p>
    <w:p>
      <w:pPr>
        <w:spacing w:line="276" w:lineRule="auto" w:before="1"/>
        <w:ind w:left="920" w:right="105" w:hanging="281"/>
        <w:jc w:val="both"/>
        <w:rPr>
          <w:sz w:val="22"/>
        </w:rPr>
      </w:pPr>
      <w:r>
        <w:rPr>
          <w:sz w:val="22"/>
        </w:rPr>
        <w:t>Seaborn, C. D. and Sotecker, B. J. (1989). Effects of starch, sucrose, fructose and glucose on chromium absorption and tissue concentration in obese and lean mice. Journal of Nutrition. 119:1444-1451.</w:t>
      </w:r>
    </w:p>
    <w:p>
      <w:pPr>
        <w:spacing w:line="276" w:lineRule="auto" w:before="1"/>
        <w:ind w:left="920" w:right="105" w:hanging="281"/>
        <w:jc w:val="both"/>
        <w:rPr>
          <w:sz w:val="22"/>
        </w:rPr>
      </w:pPr>
      <w:r>
        <w:rPr>
          <w:sz w:val="22"/>
        </w:rPr>
        <w:t>Serra, X., Gil, F., Perez-Enciso, M., Oliver, M. A., Vazquez, J. M., Gispert, M., Díaz, I., Moreno, F., Latorre, R. and Noguera, J. L. (1998). A comparison of carcass, meat quality and histochemical characteristics of Iberian (Guadyerbas line) and Landrance pigs. Livest. Prod. Sci. 56:215-223.</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2" w:hanging="281"/>
        <w:jc w:val="both"/>
        <w:rPr>
          <w:sz w:val="22"/>
        </w:rPr>
      </w:pPr>
      <w:r>
        <w:rPr>
          <w:sz w:val="22"/>
        </w:rPr>
        <w:t>Sierra, I., Sañudo, C., Olleta, J. L., y Forcada, F. (1988) Apport a l`étude comparative de la qualité de la carcasse et de la viande chez des agneaux légers. Problèmes concernent l´importation de carcasses. In 3rd World Congress of Sheep and Beef Cattle Breeding., pp. 513-515, Paris. Francia.</w:t>
      </w:r>
    </w:p>
    <w:p>
      <w:pPr>
        <w:spacing w:line="276" w:lineRule="auto" w:before="3"/>
        <w:ind w:left="920" w:right="107" w:hanging="281"/>
        <w:jc w:val="both"/>
        <w:rPr>
          <w:sz w:val="22"/>
        </w:rPr>
      </w:pPr>
      <w:r>
        <w:rPr>
          <w:sz w:val="22"/>
        </w:rPr>
        <w:t>Sierra, S. V. (2010). Evolución post-mortem de parámteros indicativos de calidad en carne de vacuno: efecto de la raza y el gen de la hipertrofia muscular. Tesis de Doctorado. Universidad de Oviedo. Departamento de morfología y biología celular. Area de sistemas de producción animal del servicio regional de investigación y dearrollo agroalimentario (SERIDA).</w:t>
      </w:r>
    </w:p>
    <w:p>
      <w:pPr>
        <w:spacing w:line="276" w:lineRule="auto" w:before="1"/>
        <w:ind w:left="920" w:right="109" w:hanging="281"/>
        <w:jc w:val="both"/>
        <w:rPr>
          <w:sz w:val="22"/>
        </w:rPr>
      </w:pPr>
      <w:r>
        <w:rPr>
          <w:sz w:val="22"/>
        </w:rPr>
        <w:t>Sirirat, N., Lu, J. J., Tsbug-Yu, H., Chen, Y. S., Lien, F. T. (2012). Effects of different levels of nanoparticles chromium picolinate supplementation on growth performance, mineral retention, and immune responses in broiler chickens. Journal of Agricultural Science. 4(12): 48-58.</w:t>
      </w:r>
    </w:p>
    <w:p>
      <w:pPr>
        <w:spacing w:line="276" w:lineRule="auto" w:before="3"/>
        <w:ind w:left="920" w:right="111" w:hanging="281"/>
        <w:jc w:val="both"/>
        <w:rPr>
          <w:sz w:val="22"/>
        </w:rPr>
      </w:pPr>
      <w:r>
        <w:rPr>
          <w:sz w:val="22"/>
        </w:rPr>
        <w:t>Sirirat, N., Lu, J. J., Tsbug-Yu, H., Lien, T. F. (2013). Effects of Different Levels of Nanoparticles Chromium Picolinate Supplementation on Performance, egg quality, mineral retention, and tissues minerals accumulation in layer Chikens. Journal of Agricultural Science. 5(2):150-159.</w:t>
      </w:r>
    </w:p>
    <w:p>
      <w:pPr>
        <w:spacing w:line="276" w:lineRule="auto" w:before="3"/>
        <w:ind w:left="920" w:right="110" w:hanging="281"/>
        <w:jc w:val="both"/>
        <w:rPr>
          <w:sz w:val="22"/>
        </w:rPr>
      </w:pPr>
      <w:r>
        <w:rPr>
          <w:sz w:val="22"/>
        </w:rPr>
        <w:t>Smith, D. R. (1993) Lipid composition of red meat and factors that influence risk for coronary heart disease. Rev. Fac. Agron.  10, 35-41.</w:t>
      </w:r>
    </w:p>
    <w:p>
      <w:pPr>
        <w:spacing w:line="276" w:lineRule="auto" w:before="1"/>
        <w:ind w:left="920" w:right="112" w:hanging="281"/>
        <w:jc w:val="both"/>
        <w:rPr>
          <w:sz w:val="22"/>
        </w:rPr>
      </w:pPr>
      <w:r>
        <w:rPr>
          <w:sz w:val="22"/>
        </w:rPr>
        <w:t>Socha, M. T., Tomlinson D. J., Fakler, T. M. and Ward, T. L. (2005). Chromium applications for dairy cattle. Proceedings, California Animal Nutrition Conference, Fresno California. p. 27-35.</w:t>
      </w:r>
    </w:p>
    <w:p>
      <w:pPr>
        <w:spacing w:line="276" w:lineRule="auto" w:before="3"/>
        <w:ind w:left="920" w:right="105" w:hanging="281"/>
        <w:jc w:val="both"/>
        <w:rPr>
          <w:sz w:val="22"/>
        </w:rPr>
      </w:pPr>
      <w:r>
        <w:rPr>
          <w:sz w:val="22"/>
        </w:rPr>
        <w:t>Solomon, M. B., Lynch, G. P., y Lough, D. S. (1992) Influence of dietary palm oil supplementation on serum lipid metabolites, carcass characteristics, and lipid composition  of carcass tissues of growing ram and ewe lambs. J. Anim. Sci. 70:</w:t>
      </w:r>
      <w:r>
        <w:rPr>
          <w:spacing w:val="-20"/>
          <w:sz w:val="22"/>
        </w:rPr>
        <w:t> </w:t>
      </w:r>
      <w:r>
        <w:rPr>
          <w:sz w:val="22"/>
        </w:rPr>
        <w:t>2746-275.</w:t>
      </w:r>
    </w:p>
    <w:p>
      <w:pPr>
        <w:spacing w:line="276" w:lineRule="auto" w:before="1"/>
        <w:ind w:left="920" w:right="105" w:hanging="281"/>
        <w:jc w:val="both"/>
        <w:rPr>
          <w:sz w:val="22"/>
        </w:rPr>
      </w:pPr>
      <w:r>
        <w:rPr>
          <w:sz w:val="22"/>
        </w:rPr>
        <w:t>Soltan, M. A., Almujalli, A. M., Mandour, M. A. and El-Shinway Abeer M. (2012) Effect of dietary chromium supplementation on growth performance, rumen fermentation, characteristics and some blood serum units of fattening dairy calves under heat stress. Pakistan Journal of Nutrition. 11(9):751-756.</w:t>
      </w:r>
    </w:p>
    <w:p>
      <w:pPr>
        <w:spacing w:line="276" w:lineRule="auto" w:before="1"/>
        <w:ind w:left="920" w:right="105" w:hanging="281"/>
        <w:jc w:val="both"/>
        <w:rPr>
          <w:sz w:val="22"/>
        </w:rPr>
      </w:pPr>
      <w:r>
        <w:rPr>
          <w:sz w:val="22"/>
        </w:rPr>
        <w:t>Soto-León, S., Zazueta-Patrón, I., Piña-Valdez, P., Nieves-Soto, M., Reyes-Moreno, C., Contreras-Andrade, I. (2014). Extracción de lípidos de Tetraselmissuecica:  Proceso  asistido por ultrasonido y solventes. Rev. Mex de Ingeniería</w:t>
      </w:r>
      <w:r>
        <w:rPr>
          <w:spacing w:val="-24"/>
          <w:sz w:val="22"/>
        </w:rPr>
        <w:t> </w:t>
      </w:r>
      <w:r>
        <w:rPr>
          <w:sz w:val="22"/>
        </w:rPr>
        <w:t>Química.13:723-737.</w:t>
      </w:r>
    </w:p>
    <w:p>
      <w:pPr>
        <w:spacing w:before="1"/>
        <w:ind w:left="639" w:right="0" w:firstLine="0"/>
        <w:jc w:val="left"/>
        <w:rPr>
          <w:sz w:val="22"/>
        </w:rPr>
      </w:pPr>
      <w:r>
        <w:rPr>
          <w:sz w:val="22"/>
        </w:rPr>
        <w:t>Smulders, F. J. M., Marsch, B. B., Swartz, D. R., Rusell, R. L., y Hoenecke, M. E. (1990).</w:t>
      </w:r>
    </w:p>
    <w:p>
      <w:pPr>
        <w:spacing w:before="37"/>
        <w:ind w:left="920" w:right="0" w:firstLine="0"/>
        <w:jc w:val="left"/>
        <w:rPr>
          <w:sz w:val="22"/>
        </w:rPr>
      </w:pPr>
      <w:r>
        <w:rPr>
          <w:sz w:val="22"/>
        </w:rPr>
        <w:t>Beef tenderness and sarcomere length. Meat Sci. 28:349.</w:t>
      </w:r>
    </w:p>
    <w:p>
      <w:pPr>
        <w:spacing w:line="276" w:lineRule="auto" w:before="37"/>
        <w:ind w:left="920" w:right="106" w:hanging="281"/>
        <w:jc w:val="both"/>
        <w:rPr>
          <w:sz w:val="22"/>
        </w:rPr>
      </w:pPr>
      <w:r>
        <w:rPr>
          <w:sz w:val="22"/>
        </w:rPr>
        <w:t>Stahlhut, H. S., Whisnant, C. S., Spears J. W. (2006).  Effect of chromium supplementation  and copper status on performance and reproduction of beef cows. Animal Feed Science and Technology, 128:</w:t>
      </w:r>
      <w:r>
        <w:rPr>
          <w:spacing w:val="-4"/>
          <w:sz w:val="22"/>
        </w:rPr>
        <w:t> </w:t>
      </w:r>
      <w:r>
        <w:rPr>
          <w:sz w:val="22"/>
        </w:rPr>
        <w:t>266-275.</w:t>
      </w:r>
    </w:p>
    <w:p>
      <w:pPr>
        <w:spacing w:line="276" w:lineRule="auto" w:before="1"/>
        <w:ind w:left="920" w:right="110" w:hanging="281"/>
        <w:jc w:val="both"/>
        <w:rPr>
          <w:sz w:val="22"/>
        </w:rPr>
      </w:pPr>
      <w:r>
        <w:rPr>
          <w:sz w:val="22"/>
        </w:rPr>
        <w:t>Steel, D. R. G., Torrier, J. H., and Dickey, D. A. (1997). Bioestadística: Principios y Procedimientos. 2ª ed. McGraw-Hill. México, D. F., pp. 622.</w:t>
      </w:r>
    </w:p>
    <w:p>
      <w:pPr>
        <w:spacing w:line="278" w:lineRule="auto" w:before="1"/>
        <w:ind w:left="920" w:right="107" w:hanging="281"/>
        <w:jc w:val="both"/>
        <w:rPr>
          <w:sz w:val="22"/>
        </w:rPr>
      </w:pPr>
      <w:r>
        <w:rPr>
          <w:sz w:val="22"/>
        </w:rPr>
        <w:t>Stenn, K. S., Madri, J. A., y Roll, F. J. (1979) Migrating epidermis produces ABZ collagen and requires continual synthesis for movement. Nature. 277:229.</w:t>
      </w:r>
    </w:p>
    <w:p>
      <w:pPr>
        <w:spacing w:after="0" w:line="278" w:lineRule="auto"/>
        <w:jc w:val="both"/>
        <w:rPr>
          <w:sz w:val="22"/>
        </w:rPr>
        <w:sectPr>
          <w:pgSz w:w="12240" w:h="15840"/>
          <w:pgMar w:header="1154" w:footer="1503" w:top="1620" w:bottom="1700" w:left="1660" w:right="1420"/>
        </w:sectPr>
      </w:pPr>
    </w:p>
    <w:p>
      <w:pPr>
        <w:pStyle w:val="BodyText"/>
        <w:spacing w:before="10"/>
        <w:rPr>
          <w:sz w:val="8"/>
        </w:rPr>
      </w:pPr>
    </w:p>
    <w:p>
      <w:pPr>
        <w:spacing w:before="72"/>
        <w:ind w:left="639" w:right="0" w:firstLine="0"/>
        <w:jc w:val="left"/>
        <w:rPr>
          <w:sz w:val="22"/>
        </w:rPr>
      </w:pPr>
      <w:r>
        <w:rPr>
          <w:sz w:val="22"/>
        </w:rPr>
        <w:t>Sung, K. II., Nejad, J. G., Hong, S-M., Ohh, S-J., Lee, B-H., Peng, J-L., Ji, D-H. y Kim,  B-W.</w:t>
      </w:r>
    </w:p>
    <w:p>
      <w:pPr>
        <w:spacing w:line="276" w:lineRule="auto" w:before="37"/>
        <w:ind w:left="639" w:right="105" w:firstLine="280"/>
        <w:jc w:val="right"/>
        <w:rPr>
          <w:sz w:val="22"/>
        </w:rPr>
      </w:pPr>
      <w:r>
        <w:rPr>
          <w:sz w:val="22"/>
        </w:rPr>
        <w:t>(2015). Effects of forage level and chromium-methionine chelate</w:t>
      </w:r>
      <w:r>
        <w:rPr>
          <w:spacing w:val="33"/>
          <w:sz w:val="22"/>
        </w:rPr>
        <w:t> </w:t>
      </w:r>
      <w:r>
        <w:rPr>
          <w:sz w:val="22"/>
        </w:rPr>
        <w:t>supplementation</w:t>
      </w:r>
      <w:r>
        <w:rPr>
          <w:spacing w:val="10"/>
          <w:sz w:val="22"/>
        </w:rPr>
        <w:t> </w:t>
      </w:r>
      <w:r>
        <w:rPr>
          <w:sz w:val="22"/>
        </w:rPr>
        <w:t>on</w:t>
      </w:r>
      <w:r>
        <w:rPr>
          <w:w w:val="100"/>
          <w:sz w:val="22"/>
        </w:rPr>
        <w:t> </w:t>
      </w:r>
      <w:r>
        <w:rPr>
          <w:sz w:val="22"/>
        </w:rPr>
        <w:t>performance, carcass characteristics and blood metabolites in Korean</w:t>
      </w:r>
      <w:r>
        <w:rPr>
          <w:spacing w:val="29"/>
          <w:sz w:val="22"/>
        </w:rPr>
        <w:t> </w:t>
      </w:r>
      <w:r>
        <w:rPr>
          <w:sz w:val="22"/>
        </w:rPr>
        <w:t>native</w:t>
      </w:r>
      <w:r>
        <w:rPr>
          <w:spacing w:val="52"/>
          <w:sz w:val="22"/>
        </w:rPr>
        <w:t> </w:t>
      </w:r>
      <w:r>
        <w:rPr>
          <w:sz w:val="22"/>
        </w:rPr>
        <w:t>(Hanwoo)</w:t>
      </w:r>
      <w:r>
        <w:rPr>
          <w:w w:val="100"/>
          <w:sz w:val="22"/>
        </w:rPr>
        <w:t> </w:t>
      </w:r>
      <w:r>
        <w:rPr>
          <w:sz w:val="22"/>
        </w:rPr>
        <w:t>steers. Journal of Animal Science and Technology. 57:14.</w:t>
      </w:r>
      <w:r>
        <w:rPr>
          <w:spacing w:val="-12"/>
          <w:sz w:val="22"/>
        </w:rPr>
        <w:t> </w:t>
      </w:r>
      <w:r>
        <w:rPr>
          <w:sz w:val="22"/>
        </w:rPr>
        <w:t>DOI</w:t>
      </w:r>
      <w:r>
        <w:rPr>
          <w:spacing w:val="-5"/>
          <w:sz w:val="22"/>
        </w:rPr>
        <w:t> </w:t>
      </w:r>
      <w:r>
        <w:rPr>
          <w:sz w:val="22"/>
        </w:rPr>
        <w:t>10.1186/s40781-015-0043-7</w:t>
      </w:r>
      <w:r>
        <w:rPr>
          <w:w w:val="100"/>
          <w:sz w:val="22"/>
        </w:rPr>
        <w:t> </w:t>
      </w:r>
      <w:r>
        <w:rPr>
          <w:sz w:val="22"/>
        </w:rPr>
        <w:t>Sun, Y. J., Ramirez, J.; Woski, S. A.; vincent, J. B. (2000). The binding of</w:t>
      </w:r>
      <w:r>
        <w:rPr>
          <w:spacing w:val="28"/>
          <w:sz w:val="22"/>
        </w:rPr>
        <w:t> </w:t>
      </w:r>
      <w:r>
        <w:rPr>
          <w:sz w:val="22"/>
        </w:rPr>
        <w:t>trivalent</w:t>
      </w:r>
      <w:r>
        <w:rPr>
          <w:spacing w:val="7"/>
          <w:sz w:val="22"/>
        </w:rPr>
        <w:t> </w:t>
      </w:r>
      <w:r>
        <w:rPr>
          <w:sz w:val="22"/>
        </w:rPr>
        <w:t>chromium</w:t>
      </w:r>
      <w:r>
        <w:rPr>
          <w:w w:val="100"/>
          <w:sz w:val="22"/>
        </w:rPr>
        <w:t> </w:t>
      </w:r>
      <w:r>
        <w:rPr>
          <w:sz w:val="22"/>
        </w:rPr>
        <w:t>to low-molecular-weight chromium-binding substance (LMWCr) and the</w:t>
      </w:r>
      <w:r>
        <w:rPr>
          <w:spacing w:val="52"/>
          <w:sz w:val="22"/>
        </w:rPr>
        <w:t> </w:t>
      </w:r>
      <w:r>
        <w:rPr>
          <w:sz w:val="22"/>
        </w:rPr>
        <w:t>transfer</w:t>
      </w:r>
      <w:r>
        <w:rPr>
          <w:spacing w:val="30"/>
          <w:sz w:val="22"/>
        </w:rPr>
        <w:t> </w:t>
      </w:r>
      <w:r>
        <w:rPr>
          <w:sz w:val="22"/>
        </w:rPr>
        <w:t>of</w:t>
      </w:r>
      <w:r>
        <w:rPr>
          <w:w w:val="100"/>
          <w:sz w:val="22"/>
        </w:rPr>
        <w:t> </w:t>
      </w:r>
      <w:r>
        <w:rPr>
          <w:sz w:val="22"/>
        </w:rPr>
        <w:t>chromium  from  transferrin  and  chromium  picolinate  to  LMWCr.  Journal  of</w:t>
      </w:r>
      <w:r>
        <w:rPr>
          <w:spacing w:val="-15"/>
          <w:sz w:val="22"/>
        </w:rPr>
        <w:t> </w:t>
      </w:r>
      <w:r>
        <w:rPr>
          <w:sz w:val="22"/>
        </w:rPr>
        <w:t>Biological</w:t>
      </w:r>
    </w:p>
    <w:p>
      <w:pPr>
        <w:spacing w:before="1"/>
        <w:ind w:left="920" w:right="0" w:firstLine="0"/>
        <w:jc w:val="left"/>
        <w:rPr>
          <w:sz w:val="22"/>
        </w:rPr>
      </w:pPr>
      <w:r>
        <w:rPr>
          <w:sz w:val="22"/>
        </w:rPr>
        <w:t>Inorganic Chemistry. 5:129–136.</w:t>
      </w:r>
    </w:p>
    <w:p>
      <w:pPr>
        <w:spacing w:line="276" w:lineRule="auto" w:before="40"/>
        <w:ind w:left="920" w:right="109" w:hanging="281"/>
        <w:jc w:val="both"/>
        <w:rPr>
          <w:sz w:val="22"/>
        </w:rPr>
      </w:pPr>
      <w:r>
        <w:rPr>
          <w:sz w:val="22"/>
        </w:rPr>
        <w:t>Subiyatno, A., Mowat, D. N., and Yang, W. Z. (1996). Metabolite and hormonal responses to glucose orpropionate infusions in periparturent dairy cows supplemented with chromium. Journal of Dairy Sicence. 78:1436-1445.</w:t>
      </w:r>
    </w:p>
    <w:p>
      <w:pPr>
        <w:spacing w:line="276" w:lineRule="auto" w:before="1"/>
        <w:ind w:left="920" w:right="106" w:hanging="281"/>
        <w:jc w:val="both"/>
        <w:rPr>
          <w:sz w:val="22"/>
        </w:rPr>
      </w:pPr>
      <w:r>
        <w:rPr>
          <w:sz w:val="22"/>
        </w:rPr>
        <w:t>Suksombat, W. and Kanchanatawee, S. (2005). Effects of various sources and levels of chromium on performance of broilers. Asian-Aust. Journal of Animal Science.18 (11):1628-1633.</w:t>
      </w:r>
    </w:p>
    <w:p>
      <w:pPr>
        <w:spacing w:line="276" w:lineRule="auto" w:before="1"/>
        <w:ind w:left="920" w:right="113" w:hanging="281"/>
        <w:jc w:val="both"/>
        <w:rPr>
          <w:sz w:val="22"/>
        </w:rPr>
      </w:pPr>
      <w:r>
        <w:rPr>
          <w:sz w:val="22"/>
        </w:rPr>
        <w:t>Suzuki, A., and R. G. Cassens, (1983). A histochemical study of myofiber types in the serratus ventralis thoracis muscle of sheep during growth. J. Anim. Sci. 56, 1447–1458.</w:t>
      </w:r>
    </w:p>
    <w:p>
      <w:pPr>
        <w:spacing w:line="276" w:lineRule="auto" w:before="1"/>
        <w:ind w:left="920" w:right="109" w:hanging="281"/>
        <w:jc w:val="both"/>
        <w:rPr>
          <w:sz w:val="22"/>
        </w:rPr>
      </w:pPr>
      <w:r>
        <w:rPr>
          <w:sz w:val="22"/>
        </w:rPr>
        <w:t>Swanson, K. C., Harmon, D. L., Jacques, K. A., Larson, B. T., Richards, C. J., Bohner, D. W., and Paton, S. J. (2000). Efficacy of chromium-yeast supplementation for growing beef steers. Animal Feed Science and Technology. 86:95-105.</w:t>
      </w:r>
    </w:p>
    <w:p>
      <w:pPr>
        <w:spacing w:line="276" w:lineRule="auto" w:before="1"/>
        <w:ind w:left="920" w:right="114" w:hanging="281"/>
        <w:jc w:val="both"/>
        <w:rPr>
          <w:sz w:val="22"/>
        </w:rPr>
      </w:pPr>
      <w:r>
        <w:rPr>
          <w:sz w:val="22"/>
        </w:rPr>
        <w:t>Swann, D. A., Caufield, J. B., y Broadhurst, J. B. (1976) The altered fibrous form of vitreous collagen following solubilization with pepsin. Biochem. Biophys acta. 427:365.</w:t>
      </w:r>
    </w:p>
    <w:p>
      <w:pPr>
        <w:spacing w:line="276" w:lineRule="auto" w:before="1"/>
        <w:ind w:left="920" w:right="106" w:hanging="281"/>
        <w:jc w:val="both"/>
        <w:rPr>
          <w:sz w:val="22"/>
        </w:rPr>
      </w:pPr>
      <w:r>
        <w:rPr>
          <w:sz w:val="22"/>
        </w:rPr>
        <w:t>Tang, L., Li, D., Wang, F.L., Xing, J. J., Gong, L. M. (2001). Effects of different sources of organic chromium on immune function in weaned pigs. Asian-Austr. J. Animal. Sci. 14(8):1164-1169.</w:t>
      </w:r>
    </w:p>
    <w:p>
      <w:pPr>
        <w:spacing w:before="1"/>
        <w:ind w:left="639" w:right="0" w:firstLine="0"/>
        <w:jc w:val="left"/>
        <w:rPr>
          <w:sz w:val="22"/>
        </w:rPr>
      </w:pPr>
      <w:r>
        <w:rPr>
          <w:sz w:val="22"/>
        </w:rPr>
        <w:t>Taylor, R. G. (2004). Muscle fibre types and meet quality. In: Encyclopedia of Meat   Science.</w:t>
      </w:r>
    </w:p>
    <w:p>
      <w:pPr>
        <w:spacing w:before="37"/>
        <w:ind w:left="920" w:right="0" w:firstLine="0"/>
        <w:jc w:val="left"/>
        <w:rPr>
          <w:sz w:val="22"/>
        </w:rPr>
      </w:pPr>
      <w:r>
        <w:rPr>
          <w:sz w:val="22"/>
        </w:rPr>
        <w:t>Editor-in-Chief: Werner Klinth Jensen, Oxford. 618-623.</w:t>
      </w:r>
    </w:p>
    <w:p>
      <w:pPr>
        <w:spacing w:line="276" w:lineRule="auto" w:before="40"/>
        <w:ind w:left="920" w:right="112" w:hanging="281"/>
        <w:jc w:val="both"/>
        <w:rPr>
          <w:sz w:val="22"/>
        </w:rPr>
      </w:pPr>
      <w:r>
        <w:rPr>
          <w:sz w:val="22"/>
        </w:rPr>
        <w:t>Teye. G. A., Sheard, P. R., Whittington, F. M., Nute, G. R., Stewart, A., Wood, J. D. (2006). Influence of dietary oils and protein level on pork quality. 1. Effects on muscle fatty acid composition, carcass, meat and eating quality. J. Meat. Sci. 73:124 165.</w:t>
      </w:r>
    </w:p>
    <w:p>
      <w:pPr>
        <w:spacing w:line="276" w:lineRule="auto" w:before="1"/>
        <w:ind w:left="920" w:right="112" w:hanging="281"/>
        <w:jc w:val="both"/>
        <w:rPr>
          <w:sz w:val="22"/>
        </w:rPr>
      </w:pPr>
      <w:r>
        <w:rPr>
          <w:sz w:val="22"/>
        </w:rPr>
        <w:t>Thompson, E. H., Allen, C. E., y Meade, R. J. (1973) Influence of copper on stearic acid desaturation and fatty acid composition in the pig. J. Anim. Sci. 36:868-873</w:t>
      </w:r>
    </w:p>
    <w:p>
      <w:pPr>
        <w:spacing w:line="276" w:lineRule="auto" w:before="3"/>
        <w:ind w:left="920" w:right="101" w:hanging="281"/>
        <w:jc w:val="both"/>
        <w:rPr>
          <w:sz w:val="22"/>
        </w:rPr>
      </w:pPr>
      <w:r>
        <w:rPr>
          <w:sz w:val="22"/>
        </w:rPr>
        <w:t>Toghyani, M., Khodami, A. and Ali, G. A. (2008). Effect of organic and inorganic chromium suplementation on meat quality of heat-stressed broiler chicks. American Journal of Animal and Veterinary Science. 3(2):62-67.</w:t>
      </w:r>
    </w:p>
    <w:p>
      <w:pPr>
        <w:spacing w:line="276" w:lineRule="auto" w:before="1"/>
        <w:ind w:left="920" w:right="110" w:hanging="281"/>
        <w:jc w:val="both"/>
        <w:rPr>
          <w:sz w:val="22"/>
        </w:rPr>
      </w:pPr>
      <w:r>
        <w:rPr>
          <w:sz w:val="22"/>
        </w:rPr>
        <w:t>Tomlinson, D. J., Socha, M. T., Ward, T. L. (2004). Aplicaciones de Cromo para Ganado Lechero. II Seminario sobre alimentación y manejo de ganado lechero. Guadalajara, México.</w:t>
      </w:r>
    </w:p>
    <w:p>
      <w:pPr>
        <w:spacing w:line="276" w:lineRule="auto" w:before="1"/>
        <w:ind w:left="920" w:right="102" w:hanging="281"/>
        <w:jc w:val="both"/>
        <w:rPr>
          <w:sz w:val="22"/>
        </w:rPr>
      </w:pPr>
      <w:r>
        <w:rPr>
          <w:sz w:val="22"/>
        </w:rPr>
        <w:t>Torres, R. J. C. (2013). Pruebas de crecimiento y calidad de la carne de ovinos Hampshire- Suffolk y Pelibuey. Tesis de Maestría. Colegio de Post-graduados. Montecillo, Texcoco, Estado de México.</w:t>
      </w:r>
    </w:p>
    <w:p>
      <w:pPr>
        <w:spacing w:after="0" w:line="276" w:lineRule="auto"/>
        <w:jc w:val="both"/>
        <w:rPr>
          <w:sz w:val="22"/>
        </w:rPr>
        <w:sectPr>
          <w:pgSz w:w="12240" w:h="15840"/>
          <w:pgMar w:header="1154" w:footer="1503" w:top="1620" w:bottom="1700" w:left="1660" w:right="1420"/>
        </w:sectPr>
      </w:pPr>
    </w:p>
    <w:p>
      <w:pPr>
        <w:pStyle w:val="BodyText"/>
        <w:spacing w:before="10"/>
        <w:rPr>
          <w:sz w:val="8"/>
        </w:rPr>
      </w:pPr>
    </w:p>
    <w:p>
      <w:pPr>
        <w:spacing w:line="276" w:lineRule="auto" w:before="72"/>
        <w:ind w:left="920" w:right="113" w:hanging="281"/>
        <w:jc w:val="both"/>
        <w:rPr>
          <w:sz w:val="22"/>
        </w:rPr>
      </w:pPr>
      <w:r>
        <w:rPr>
          <w:sz w:val="22"/>
        </w:rPr>
        <w:t>Touraille, C. (1978) Evolution de la composition corporelle du poulet en fonction de l´âge, et conséquences sur la qualité. INRA: La composition corporelle des volailles.59-70.</w:t>
      </w:r>
    </w:p>
    <w:p>
      <w:pPr>
        <w:spacing w:line="276" w:lineRule="auto" w:before="1"/>
        <w:ind w:left="920" w:right="106" w:hanging="281"/>
        <w:jc w:val="both"/>
        <w:rPr>
          <w:sz w:val="22"/>
        </w:rPr>
      </w:pPr>
      <w:r>
        <w:rPr>
          <w:sz w:val="22"/>
        </w:rPr>
        <w:t>Tshabalala, P. A., Strydom, P. E., Webb, E. C., Kocka, H. L. D. 82003). Meat quality of designated South African indigenous goat and sheep breeds. Meat Scince. 65:563-570.</w:t>
      </w:r>
    </w:p>
    <w:p>
      <w:pPr>
        <w:spacing w:line="276" w:lineRule="auto" w:before="3"/>
        <w:ind w:left="920" w:right="111" w:hanging="281"/>
        <w:jc w:val="both"/>
        <w:rPr>
          <w:sz w:val="22"/>
        </w:rPr>
      </w:pPr>
      <w:r>
        <w:rPr>
          <w:sz w:val="22"/>
        </w:rPr>
        <w:t>Uyanik, F. (2001). The effect of dietary chromium supplementation on some blood parameters in sheep. Biological Trace Element Research. 84:93-101.</w:t>
      </w:r>
    </w:p>
    <w:p>
      <w:pPr>
        <w:spacing w:line="276" w:lineRule="auto" w:before="1"/>
        <w:ind w:left="920" w:right="107" w:hanging="281"/>
        <w:jc w:val="both"/>
        <w:rPr>
          <w:sz w:val="22"/>
        </w:rPr>
      </w:pPr>
      <w:r>
        <w:rPr>
          <w:sz w:val="22"/>
        </w:rPr>
        <w:t>Valdés, G. Y. S., Aguilera, S. J. I., Barrearas, A., Estrada, A. A., Gómez, V. A., Plascencia, A., Rios, F. G., Reyes, J. J., Stuart, J., Torrentera, N. G. (2011). Comportamiento del crecimiento y características de la canal de novillas en lote seco alimentados con diferentes niveles de levadura viva enriquecida con cromo o con clorhidrato de zilpaterol. Revista Cubana de Ciencia Agrícola. 45(4):361-368.</w:t>
      </w:r>
    </w:p>
    <w:p>
      <w:pPr>
        <w:spacing w:line="276" w:lineRule="auto" w:before="1"/>
        <w:ind w:left="920" w:right="110" w:hanging="281"/>
        <w:jc w:val="both"/>
        <w:rPr>
          <w:sz w:val="22"/>
        </w:rPr>
      </w:pPr>
      <w:r>
        <w:rPr>
          <w:sz w:val="22"/>
        </w:rPr>
        <w:t>Van Heugten, E. y Sepears, J. W. (1997). INnmune response and growth of stresses wealing pig fed diets supplemented with organic or inorganic forms of chromium. J. Anim. Sci. 75:409-416.</w:t>
      </w:r>
    </w:p>
    <w:p>
      <w:pPr>
        <w:spacing w:line="276" w:lineRule="auto" w:before="1"/>
        <w:ind w:left="920" w:right="112" w:hanging="281"/>
        <w:jc w:val="both"/>
        <w:rPr>
          <w:sz w:val="22"/>
        </w:rPr>
      </w:pPr>
      <w:r>
        <w:rPr>
          <w:sz w:val="22"/>
        </w:rPr>
        <w:t>Van Hoof, J. (1981) Objectives methods for texture evaluation of poultry meat. In Proc. XI EUR. Symp. On the Quality of Poultry Meat. Appeldoorn, the Netherlands. pp. 165-179.</w:t>
      </w:r>
    </w:p>
    <w:p>
      <w:pPr>
        <w:spacing w:line="276" w:lineRule="auto" w:before="1"/>
        <w:ind w:left="920" w:right="113" w:hanging="281"/>
        <w:jc w:val="both"/>
        <w:rPr>
          <w:sz w:val="22"/>
        </w:rPr>
      </w:pPr>
      <w:r>
        <w:rPr>
          <w:sz w:val="22"/>
        </w:rPr>
        <w:t>Velásco, S., Cañeque, V., Pérez, C., Lauzurica, S., Díaz, M. T., Huidobro, F., González, J. (2001) Fatty acid composition of adipose depot of suckling lamns raised under different production system. Meat Science. 59:325-333.</w:t>
      </w:r>
    </w:p>
    <w:p>
      <w:pPr>
        <w:spacing w:line="276" w:lineRule="auto" w:before="1"/>
        <w:ind w:left="920" w:right="105" w:hanging="281"/>
        <w:jc w:val="both"/>
        <w:rPr>
          <w:sz w:val="22"/>
        </w:rPr>
      </w:pPr>
      <w:r>
        <w:rPr>
          <w:sz w:val="22"/>
        </w:rPr>
        <w:t>Vincent, J. B. (1999). Mechanism of chromium action: lowmolecular- weight chromium- binding substance. J. Am. Coll. Nutr. 18(1):6-12</w:t>
      </w:r>
    </w:p>
    <w:p>
      <w:pPr>
        <w:spacing w:line="278" w:lineRule="auto" w:before="1"/>
        <w:ind w:left="639" w:right="97" w:firstLine="0"/>
        <w:jc w:val="left"/>
        <w:rPr>
          <w:sz w:val="22"/>
        </w:rPr>
      </w:pPr>
      <w:r>
        <w:rPr>
          <w:sz w:val="22"/>
        </w:rPr>
        <w:t>Vincent, J. B. (2000). The biochemistry of chromium. Journal of Nutrition. 130:715-718 Warris, P.D., brown, S.N., y Adams, S.J.M. (1990). Variation in heam pigment    concentration</w:t>
      </w:r>
    </w:p>
    <w:p>
      <w:pPr>
        <w:spacing w:line="252" w:lineRule="exact" w:before="0"/>
        <w:ind w:left="920" w:right="0" w:firstLine="0"/>
        <w:jc w:val="left"/>
        <w:rPr>
          <w:sz w:val="22"/>
        </w:rPr>
      </w:pPr>
      <w:r>
        <w:rPr>
          <w:sz w:val="22"/>
        </w:rPr>
        <w:t>and color in meat from British pigs. Meat Sci., 28, 321-329.</w:t>
      </w:r>
    </w:p>
    <w:p>
      <w:pPr>
        <w:spacing w:line="276" w:lineRule="auto" w:before="37"/>
        <w:ind w:left="920" w:right="111" w:hanging="281"/>
        <w:jc w:val="both"/>
        <w:rPr>
          <w:sz w:val="22"/>
        </w:rPr>
      </w:pPr>
      <w:r>
        <w:rPr>
          <w:sz w:val="22"/>
        </w:rPr>
        <w:t>Wada, K., Shirai, K., y Kawamura, A. (1980) Properties of collagens from pigskins of different ages. J. Am. Leather Chem. Assoc. 75:90.</w:t>
      </w:r>
    </w:p>
    <w:p>
      <w:pPr>
        <w:spacing w:line="276" w:lineRule="auto" w:before="3"/>
        <w:ind w:left="920" w:right="106" w:hanging="281"/>
        <w:jc w:val="both"/>
        <w:rPr>
          <w:sz w:val="22"/>
        </w:rPr>
      </w:pPr>
      <w:r>
        <w:rPr>
          <w:sz w:val="22"/>
        </w:rPr>
        <w:t>Wenk, C., Gebert, S., Pfirter, H. P. (1995).Chromium supplements in the feed for  growing pigs: influence on growth and meat quality. Arch. Anim. Nutr. 48:71-81.</w:t>
      </w:r>
    </w:p>
    <w:p>
      <w:pPr>
        <w:spacing w:line="276" w:lineRule="auto" w:before="1"/>
        <w:ind w:left="920" w:right="109" w:hanging="281"/>
        <w:jc w:val="both"/>
        <w:rPr>
          <w:sz w:val="22"/>
        </w:rPr>
      </w:pPr>
      <w:r>
        <w:rPr>
          <w:sz w:val="22"/>
        </w:rPr>
        <w:t>Wood, J. D., Nute, G. R., Richardson, R. I., Whittington, F. M., Southwood, O., Plastow, G., Mansbridge, R., Da Costa, N., Chang, K. C. (2004). Effects of breed, diet and 16 muscles  on fat deposition and eating quality in pigs. Meat Sci. 67:</w:t>
      </w:r>
      <w:r>
        <w:rPr>
          <w:spacing w:val="-16"/>
          <w:sz w:val="22"/>
        </w:rPr>
        <w:t> </w:t>
      </w:r>
      <w:r>
        <w:rPr>
          <w:sz w:val="22"/>
        </w:rPr>
        <w:t>651-667.</w:t>
      </w:r>
    </w:p>
    <w:p>
      <w:pPr>
        <w:spacing w:line="276" w:lineRule="auto" w:before="3"/>
        <w:ind w:left="920" w:right="108" w:hanging="281"/>
        <w:jc w:val="both"/>
        <w:rPr>
          <w:sz w:val="22"/>
        </w:rPr>
      </w:pPr>
      <w:r>
        <w:rPr>
          <w:sz w:val="22"/>
        </w:rPr>
        <w:t>Yan, X., Zhang, W., Cheng, J., Wang, R., Kleemann, D. O., Zhu, X. and Jia, Z. (2008). Effects of chromium yeast on performance, insulin activity and lipid metabolism in lambs fed different dietary protein levels. Asian Aust. Journal of Animal Science. 21(6):853-860.</w:t>
      </w:r>
    </w:p>
    <w:p>
      <w:pPr>
        <w:spacing w:line="276" w:lineRule="auto" w:before="1"/>
        <w:ind w:left="920" w:right="111" w:hanging="281"/>
        <w:jc w:val="both"/>
        <w:rPr>
          <w:sz w:val="22"/>
        </w:rPr>
      </w:pPr>
      <w:r>
        <w:rPr>
          <w:sz w:val="22"/>
        </w:rPr>
        <w:t>Ziyad, T. A. (2013). Effect of different levels of chromium yeast on performance and some carcass characteristics of local Awassi lambs. International Journal of Advance Biological Research. 3(2):191-194.</w:t>
      </w:r>
    </w:p>
    <w:p>
      <w:pPr>
        <w:spacing w:after="0" w:line="276" w:lineRule="auto"/>
        <w:jc w:val="both"/>
        <w:rPr>
          <w:sz w:val="22"/>
        </w:rPr>
        <w:sectPr>
          <w:pgSz w:w="12240" w:h="15840"/>
          <w:pgMar w:header="1154" w:footer="1503" w:top="1620" w:bottom="1700" w:left="1660" w:right="1420"/>
        </w:sectPr>
      </w:pPr>
    </w:p>
    <w:p>
      <w:pPr>
        <w:pStyle w:val="BodyText"/>
        <w:spacing w:before="7"/>
        <w:rPr>
          <w:sz w:val="9"/>
        </w:rPr>
      </w:pPr>
    </w:p>
    <w:p>
      <w:pPr>
        <w:pStyle w:val="Heading1"/>
        <w:numPr>
          <w:ilvl w:val="0"/>
          <w:numId w:val="28"/>
        </w:numPr>
        <w:tabs>
          <w:tab w:pos="4531" w:val="left" w:leader="none"/>
        </w:tabs>
        <w:spacing w:line="240" w:lineRule="auto" w:before="69" w:after="0"/>
        <w:ind w:left="4530" w:right="0" w:hanging="361"/>
        <w:jc w:val="left"/>
      </w:pPr>
      <w:bookmarkStart w:name="_bookmark87" w:id="166"/>
      <w:bookmarkEnd w:id="166"/>
      <w:r>
        <w:rPr>
          <w:b w:val="0"/>
        </w:rPr>
      </w:r>
      <w:bookmarkStart w:name="_bookmark87" w:id="167"/>
      <w:bookmarkEnd w:id="167"/>
      <w:r>
        <w:rPr/>
        <w:t>A</w:t>
      </w:r>
      <w:r>
        <w:rPr/>
        <w:t>NEXOS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5"/>
        </w:rPr>
      </w:pPr>
      <w:r>
        <w:rPr/>
        <w:pict>
          <v:group style="position:absolute;margin-left:77.75pt;margin-top:10.832983pt;width:435.5pt;height:21.05pt;mso-position-horizontal-relative:page;mso-position-vertical-relative:paragraph;z-index:2344;mso-wrap-distance-left:0;mso-wrap-distance-right:0" coordorigin="1555,217" coordsize="8710,421">
            <v:line style="position:absolute" from="1565,392" to="10255,392" stroked="true" strokeweight="1pt" strokecolor="#808080"/>
            <v:shape style="position:absolute;left:5503;top:239;width:819;height:376" coordorigin="5503,239" coordsize="819,376" path="m6259,239l5566,239,5541,244,5521,258,5508,277,5503,302,5503,552,5508,577,5521,597,5541,610,5566,615,6259,615,6284,610,6304,597,6317,577,6322,552,6322,302,6317,277,6304,258,6284,244,6259,239xe" filled="true" fillcolor="#ffffff" stroked="false">
              <v:path arrowok="t"/>
              <v:fill type="solid"/>
            </v:shape>
            <v:shape style="position:absolute;left:5480;top:217;width:108;height:421" type="#_x0000_t75" stroked="false">
              <v:imagedata r:id="rId39" o:title=""/>
            </v:shape>
            <v:shape style="position:absolute;left:6237;top:217;width:108;height:421" type="#_x0000_t75" stroked="false">
              <v:imagedata r:id="rId101" o:title=""/>
            </v:shape>
            <v:shape style="position:absolute;left:5733;top:312;width:360;height:240" type="#_x0000_t202" filled="false" stroked="false">
              <v:textbox inset="0,0,0,0">
                <w:txbxContent>
                  <w:p>
                    <w:pPr>
                      <w:spacing w:line="240" w:lineRule="exact" w:before="0"/>
                      <w:ind w:left="0" w:right="-20" w:firstLine="0"/>
                      <w:jc w:val="left"/>
                      <w:rPr>
                        <w:sz w:val="24"/>
                      </w:rPr>
                    </w:pPr>
                    <w:r>
                      <w:rPr>
                        <w:sz w:val="24"/>
                      </w:rPr>
                      <w:t>155</w:t>
                    </w:r>
                  </w:p>
                </w:txbxContent>
              </v:textbox>
              <w10:wrap type="none"/>
            </v:shape>
            <w10:wrap type="topAndBottom"/>
          </v:group>
        </w:pict>
      </w:r>
    </w:p>
    <w:p>
      <w:pPr>
        <w:spacing w:after="0"/>
        <w:rPr>
          <w:sz w:val="15"/>
        </w:rPr>
        <w:sectPr>
          <w:headerReference w:type="default" r:id="rId107"/>
          <w:footerReference w:type="default" r:id="rId108"/>
          <w:pgSz w:w="12240" w:h="15840"/>
          <w:pgMar w:header="1154" w:footer="0" w:top="1620" w:bottom="280" w:left="1440" w:right="1420"/>
        </w:sectPr>
      </w:pPr>
    </w:p>
    <w:p>
      <w:pPr>
        <w:pStyle w:val="BodyText"/>
        <w:spacing w:before="4"/>
        <w:rPr>
          <w:b/>
          <w:sz w:val="9"/>
        </w:rPr>
      </w:pPr>
    </w:p>
    <w:p>
      <w:pPr>
        <w:pStyle w:val="Heading1"/>
        <w:spacing w:before="70"/>
        <w:ind w:left="232" w:right="138"/>
      </w:pPr>
      <w:r>
        <w:rPr/>
        <w:pict>
          <v:group style="position:absolute;margin-left:87.959999pt;margin-top:18.988001pt;width:452.8pt;height:578pt;mso-position-horizontal-relative:page;mso-position-vertical-relative:paragraph;z-index:2368;mso-wrap-distance-left:0;mso-wrap-distance-right:0" coordorigin="1759,380" coordsize="9056,11560">
            <v:shape style="position:absolute;left:1819;top:418;width:8996;height:11521" type="#_x0000_t75" stroked="false">
              <v:imagedata r:id="rId110" o:title=""/>
            </v:shape>
            <v:shape style="position:absolute;left:1759;top:380;width:8996;height:11521" type="#_x0000_t75" stroked="false">
              <v:imagedata r:id="rId111" o:title=""/>
            </v:shape>
            <w10:wrap type="topAndBottom"/>
          </v:group>
        </w:pict>
      </w:r>
      <w:r>
        <w:rPr/>
        <w:t>ANEXO 1</w:t>
      </w:r>
    </w:p>
    <w:p>
      <w:pPr>
        <w:spacing w:after="0"/>
        <w:sectPr>
          <w:footerReference w:type="default" r:id="rId109"/>
          <w:pgSz w:w="12240" w:h="15840"/>
          <w:pgMar w:footer="1503" w:header="1154" w:top="1620" w:bottom="1700" w:left="1640" w:right="1320"/>
          <w:pgNumType w:start="156"/>
        </w:sectPr>
      </w:pPr>
    </w:p>
    <w:p>
      <w:pPr>
        <w:pStyle w:val="BodyText"/>
        <w:spacing w:before="10"/>
      </w:pPr>
    </w:p>
    <w:p>
      <w:pPr>
        <w:pStyle w:val="BodyText"/>
        <w:ind w:left="268"/>
        <w:rPr>
          <w:sz w:val="20"/>
        </w:rPr>
      </w:pPr>
      <w:r>
        <w:rPr>
          <w:sz w:val="20"/>
        </w:rPr>
        <w:pict>
          <v:group style="width:436.85pt;height:597.3pt;mso-position-horizontal-relative:char;mso-position-vertical-relative:line" coordorigin="0,0" coordsize="8737,11946">
            <v:shape style="position:absolute;left:38;top:60;width:8698;height:11886" type="#_x0000_t75" stroked="false">
              <v:imagedata r:id="rId112" o:title=""/>
            </v:shape>
            <v:shape style="position:absolute;left:0;top:0;width:8693;height:11886" type="#_x0000_t75" stroked="false">
              <v:imagedata r:id="rId113" o:title=""/>
            </v:shape>
          </v:group>
        </w:pict>
      </w:r>
      <w:r>
        <w:rPr>
          <w:sz w:val="20"/>
        </w:rPr>
      </w:r>
    </w:p>
    <w:p>
      <w:pPr>
        <w:spacing w:after="0"/>
        <w:rPr>
          <w:sz w:val="20"/>
        </w:rPr>
        <w:sectPr>
          <w:pgSz w:w="12240" w:h="15840"/>
          <w:pgMar w:header="1154" w:footer="1503" w:top="1620" w:bottom="1700" w:left="1660" w:right="1420"/>
        </w:sectPr>
      </w:pPr>
    </w:p>
    <w:p>
      <w:pPr>
        <w:pStyle w:val="BodyText"/>
        <w:spacing w:before="2"/>
        <w:rPr>
          <w:sz w:val="17"/>
        </w:rPr>
      </w:pPr>
    </w:p>
    <w:p>
      <w:pPr>
        <w:pStyle w:val="BodyText"/>
        <w:ind w:left="283"/>
        <w:rPr>
          <w:sz w:val="20"/>
        </w:rPr>
      </w:pPr>
      <w:r>
        <w:rPr>
          <w:sz w:val="20"/>
        </w:rPr>
        <w:pict>
          <v:group style="width:435.1pt;height:606.1pt;mso-position-horizontal-relative:char;mso-position-vertical-relative:line" coordorigin="0,0" coordsize="8702,12122">
            <v:shape style="position:absolute;left:38;top:60;width:8663;height:12062" type="#_x0000_t75" stroked="false">
              <v:imagedata r:id="rId114" o:title=""/>
            </v:shape>
            <v:shape style="position:absolute;left:0;top:0;width:8663;height:12062" type="#_x0000_t75" stroked="false">
              <v:imagedata r:id="rId115" o:title=""/>
            </v:shape>
          </v:group>
        </w:pict>
      </w:r>
      <w:r>
        <w:rPr>
          <w:sz w:val="20"/>
        </w:rPr>
      </w:r>
    </w:p>
    <w:p>
      <w:pPr>
        <w:spacing w:after="0"/>
        <w:rPr>
          <w:sz w:val="20"/>
        </w:rPr>
        <w:sectPr>
          <w:pgSz w:w="12240" w:h="15840"/>
          <w:pgMar w:header="1154" w:footer="1503" w:top="1620" w:bottom="1700" w:left="1660" w:right="1420"/>
        </w:sectPr>
      </w:pPr>
    </w:p>
    <w:p>
      <w:pPr>
        <w:pStyle w:val="BodyText"/>
        <w:spacing w:before="10"/>
        <w:rPr>
          <w:sz w:val="15"/>
        </w:rPr>
      </w:pPr>
    </w:p>
    <w:p>
      <w:pPr>
        <w:pStyle w:val="BodyText"/>
        <w:ind w:left="279"/>
        <w:rPr>
          <w:sz w:val="20"/>
        </w:rPr>
      </w:pPr>
      <w:r>
        <w:rPr>
          <w:sz w:val="20"/>
        </w:rPr>
        <w:pict>
          <v:group style="width:435.6pt;height:607.9pt;mso-position-horizontal-relative:char;mso-position-vertical-relative:line" coordorigin="0,0" coordsize="8712,12158">
            <v:shape style="position:absolute;left:60;top:38;width:8652;height:12119" type="#_x0000_t75" stroked="false">
              <v:imagedata r:id="rId116" o:title=""/>
            </v:shape>
            <v:shape style="position:absolute;left:0;top:0;width:8642;height:12119" type="#_x0000_t75" stroked="false">
              <v:imagedata r:id="rId117" o:title=""/>
            </v:shape>
          </v:group>
        </w:pict>
      </w:r>
      <w:r>
        <w:rPr>
          <w:sz w:val="20"/>
        </w:rPr>
      </w:r>
    </w:p>
    <w:p>
      <w:pPr>
        <w:spacing w:after="0"/>
        <w:rPr>
          <w:sz w:val="20"/>
        </w:rPr>
        <w:sectPr>
          <w:pgSz w:w="12240" w:h="15840"/>
          <w:pgMar w:header="1154" w:footer="1503" w:top="1620" w:bottom="1700" w:left="1660" w:right="1420"/>
        </w:sectPr>
      </w:pPr>
    </w:p>
    <w:p>
      <w:pPr>
        <w:pStyle w:val="BodyText"/>
        <w:spacing w:before="2"/>
        <w:rPr>
          <w:sz w:val="16"/>
        </w:rPr>
      </w:pPr>
    </w:p>
    <w:p>
      <w:pPr>
        <w:pStyle w:val="BodyText"/>
        <w:ind w:left="304"/>
        <w:rPr>
          <w:sz w:val="20"/>
        </w:rPr>
      </w:pPr>
      <w:r>
        <w:rPr>
          <w:sz w:val="20"/>
        </w:rPr>
        <w:pict>
          <v:group style="width:432.9pt;height:607.85pt;mso-position-horizontal-relative:char;mso-position-vertical-relative:line" coordorigin="0,0" coordsize="8658,12157">
            <v:shape style="position:absolute;left:38;top:60;width:8619;height:12096" type="#_x0000_t75" stroked="false">
              <v:imagedata r:id="rId118" o:title=""/>
            </v:shape>
            <v:shape style="position:absolute;left:0;top:0;width:8619;height:12096" type="#_x0000_t75" stroked="false">
              <v:imagedata r:id="rId119" o:title=""/>
            </v:shape>
          </v:group>
        </w:pict>
      </w:r>
      <w:r>
        <w:rPr>
          <w:sz w:val="20"/>
        </w:rPr>
      </w:r>
    </w:p>
    <w:p>
      <w:pPr>
        <w:spacing w:after="0"/>
        <w:rPr>
          <w:sz w:val="20"/>
        </w:rPr>
        <w:sectPr>
          <w:pgSz w:w="12240" w:h="15840"/>
          <w:pgMar w:header="1154" w:footer="1503" w:top="1620" w:bottom="1700" w:left="1660" w:right="1420"/>
        </w:sectPr>
      </w:pPr>
    </w:p>
    <w:p>
      <w:pPr>
        <w:pStyle w:val="BodyText"/>
        <w:spacing w:before="3"/>
        <w:rPr>
          <w:sz w:val="9"/>
        </w:rPr>
      </w:pPr>
    </w:p>
    <w:p>
      <w:pPr>
        <w:pStyle w:val="BodyText"/>
        <w:ind w:left="104"/>
        <w:rPr>
          <w:sz w:val="20"/>
        </w:rPr>
      </w:pPr>
      <w:r>
        <w:rPr>
          <w:sz w:val="20"/>
        </w:rPr>
        <w:pict>
          <v:group style="width:454.45pt;height:615.1pt;mso-position-horizontal-relative:char;mso-position-vertical-relative:line" coordorigin="0,0" coordsize="9089,12302">
            <v:shape style="position:absolute;left:60;top:38;width:9029;height:12263" type="#_x0000_t75" stroked="false">
              <v:imagedata r:id="rId120" o:title=""/>
            </v:shape>
            <v:shape style="position:absolute;left:0;top:0;width:9020;height:12263" type="#_x0000_t75" stroked="false">
              <v:imagedata r:id="rId121" o:title=""/>
            </v:shape>
          </v:group>
        </w:pict>
      </w:r>
      <w:r>
        <w:rPr>
          <w:sz w:val="20"/>
        </w:rPr>
      </w:r>
    </w:p>
    <w:p>
      <w:pPr>
        <w:spacing w:after="0"/>
        <w:rPr>
          <w:sz w:val="20"/>
        </w:rPr>
        <w:sectPr>
          <w:pgSz w:w="12240" w:h="15840"/>
          <w:pgMar w:header="1154" w:footer="1503" w:top="1620" w:bottom="1700" w:left="1640" w:right="1300"/>
        </w:sectPr>
      </w:pPr>
    </w:p>
    <w:p>
      <w:pPr>
        <w:pStyle w:val="BodyText"/>
        <w:rPr>
          <w:sz w:val="20"/>
        </w:rPr>
      </w:pPr>
      <w:r>
        <w:rPr/>
        <w:pict>
          <v:group style="position:absolute;margin-left:81.209991pt;margin-top:83.817757pt;width:466.6pt;height:641.15pt;mso-position-horizontal-relative:page;mso-position-vertical-relative:page;z-index:-203392" coordorigin="1624,1676" coordsize="9332,12823">
            <v:line style="position:absolute" from="1775,14250" to="10465,14250" stroked="true" strokeweight="1pt" strokecolor="#808080"/>
            <v:shape style="position:absolute;left:5715;top:14100;width:826;height:376" coordorigin="5715,14100" coordsize="826,376" path="m6478,14100l5778,14100,5753,14105,5733,14118,5720,14138,5715,14163,5715,14413,5720,14438,5733,14458,5753,14471,5778,14476,6478,14476,6503,14471,6523,14458,6536,14438,6541,14413,6541,14163,6536,14138,6523,14118,6503,14105,6478,14100xe" filled="true" fillcolor="#ffffff" stroked="false">
              <v:path arrowok="t"/>
              <v:fill type="solid"/>
            </v:shape>
            <v:shape style="position:absolute;left:5693;top:14078;width:108;height:421" type="#_x0000_t75" stroked="false">
              <v:imagedata r:id="rId39" o:title=""/>
            </v:shape>
            <v:shape style="position:absolute;left:6456;top:14078;width:108;height:421" type="#_x0000_t75" stroked="false">
              <v:imagedata r:id="rId101" o:title=""/>
            </v:shape>
            <v:shape style="position:absolute;left:1703;top:1715;width:9252;height:12399" type="#_x0000_t75" stroked="false">
              <v:imagedata r:id="rId124" o:title=""/>
            </v:shape>
            <v:shape style="position:absolute;left:1624;top:1676;width:9252;height:12399" type="#_x0000_t75" stroked="false">
              <v:imagedata r:id="rId125"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before="69"/>
        <w:ind w:left="4410" w:right="4730"/>
        <w:jc w:val="center"/>
      </w:pPr>
      <w:r>
        <w:rPr/>
        <w:t>162</w:t>
      </w:r>
    </w:p>
    <w:p>
      <w:pPr>
        <w:spacing w:after="0"/>
        <w:jc w:val="center"/>
        <w:sectPr>
          <w:headerReference w:type="default" r:id="rId122"/>
          <w:footerReference w:type="default" r:id="rId123"/>
          <w:pgSz w:w="12240" w:h="15840"/>
          <w:pgMar w:header="1154" w:footer="0" w:top="1620" w:bottom="280" w:left="1520" w:right="1180"/>
        </w:sectPr>
      </w:pPr>
    </w:p>
    <w:p>
      <w:pPr>
        <w:pStyle w:val="BodyText"/>
        <w:spacing w:before="7"/>
        <w:rPr>
          <w:sz w:val="19"/>
        </w:rPr>
      </w:pPr>
    </w:p>
    <w:p>
      <w:pPr>
        <w:pStyle w:val="BodyText"/>
        <w:ind w:left="104"/>
        <w:rPr>
          <w:sz w:val="20"/>
        </w:rPr>
      </w:pPr>
      <w:r>
        <w:rPr>
          <w:sz w:val="20"/>
        </w:rPr>
        <w:pict>
          <v:group style="width:461.1pt;height:603.550pt;mso-position-horizontal-relative:char;mso-position-vertical-relative:line" coordorigin="0,0" coordsize="9222,12071">
            <v:shape style="position:absolute;left:60;top:38;width:9162;height:12032" type="#_x0000_t75" stroked="false">
              <v:imagedata r:id="rId127" o:title=""/>
            </v:shape>
            <v:shape style="position:absolute;left:0;top:0;width:9162;height:12032" type="#_x0000_t75" stroked="false">
              <v:imagedata r:id="rId128" o:title=""/>
            </v:shape>
          </v:group>
        </w:pict>
      </w:r>
      <w:r>
        <w:rPr>
          <w:sz w:val="20"/>
        </w:rPr>
      </w:r>
    </w:p>
    <w:p>
      <w:pPr>
        <w:spacing w:after="0"/>
        <w:rPr>
          <w:sz w:val="20"/>
        </w:rPr>
        <w:sectPr>
          <w:footerReference w:type="default" r:id="rId126"/>
          <w:pgSz w:w="12240" w:h="15840"/>
          <w:pgMar w:footer="1503" w:header="1154" w:top="1620" w:bottom="1700" w:left="1580" w:right="1220"/>
          <w:pgNumType w:start="163"/>
        </w:sectPr>
      </w:pPr>
    </w:p>
    <w:p>
      <w:pPr>
        <w:pStyle w:val="BodyText"/>
        <w:spacing w:before="4"/>
        <w:rPr>
          <w:sz w:val="9"/>
        </w:rPr>
      </w:pPr>
    </w:p>
    <w:p>
      <w:pPr>
        <w:pStyle w:val="BodyText"/>
        <w:ind w:left="107"/>
        <w:rPr>
          <w:sz w:val="20"/>
        </w:rPr>
      </w:pPr>
      <w:r>
        <w:rPr>
          <w:sz w:val="20"/>
        </w:rPr>
        <w:pict>
          <v:group style="width:452.1pt;height:615.3pt;mso-position-horizontal-relative:char;mso-position-vertical-relative:line" coordorigin="0,0" coordsize="9042,12306">
            <v:shape style="position:absolute;left:60;top:38;width:8981;height:12267" type="#_x0000_t75" stroked="false">
              <v:imagedata r:id="rId129" o:title=""/>
            </v:shape>
            <v:shape style="position:absolute;left:0;top:0;width:8971;height:12267" type="#_x0000_t75" stroked="false">
              <v:imagedata r:id="rId130" o:title=""/>
            </v:shape>
          </v:group>
        </w:pict>
      </w:r>
      <w:r>
        <w:rPr>
          <w:sz w:val="20"/>
        </w:rPr>
      </w:r>
    </w:p>
    <w:p>
      <w:pPr>
        <w:spacing w:after="0"/>
        <w:rPr>
          <w:sz w:val="20"/>
        </w:rPr>
        <w:sectPr>
          <w:pgSz w:w="12240" w:h="15840"/>
          <w:pgMar w:header="1154" w:footer="1503" w:top="1620" w:bottom="1700" w:left="1660" w:right="1320"/>
        </w:sectPr>
      </w:pPr>
    </w:p>
    <w:p>
      <w:pPr>
        <w:pStyle w:val="BodyText"/>
        <w:spacing w:before="2"/>
        <w:rPr>
          <w:sz w:val="11"/>
        </w:rPr>
      </w:pPr>
    </w:p>
    <w:p>
      <w:pPr>
        <w:pStyle w:val="BodyText"/>
        <w:ind w:left="304"/>
        <w:rPr>
          <w:sz w:val="20"/>
        </w:rPr>
      </w:pPr>
      <w:r>
        <w:rPr>
          <w:sz w:val="20"/>
        </w:rPr>
        <w:pict>
          <v:group style="width:433.3pt;height:613.65pt;mso-position-horizontal-relative:char;mso-position-vertical-relative:line" coordorigin="0,0" coordsize="8666,12273">
            <v:shape style="position:absolute;left:60;top:38;width:8605;height:12234" type="#_x0000_t75" stroked="false">
              <v:imagedata r:id="rId131" o:title=""/>
            </v:shape>
            <v:shape style="position:absolute;left:0;top:0;width:8605;height:12234" type="#_x0000_t75" stroked="false">
              <v:imagedata r:id="rId132" o:title=""/>
            </v:shape>
          </v:group>
        </w:pict>
      </w:r>
      <w:r>
        <w:rPr>
          <w:sz w:val="20"/>
        </w:rPr>
      </w:r>
    </w:p>
    <w:p>
      <w:pPr>
        <w:spacing w:after="0"/>
        <w:rPr>
          <w:sz w:val="20"/>
        </w:rPr>
        <w:sectPr>
          <w:pgSz w:w="12240" w:h="15840"/>
          <w:pgMar w:header="1154" w:footer="1503" w:top="1620" w:bottom="1700" w:left="1660" w:right="1420"/>
        </w:sectPr>
      </w:pPr>
    </w:p>
    <w:p>
      <w:pPr>
        <w:pStyle w:val="BodyText"/>
        <w:rPr>
          <w:sz w:val="20"/>
        </w:rPr>
      </w:pPr>
      <w:r>
        <w:rPr/>
        <w:pict>
          <v:group style="position:absolute;margin-left:88.25pt;margin-top:85.309486pt;width:448.5pt;height:639.65pt;mso-position-horizontal-relative:page;mso-position-vertical-relative:page;z-index:-203296" coordorigin="1765,1706" coordsize="8970,12793">
            <v:line style="position:absolute" from="1775,14250" to="10465,14250" stroked="true" strokeweight="1pt" strokecolor="#808080"/>
            <v:shape style="position:absolute;left:5715;top:14100;width:826;height:376" coordorigin="5715,14100" coordsize="826,376" path="m6478,14100l5778,14100,5753,14105,5733,14118,5720,14138,5715,14163,5715,14413,5720,14438,5733,14458,5753,14471,5778,14476,6478,14476,6503,14471,6523,14458,6536,14438,6541,14413,6541,14163,6536,14138,6523,14118,6503,14105,6478,14100xe" filled="true" fillcolor="#ffffff" stroked="false">
              <v:path arrowok="t"/>
              <v:fill type="solid"/>
            </v:shape>
            <v:shape style="position:absolute;left:5693;top:14077;width:108;height:421" type="#_x0000_t75" stroked="false">
              <v:imagedata r:id="rId39" o:title=""/>
            </v:shape>
            <v:shape style="position:absolute;left:6456;top:14077;width:108;height:421" type="#_x0000_t75" stroked="false">
              <v:imagedata r:id="rId101" o:title=""/>
            </v:shape>
            <v:shape style="position:absolute;left:1893;top:1766;width:8842;height:12316" type="#_x0000_t75" stroked="false">
              <v:imagedata r:id="rId135" o:title=""/>
            </v:shape>
            <v:shape style="position:absolute;left:1854;top:1706;width:8837;height:12316" type="#_x0000_t75" stroked="false">
              <v:imagedata r:id="rId136"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before="69"/>
        <w:ind w:left="4270" w:right="4510"/>
        <w:jc w:val="center"/>
      </w:pPr>
      <w:r>
        <w:rPr/>
        <w:t>166</w:t>
      </w:r>
    </w:p>
    <w:p>
      <w:pPr>
        <w:spacing w:after="0"/>
        <w:jc w:val="center"/>
        <w:sectPr>
          <w:headerReference w:type="default" r:id="rId133"/>
          <w:footerReference w:type="default" r:id="rId134"/>
          <w:pgSz w:w="12240" w:h="15840"/>
          <w:pgMar w:header="1154" w:footer="0" w:top="1620" w:bottom="280" w:left="1660" w:right="1400"/>
        </w:sectPr>
      </w:pPr>
    </w:p>
    <w:p>
      <w:pPr>
        <w:pStyle w:val="BodyText"/>
        <w:rPr>
          <w:sz w:val="20"/>
        </w:rPr>
      </w:pPr>
      <w:r>
        <w:rPr/>
        <w:pict>
          <v:group style="position:absolute;margin-left:88.25pt;margin-top:83.365143pt;width:452.3pt;height:641.6pt;mso-position-horizontal-relative:page;mso-position-vertical-relative:page;z-index:-203272" coordorigin="1765,1667" coordsize="9046,12832">
            <v:line style="position:absolute" from="1775,14250" to="10465,14250" stroked="true" strokeweight="1pt" strokecolor="#808080"/>
            <v:shape style="position:absolute;left:5715;top:14100;width:826;height:376" coordorigin="5715,14100" coordsize="826,376" path="m6478,14100l5778,14100,5753,14105,5733,14118,5720,14138,5715,14163,5715,14413,5720,14438,5733,14458,5753,14471,5778,14476,6478,14476,6503,14471,6523,14458,6536,14438,6541,14413,6541,14163,6536,14138,6523,14118,6503,14105,6478,14100xe" filled="true" fillcolor="#ffffff" stroked="false">
              <v:path arrowok="t"/>
              <v:fill type="solid"/>
            </v:shape>
            <v:shape style="position:absolute;left:5693;top:14078;width:108;height:421" type="#_x0000_t75" stroked="false">
              <v:imagedata r:id="rId39" o:title=""/>
            </v:shape>
            <v:shape style="position:absolute;left:6456;top:14078;width:108;height:421" type="#_x0000_t75" stroked="false">
              <v:imagedata r:id="rId101" o:title=""/>
            </v:shape>
            <v:shape style="position:absolute;left:1833;top:1706;width:8977;height:12429" type="#_x0000_t75" stroked="false">
              <v:imagedata r:id="rId139" o:title=""/>
            </v:shape>
            <v:shape style="position:absolute;left:1773;top:1667;width:8967;height:12429" type="#_x0000_t75" stroked="false">
              <v:imagedata r:id="rId140"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before="69"/>
        <w:ind w:left="4270" w:right="4590"/>
        <w:jc w:val="center"/>
      </w:pPr>
      <w:r>
        <w:rPr/>
        <w:t>167</w:t>
      </w:r>
    </w:p>
    <w:p>
      <w:pPr>
        <w:spacing w:after="0"/>
        <w:jc w:val="center"/>
        <w:sectPr>
          <w:headerReference w:type="default" r:id="rId137"/>
          <w:footerReference w:type="default" r:id="rId138"/>
          <w:pgSz w:w="12240" w:h="15840"/>
          <w:pgMar w:header="1154" w:footer="0" w:top="1620" w:bottom="280" w:left="1660" w:right="1320"/>
        </w:sectPr>
      </w:pPr>
    </w:p>
    <w:p>
      <w:pPr>
        <w:pStyle w:val="BodyText"/>
        <w:spacing w:before="7"/>
        <w:rPr>
          <w:sz w:val="9"/>
        </w:rPr>
      </w:pPr>
    </w:p>
    <w:p>
      <w:pPr>
        <w:pStyle w:val="Heading1"/>
        <w:ind w:left="212"/>
      </w:pPr>
      <w:bookmarkStart w:name="_bookmark88" w:id="168"/>
      <w:bookmarkEnd w:id="168"/>
      <w:r>
        <w:rPr>
          <w:b w:val="0"/>
        </w:rPr>
      </w:r>
      <w:r>
        <w:rPr/>
        <w:t>ANEXO 2</w:t>
      </w:r>
    </w:p>
    <w:p>
      <w:pPr>
        <w:pStyle w:val="BodyText"/>
        <w:spacing w:before="1"/>
        <w:rPr>
          <w:b/>
        </w:rPr>
      </w:pPr>
      <w:r>
        <w:rPr/>
        <w:pict>
          <v:group style="position:absolute;margin-left:102.159996pt;margin-top:15.822694pt;width:425.55pt;height:446.7pt;mso-position-horizontal-relative:page;mso-position-vertical-relative:paragraph;z-index:2656;mso-wrap-distance-left:0;mso-wrap-distance-right:0" coordorigin="2043,316" coordsize="8511,8934">
            <v:shape style="position:absolute;left:2103;top:355;width:8450;height:8895" type="#_x0000_t75" stroked="false">
              <v:imagedata r:id="rId142" o:title=""/>
            </v:shape>
            <v:shape style="position:absolute;left:2043;top:316;width:8450;height:8895" type="#_x0000_t75" stroked="false">
              <v:imagedata r:id="rId143" o:title=""/>
            </v:shape>
            <w10:wrap type="topAndBottom"/>
          </v:group>
        </w:pict>
      </w:r>
    </w:p>
    <w:p>
      <w:pPr>
        <w:spacing w:after="0"/>
        <w:sectPr>
          <w:footerReference w:type="default" r:id="rId141"/>
          <w:pgSz w:w="12240" w:h="15840"/>
          <w:pgMar w:footer="1503" w:header="1154" w:top="1620" w:bottom="1700" w:left="1660" w:right="1420"/>
          <w:pgNumType w:start="168"/>
        </w:sectPr>
      </w:pPr>
    </w:p>
    <w:p>
      <w:pPr>
        <w:pStyle w:val="BodyText"/>
        <w:spacing w:before="7"/>
        <w:rPr>
          <w:sz w:val="14"/>
        </w:rPr>
      </w:pPr>
    </w:p>
    <w:p>
      <w:pPr>
        <w:pStyle w:val="BodyText"/>
        <w:ind w:left="109"/>
        <w:rPr>
          <w:sz w:val="20"/>
        </w:rPr>
      </w:pPr>
      <w:r>
        <w:rPr>
          <w:sz w:val="20"/>
        </w:rPr>
        <w:pict>
          <v:group style="width:456.6pt;height:609.050pt;mso-position-horizontal-relative:char;mso-position-vertical-relative:line" coordorigin="0,0" coordsize="9132,12181">
            <v:shape style="position:absolute;left:60;top:38;width:9072;height:12143" type="#_x0000_t75" stroked="false">
              <v:imagedata r:id="rId144" o:title=""/>
            </v:shape>
            <v:shape style="position:absolute;left:0;top:0;width:9072;height:12143" type="#_x0000_t75" stroked="false">
              <v:imagedata r:id="rId145" o:title=""/>
            </v:shape>
          </v:group>
        </w:pict>
      </w:r>
      <w:r>
        <w:rPr>
          <w:sz w:val="20"/>
        </w:rPr>
      </w:r>
    </w:p>
    <w:p>
      <w:pPr>
        <w:spacing w:after="0"/>
        <w:rPr>
          <w:sz w:val="20"/>
        </w:rPr>
        <w:sectPr>
          <w:pgSz w:w="12240" w:h="15840"/>
          <w:pgMar w:header="1154" w:footer="1503" w:top="1620" w:bottom="1700" w:left="1620" w:right="1260"/>
        </w:sectPr>
      </w:pPr>
    </w:p>
    <w:p>
      <w:pPr>
        <w:pStyle w:val="BodyText"/>
        <w:spacing w:before="10"/>
        <w:rPr>
          <w:sz w:val="13"/>
        </w:rPr>
      </w:pPr>
    </w:p>
    <w:p>
      <w:pPr>
        <w:pStyle w:val="BodyText"/>
        <w:ind w:left="116"/>
        <w:rPr>
          <w:sz w:val="20"/>
        </w:rPr>
      </w:pPr>
      <w:r>
        <w:rPr>
          <w:sz w:val="20"/>
        </w:rPr>
        <w:pict>
          <v:group style="width:459.45pt;height:590.35pt;mso-position-horizontal-relative:char;mso-position-vertical-relative:line" coordorigin="0,0" coordsize="9189,11807">
            <v:shape style="position:absolute;left:60;top:19;width:9129;height:11787" type="#_x0000_t75" stroked="false">
              <v:imagedata r:id="rId146" o:title=""/>
            </v:shape>
            <v:shape style="position:absolute;left:0;top:0;width:9129;height:11787" type="#_x0000_t75" stroked="false">
              <v:imagedata r:id="rId147" o:title=""/>
            </v:shape>
          </v:group>
        </w:pict>
      </w:r>
      <w:r>
        <w:rPr>
          <w:sz w:val="20"/>
        </w:rPr>
      </w:r>
    </w:p>
    <w:p>
      <w:pPr>
        <w:spacing w:after="0"/>
        <w:rPr>
          <w:sz w:val="20"/>
        </w:rPr>
        <w:sectPr>
          <w:pgSz w:w="12240" w:h="15840"/>
          <w:pgMar w:header="1154" w:footer="1503" w:top="1620" w:bottom="1700" w:left="1480" w:right="1340"/>
        </w:sectPr>
      </w:pPr>
    </w:p>
    <w:p>
      <w:pPr>
        <w:pStyle w:val="BodyText"/>
        <w:spacing w:before="6" w:after="1"/>
        <w:rPr>
          <w:sz w:val="10"/>
        </w:rPr>
      </w:pPr>
    </w:p>
    <w:p>
      <w:pPr>
        <w:pStyle w:val="BodyText"/>
        <w:ind w:left="106"/>
        <w:rPr>
          <w:sz w:val="20"/>
        </w:rPr>
      </w:pPr>
      <w:r>
        <w:rPr>
          <w:sz w:val="20"/>
        </w:rPr>
        <w:pict>
          <v:group style="width:468.95pt;height:594.5pt;mso-position-horizontal-relative:char;mso-position-vertical-relative:line" coordorigin="0,0" coordsize="9379,11890">
            <v:shape style="position:absolute;left:60;top:19;width:9319;height:11870" type="#_x0000_t75" stroked="false">
              <v:imagedata r:id="rId148" o:title=""/>
            </v:shape>
            <v:shape style="position:absolute;left:0;top:0;width:9265;height:11870" type="#_x0000_t75" stroked="false">
              <v:imagedata r:id="rId149" o:title=""/>
            </v:shape>
          </v:group>
        </w:pict>
      </w:r>
      <w:r>
        <w:rPr>
          <w:sz w:val="20"/>
        </w:rPr>
      </w:r>
    </w:p>
    <w:p>
      <w:pPr>
        <w:spacing w:after="0"/>
        <w:rPr>
          <w:sz w:val="20"/>
        </w:rPr>
        <w:sectPr>
          <w:pgSz w:w="12240" w:h="15840"/>
          <w:pgMar w:header="1154" w:footer="1503" w:top="1620" w:bottom="1700" w:left="1500" w:right="1140"/>
        </w:sectPr>
      </w:pPr>
    </w:p>
    <w:p>
      <w:pPr>
        <w:pStyle w:val="BodyText"/>
        <w:spacing w:before="9"/>
        <w:rPr>
          <w:sz w:val="27"/>
        </w:rPr>
      </w:pPr>
    </w:p>
    <w:p>
      <w:pPr>
        <w:pStyle w:val="BodyText"/>
        <w:ind w:left="107"/>
        <w:rPr>
          <w:sz w:val="20"/>
        </w:rPr>
      </w:pPr>
      <w:r>
        <w:rPr>
          <w:sz w:val="20"/>
        </w:rPr>
        <w:pict>
          <v:group style="width:454.15pt;height:575.1pt;mso-position-horizontal-relative:char;mso-position-vertical-relative:line" coordorigin="0,0" coordsize="9083,11502">
            <v:shape style="position:absolute;left:60;top:79;width:9023;height:11422" type="#_x0000_t75" stroked="false">
              <v:imagedata r:id="rId150" o:title=""/>
            </v:shape>
            <v:shape style="position:absolute;left:0;top:0;width:9023;height:11422" type="#_x0000_t75" stroked="false">
              <v:imagedata r:id="rId151" o:title=""/>
            </v:shape>
          </v:group>
        </w:pict>
      </w:r>
      <w:r>
        <w:rPr>
          <w:sz w:val="20"/>
        </w:rPr>
      </w:r>
    </w:p>
    <w:p>
      <w:pPr>
        <w:spacing w:after="0"/>
        <w:rPr>
          <w:sz w:val="20"/>
        </w:rPr>
        <w:sectPr>
          <w:pgSz w:w="12240" w:h="15840"/>
          <w:pgMar w:header="1154" w:footer="1503" w:top="1620" w:bottom="1700" w:left="1520" w:right="1420"/>
        </w:sectPr>
      </w:pPr>
    </w:p>
    <w:p>
      <w:pPr>
        <w:pStyle w:val="BodyText"/>
        <w:rPr>
          <w:sz w:val="20"/>
        </w:rPr>
      </w:pPr>
    </w:p>
    <w:p>
      <w:pPr>
        <w:pStyle w:val="BodyText"/>
        <w:spacing w:before="9"/>
        <w:rPr>
          <w:sz w:val="14"/>
        </w:rPr>
      </w:pPr>
    </w:p>
    <w:p>
      <w:pPr>
        <w:pStyle w:val="BodyText"/>
        <w:ind w:left="114"/>
        <w:rPr>
          <w:sz w:val="20"/>
        </w:rPr>
      </w:pPr>
      <w:r>
        <w:rPr>
          <w:sz w:val="20"/>
        </w:rPr>
        <w:pict>
          <v:group style="width:455.85pt;height:562.3pt;mso-position-horizontal-relative:char;mso-position-vertical-relative:line" coordorigin="0,0" coordsize="9117,11246">
            <v:shape style="position:absolute;left:38;top:60;width:9078;height:11186" type="#_x0000_t75" stroked="false">
              <v:imagedata r:id="rId152" o:title=""/>
            </v:shape>
            <v:shape style="position:absolute;left:0;top:0;width:9050;height:11186" type="#_x0000_t75" stroked="false">
              <v:imagedata r:id="rId153" o:title=""/>
            </v:shape>
          </v:group>
        </w:pict>
      </w:r>
      <w:r>
        <w:rPr>
          <w:sz w:val="20"/>
        </w:rPr>
      </w:r>
    </w:p>
    <w:p>
      <w:pPr>
        <w:spacing w:after="0"/>
        <w:rPr>
          <w:sz w:val="20"/>
        </w:rPr>
        <w:sectPr>
          <w:pgSz w:w="12240" w:h="15840"/>
          <w:pgMar w:header="1154" w:footer="1503" w:top="1620" w:bottom="1700" w:left="1520" w:right="1380"/>
        </w:sectPr>
      </w:pPr>
    </w:p>
    <w:p>
      <w:pPr>
        <w:pStyle w:val="BodyText"/>
        <w:spacing w:before="9"/>
        <w:rPr>
          <w:sz w:val="17"/>
        </w:rPr>
      </w:pPr>
    </w:p>
    <w:p>
      <w:pPr>
        <w:pStyle w:val="BodyText"/>
        <w:ind w:left="105"/>
        <w:rPr>
          <w:sz w:val="20"/>
        </w:rPr>
      </w:pPr>
      <w:r>
        <w:rPr>
          <w:sz w:val="20"/>
        </w:rPr>
        <w:pict>
          <v:group style="width:465.15pt;height:573.2pt;mso-position-horizontal-relative:char;mso-position-vertical-relative:line" coordorigin="0,0" coordsize="9303,11464">
            <v:shape style="position:absolute;left:38;top:79;width:9264;height:11384" type="#_x0000_t75" stroked="false">
              <v:imagedata r:id="rId154" o:title=""/>
            </v:shape>
            <v:shape style="position:absolute;left:0;top:0;width:9235;height:11384" type="#_x0000_t75" stroked="false">
              <v:imagedata r:id="rId155" o:title=""/>
            </v:shape>
          </v:group>
        </w:pict>
      </w:r>
      <w:r>
        <w:rPr>
          <w:sz w:val="20"/>
        </w:rPr>
      </w:r>
    </w:p>
    <w:p>
      <w:pPr>
        <w:spacing w:after="0"/>
        <w:rPr>
          <w:sz w:val="20"/>
        </w:rPr>
        <w:sectPr>
          <w:pgSz w:w="12240" w:h="15840"/>
          <w:pgMar w:header="1154" w:footer="1503" w:top="1620" w:bottom="1700" w:left="1340" w:right="1380"/>
        </w:sectPr>
      </w:pPr>
    </w:p>
    <w:p>
      <w:pPr>
        <w:pStyle w:val="BodyText"/>
        <w:spacing w:before="5"/>
        <w:rPr>
          <w:sz w:val="23"/>
        </w:rPr>
      </w:pPr>
    </w:p>
    <w:p>
      <w:pPr>
        <w:pStyle w:val="BodyText"/>
        <w:ind w:left="111"/>
        <w:rPr>
          <w:sz w:val="20"/>
        </w:rPr>
      </w:pPr>
      <w:r>
        <w:rPr>
          <w:sz w:val="20"/>
        </w:rPr>
        <w:pict>
          <v:group style="width:464.35pt;height:599.3pt;mso-position-horizontal-relative:char;mso-position-vertical-relative:line" coordorigin="0,0" coordsize="9287,11986">
            <v:shape style="position:absolute;left:38;top:60;width:9248;height:11926" type="#_x0000_t75" stroked="false">
              <v:imagedata r:id="rId156" o:title=""/>
            </v:shape>
            <v:shape style="position:absolute;left:0;top:0;width:9248;height:11926" type="#_x0000_t75" stroked="false">
              <v:imagedata r:id="rId157" o:title=""/>
            </v:shape>
          </v:group>
        </w:pict>
      </w:r>
      <w:r>
        <w:rPr>
          <w:sz w:val="20"/>
        </w:rPr>
      </w:r>
    </w:p>
    <w:p>
      <w:pPr>
        <w:spacing w:after="0"/>
        <w:rPr>
          <w:sz w:val="20"/>
        </w:rPr>
        <w:sectPr>
          <w:pgSz w:w="12240" w:h="15840"/>
          <w:pgMar w:header="1154" w:footer="1503" w:top="1620" w:bottom="1700" w:left="1540" w:right="1200"/>
        </w:sectPr>
      </w:pPr>
    </w:p>
    <w:p>
      <w:pPr>
        <w:pStyle w:val="BodyText"/>
        <w:spacing w:before="10"/>
        <w:rPr>
          <w:sz w:val="14"/>
        </w:rPr>
      </w:pPr>
    </w:p>
    <w:p>
      <w:pPr>
        <w:pStyle w:val="BodyText"/>
        <w:ind w:left="114"/>
        <w:rPr>
          <w:sz w:val="20"/>
        </w:rPr>
      </w:pPr>
      <w:r>
        <w:rPr>
          <w:sz w:val="20"/>
        </w:rPr>
        <w:pict>
          <v:group style="width:475.55pt;height:596.2pt;mso-position-horizontal-relative:char;mso-position-vertical-relative:line" coordorigin="0,0" coordsize="9511,11924">
            <v:shape style="position:absolute;left:38;top:60;width:9472;height:11864" type="#_x0000_t75" stroked="false">
              <v:imagedata r:id="rId158" o:title=""/>
            </v:shape>
            <v:shape style="position:absolute;left:0;top:0;width:9443;height:11864" type="#_x0000_t75" stroked="false">
              <v:imagedata r:id="rId159" o:title=""/>
            </v:shape>
          </v:group>
        </w:pict>
      </w:r>
      <w:r>
        <w:rPr>
          <w:sz w:val="20"/>
        </w:rPr>
      </w:r>
    </w:p>
    <w:p>
      <w:pPr>
        <w:spacing w:after="0"/>
        <w:rPr>
          <w:sz w:val="20"/>
        </w:rPr>
        <w:sectPr>
          <w:pgSz w:w="12240" w:h="15840"/>
          <w:pgMar w:header="1154" w:footer="1503" w:top="1620" w:bottom="1700" w:left="1320" w:right="1180"/>
        </w:sectPr>
      </w:pPr>
    </w:p>
    <w:p>
      <w:pPr>
        <w:pStyle w:val="BodyText"/>
        <w:spacing w:before="3"/>
        <w:rPr>
          <w:sz w:val="26"/>
        </w:rPr>
      </w:pPr>
    </w:p>
    <w:p>
      <w:pPr>
        <w:pStyle w:val="BodyText"/>
        <w:ind w:left="113"/>
        <w:rPr>
          <w:sz w:val="20"/>
        </w:rPr>
      </w:pPr>
      <w:r>
        <w:rPr>
          <w:sz w:val="20"/>
        </w:rPr>
        <w:pict>
          <v:group style="width:464.85pt;height:551.1pt;mso-position-horizontal-relative:char;mso-position-vertical-relative:line" coordorigin="0,0" coordsize="9297,11022">
            <v:shape style="position:absolute;left:38;top:60;width:9258;height:10962" type="#_x0000_t75" stroked="false">
              <v:imagedata r:id="rId160" o:title=""/>
            </v:shape>
            <v:shape style="position:absolute;left:0;top:0;width:9258;height:10962" type="#_x0000_t75" stroked="false">
              <v:imagedata r:id="rId161" o:title=""/>
            </v:shape>
          </v:group>
        </w:pict>
      </w:r>
      <w:r>
        <w:rPr>
          <w:sz w:val="20"/>
        </w:rPr>
      </w:r>
    </w:p>
    <w:p>
      <w:pPr>
        <w:spacing w:after="0"/>
        <w:rPr>
          <w:sz w:val="20"/>
        </w:rPr>
        <w:sectPr>
          <w:pgSz w:w="12240" w:h="15840"/>
          <w:pgMar w:header="1154" w:footer="1503" w:top="1620" w:bottom="1700" w:left="1480" w:right="1240"/>
        </w:sectPr>
      </w:pPr>
    </w:p>
    <w:p>
      <w:pPr>
        <w:pStyle w:val="BodyText"/>
        <w:spacing w:before="7"/>
        <w:rPr>
          <w:sz w:val="26"/>
        </w:rPr>
      </w:pPr>
    </w:p>
    <w:p>
      <w:pPr>
        <w:pStyle w:val="BodyText"/>
        <w:ind w:left="106"/>
        <w:rPr>
          <w:sz w:val="20"/>
        </w:rPr>
      </w:pPr>
      <w:r>
        <w:rPr>
          <w:sz w:val="20"/>
        </w:rPr>
        <w:pict>
          <v:group style="width:455.15pt;height:569.1pt;mso-position-horizontal-relative:char;mso-position-vertical-relative:line" coordorigin="0,0" coordsize="9103,11382">
            <v:shape style="position:absolute;left:38;top:60;width:9064;height:11321" type="#_x0000_t75" stroked="false">
              <v:imagedata r:id="rId162" o:title=""/>
            </v:shape>
            <v:shape style="position:absolute;left:0;top:0;width:9011;height:11321" type="#_x0000_t75" stroked="false">
              <v:imagedata r:id="rId163" o:title=""/>
            </v:shape>
          </v:group>
        </w:pict>
      </w:r>
      <w:r>
        <w:rPr>
          <w:sz w:val="20"/>
        </w:rPr>
      </w:r>
    </w:p>
    <w:p>
      <w:pPr>
        <w:spacing w:after="0"/>
        <w:rPr>
          <w:sz w:val="20"/>
        </w:rPr>
        <w:sectPr>
          <w:pgSz w:w="12240" w:h="15840"/>
          <w:pgMar w:header="1154" w:footer="1503" w:top="1620" w:bottom="1700" w:left="1640" w:right="1280"/>
        </w:sectPr>
      </w:pPr>
    </w:p>
    <w:p>
      <w:pPr>
        <w:pStyle w:val="BodyText"/>
        <w:spacing w:before="1"/>
        <w:rPr>
          <w:sz w:val="23"/>
        </w:rPr>
      </w:pPr>
    </w:p>
    <w:p>
      <w:pPr>
        <w:pStyle w:val="BodyText"/>
        <w:ind w:left="113"/>
        <w:rPr>
          <w:sz w:val="20"/>
        </w:rPr>
      </w:pPr>
      <w:r>
        <w:rPr>
          <w:sz w:val="20"/>
        </w:rPr>
        <w:pict>
          <v:group style="width:493.95pt;height:575.950pt;mso-position-horizontal-relative:char;mso-position-vertical-relative:line" coordorigin="0,0" coordsize="9879,11519">
            <v:shape style="position:absolute;left:38;top:38;width:9840;height:11480" type="#_x0000_t75" stroked="false">
              <v:imagedata r:id="rId164" o:title=""/>
            </v:shape>
            <v:shape style="position:absolute;left:0;top:0;width:9840;height:11480" type="#_x0000_t75" stroked="false">
              <v:imagedata r:id="rId165" o:title=""/>
            </v:shape>
          </v:group>
        </w:pict>
      </w:r>
      <w:r>
        <w:rPr>
          <w:sz w:val="20"/>
        </w:rPr>
      </w:r>
    </w:p>
    <w:p>
      <w:pPr>
        <w:spacing w:after="0"/>
        <w:rPr>
          <w:sz w:val="20"/>
        </w:rPr>
        <w:sectPr>
          <w:pgSz w:w="12240" w:h="15840"/>
          <w:pgMar w:header="1154" w:footer="1503" w:top="1620" w:bottom="1700" w:left="1240" w:right="900"/>
        </w:sectPr>
      </w:pPr>
    </w:p>
    <w:p>
      <w:pPr>
        <w:pStyle w:val="BodyText"/>
        <w:rPr>
          <w:sz w:val="20"/>
        </w:rPr>
      </w:pPr>
    </w:p>
    <w:p>
      <w:pPr>
        <w:pStyle w:val="BodyText"/>
        <w:spacing w:before="4" w:after="1"/>
        <w:rPr>
          <w:sz w:val="12"/>
        </w:rPr>
      </w:pPr>
    </w:p>
    <w:p>
      <w:pPr>
        <w:pStyle w:val="BodyText"/>
        <w:ind w:left="106"/>
        <w:rPr>
          <w:sz w:val="20"/>
        </w:rPr>
      </w:pPr>
      <w:r>
        <w:rPr>
          <w:sz w:val="20"/>
        </w:rPr>
        <w:pict>
          <v:group style="width:461.3pt;height:567.6pt;mso-position-horizontal-relative:char;mso-position-vertical-relative:line" coordorigin="0,0" coordsize="9226,11352">
            <v:shape style="position:absolute;left:38;top:79;width:9187;height:11272" type="#_x0000_t75" stroked="false">
              <v:imagedata r:id="rId166" o:title=""/>
            </v:shape>
            <v:shape style="position:absolute;left:0;top:0;width:9187;height:11272" type="#_x0000_t75" stroked="false">
              <v:imagedata r:id="rId167" o:title=""/>
            </v:shape>
          </v:group>
        </w:pict>
      </w:r>
      <w:r>
        <w:rPr>
          <w:sz w:val="20"/>
        </w:rPr>
      </w:r>
    </w:p>
    <w:p>
      <w:pPr>
        <w:spacing w:after="0"/>
        <w:rPr>
          <w:sz w:val="20"/>
        </w:rPr>
        <w:sectPr>
          <w:pgSz w:w="12240" w:h="15840"/>
          <w:pgMar w:header="1154" w:footer="1503" w:top="1620" w:bottom="1700" w:left="1580" w:right="1220"/>
        </w:sectPr>
      </w:pPr>
    </w:p>
    <w:p>
      <w:pPr>
        <w:pStyle w:val="BodyText"/>
        <w:rPr>
          <w:sz w:val="20"/>
        </w:rPr>
      </w:pPr>
    </w:p>
    <w:p>
      <w:pPr>
        <w:pStyle w:val="BodyText"/>
        <w:rPr>
          <w:sz w:val="27"/>
        </w:rPr>
      </w:pPr>
    </w:p>
    <w:p>
      <w:pPr>
        <w:pStyle w:val="BodyText"/>
        <w:ind w:left="106"/>
        <w:rPr>
          <w:sz w:val="20"/>
        </w:rPr>
      </w:pPr>
      <w:r>
        <w:rPr>
          <w:sz w:val="20"/>
        </w:rPr>
        <w:pict>
          <v:group style="width:463pt;height:571.8pt;mso-position-horizontal-relative:char;mso-position-vertical-relative:line" coordorigin="0,0" coordsize="9260,11436">
            <v:shape style="position:absolute;left:38;top:60;width:9221;height:11376" type="#_x0000_t75" stroked="false">
              <v:imagedata r:id="rId168" o:title=""/>
            </v:shape>
            <v:shape style="position:absolute;left:0;top:0;width:9221;height:11376" type="#_x0000_t75" stroked="false">
              <v:imagedata r:id="rId169" o:title=""/>
            </v:shape>
          </v:group>
        </w:pict>
      </w:r>
      <w:r>
        <w:rPr>
          <w:sz w:val="20"/>
        </w:rPr>
      </w:r>
    </w:p>
    <w:p>
      <w:pPr>
        <w:spacing w:after="0"/>
        <w:rPr>
          <w:sz w:val="20"/>
        </w:rPr>
        <w:sectPr>
          <w:pgSz w:w="12240" w:h="15840"/>
          <w:pgMar w:header="1154" w:footer="1503" w:top="1620" w:bottom="1700" w:left="1560" w:right="1200"/>
        </w:sectPr>
      </w:pPr>
    </w:p>
    <w:p>
      <w:pPr>
        <w:pStyle w:val="BodyText"/>
        <w:rPr>
          <w:sz w:val="20"/>
        </w:rPr>
      </w:pPr>
    </w:p>
    <w:p>
      <w:pPr>
        <w:pStyle w:val="BodyText"/>
        <w:spacing w:before="1"/>
        <w:rPr>
          <w:sz w:val="20"/>
        </w:rPr>
      </w:pPr>
    </w:p>
    <w:p>
      <w:pPr>
        <w:pStyle w:val="BodyText"/>
        <w:ind w:left="122"/>
        <w:rPr>
          <w:sz w:val="20"/>
        </w:rPr>
      </w:pPr>
      <w:r>
        <w:rPr>
          <w:sz w:val="20"/>
        </w:rPr>
        <w:pict>
          <v:group style="width:451.2pt;height:579.550pt;mso-position-horizontal-relative:char;mso-position-vertical-relative:line" coordorigin="0,0" coordsize="9024,11591">
            <v:shape style="position:absolute;left:38;top:60;width:8985;height:11530" type="#_x0000_t75" stroked="false">
              <v:imagedata r:id="rId170" o:title=""/>
            </v:shape>
            <v:shape style="position:absolute;left:0;top:0;width:8985;height:11530" type="#_x0000_t75" stroked="false">
              <v:imagedata r:id="rId171" o:title=""/>
            </v:shape>
          </v:group>
        </w:pict>
      </w:r>
      <w:r>
        <w:rPr>
          <w:sz w:val="20"/>
        </w:rPr>
      </w:r>
    </w:p>
    <w:p>
      <w:pPr>
        <w:spacing w:after="0"/>
        <w:rPr>
          <w:sz w:val="20"/>
        </w:rPr>
        <w:sectPr>
          <w:pgSz w:w="12240" w:h="15840"/>
          <w:pgMar w:header="1154" w:footer="1503" w:top="1620" w:bottom="1700" w:left="1660" w:right="1320"/>
        </w:sectPr>
      </w:pPr>
    </w:p>
    <w:p>
      <w:pPr>
        <w:pStyle w:val="BodyText"/>
        <w:rPr>
          <w:sz w:val="20"/>
        </w:rPr>
      </w:pPr>
    </w:p>
    <w:p>
      <w:pPr>
        <w:pStyle w:val="BodyText"/>
        <w:spacing w:before="7"/>
        <w:rPr>
          <w:sz w:val="19"/>
        </w:rPr>
      </w:pPr>
    </w:p>
    <w:p>
      <w:pPr>
        <w:spacing w:before="0"/>
        <w:ind w:left="532" w:right="0" w:firstLine="0"/>
        <w:jc w:val="left"/>
        <w:rPr>
          <w:b/>
          <w:sz w:val="24"/>
        </w:rPr>
      </w:pPr>
      <w:bookmarkStart w:name="_bookmark89" w:id="169"/>
      <w:bookmarkEnd w:id="169"/>
      <w:r>
        <w:rPr/>
      </w:r>
      <w:r>
        <w:rPr>
          <w:b/>
          <w:sz w:val="24"/>
        </w:rPr>
        <w:t>ANEXO 3</w:t>
      </w:r>
    </w:p>
    <w:p>
      <w:pPr>
        <w:pStyle w:val="BodyText"/>
        <w:spacing w:before="7"/>
        <w:rPr>
          <w:b/>
          <w:sz w:val="35"/>
        </w:rPr>
      </w:pPr>
    </w:p>
    <w:p>
      <w:pPr>
        <w:spacing w:before="1"/>
        <w:ind w:left="532" w:right="0" w:firstLine="0"/>
        <w:jc w:val="left"/>
        <w:rPr>
          <w:b/>
          <w:sz w:val="24"/>
        </w:rPr>
      </w:pPr>
      <w:r>
        <w:rPr>
          <w:b/>
          <w:sz w:val="24"/>
        </w:rPr>
        <w:t>Publicaciones complementarias</w:t>
      </w:r>
    </w:p>
    <w:p>
      <w:pPr>
        <w:pStyle w:val="BodyText"/>
        <w:rPr>
          <w:b/>
          <w:sz w:val="20"/>
        </w:rPr>
      </w:pPr>
    </w:p>
    <w:p>
      <w:pPr>
        <w:pStyle w:val="BodyText"/>
        <w:spacing w:before="1"/>
        <w:rPr>
          <w:b/>
          <w:sz w:val="29"/>
        </w:rPr>
      </w:pPr>
      <w:r>
        <w:rPr/>
        <w:pict>
          <v:group style="position:absolute;margin-left:72.30999pt;margin-top:18.71859pt;width:505.95pt;height:494.05pt;mso-position-horizontal-relative:page;mso-position-vertical-relative:paragraph;z-index:3016;mso-wrap-distance-left:0;mso-wrap-distance-right:0" coordorigin="1446,374" coordsize="10119,9881">
            <v:shape style="position:absolute;left:1485;top:434;width:10080;height:9821" type="#_x0000_t75" stroked="false">
              <v:imagedata r:id="rId172" o:title=""/>
            </v:shape>
            <v:shape style="position:absolute;left:1446;top:374;width:10080;height:9821" type="#_x0000_t75" stroked="false">
              <v:imagedata r:id="rId173" o:title=""/>
            </v:shape>
            <w10:wrap type="topAndBottom"/>
          </v:group>
        </w:pict>
      </w:r>
    </w:p>
    <w:p>
      <w:pPr>
        <w:spacing w:after="0"/>
        <w:rPr>
          <w:sz w:val="29"/>
        </w:rPr>
        <w:sectPr>
          <w:pgSz w:w="12240" w:h="15840"/>
          <w:pgMar w:header="1154" w:footer="1503" w:top="1620" w:bottom="1700" w:left="1340" w:right="560"/>
        </w:sectPr>
      </w:pPr>
    </w:p>
    <w:p>
      <w:pPr>
        <w:pStyle w:val="BodyText"/>
        <w:spacing w:before="7"/>
        <w:rPr>
          <w:b/>
          <w:sz w:val="9"/>
        </w:rPr>
      </w:pPr>
    </w:p>
    <w:p>
      <w:pPr>
        <w:spacing w:line="357" w:lineRule="auto" w:before="69"/>
        <w:ind w:left="212" w:right="109" w:firstLine="0"/>
        <w:jc w:val="both"/>
        <w:rPr>
          <w:sz w:val="24"/>
        </w:rPr>
      </w:pPr>
      <w:r>
        <w:rPr>
          <w:b/>
          <w:sz w:val="24"/>
        </w:rPr>
        <w:t>Importancia de los minerales de la carne de especies pecuarias en la nutrición humana </w:t>
      </w:r>
      <w:r>
        <w:rPr>
          <w:sz w:val="24"/>
        </w:rPr>
        <w:t>Ignacio A. Domínguez Vara*, </w:t>
      </w:r>
      <w:r>
        <w:rPr>
          <w:b/>
          <w:sz w:val="24"/>
          <w:u w:val="thick"/>
        </w:rPr>
        <w:t>Laura Moreno Camarena</w:t>
      </w:r>
      <w:r>
        <w:rPr>
          <w:b/>
          <w:sz w:val="24"/>
        </w:rPr>
        <w:t>*</w:t>
      </w:r>
      <w:r>
        <w:rPr>
          <w:sz w:val="24"/>
        </w:rPr>
        <w:t>, Juan E. Sánchez Torres*, Ernesto Morales Almaraz* y Efrén Ramíez Bribiesca**</w:t>
      </w:r>
    </w:p>
    <w:p>
      <w:pPr>
        <w:pStyle w:val="BodyText"/>
      </w:pPr>
    </w:p>
    <w:p>
      <w:pPr>
        <w:pStyle w:val="BodyText"/>
        <w:spacing w:before="146"/>
        <w:ind w:left="212"/>
        <w:jc w:val="both"/>
      </w:pPr>
      <w:r>
        <w:rPr/>
        <w:t>* Facultad de Medicina Veterinaria y Zootecnia, UAEM</w:t>
      </w:r>
    </w:p>
    <w:p>
      <w:pPr>
        <w:pStyle w:val="BodyText"/>
        <w:spacing w:before="137"/>
        <w:ind w:left="212"/>
        <w:jc w:val="both"/>
      </w:pPr>
      <w:r>
        <w:rPr/>
        <w:t>** Programa de Gnadería, Colegio de Postgraduados</w:t>
      </w:r>
    </w:p>
    <w:p>
      <w:pPr>
        <w:pStyle w:val="BodyText"/>
      </w:pPr>
    </w:p>
    <w:p>
      <w:pPr>
        <w:pStyle w:val="BodyText"/>
      </w:pPr>
    </w:p>
    <w:p>
      <w:pPr>
        <w:pStyle w:val="BodyText"/>
        <w:spacing w:line="360" w:lineRule="auto"/>
        <w:ind w:left="212" w:right="111"/>
        <w:jc w:val="both"/>
      </w:pPr>
      <w:r>
        <w:rPr/>
        <w:t>Publicado: En: Ignacio A. Domínguez Vara, Efrén Ramírez Bribiesca  (editores). Tecnología y Ciencia de la Carne en Animales Rumiantes. Red Académica y de Investigación en Tecnología y Ciencia de la Carne. 2014. ISBN: 978-607-8289-82-0</w:t>
      </w:r>
    </w:p>
    <w:p>
      <w:pPr>
        <w:pStyle w:val="BodyText"/>
      </w:pPr>
    </w:p>
    <w:p>
      <w:pPr>
        <w:pStyle w:val="Heading1"/>
        <w:spacing w:line="360" w:lineRule="auto" w:before="148"/>
        <w:ind w:left="212" w:right="111"/>
        <w:jc w:val="both"/>
      </w:pPr>
      <w:r>
        <w:rPr/>
        <w:t>Minerales orgánicos cromo, selenio y zinc como aditivos en la producción de Carne de Ovino</w:t>
      </w:r>
    </w:p>
    <w:p>
      <w:pPr>
        <w:pStyle w:val="BodyText"/>
        <w:spacing w:line="360" w:lineRule="auto"/>
        <w:ind w:left="212" w:right="105"/>
        <w:jc w:val="both"/>
      </w:pPr>
      <w:r>
        <w:rPr/>
        <w:t>Ignacio A. Domínguez Vara*, </w:t>
      </w:r>
      <w:r>
        <w:rPr>
          <w:b/>
          <w:u w:val="thick"/>
        </w:rPr>
        <w:t>Laura Moreno Camarena</w:t>
      </w:r>
      <w:r>
        <w:rPr>
          <w:b/>
        </w:rPr>
        <w:t>*</w:t>
      </w:r>
      <w:r>
        <w:rPr/>
        <w:t>, Ernesto Morales Almaráz*, Juan E. Sánchez Torres*, Efrén Ramírez Bribiesca**, Jaime Mondragón Ancelmo*** y Rolando Rojo Rubio***</w:t>
      </w:r>
    </w:p>
    <w:p>
      <w:pPr>
        <w:pStyle w:val="BodyText"/>
        <w:spacing w:before="6"/>
        <w:ind w:left="212"/>
        <w:jc w:val="both"/>
      </w:pPr>
      <w:r>
        <w:rPr/>
        <w:t>* Facultad de Medicina Veterinaria y Zootecnia, UAEM</w:t>
      </w:r>
    </w:p>
    <w:p>
      <w:pPr>
        <w:pStyle w:val="BodyText"/>
        <w:spacing w:before="137"/>
        <w:ind w:left="212"/>
        <w:jc w:val="both"/>
      </w:pPr>
      <w:r>
        <w:rPr/>
        <w:t>** Programa de Gnadería, Colegio de Postgraduados</w:t>
      </w:r>
    </w:p>
    <w:p>
      <w:pPr>
        <w:pStyle w:val="BodyText"/>
        <w:spacing w:before="139"/>
        <w:ind w:left="212"/>
        <w:jc w:val="both"/>
      </w:pPr>
      <w:r>
        <w:rPr/>
        <w:t>*** Centro Universitario UAEM, Temascaltepec</w:t>
      </w:r>
    </w:p>
    <w:p>
      <w:pPr>
        <w:pStyle w:val="BodyText"/>
      </w:pPr>
    </w:p>
    <w:p>
      <w:pPr>
        <w:pStyle w:val="BodyText"/>
      </w:pPr>
    </w:p>
    <w:p>
      <w:pPr>
        <w:pStyle w:val="BodyText"/>
        <w:spacing w:line="360" w:lineRule="auto"/>
        <w:ind w:left="212" w:right="112"/>
        <w:jc w:val="both"/>
      </w:pPr>
      <w:r>
        <w:rPr/>
        <w:t>Publicado: En: Ignacio A. Domínguez Vara, Efrén Ramírez Bribiesca  (editores). Tecnología y Ciencia de la Carne en Animales Rumiantes. Red Académica y de Investigación en Tecnología y Ciencia de la Carne. 2014. ISBN: 978-607-8289-82-0</w:t>
      </w:r>
    </w:p>
    <w:sectPr>
      <w:pgSz w:w="12240" w:h="15840"/>
      <w:pgMar w:header="1154" w:footer="1503" w:top="1620" w:bottom="1700" w:left="166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7.775024pt;width:435.5pt;height:21.05pt;mso-position-horizontal-relative:page;mso-position-vertical-relative:page;z-index:-204856" coordorigin="1768,14956" coordsize="8710,421">
          <v:line style="position:absolute" from="1778,15131" to="10468,15131" stroked="true" strokeweight="1pt" strokecolor="#808080"/>
          <v:shape style="position:absolute;left:5731;top:14978;width:837;height:376" coordorigin="5731,14978" coordsize="837,376" path="m6505,14978l5794,14978,5769,14983,5749,14996,5736,15016,5731,15041,5731,15291,5736,15316,5749,15336,5769,15349,5794,15354,6505,15354,6530,15349,6550,15336,6563,15316,6568,15291,6568,15041,6563,15016,6550,14996,6530,14983,6505,14978xe" filled="true" fillcolor="#ffffff" stroked="false">
            <v:path arrowok="t"/>
            <v:fill type="solid"/>
          </v:shape>
          <v:shape style="position:absolute;left:5708;top:14956;width:108;height:421" type="#_x0000_t75" stroked="false">
            <v:imagedata r:id="rId1" o:title=""/>
          </v:shape>
          <v:shape style="position:absolute;left:6483;top:14956;width:108;height:421" type="#_x0000_t75" stroked="false">
            <v:imagedata r:id="rId2" o:title=""/>
          </v:shape>
          <w10:wrap type="none"/>
        </v:group>
      </w:pict>
    </w:r>
    <w:r>
      <w:rPr/>
      <w:pict>
        <v:shape style="position:absolute;margin-left:299.149994pt;margin-top:751.559937pt;width:16.7pt;height:14pt;mso-position-horizontal-relative:page;mso-position-vertical-relative:page;z-index:-20483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400002pt;margin-top:709.875pt;width:435.5pt;height:21.05pt;mso-position-horizontal-relative:page;mso-position-vertical-relative:page;z-index:-204208" coordorigin="1908,14198" coordsize="8710,421">
          <v:line style="position:absolute" from="1918,14370" to="10608,14370" stroked="true" strokeweight="1pt" strokecolor="#808080"/>
          <v:shape style="position:absolute;left:5880;top:14220;width:822;height:376" coordorigin="5880,14220" coordsize="822,376" path="m6639,14220l5943,14220,5918,14225,5898,14238,5885,14258,5880,14283,5880,14533,5885,14558,5898,14578,5918,14591,5943,14596,6639,14596,6664,14591,6684,14578,6697,14558,6702,14533,6702,14283,6697,14258,6684,14238,6664,14225,6639,14220xe" filled="true" fillcolor="#ffffff" stroked="false">
            <v:path arrowok="t"/>
            <v:fill type="solid"/>
          </v:shape>
          <v:shape style="position:absolute;left:5858;top:14198;width:108;height:421" type="#_x0000_t75" stroked="false">
            <v:imagedata r:id="rId1" o:title=""/>
          </v:shape>
          <v:shape style="position:absolute;left:6617;top:14198;width:108;height:421" type="#_x0000_t75" stroked="false">
            <v:imagedata r:id="rId2" o:title=""/>
          </v:shape>
          <w10:wrap type="none"/>
        </v:group>
      </w:pict>
    </w:r>
    <w:r>
      <w:rPr/>
      <w:pict>
        <v:shape style="position:absolute;margin-left:306.589996pt;margin-top:713.639893pt;width:16pt;height:14pt;mso-position-horizontal-relative:page;mso-position-vertical-relative:page;z-index:-2041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400002pt;margin-top:709.875pt;width:435.5pt;height:21.05pt;mso-position-horizontal-relative:page;mso-position-vertical-relative:page;z-index:-204160" coordorigin="1908,14198" coordsize="8710,421">
          <v:line style="position:absolute" from="1918,14370" to="10608,14370" stroked="true" strokeweight="1pt" strokecolor="#808080"/>
          <v:shape style="position:absolute;left:5880;top:14220;width:822;height:376" coordorigin="5880,14220" coordsize="822,376" path="m6639,14220l5943,14220,5918,14225,5898,14238,5885,14258,5880,14283,5880,14533,5885,14558,5898,14578,5918,14591,5943,14596,6639,14596,6664,14591,6684,14578,6697,14558,6702,14533,6702,14283,6697,14258,6684,14238,6664,14225,6639,14220xe" filled="true" fillcolor="#ffffff" stroked="false">
            <v:path arrowok="t"/>
            <v:fill type="solid"/>
          </v:shape>
          <v:shape style="position:absolute;left:5858;top:14198;width:108;height:421" type="#_x0000_t75" stroked="false">
            <v:imagedata r:id="rId1" o:title=""/>
          </v:shape>
          <v:shape style="position:absolute;left:6617;top:14198;width:108;height:421" type="#_x0000_t75" stroked="false">
            <v:imagedata r:id="rId2" o:title=""/>
          </v:shape>
          <w10:wrap type="none"/>
        </v:group>
      </w:pict>
    </w:r>
    <w:r>
      <w:rPr/>
      <w:pict>
        <v:shape style="position:absolute;margin-left:304.589996pt;margin-top:713.639893pt;width:20pt;height:14pt;mso-position-horizontal-relative:page;mso-position-vertical-relative:page;z-index:-204136" type="#_x0000_t202" filled="false" stroked="false">
          <v:textbox inset="0,0,0,0">
            <w:txbxContent>
              <w:p>
                <w:pPr>
                  <w:pStyle w:val="BodyText"/>
                  <w:spacing w:line="265" w:lineRule="exact"/>
                  <w:ind w:left="20"/>
                </w:pPr>
                <w:r>
                  <w:rPr/>
                  <w:t>100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400002pt;margin-top:709.875pt;width:435.5pt;height:21.05pt;mso-position-horizontal-relative:page;mso-position-vertical-relative:page;z-index:-204112" coordorigin="1908,14198" coordsize="8710,421">
          <v:line style="position:absolute" from="1918,14370" to="10608,14370" stroked="true" strokeweight="1pt" strokecolor="#808080"/>
          <v:shape style="position:absolute;left:5880;top:14220;width:822;height:376" coordorigin="5880,14220" coordsize="822,376" path="m6639,14220l5943,14220,5918,14225,5898,14238,5885,14258,5880,14283,5880,14533,5885,14558,5898,14578,5918,14591,5943,14596,6639,14596,6664,14591,6684,14578,6697,14558,6702,14533,6702,14283,6697,14258,6684,14238,6664,14225,6639,14220xe" filled="true" fillcolor="#ffffff" stroked="false">
            <v:path arrowok="t"/>
            <v:fill type="solid"/>
          </v:shape>
          <v:shape style="position:absolute;left:5858;top:14198;width:108;height:421" type="#_x0000_t75" stroked="false">
            <v:imagedata r:id="rId1" o:title=""/>
          </v:shape>
          <v:shape style="position:absolute;left:6617;top:14198;width:108;height:421" type="#_x0000_t75" stroked="false">
            <v:imagedata r:id="rId2" o:title=""/>
          </v:shape>
          <w10:wrap type="none"/>
        </v:group>
      </w:pict>
    </w:r>
    <w:r>
      <w:rPr/>
      <w:pict>
        <v:shape style="position:absolute;margin-left:303.589996pt;margin-top:713.639893pt;width:22pt;height:14pt;mso-position-horizontal-relative:page;mso-position-vertical-relative:page;z-index:-2040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03.875pt;width:435.5pt;height:21.05pt;mso-position-horizontal-relative:page;mso-position-vertical-relative:page;z-index:-204064" coordorigin="1765,14078" coordsize="8710,421">
          <v:line style="position:absolute" from="1775,14250" to="10465,14250" stroked="true" strokeweight="1pt" strokecolor="#808080"/>
          <v:shape style="position:absolute;left:5715;top:14100;width:826;height:376" coordorigin="5715,14100" coordsize="826,376" path="m6478,14100l5778,14100,5753,14105,5733,14118,5720,14138,5715,14163,5715,14413,5720,14438,5733,14458,5753,14471,5778,14476,6478,14476,6503,14471,6523,14458,6536,14438,6541,14413,6541,14163,6536,14138,6523,14118,6503,14105,6478,14100xe" filled="true" fillcolor="#ffffff" stroked="false">
            <v:path arrowok="t"/>
            <v:fill type="solid"/>
          </v:shape>
          <v:shape style="position:absolute;left:5693;top:14078;width:108;height:421" type="#_x0000_t75" stroked="false">
            <v:imagedata r:id="rId1" o:title=""/>
          </v:shape>
          <v:shape style="position:absolute;left:6456;top:14078;width:108;height:421" type="#_x0000_t75" stroked="false">
            <v:imagedata r:id="rId2" o:title=""/>
          </v:shape>
          <w10:wrap type="none"/>
        </v:group>
      </w:pict>
    </w:r>
    <w:r>
      <w:rPr/>
      <w:pict>
        <v:shape style="position:absolute;margin-left:295.429993pt;margin-top:707.639893pt;width:22pt;height:14pt;mso-position-horizontal-relative:page;mso-position-vertical-relative:page;z-index:-2040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03.875pt;width:435.5pt;height:21.05pt;mso-position-horizontal-relative:page;mso-position-vertical-relative:page;z-index:-203824" coordorigin="1765,14078" coordsize="8710,421">
          <v:line style="position:absolute" from="1775,14250" to="10465,14250" stroked="true" strokeweight="1pt" strokecolor="#808080"/>
          <v:shape style="position:absolute;left:5715;top:14100;width:826;height:376" coordorigin="5715,14100" coordsize="826,376" path="m6478,14100l5778,14100,5753,14105,5733,14118,5720,14138,5715,14163,5715,14413,5720,14438,5733,14458,5753,14471,5778,14476,6478,14476,6503,14471,6523,14458,6536,14438,6541,14413,6541,14163,6536,14138,6523,14118,6503,14105,6478,14100xe" filled="true" fillcolor="#ffffff" stroked="false">
            <v:path arrowok="t"/>
            <v:fill type="solid"/>
          </v:shape>
          <v:shape style="position:absolute;left:5693;top:14078;width:108;height:421" type="#_x0000_t75" stroked="false">
            <v:imagedata r:id="rId1" o:title=""/>
          </v:shape>
          <v:shape style="position:absolute;left:6456;top:14078;width:108;height:421" type="#_x0000_t75" stroked="false">
            <v:imagedata r:id="rId2" o:title=""/>
          </v:shape>
          <w10:wrap type="none"/>
        </v:group>
      </w:pict>
    </w:r>
    <w:r>
      <w:rPr/>
      <w:pict>
        <v:shape style="position:absolute;margin-left:295.429993pt;margin-top:707.639893pt;width:22pt;height:14pt;mso-position-horizontal-relative:page;mso-position-vertical-relative:page;z-index:-2038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03.875pt;width:435.5pt;height:21.05pt;mso-position-horizontal-relative:page;mso-position-vertical-relative:page;z-index:-203728" coordorigin="1765,14078" coordsize="8710,421">
          <v:line style="position:absolute" from="1775,14250" to="10465,14250" stroked="true" strokeweight="1pt" strokecolor="#808080"/>
          <v:shape style="position:absolute;left:5715;top:14100;width:826;height:376" coordorigin="5715,14100" coordsize="826,376" path="m6478,14100l5778,14100,5753,14105,5733,14118,5720,14138,5715,14163,5715,14413,5720,14438,5733,14458,5753,14471,5778,14476,6478,14476,6503,14471,6523,14458,6536,14438,6541,14413,6541,14163,6536,14138,6523,14118,6503,14105,6478,14100xe" filled="true" fillcolor="#ffffff" stroked="false">
            <v:path arrowok="t"/>
            <v:fill type="solid"/>
          </v:shape>
          <v:shape style="position:absolute;left:5693;top:14078;width:108;height:421" type="#_x0000_t75" stroked="false">
            <v:imagedata r:id="rId1" o:title=""/>
          </v:shape>
          <v:shape style="position:absolute;left:6456;top:14078;width:108;height:421" type="#_x0000_t75" stroked="false">
            <v:imagedata r:id="rId2" o:title=""/>
          </v:shape>
          <w10:wrap type="none"/>
        </v:group>
      </w:pict>
    </w:r>
    <w:r>
      <w:rPr/>
      <w:pict>
        <v:shape style="position:absolute;margin-left:295.429993pt;margin-top:707.639893pt;width:22pt;height:14pt;mso-position-horizontal-relative:page;mso-position-vertical-relative:page;z-index:-2037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156</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03.875pt;width:435.5pt;height:21.05pt;mso-position-horizontal-relative:page;mso-position-vertical-relative:page;z-index:-203632" coordorigin="1765,14078" coordsize="8710,421">
          <v:line style="position:absolute" from="1775,14250" to="10465,14250" stroked="true" strokeweight="1pt" strokecolor="#808080"/>
          <v:shape style="position:absolute;left:5715;top:14100;width:826;height:376" coordorigin="5715,14100" coordsize="826,376" path="m6478,14100l5778,14100,5753,14105,5733,14118,5720,14138,5715,14163,5715,14413,5720,14438,5733,14458,5753,14471,5778,14476,6478,14476,6503,14471,6523,14458,6536,14438,6541,14413,6541,14163,6536,14138,6523,14118,6503,14105,6478,14100xe" filled="true" fillcolor="#ffffff" stroked="false">
            <v:path arrowok="t"/>
            <v:fill type="solid"/>
          </v:shape>
          <v:shape style="position:absolute;left:5693;top:14078;width:108;height:421" type="#_x0000_t75" stroked="false">
            <v:imagedata r:id="rId1" o:title=""/>
          </v:shape>
          <v:shape style="position:absolute;left:6456;top:14078;width:108;height:421" type="#_x0000_t75" stroked="false">
            <v:imagedata r:id="rId2" o:title=""/>
          </v:shape>
          <w10:wrap type="none"/>
        </v:group>
      </w:pict>
    </w:r>
    <w:r>
      <w:rPr/>
      <w:pict>
        <v:shape style="position:absolute;margin-left:295.429993pt;margin-top:707.639893pt;width:22pt;height:14pt;mso-position-horizontal-relative:page;mso-position-vertical-relative:page;z-index:-2036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400002pt;margin-top:747.775024pt;width:435.5pt;height:21.05pt;mso-position-horizontal-relative:page;mso-position-vertical-relative:page;z-index:-204760" coordorigin="1768,14956" coordsize="8710,421">
          <v:line style="position:absolute" from="1778,15131" to="10468,15131" stroked="true" strokeweight="1pt" strokecolor="#808080"/>
          <v:shape style="position:absolute;left:5731;top:14978;width:837;height:376" coordorigin="5731,14978" coordsize="837,376" path="m6505,14978l5794,14978,5769,14983,5749,14996,5736,15016,5731,15041,5731,15291,5736,15316,5749,15336,5769,15349,5794,15354,6505,15354,6530,15349,6550,15336,6563,15316,6568,15291,6568,15041,6563,15016,6550,14996,6530,14983,6505,14978xe" filled="true" fillcolor="#ffffff" stroked="false">
            <v:path arrowok="t"/>
            <v:fill type="solid"/>
          </v:shape>
          <v:shape style="position:absolute;left:5708;top:14956;width:108;height:421" type="#_x0000_t75" stroked="false">
            <v:imagedata r:id="rId1" o:title=""/>
          </v:shape>
          <v:shape style="position:absolute;left:6483;top:14956;width:108;height:421" type="#_x0000_t75" stroked="false">
            <v:imagedata r:id="rId2" o:title=""/>
          </v:shape>
          <w10:wrap type="none"/>
        </v:group>
      </w:pict>
    </w:r>
    <w:r>
      <w:rPr/>
      <w:pict>
        <v:shape style="position:absolute;margin-left:297.589996pt;margin-top:751.559937pt;width:20.05pt;height:14pt;mso-position-horizontal-relative:page;mso-position-vertical-relative:page;z-index:-204736"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03.875pt;width:435.5pt;height:21.05pt;mso-position-horizontal-relative:page;mso-position-vertical-relative:page;z-index:-203488" coordorigin="1765,14078" coordsize="8710,421">
          <v:line style="position:absolute" from="1775,14250" to="10465,14250" stroked="true" strokeweight="1pt" strokecolor="#808080"/>
          <v:shape style="position:absolute;left:5715;top:14100;width:826;height:376" coordorigin="5715,14100" coordsize="826,376" path="m6478,14100l5778,14100,5753,14105,5733,14118,5720,14138,5715,14163,5715,14413,5720,14438,5733,14458,5753,14471,5778,14476,6478,14476,6503,14471,6523,14458,6536,14438,6541,14413,6541,14163,6536,14138,6523,14118,6503,14105,6478,14100xe" filled="true" fillcolor="#ffffff" stroked="false">
            <v:path arrowok="t"/>
            <v:fill type="solid"/>
          </v:shape>
          <v:shape style="position:absolute;left:5693;top:14078;width:108;height:421" type="#_x0000_t75" stroked="false">
            <v:imagedata r:id="rId1" o:title=""/>
          </v:shape>
          <v:shape style="position:absolute;left:6456;top:14078;width:108;height:421" type="#_x0000_t75" stroked="false">
            <v:imagedata r:id="rId2" o:title=""/>
          </v:shape>
          <w10:wrap type="none"/>
        </v:group>
      </w:pict>
    </w:r>
    <w:r>
      <w:rPr/>
      <w:pict>
        <v:shape style="position:absolute;margin-left:295.429993pt;margin-top:707.639893pt;width:22pt;height:14pt;mso-position-horizontal-relative:page;mso-position-vertical-relative:page;z-index:-2034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168</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5.400002pt;margin-top:709.875pt;width:435.5pt;height:21.05pt;mso-position-horizontal-relative:page;mso-position-vertical-relative:page;z-index:-204664" coordorigin="1908,14198" coordsize="8710,421">
          <v:line style="position:absolute" from="1918,14370" to="10608,14370" stroked="true" strokeweight="1pt" strokecolor="#808080"/>
          <v:shape style="position:absolute;left:5880;top:14220;width:822;height:376" coordorigin="5880,14220" coordsize="822,376" path="m6639,14220l5943,14220,5918,14225,5898,14238,5885,14258,5880,14283,5880,14533,5885,14558,5898,14578,5918,14591,5943,14596,6639,14596,6664,14591,6684,14578,6697,14558,6702,14533,6702,14283,6697,14258,6684,14238,6664,14225,6639,14220xe" filled="true" fillcolor="#ffffff" stroked="false">
            <v:path arrowok="t"/>
            <v:fill type="solid"/>
          </v:shape>
          <v:shape style="position:absolute;left:5858;top:14198;width:108;height:421" type="#_x0000_t75" stroked="false">
            <v:imagedata r:id="rId1" o:title=""/>
          </v:shape>
          <v:shape style="position:absolute;left:6617;top:14198;width:108;height:421" type="#_x0000_t75" stroked="false">
            <v:imagedata r:id="rId2" o:title=""/>
          </v:shape>
          <w10:wrap type="none"/>
        </v:group>
      </w:pict>
    </w:r>
    <w:r>
      <w:rPr/>
      <w:pict>
        <v:shape style="position:absolute;margin-left:306.589996pt;margin-top:713.639893pt;width:16pt;height:14pt;mso-position-horizontal-relative:page;mso-position-vertical-relative:page;z-index:-2046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83.570007pt;margin-top:91.243912pt;width:62pt;height:14pt;mso-position-horizontal-relative:page;mso-position-vertical-relative:page;z-index:-204880" type="#_x0000_t202" filled="false" stroked="false">
          <v:textbox inset="0,0,0,0">
            <w:txbxContent>
              <w:p>
                <w:pPr>
                  <w:spacing w:line="265" w:lineRule="exact" w:before="0"/>
                  <w:ind w:left="20" w:right="-1" w:firstLine="0"/>
                  <w:jc w:val="left"/>
                  <w:rPr>
                    <w:b/>
                    <w:sz w:val="24"/>
                  </w:rPr>
                </w:pPr>
                <w:r>
                  <w:rPr>
                    <w:b/>
                    <w:sz w:val="24"/>
                  </w:rPr>
                  <w:t>RESUMEN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616" from="92.183998pt,70.559998pt" to="537.003998pt,70.559998pt" stroked="true" strokeweight=".48pt" strokecolor="#000000">
          <w10:wrap type="none"/>
        </v:line>
      </w:pict>
    </w:r>
    <w:r>
      <w:rPr/>
      <w:pict>
        <v:shape style="position:absolute;margin-left:435.540009pt;margin-top:56.716404pt;width:101.1pt;height:13.05pt;mso-position-horizontal-relative:page;mso-position-vertical-relative:page;z-index:-204592" type="#_x0000_t202" filled="false" stroked="false">
          <v:textbox inset="0,0,0,0">
            <w:txbxContent>
              <w:p>
                <w:pPr>
                  <w:spacing w:line="245" w:lineRule="exact" w:before="0"/>
                  <w:ind w:left="20" w:right="0" w:firstLine="0"/>
                  <w:jc w:val="left"/>
                  <w:rPr>
                    <w:i/>
                    <w:sz w:val="22"/>
                  </w:rPr>
                </w:pPr>
                <w:r>
                  <w:rPr>
                    <w:i/>
                    <w:sz w:val="22"/>
                  </w:rPr>
                  <w:t>Revisión de Literatura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568" from="95.543999pt,81.478325pt" to="535.5653pt,81.478325pt" stroked="true" strokeweight=".45264pt" strokecolor="#000000">
          <w10:wrap type="none"/>
        </v:line>
      </w:pict>
    </w:r>
    <w:r>
      <w:rPr/>
      <w:pict>
        <v:shape style="position:absolute;margin-left:478.380005pt;margin-top:56.716404pt;width:58.25pt;height:13.05pt;mso-position-horizontal-relative:page;mso-position-vertical-relative:page;z-index:-204544" type="#_x0000_t202" filled="false" stroked="false">
          <v:textbox inset="0,0,0,0">
            <w:txbxContent>
              <w:p>
                <w:pPr>
                  <w:spacing w:line="245" w:lineRule="exact" w:before="0"/>
                  <w:ind w:left="20" w:right="0" w:firstLine="0"/>
                  <w:jc w:val="left"/>
                  <w:rPr>
                    <w:i/>
                    <w:sz w:val="22"/>
                  </w:rPr>
                </w:pPr>
                <w:r>
                  <w:rPr>
                    <w:i/>
                    <w:sz w:val="22"/>
                  </w:rPr>
                  <w:t>Justificación</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520" from="95.543999pt,81.478325pt" to="535.561299pt,81.478325pt" stroked="true" strokeweight=".45264pt" strokecolor="#000000">
          <w10:wrap type="none"/>
        </v:line>
      </w:pict>
    </w:r>
    <w:r>
      <w:rPr/>
      <w:pict>
        <v:shape style="position:absolute;margin-left:492.899994pt;margin-top:56.716404pt;width:43.6pt;height:13.05pt;mso-position-horizontal-relative:page;mso-position-vertical-relative:page;z-index:-204496" type="#_x0000_t202" filled="false" stroked="false">
          <v:textbox inset="0,0,0,0">
            <w:txbxContent>
              <w:p>
                <w:pPr>
                  <w:spacing w:line="245" w:lineRule="exact" w:before="0"/>
                  <w:ind w:left="20" w:right="0" w:firstLine="0"/>
                  <w:jc w:val="left"/>
                  <w:rPr>
                    <w:i/>
                    <w:sz w:val="22"/>
                  </w:rPr>
                </w:pPr>
                <w:r>
                  <w:rPr>
                    <w:i/>
                    <w:sz w:val="22"/>
                  </w:rPr>
                  <w:t>Hipótesis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472" from="95.543999pt,81.478325pt" to="535.5653pt,81.478325pt" stroked="true" strokeweight=".45264pt" strokecolor="#000000">
          <w10:wrap type="none"/>
        </v:line>
      </w:pict>
    </w:r>
    <w:r>
      <w:rPr/>
      <w:pict>
        <v:shape style="position:absolute;margin-left:492.299988pt;margin-top:56.716404pt;width:44.2pt;height:13.05pt;mso-position-horizontal-relative:page;mso-position-vertical-relative:page;z-index:-204448" type="#_x0000_t202" filled="false" stroked="false">
          <v:textbox inset="0,0,0,0">
            <w:txbxContent>
              <w:p>
                <w:pPr>
                  <w:spacing w:line="245" w:lineRule="exact" w:before="0"/>
                  <w:ind w:left="20" w:right="0" w:firstLine="0"/>
                  <w:jc w:val="left"/>
                  <w:rPr>
                    <w:i/>
                    <w:sz w:val="22"/>
                  </w:rPr>
                </w:pPr>
                <w:r>
                  <w:rPr>
                    <w:i/>
                    <w:sz w:val="22"/>
                  </w:rPr>
                  <w:t>Objetivos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424" from="95.543999pt,81.478325pt" to="535.655683pt,81.478325pt" stroked="true" strokeweight=".45264pt" strokecolor="#000000">
          <w10:wrap type="none"/>
        </v:line>
      </w:pict>
    </w:r>
    <w:r>
      <w:rPr/>
      <w:pict>
        <v:shape style="position:absolute;margin-left:447.660004pt;margin-top:56.716404pt;width:88.85pt;height:13.05pt;mso-position-horizontal-relative:page;mso-position-vertical-relative:page;z-index:-204400" type="#_x0000_t202" filled="false" stroked="false">
          <v:textbox inset="0,0,0,0">
            <w:txbxContent>
              <w:p>
                <w:pPr>
                  <w:spacing w:line="245" w:lineRule="exact" w:before="0"/>
                  <w:ind w:left="20" w:right="0" w:firstLine="0"/>
                  <w:jc w:val="left"/>
                  <w:rPr>
                    <w:i/>
                    <w:sz w:val="22"/>
                  </w:rPr>
                </w:pPr>
                <w:r>
                  <w:rPr>
                    <w:i/>
                    <w:sz w:val="22"/>
                  </w:rPr>
                  <w:t>Material y Métodos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7.660004pt;margin-top:56.716404pt;width:88.85pt;height:13.05pt;mso-position-horizontal-relative:page;mso-position-vertical-relative:page;z-index:-204376" type="#_x0000_t202" filled="false" stroked="false">
          <v:textbox inset="0,0,0,0">
            <w:txbxContent>
              <w:p>
                <w:pPr>
                  <w:spacing w:line="245" w:lineRule="exact" w:before="0"/>
                  <w:ind w:left="20" w:right="0" w:firstLine="0"/>
                  <w:jc w:val="left"/>
                  <w:rPr>
                    <w:i/>
                    <w:sz w:val="22"/>
                  </w:rPr>
                </w:pPr>
                <w:r>
                  <w:rPr>
                    <w:i/>
                    <w:sz w:val="22"/>
                  </w:rPr>
                  <w:t>Material y Métodos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352" from="95.543999pt,81.478325pt" to="535.5653pt,81.478325pt" stroked="true" strokeweight=".45264pt" strokecolor="#000000">
          <w10:wrap type="none"/>
        </v:line>
      </w:pict>
    </w:r>
    <w:r>
      <w:rPr/>
      <w:pict>
        <v:shape style="position:absolute;margin-left:443.100006pt;margin-top:56.716404pt;width:93.35pt;height:13.05pt;mso-position-horizontal-relative:page;mso-position-vertical-relative:page;z-index:-204328" type="#_x0000_t202" filled="false" stroked="false">
          <v:textbox inset="0,0,0,0">
            <w:txbxContent>
              <w:p>
                <w:pPr>
                  <w:spacing w:line="245" w:lineRule="exact" w:before="0"/>
                  <w:ind w:left="20" w:right="0" w:firstLine="0"/>
                  <w:jc w:val="left"/>
                  <w:rPr>
                    <w:i/>
                    <w:sz w:val="22"/>
                  </w:rPr>
                </w:pPr>
                <w:r>
                  <w:rPr>
                    <w:i/>
                    <w:sz w:val="22"/>
                  </w:rPr>
                  <w:t>Diseño experimental</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304" from="95.543999pt,81.478325pt" to="535.5653pt,81.478325pt" stroked="true" strokeweight=".45264pt" strokecolor="#000000">
          <w10:wrap type="none"/>
        </v:line>
      </w:pict>
    </w:r>
    <w:r>
      <w:rPr/>
      <w:pict>
        <v:shape style="position:absolute;margin-left:486.179993pt;margin-top:56.716404pt;width:50.35pt;height:13.05pt;mso-position-horizontal-relative:page;mso-position-vertical-relative:page;z-index:-204280" type="#_x0000_t202" filled="false" stroked="false">
          <v:textbox inset="0,0,0,0">
            <w:txbxContent>
              <w:p>
                <w:pPr>
                  <w:spacing w:line="245" w:lineRule="exact" w:before="0"/>
                  <w:ind w:left="20" w:right="0" w:firstLine="0"/>
                  <w:jc w:val="left"/>
                  <w:rPr>
                    <w:i/>
                    <w:sz w:val="22"/>
                  </w:rPr>
                </w:pPr>
                <w:r>
                  <w:rPr>
                    <w:i/>
                    <w:sz w:val="22"/>
                  </w:rPr>
                  <w:t>Resultados</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256" from="95.543999pt,81.478325pt" to="535.5653pt,81.478325pt" stroked="true" strokeweight=".45264pt" strokecolor="#000000">
          <w10:wrap type="none"/>
        </v:line>
      </w:pict>
    </w:r>
    <w:r>
      <w:rPr/>
      <w:pict>
        <v:shape style="position:absolute;margin-left:486.179993pt;margin-top:56.716404pt;width:50.35pt;height:13.05pt;mso-position-horizontal-relative:page;mso-position-vertical-relative:page;z-index:-204232" type="#_x0000_t202" filled="false" stroked="false">
          <v:textbox inset="0,0,0,0">
            <w:txbxContent>
              <w:p>
                <w:pPr>
                  <w:spacing w:line="245" w:lineRule="exact" w:before="0"/>
                  <w:ind w:left="20" w:right="0" w:firstLine="0"/>
                  <w:jc w:val="left"/>
                  <w:rPr>
                    <w:i/>
                    <w:sz w:val="22"/>
                  </w:rPr>
                </w:pPr>
                <w:r>
                  <w:rPr>
                    <w:i/>
                    <w:sz w:val="22"/>
                  </w:rPr>
                  <w:t>Resultados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016" from="101.059998pt,81.478325pt" to="535.561298pt,81.478325pt" stroked="true" strokeweight=".45264pt" strokecolor="#000000">
          <w10:wrap type="none"/>
        </v:line>
      </w:pict>
    </w:r>
    <w:r>
      <w:rPr/>
      <w:pict>
        <v:shape style="position:absolute;margin-left:486.179993pt;margin-top:56.716404pt;width:50.35pt;height:13.05pt;mso-position-horizontal-relative:page;mso-position-vertical-relative:page;z-index:-203992" type="#_x0000_t202" filled="false" stroked="false">
          <v:textbox inset="0,0,0,0">
            <w:txbxContent>
              <w:p>
                <w:pPr>
                  <w:spacing w:line="245" w:lineRule="exact" w:before="0"/>
                  <w:ind w:left="20" w:right="0" w:firstLine="0"/>
                  <w:jc w:val="left"/>
                  <w:rPr>
                    <w:i/>
                    <w:sz w:val="22"/>
                  </w:rPr>
                </w:pPr>
                <w:r>
                  <w:rPr>
                    <w:i/>
                    <w:sz w:val="22"/>
                  </w:rPr>
                  <w:t>Resultados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0.809998pt;margin-top:91.243912pt;width:67.4pt;height:14pt;mso-position-horizontal-relative:page;mso-position-vertical-relative:page;z-index:-204808" type="#_x0000_t202" filled="false" stroked="false">
          <v:textbox inset="0,0,0,0">
            <w:txbxContent>
              <w:p>
                <w:pPr>
                  <w:spacing w:line="265" w:lineRule="exact" w:before="0"/>
                  <w:ind w:left="20" w:right="0" w:firstLine="0"/>
                  <w:jc w:val="left"/>
                  <w:rPr>
                    <w:b/>
                    <w:sz w:val="24"/>
                  </w:rPr>
                </w:pPr>
                <w:r>
                  <w:rPr>
                    <w:b/>
                    <w:sz w:val="24"/>
                  </w:rPr>
                  <w:t>ABSTRACT</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968" from="95.543999pt,81.478325pt" to="535.5653pt,81.478325pt" stroked="true" strokeweight=".45264pt" strokecolor="#000000">
          <w10:wrap type="none"/>
        </v:line>
      </w:pict>
    </w:r>
    <w:r>
      <w:rPr/>
      <w:pict>
        <v:shape style="position:absolute;margin-left:490.5pt;margin-top:56.716404pt;width:46.15pt;height:13.05pt;mso-position-horizontal-relative:page;mso-position-vertical-relative:page;z-index:-203944" type="#_x0000_t202" filled="false" stroked="false">
          <v:textbox inset="0,0,0,0">
            <w:txbxContent>
              <w:p>
                <w:pPr>
                  <w:spacing w:line="245" w:lineRule="exact" w:before="0"/>
                  <w:ind w:left="20" w:right="0" w:firstLine="0"/>
                  <w:jc w:val="left"/>
                  <w:rPr>
                    <w:i/>
                    <w:sz w:val="22"/>
                  </w:rPr>
                </w:pPr>
                <w:r>
                  <w:rPr>
                    <w:i/>
                    <w:sz w:val="22"/>
                  </w:rPr>
                  <w:t>Discusión</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920" from="95.543999pt,81.478325pt" to="535.5653pt,81.478325pt" stroked="true" strokeweight=".45264pt" strokecolor="#000000">
          <w10:wrap type="none"/>
        </v:line>
      </w:pict>
    </w:r>
    <w:r>
      <w:rPr/>
      <w:pict>
        <v:shape style="position:absolute;margin-left:475.26001pt;margin-top:56.716404pt;width:61.35pt;height:13.05pt;mso-position-horizontal-relative:page;mso-position-vertical-relative:page;z-index:-203896" type="#_x0000_t202" filled="false" stroked="false">
          <v:textbox inset="0,0,0,0">
            <w:txbxContent>
              <w:p>
                <w:pPr>
                  <w:spacing w:line="245" w:lineRule="exact" w:before="0"/>
                  <w:ind w:left="20" w:right="0" w:firstLine="0"/>
                  <w:jc w:val="left"/>
                  <w:rPr>
                    <w:i/>
                    <w:sz w:val="22"/>
                  </w:rPr>
                </w:pPr>
                <w:r>
                  <w:rPr>
                    <w:i/>
                    <w:sz w:val="22"/>
                  </w:rPr>
                  <w:t>Conclusiones</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872" from="95.543999pt,81.478325pt" to="535.5653pt,81.478325pt" stroked="true" strokeweight=".45264pt" strokecolor="#000000">
          <w10:wrap type="none"/>
        </v:line>
      </w:pict>
    </w:r>
    <w:r>
      <w:rPr/>
      <w:pict>
        <v:shape style="position:absolute;margin-left:456.660004pt;margin-top:56.716404pt;width:80pt;height:13.05pt;mso-position-horizontal-relative:page;mso-position-vertical-relative:page;z-index:-203848" type="#_x0000_t202" filled="false" stroked="false">
          <v:textbox inset="0,0,0,0">
            <w:txbxContent>
              <w:p>
                <w:pPr>
                  <w:spacing w:line="245" w:lineRule="exact" w:before="0"/>
                  <w:ind w:left="20" w:right="0" w:firstLine="0"/>
                  <w:jc w:val="left"/>
                  <w:rPr>
                    <w:i/>
                    <w:sz w:val="22"/>
                  </w:rPr>
                </w:pPr>
                <w:r>
                  <w:rPr>
                    <w:i/>
                    <w:sz w:val="22"/>
                  </w:rPr>
                  <w:t>Literatura Citada</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776" from="95.543999pt,81.478325pt" to="535.5653pt,81.478325pt" stroked="true" strokeweight=".45264pt" strokecolor="#000000">
          <w10:wrap type="none"/>
        </v:line>
      </w:pict>
    </w:r>
    <w:r>
      <w:rPr/>
      <w:pict>
        <v:shape style="position:absolute;margin-left:502.73999pt;margin-top:56.716404pt;width:33.9pt;height:13.05pt;mso-position-horizontal-relative:page;mso-position-vertical-relative:page;z-index:-203752" type="#_x0000_t202" filled="false" stroked="false">
          <v:textbox inset="0,0,0,0">
            <w:txbxContent>
              <w:p>
                <w:pPr>
                  <w:spacing w:line="245" w:lineRule="exact" w:before="0"/>
                  <w:ind w:left="20" w:right="0" w:firstLine="0"/>
                  <w:jc w:val="left"/>
                  <w:rPr>
                    <w:i/>
                    <w:sz w:val="22"/>
                  </w:rPr>
                </w:pPr>
                <w:r>
                  <w:rPr>
                    <w:i/>
                    <w:sz w:val="22"/>
                  </w:rPr>
                  <w:t>Anexos</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680" from="95.543999pt,81.478325pt" to="535.655683pt,81.478325pt" stroked="true" strokeweight=".45264pt" strokecolor="#000000">
          <w10:wrap type="none"/>
        </v:line>
      </w:pict>
    </w:r>
    <w:r>
      <w:rPr/>
      <w:pict>
        <v:shape style="position:absolute;margin-left:502.73999pt;margin-top:56.716404pt;width:33.9pt;height:13.05pt;mso-position-horizontal-relative:page;mso-position-vertical-relative:page;z-index:-203656" type="#_x0000_t202" filled="false" stroked="false">
          <v:textbox inset="0,0,0,0">
            <w:txbxContent>
              <w:p>
                <w:pPr>
                  <w:spacing w:line="245" w:lineRule="exact" w:before="0"/>
                  <w:ind w:left="20" w:right="0" w:firstLine="0"/>
                  <w:jc w:val="left"/>
                  <w:rPr>
                    <w:i/>
                    <w:sz w:val="22"/>
                  </w:rPr>
                </w:pPr>
                <w:r>
                  <w:rPr>
                    <w:i/>
                    <w:sz w:val="22"/>
                  </w:rPr>
                  <w:t>Anexos</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584" from="95.543999pt,81.478325pt" to="535.655683pt,81.478325pt" stroked="true" strokeweight=".45264pt" strokecolor="#000000">
          <w10:wrap type="none"/>
        </v:line>
      </w:pict>
    </w:r>
    <w:r>
      <w:rPr/>
      <w:pict>
        <v:shape style="position:absolute;margin-left:502.73999pt;margin-top:56.716404pt;width:33.9pt;height:13.05pt;mso-position-horizontal-relative:page;mso-position-vertical-relative:page;z-index:-203560" type="#_x0000_t202" filled="false" stroked="false">
          <v:textbox inset="0,0,0,0">
            <w:txbxContent>
              <w:p>
                <w:pPr>
                  <w:spacing w:line="245" w:lineRule="exact" w:before="0"/>
                  <w:ind w:left="20" w:right="0" w:firstLine="0"/>
                  <w:jc w:val="left"/>
                  <w:rPr>
                    <w:i/>
                    <w:sz w:val="22"/>
                  </w:rPr>
                </w:pPr>
                <w:r>
                  <w:rPr>
                    <w:i/>
                    <w:sz w:val="22"/>
                  </w:rPr>
                  <w:t>Anexos</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536" from="95.543999pt,81.478325pt" to="535.655683pt,81.478325pt" stroked="true" strokeweight=".45264pt" strokecolor="#000000">
          <w10:wrap type="none"/>
        </v:line>
      </w:pict>
    </w:r>
    <w:r>
      <w:rPr/>
      <w:pict>
        <v:shape style="position:absolute;margin-left:502.73999pt;margin-top:56.716404pt;width:33.9pt;height:13.05pt;mso-position-horizontal-relative:page;mso-position-vertical-relative:page;z-index:-203512" type="#_x0000_t202" filled="false" stroked="false">
          <v:textbox inset="0,0,0,0">
            <w:txbxContent>
              <w:p>
                <w:pPr>
                  <w:spacing w:line="245" w:lineRule="exact" w:before="0"/>
                  <w:ind w:left="20" w:right="0" w:firstLine="0"/>
                  <w:jc w:val="left"/>
                  <w:rPr>
                    <w:i/>
                    <w:sz w:val="22"/>
                  </w:rPr>
                </w:pPr>
                <w:r>
                  <w:rPr>
                    <w:i/>
                    <w:sz w:val="22"/>
                  </w:rPr>
                  <w:t>Anexos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6.489990pt;margin-top:91.243912pt;width:76.05pt;height:14pt;mso-position-horizontal-relative:page;mso-position-vertical-relative:page;z-index:-204784" type="#_x0000_t202" filled="false" stroked="false">
          <v:textbox inset="0,0,0,0">
            <w:txbxContent>
              <w:p>
                <w:pPr>
                  <w:spacing w:line="265" w:lineRule="exact" w:before="0"/>
                  <w:ind w:left="20" w:right="0" w:firstLine="0"/>
                  <w:jc w:val="left"/>
                  <w:rPr>
                    <w:b/>
                    <w:sz w:val="24"/>
                  </w:rPr>
                </w:pPr>
                <w:r>
                  <w:rPr>
                    <w:b/>
                    <w:sz w:val="24"/>
                  </w:rPr>
                  <w:t>CONTENIDO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712" from="95.543999pt,81.478325pt" to="535.5653pt,81.478325pt" stroked="true" strokeweight=".45264pt" strokecolor="#000000">
          <w10:wrap type="none"/>
        </v:line>
      </w:pict>
    </w:r>
    <w:r>
      <w:rPr/>
      <w:pict>
        <v:shape style="position:absolute;margin-left:438.899994pt;margin-top:56.716404pt;width:97.65pt;height:13.05pt;mso-position-horizontal-relative:page;mso-position-vertical-relative:page;z-index:-204688" type="#_x0000_t202" filled="false" stroked="false">
          <v:textbox inset="0,0,0,0">
            <w:txbxContent>
              <w:p>
                <w:pPr>
                  <w:spacing w:line="245" w:lineRule="exact" w:before="0"/>
                  <w:ind w:left="20" w:right="0" w:firstLine="0"/>
                  <w:jc w:val="left"/>
                  <w:rPr>
                    <w:i/>
                    <w:sz w:val="22"/>
                  </w:rPr>
                </w:pPr>
                <w:r>
                  <w:rPr>
                    <w:i/>
                    <w:sz w:val="22"/>
                  </w:rPr>
                  <w:t>Introducción General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9">
    <w:multiLevelType w:val="hybridMultilevel"/>
    <w:lvl w:ilvl="0">
      <w:start w:val="8"/>
      <w:numFmt w:val="decimal"/>
      <w:lvlText w:val="%1"/>
      <w:lvlJc w:val="left"/>
      <w:pPr>
        <w:ind w:left="572" w:hanging="360"/>
        <w:jc w:val="left"/>
      </w:pPr>
      <w:rPr>
        <w:rFonts w:hint="default"/>
      </w:rPr>
    </w:lvl>
    <w:lvl w:ilvl="1">
      <w:start w:val="7"/>
      <w:numFmt w:val="decimal"/>
      <w:lvlText w:val="%1.%2"/>
      <w:lvlJc w:val="left"/>
      <w:pPr>
        <w:ind w:left="572" w:hanging="360"/>
        <w:jc w:val="left"/>
      </w:pPr>
      <w:rPr>
        <w:rFonts w:hint="default" w:ascii="Times New Roman" w:hAnsi="Times New Roman" w:eastAsia="Times New Roman" w:cs="Times New Roman"/>
        <w:b/>
        <w:bCs/>
        <w:spacing w:val="-1"/>
        <w:w w:val="99"/>
        <w:sz w:val="24"/>
        <w:szCs w:val="24"/>
      </w:rPr>
    </w:lvl>
    <w:lvl w:ilvl="2">
      <w:start w:val="1"/>
      <w:numFmt w:val="decimal"/>
      <w:lvlText w:val="%3)"/>
      <w:lvlJc w:val="left"/>
      <w:pPr>
        <w:ind w:left="1512" w:hanging="360"/>
        <w:jc w:val="right"/>
      </w:pPr>
      <w:rPr>
        <w:rFonts w:hint="default" w:ascii="Times New Roman" w:hAnsi="Times New Roman" w:eastAsia="Times New Roman" w:cs="Times New Roman"/>
        <w:spacing w:val="-20"/>
        <w:w w:val="99"/>
        <w:sz w:val="24"/>
        <w:szCs w:val="24"/>
      </w:rPr>
    </w:lvl>
    <w:lvl w:ilvl="3">
      <w:start w:val="1"/>
      <w:numFmt w:val="bullet"/>
      <w:lvlText w:val="•"/>
      <w:lvlJc w:val="left"/>
      <w:pPr>
        <w:ind w:left="3217" w:hanging="360"/>
      </w:pPr>
      <w:rPr>
        <w:rFonts w:hint="default"/>
      </w:rPr>
    </w:lvl>
    <w:lvl w:ilvl="4">
      <w:start w:val="1"/>
      <w:numFmt w:val="bullet"/>
      <w:lvlText w:val="•"/>
      <w:lvlJc w:val="left"/>
      <w:pPr>
        <w:ind w:left="4066" w:hanging="360"/>
      </w:pPr>
      <w:rPr>
        <w:rFonts w:hint="default"/>
      </w:rPr>
    </w:lvl>
    <w:lvl w:ilvl="5">
      <w:start w:val="1"/>
      <w:numFmt w:val="bullet"/>
      <w:lvlText w:val="•"/>
      <w:lvlJc w:val="left"/>
      <w:pPr>
        <w:ind w:left="4915"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613" w:hanging="360"/>
      </w:pPr>
      <w:rPr>
        <w:rFonts w:hint="default"/>
      </w:rPr>
    </w:lvl>
    <w:lvl w:ilvl="8">
      <w:start w:val="1"/>
      <w:numFmt w:val="bullet"/>
      <w:lvlText w:val="•"/>
      <w:lvlJc w:val="left"/>
      <w:pPr>
        <w:ind w:left="7462" w:hanging="360"/>
      </w:pPr>
      <w:rPr>
        <w:rFonts w:hint="default"/>
      </w:rPr>
    </w:lvl>
  </w:abstractNum>
  <w:abstractNum w:abstractNumId="28">
    <w:multiLevelType w:val="hybridMultilevel"/>
    <w:lvl w:ilvl="0">
      <w:start w:val="8"/>
      <w:numFmt w:val="decimal"/>
      <w:lvlText w:val="%1"/>
      <w:lvlJc w:val="left"/>
      <w:pPr>
        <w:ind w:left="572" w:hanging="360"/>
        <w:jc w:val="left"/>
      </w:pPr>
      <w:rPr>
        <w:rFonts w:hint="default"/>
      </w:rPr>
    </w:lvl>
    <w:lvl w:ilvl="1">
      <w:start w:val="2"/>
      <w:numFmt w:val="decimal"/>
      <w:lvlText w:val="%1.%2"/>
      <w:lvlJc w:val="left"/>
      <w:pPr>
        <w:ind w:left="572" w:hanging="360"/>
        <w:jc w:val="right"/>
      </w:pPr>
      <w:rPr>
        <w:rFonts w:hint="default" w:ascii="Times New Roman" w:hAnsi="Times New Roman" w:eastAsia="Times New Roman" w:cs="Times New Roman"/>
        <w:b/>
        <w:bCs/>
        <w:w w:val="100"/>
        <w:sz w:val="24"/>
        <w:szCs w:val="24"/>
      </w:rPr>
    </w:lvl>
    <w:lvl w:ilvl="2">
      <w:start w:val="1"/>
      <w:numFmt w:val="bullet"/>
      <w:lvlText w:val="•"/>
      <w:lvlJc w:val="left"/>
      <w:pPr>
        <w:ind w:left="2296" w:hanging="360"/>
      </w:pPr>
      <w:rPr>
        <w:rFonts w:hint="default"/>
      </w:rPr>
    </w:lvl>
    <w:lvl w:ilvl="3">
      <w:start w:val="1"/>
      <w:numFmt w:val="bullet"/>
      <w:lvlText w:val="•"/>
      <w:lvlJc w:val="left"/>
      <w:pPr>
        <w:ind w:left="3154" w:hanging="360"/>
      </w:pPr>
      <w:rPr>
        <w:rFonts w:hint="default"/>
      </w:rPr>
    </w:lvl>
    <w:lvl w:ilvl="4">
      <w:start w:val="1"/>
      <w:numFmt w:val="bullet"/>
      <w:lvlText w:val="•"/>
      <w:lvlJc w:val="left"/>
      <w:pPr>
        <w:ind w:left="4012"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586" w:hanging="360"/>
      </w:pPr>
      <w:rPr>
        <w:rFonts w:hint="default"/>
      </w:rPr>
    </w:lvl>
    <w:lvl w:ilvl="8">
      <w:start w:val="1"/>
      <w:numFmt w:val="bullet"/>
      <w:lvlText w:val="•"/>
      <w:lvlJc w:val="left"/>
      <w:pPr>
        <w:ind w:left="7444" w:hanging="360"/>
      </w:pPr>
      <w:rPr>
        <w:rFonts w:hint="default"/>
      </w:rPr>
    </w:lvl>
  </w:abstractNum>
  <w:abstractNum w:abstractNumId="27">
    <w:multiLevelType w:val="hybridMultilevel"/>
    <w:lvl w:ilvl="0">
      <w:start w:val="8"/>
      <w:numFmt w:val="decimal"/>
      <w:lvlText w:val="%1."/>
      <w:lvlJc w:val="left"/>
      <w:pPr>
        <w:ind w:left="4084" w:hanging="240"/>
        <w:jc w:val="right"/>
      </w:pPr>
      <w:rPr>
        <w:rFonts w:hint="default" w:ascii="Times New Roman" w:hAnsi="Times New Roman" w:eastAsia="Times New Roman" w:cs="Times New Roman"/>
        <w:b/>
        <w:bCs/>
        <w:spacing w:val="-1"/>
        <w:w w:val="99"/>
        <w:sz w:val="24"/>
        <w:szCs w:val="24"/>
      </w:rPr>
    </w:lvl>
    <w:lvl w:ilvl="1">
      <w:start w:val="1"/>
      <w:numFmt w:val="bullet"/>
      <w:lvlText w:val="•"/>
      <w:lvlJc w:val="left"/>
      <w:pPr>
        <w:ind w:left="4588" w:hanging="240"/>
      </w:pPr>
      <w:rPr>
        <w:rFonts w:hint="default"/>
      </w:rPr>
    </w:lvl>
    <w:lvl w:ilvl="2">
      <w:start w:val="1"/>
      <w:numFmt w:val="bullet"/>
      <w:lvlText w:val="•"/>
      <w:lvlJc w:val="left"/>
      <w:pPr>
        <w:ind w:left="5096" w:hanging="240"/>
      </w:pPr>
      <w:rPr>
        <w:rFonts w:hint="default"/>
      </w:rPr>
    </w:lvl>
    <w:lvl w:ilvl="3">
      <w:start w:val="1"/>
      <w:numFmt w:val="bullet"/>
      <w:lvlText w:val="•"/>
      <w:lvlJc w:val="left"/>
      <w:pPr>
        <w:ind w:left="5604" w:hanging="240"/>
      </w:pPr>
      <w:rPr>
        <w:rFonts w:hint="default"/>
      </w:rPr>
    </w:lvl>
    <w:lvl w:ilvl="4">
      <w:start w:val="1"/>
      <w:numFmt w:val="bullet"/>
      <w:lvlText w:val="•"/>
      <w:lvlJc w:val="left"/>
      <w:pPr>
        <w:ind w:left="6112" w:hanging="240"/>
      </w:pPr>
      <w:rPr>
        <w:rFonts w:hint="default"/>
      </w:rPr>
    </w:lvl>
    <w:lvl w:ilvl="5">
      <w:start w:val="1"/>
      <w:numFmt w:val="bullet"/>
      <w:lvlText w:val="•"/>
      <w:lvlJc w:val="left"/>
      <w:pPr>
        <w:ind w:left="6620" w:hanging="240"/>
      </w:pPr>
      <w:rPr>
        <w:rFonts w:hint="default"/>
      </w:rPr>
    </w:lvl>
    <w:lvl w:ilvl="6">
      <w:start w:val="1"/>
      <w:numFmt w:val="bullet"/>
      <w:lvlText w:val="•"/>
      <w:lvlJc w:val="left"/>
      <w:pPr>
        <w:ind w:left="7128" w:hanging="240"/>
      </w:pPr>
      <w:rPr>
        <w:rFonts w:hint="default"/>
      </w:rPr>
    </w:lvl>
    <w:lvl w:ilvl="7">
      <w:start w:val="1"/>
      <w:numFmt w:val="bullet"/>
      <w:lvlText w:val="•"/>
      <w:lvlJc w:val="left"/>
      <w:pPr>
        <w:ind w:left="7636" w:hanging="240"/>
      </w:pPr>
      <w:rPr>
        <w:rFonts w:hint="default"/>
      </w:rPr>
    </w:lvl>
    <w:lvl w:ilvl="8">
      <w:start w:val="1"/>
      <w:numFmt w:val="bullet"/>
      <w:lvlText w:val="•"/>
      <w:lvlJc w:val="left"/>
      <w:pPr>
        <w:ind w:left="8144" w:hanging="240"/>
      </w:pPr>
      <w:rPr>
        <w:rFonts w:hint="default"/>
      </w:rPr>
    </w:lvl>
  </w:abstractNum>
  <w:abstractNum w:abstractNumId="26">
    <w:multiLevelType w:val="hybridMultilevel"/>
    <w:lvl w:ilvl="0">
      <w:start w:val="7"/>
      <w:numFmt w:val="decimal"/>
      <w:lvlText w:val="%1"/>
      <w:lvlJc w:val="left"/>
      <w:pPr>
        <w:ind w:left="709" w:hanging="497"/>
        <w:jc w:val="left"/>
      </w:pPr>
      <w:rPr>
        <w:rFonts w:hint="default"/>
      </w:rPr>
    </w:lvl>
    <w:lvl w:ilvl="1">
      <w:start w:val="5"/>
      <w:numFmt w:val="decimal"/>
      <w:lvlText w:val="%1.%2"/>
      <w:lvlJc w:val="left"/>
      <w:pPr>
        <w:ind w:left="709" w:hanging="497"/>
        <w:jc w:val="left"/>
      </w:pPr>
      <w:rPr>
        <w:rFonts w:hint="default"/>
      </w:rPr>
    </w:lvl>
    <w:lvl w:ilvl="2">
      <w:start w:val="5"/>
      <w:numFmt w:val="decimal"/>
      <w:lvlText w:val="%1.%2.%3"/>
      <w:lvlJc w:val="left"/>
      <w:pPr>
        <w:ind w:left="709" w:hanging="497"/>
        <w:jc w:val="right"/>
      </w:pPr>
      <w:rPr>
        <w:rFonts w:hint="default" w:ascii="Times New Roman" w:hAnsi="Times New Roman" w:eastAsia="Times New Roman" w:cs="Times New Roman"/>
        <w:b/>
        <w:bCs/>
        <w:i/>
        <w:w w:val="100"/>
        <w:sz w:val="22"/>
        <w:szCs w:val="22"/>
      </w:rPr>
    </w:lvl>
    <w:lvl w:ilvl="3">
      <w:start w:val="1"/>
      <w:numFmt w:val="bullet"/>
      <w:lvlText w:val="•"/>
      <w:lvlJc w:val="left"/>
      <w:pPr>
        <w:ind w:left="3262" w:hanging="497"/>
      </w:pPr>
      <w:rPr>
        <w:rFonts w:hint="default"/>
      </w:rPr>
    </w:lvl>
    <w:lvl w:ilvl="4">
      <w:start w:val="1"/>
      <w:numFmt w:val="bullet"/>
      <w:lvlText w:val="•"/>
      <w:lvlJc w:val="left"/>
      <w:pPr>
        <w:ind w:left="4116" w:hanging="497"/>
      </w:pPr>
      <w:rPr>
        <w:rFonts w:hint="default"/>
      </w:rPr>
    </w:lvl>
    <w:lvl w:ilvl="5">
      <w:start w:val="1"/>
      <w:numFmt w:val="bullet"/>
      <w:lvlText w:val="•"/>
      <w:lvlJc w:val="left"/>
      <w:pPr>
        <w:ind w:left="4970" w:hanging="497"/>
      </w:pPr>
      <w:rPr>
        <w:rFonts w:hint="default"/>
      </w:rPr>
    </w:lvl>
    <w:lvl w:ilvl="6">
      <w:start w:val="1"/>
      <w:numFmt w:val="bullet"/>
      <w:lvlText w:val="•"/>
      <w:lvlJc w:val="left"/>
      <w:pPr>
        <w:ind w:left="5824" w:hanging="497"/>
      </w:pPr>
      <w:rPr>
        <w:rFonts w:hint="default"/>
      </w:rPr>
    </w:lvl>
    <w:lvl w:ilvl="7">
      <w:start w:val="1"/>
      <w:numFmt w:val="bullet"/>
      <w:lvlText w:val="•"/>
      <w:lvlJc w:val="left"/>
      <w:pPr>
        <w:ind w:left="6678" w:hanging="497"/>
      </w:pPr>
      <w:rPr>
        <w:rFonts w:hint="default"/>
      </w:rPr>
    </w:lvl>
    <w:lvl w:ilvl="8">
      <w:start w:val="1"/>
      <w:numFmt w:val="bullet"/>
      <w:lvlText w:val="•"/>
      <w:lvlJc w:val="left"/>
      <w:pPr>
        <w:ind w:left="7532" w:hanging="497"/>
      </w:pPr>
      <w:rPr>
        <w:rFonts w:hint="default"/>
      </w:rPr>
    </w:lvl>
  </w:abstractNum>
  <w:abstractNum w:abstractNumId="25">
    <w:multiLevelType w:val="hybridMultilevel"/>
    <w:lvl w:ilvl="0">
      <w:start w:val="7"/>
      <w:numFmt w:val="decimal"/>
      <w:lvlText w:val="%1"/>
      <w:lvlJc w:val="left"/>
      <w:pPr>
        <w:ind w:left="212" w:hanging="360"/>
        <w:jc w:val="left"/>
      </w:pPr>
      <w:rPr>
        <w:rFonts w:hint="default"/>
      </w:rPr>
    </w:lvl>
    <w:lvl w:ilvl="1">
      <w:start w:val="5"/>
      <w:numFmt w:val="decimal"/>
      <w:lvlText w:val="%1.%2"/>
      <w:lvlJc w:val="left"/>
      <w:pPr>
        <w:ind w:left="21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64" w:hanging="552"/>
        <w:jc w:val="left"/>
      </w:pPr>
      <w:rPr>
        <w:rFonts w:hint="default" w:ascii="Times New Roman" w:hAnsi="Times New Roman" w:eastAsia="Times New Roman" w:cs="Times New Roman"/>
        <w:b/>
        <w:bCs/>
        <w:i/>
        <w:w w:val="100"/>
        <w:sz w:val="22"/>
        <w:szCs w:val="22"/>
      </w:rPr>
    </w:lvl>
    <w:lvl w:ilvl="3">
      <w:start w:val="1"/>
      <w:numFmt w:val="bullet"/>
      <w:lvlText w:val="•"/>
      <w:lvlJc w:val="left"/>
      <w:pPr>
        <w:ind w:left="2644" w:hanging="552"/>
      </w:pPr>
      <w:rPr>
        <w:rFonts w:hint="default"/>
      </w:rPr>
    </w:lvl>
    <w:lvl w:ilvl="4">
      <w:start w:val="1"/>
      <w:numFmt w:val="bullet"/>
      <w:lvlText w:val="•"/>
      <w:lvlJc w:val="left"/>
      <w:pPr>
        <w:ind w:left="3586" w:hanging="552"/>
      </w:pPr>
      <w:rPr>
        <w:rFonts w:hint="default"/>
      </w:rPr>
    </w:lvl>
    <w:lvl w:ilvl="5">
      <w:start w:val="1"/>
      <w:numFmt w:val="bullet"/>
      <w:lvlText w:val="•"/>
      <w:lvlJc w:val="left"/>
      <w:pPr>
        <w:ind w:left="4528" w:hanging="552"/>
      </w:pPr>
      <w:rPr>
        <w:rFonts w:hint="default"/>
      </w:rPr>
    </w:lvl>
    <w:lvl w:ilvl="6">
      <w:start w:val="1"/>
      <w:numFmt w:val="bullet"/>
      <w:lvlText w:val="•"/>
      <w:lvlJc w:val="left"/>
      <w:pPr>
        <w:ind w:left="5471" w:hanging="552"/>
      </w:pPr>
      <w:rPr>
        <w:rFonts w:hint="default"/>
      </w:rPr>
    </w:lvl>
    <w:lvl w:ilvl="7">
      <w:start w:val="1"/>
      <w:numFmt w:val="bullet"/>
      <w:lvlText w:val="•"/>
      <w:lvlJc w:val="left"/>
      <w:pPr>
        <w:ind w:left="6413" w:hanging="552"/>
      </w:pPr>
      <w:rPr>
        <w:rFonts w:hint="default"/>
      </w:rPr>
    </w:lvl>
    <w:lvl w:ilvl="8">
      <w:start w:val="1"/>
      <w:numFmt w:val="bullet"/>
      <w:lvlText w:val="•"/>
      <w:lvlJc w:val="left"/>
      <w:pPr>
        <w:ind w:left="7355" w:hanging="552"/>
      </w:pPr>
      <w:rPr>
        <w:rFonts w:hint="default"/>
      </w:rPr>
    </w:lvl>
  </w:abstractNum>
  <w:abstractNum w:abstractNumId="24">
    <w:multiLevelType w:val="hybridMultilevel"/>
    <w:lvl w:ilvl="0">
      <w:start w:val="7"/>
      <w:numFmt w:val="decimal"/>
      <w:lvlText w:val="%1"/>
      <w:lvlJc w:val="left"/>
      <w:pPr>
        <w:ind w:left="1418" w:hanging="380"/>
        <w:jc w:val="left"/>
      </w:pPr>
      <w:rPr>
        <w:rFonts w:hint="default"/>
      </w:rPr>
    </w:lvl>
    <w:lvl w:ilvl="1">
      <w:start w:val="1"/>
      <w:numFmt w:val="decimal"/>
      <w:lvlText w:val="%1.%2"/>
      <w:lvlJc w:val="left"/>
      <w:pPr>
        <w:ind w:left="1418" w:hanging="380"/>
        <w:jc w:val="right"/>
      </w:pPr>
      <w:rPr>
        <w:rFonts w:hint="default" w:ascii="Times New Roman" w:hAnsi="Times New Roman" w:eastAsia="Times New Roman" w:cs="Times New Roman"/>
        <w:b/>
        <w:bCs/>
        <w:w w:val="100"/>
        <w:sz w:val="24"/>
        <w:szCs w:val="24"/>
      </w:rPr>
    </w:lvl>
    <w:lvl w:ilvl="2">
      <w:start w:val="1"/>
      <w:numFmt w:val="decimal"/>
      <w:lvlText w:val="%1.%2.%3"/>
      <w:lvlJc w:val="left"/>
      <w:pPr>
        <w:ind w:left="689" w:hanging="497"/>
        <w:jc w:val="left"/>
      </w:pPr>
      <w:rPr>
        <w:rFonts w:hint="default" w:ascii="Times New Roman" w:hAnsi="Times New Roman" w:eastAsia="Times New Roman" w:cs="Times New Roman"/>
        <w:b/>
        <w:bCs/>
        <w:i/>
        <w:w w:val="100"/>
        <w:sz w:val="22"/>
        <w:szCs w:val="22"/>
      </w:rPr>
    </w:lvl>
    <w:lvl w:ilvl="3">
      <w:start w:val="1"/>
      <w:numFmt w:val="bullet"/>
      <w:lvlText w:val="•"/>
      <w:lvlJc w:val="left"/>
      <w:pPr>
        <w:ind w:left="3153" w:hanging="497"/>
      </w:pPr>
      <w:rPr>
        <w:rFonts w:hint="default"/>
      </w:rPr>
    </w:lvl>
    <w:lvl w:ilvl="4">
      <w:start w:val="1"/>
      <w:numFmt w:val="bullet"/>
      <w:lvlText w:val="•"/>
      <w:lvlJc w:val="left"/>
      <w:pPr>
        <w:ind w:left="4020" w:hanging="497"/>
      </w:pPr>
      <w:rPr>
        <w:rFonts w:hint="default"/>
      </w:rPr>
    </w:lvl>
    <w:lvl w:ilvl="5">
      <w:start w:val="1"/>
      <w:numFmt w:val="bullet"/>
      <w:lvlText w:val="•"/>
      <w:lvlJc w:val="left"/>
      <w:pPr>
        <w:ind w:left="4886" w:hanging="497"/>
      </w:pPr>
      <w:rPr>
        <w:rFonts w:hint="default"/>
      </w:rPr>
    </w:lvl>
    <w:lvl w:ilvl="6">
      <w:start w:val="1"/>
      <w:numFmt w:val="bullet"/>
      <w:lvlText w:val="•"/>
      <w:lvlJc w:val="left"/>
      <w:pPr>
        <w:ind w:left="5753" w:hanging="497"/>
      </w:pPr>
      <w:rPr>
        <w:rFonts w:hint="default"/>
      </w:rPr>
    </w:lvl>
    <w:lvl w:ilvl="7">
      <w:start w:val="1"/>
      <w:numFmt w:val="bullet"/>
      <w:lvlText w:val="•"/>
      <w:lvlJc w:val="left"/>
      <w:pPr>
        <w:ind w:left="6620" w:hanging="497"/>
      </w:pPr>
      <w:rPr>
        <w:rFonts w:hint="default"/>
      </w:rPr>
    </w:lvl>
    <w:lvl w:ilvl="8">
      <w:start w:val="1"/>
      <w:numFmt w:val="bullet"/>
      <w:lvlText w:val="•"/>
      <w:lvlJc w:val="left"/>
      <w:pPr>
        <w:ind w:left="7486" w:hanging="497"/>
      </w:pPr>
      <w:rPr>
        <w:rFonts w:hint="default"/>
      </w:rPr>
    </w:lvl>
  </w:abstractNum>
  <w:abstractNum w:abstractNumId="23">
    <w:multiLevelType w:val="hybridMultilevel"/>
    <w:lvl w:ilvl="0">
      <w:start w:val="1"/>
      <w:numFmt w:val="decimal"/>
      <w:lvlText w:val="%1."/>
      <w:lvlJc w:val="left"/>
      <w:pPr>
        <w:ind w:left="152" w:hanging="240"/>
        <w:jc w:val="left"/>
      </w:pPr>
      <w:rPr>
        <w:rFonts w:hint="default" w:ascii="Times New Roman" w:hAnsi="Times New Roman" w:eastAsia="Times New Roman" w:cs="Times New Roman"/>
        <w:b/>
        <w:bCs/>
        <w:w w:val="100"/>
        <w:sz w:val="24"/>
        <w:szCs w:val="24"/>
      </w:rPr>
    </w:lvl>
    <w:lvl w:ilvl="1">
      <w:start w:val="1"/>
      <w:numFmt w:val="bullet"/>
      <w:lvlText w:val=""/>
      <w:lvlJc w:val="left"/>
      <w:pPr>
        <w:ind w:left="718" w:hanging="425"/>
      </w:pPr>
      <w:rPr>
        <w:rFonts w:hint="default" w:ascii="Symbol" w:hAnsi="Symbol" w:eastAsia="Symbol" w:cs="Symbol"/>
        <w:w w:val="100"/>
        <w:sz w:val="24"/>
        <w:szCs w:val="24"/>
      </w:rPr>
    </w:lvl>
    <w:lvl w:ilvl="2">
      <w:start w:val="1"/>
      <w:numFmt w:val="bullet"/>
      <w:lvlText w:val="•"/>
      <w:lvlJc w:val="left"/>
      <w:pPr>
        <w:ind w:left="3880" w:hanging="425"/>
      </w:pPr>
      <w:rPr>
        <w:rFonts w:hint="default"/>
      </w:rPr>
    </w:lvl>
    <w:lvl w:ilvl="3">
      <w:start w:val="1"/>
      <w:numFmt w:val="bullet"/>
      <w:lvlText w:val="•"/>
      <w:lvlJc w:val="left"/>
      <w:pPr>
        <w:ind w:left="4532" w:hanging="425"/>
      </w:pPr>
      <w:rPr>
        <w:rFonts w:hint="default"/>
      </w:rPr>
    </w:lvl>
    <w:lvl w:ilvl="4">
      <w:start w:val="1"/>
      <w:numFmt w:val="bullet"/>
      <w:lvlText w:val="•"/>
      <w:lvlJc w:val="left"/>
      <w:pPr>
        <w:ind w:left="5185" w:hanging="425"/>
      </w:pPr>
      <w:rPr>
        <w:rFonts w:hint="default"/>
      </w:rPr>
    </w:lvl>
    <w:lvl w:ilvl="5">
      <w:start w:val="1"/>
      <w:numFmt w:val="bullet"/>
      <w:lvlText w:val="•"/>
      <w:lvlJc w:val="left"/>
      <w:pPr>
        <w:ind w:left="5837" w:hanging="425"/>
      </w:pPr>
      <w:rPr>
        <w:rFonts w:hint="default"/>
      </w:rPr>
    </w:lvl>
    <w:lvl w:ilvl="6">
      <w:start w:val="1"/>
      <w:numFmt w:val="bullet"/>
      <w:lvlText w:val="•"/>
      <w:lvlJc w:val="left"/>
      <w:pPr>
        <w:ind w:left="6490" w:hanging="425"/>
      </w:pPr>
      <w:rPr>
        <w:rFonts w:hint="default"/>
      </w:rPr>
    </w:lvl>
    <w:lvl w:ilvl="7">
      <w:start w:val="1"/>
      <w:numFmt w:val="bullet"/>
      <w:lvlText w:val="•"/>
      <w:lvlJc w:val="left"/>
      <w:pPr>
        <w:ind w:left="7142" w:hanging="425"/>
      </w:pPr>
      <w:rPr>
        <w:rFonts w:hint="default"/>
      </w:rPr>
    </w:lvl>
    <w:lvl w:ilvl="8">
      <w:start w:val="1"/>
      <w:numFmt w:val="bullet"/>
      <w:lvlText w:val="•"/>
      <w:lvlJc w:val="left"/>
      <w:pPr>
        <w:ind w:left="7795" w:hanging="425"/>
      </w:pPr>
      <w:rPr>
        <w:rFonts w:hint="default"/>
      </w:rPr>
    </w:lvl>
  </w:abstractNum>
  <w:abstractNum w:abstractNumId="22">
    <w:multiLevelType w:val="hybridMultilevel"/>
    <w:lvl w:ilvl="0">
      <w:start w:val="6"/>
      <w:numFmt w:val="decimal"/>
      <w:lvlText w:val="%1"/>
      <w:lvlJc w:val="left"/>
      <w:pPr>
        <w:ind w:left="512" w:hanging="360"/>
        <w:jc w:val="left"/>
      </w:pPr>
      <w:rPr>
        <w:rFonts w:hint="default"/>
      </w:rPr>
    </w:lvl>
    <w:lvl w:ilvl="1">
      <w:start w:val="7"/>
      <w:numFmt w:val="decimal"/>
      <w:lvlText w:val="%1.%2"/>
      <w:lvlJc w:val="left"/>
      <w:pPr>
        <w:ind w:left="512" w:hanging="360"/>
        <w:jc w:val="right"/>
      </w:pPr>
      <w:rPr>
        <w:rFonts w:hint="default" w:ascii="Times New Roman" w:hAnsi="Times New Roman" w:eastAsia="Times New Roman" w:cs="Times New Roman"/>
        <w:b/>
        <w:bCs/>
        <w:spacing w:val="-3"/>
        <w:w w:val="99"/>
        <w:sz w:val="24"/>
        <w:szCs w:val="24"/>
      </w:rPr>
    </w:lvl>
    <w:lvl w:ilvl="2">
      <w:start w:val="1"/>
      <w:numFmt w:val="bullet"/>
      <w:lvlText w:val="•"/>
      <w:lvlJc w:val="left"/>
      <w:pPr>
        <w:ind w:left="2236" w:hanging="360"/>
      </w:pPr>
      <w:rPr>
        <w:rFonts w:hint="default"/>
      </w:rPr>
    </w:lvl>
    <w:lvl w:ilvl="3">
      <w:start w:val="1"/>
      <w:numFmt w:val="bullet"/>
      <w:lvlText w:val="•"/>
      <w:lvlJc w:val="left"/>
      <w:pPr>
        <w:ind w:left="309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26" w:hanging="360"/>
      </w:pPr>
      <w:rPr>
        <w:rFonts w:hint="default"/>
      </w:rPr>
    </w:lvl>
    <w:lvl w:ilvl="8">
      <w:start w:val="1"/>
      <w:numFmt w:val="bullet"/>
      <w:lvlText w:val="•"/>
      <w:lvlJc w:val="left"/>
      <w:pPr>
        <w:ind w:left="7384" w:hanging="360"/>
      </w:pPr>
      <w:rPr>
        <w:rFonts w:hint="default"/>
      </w:rPr>
    </w:lvl>
  </w:abstractNum>
  <w:abstractNum w:abstractNumId="21">
    <w:multiLevelType w:val="hybridMultilevel"/>
    <w:lvl w:ilvl="0">
      <w:start w:val="1"/>
      <w:numFmt w:val="decimal"/>
      <w:lvlText w:val="%1."/>
      <w:lvlJc w:val="left"/>
      <w:pPr>
        <w:ind w:left="872" w:hanging="348"/>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702" w:hanging="348"/>
      </w:pPr>
      <w:rPr>
        <w:rFonts w:hint="default"/>
      </w:rPr>
    </w:lvl>
    <w:lvl w:ilvl="2">
      <w:start w:val="1"/>
      <w:numFmt w:val="bullet"/>
      <w:lvlText w:val="•"/>
      <w:lvlJc w:val="left"/>
      <w:pPr>
        <w:ind w:left="2524" w:hanging="348"/>
      </w:pPr>
      <w:rPr>
        <w:rFonts w:hint="default"/>
      </w:rPr>
    </w:lvl>
    <w:lvl w:ilvl="3">
      <w:start w:val="1"/>
      <w:numFmt w:val="bullet"/>
      <w:lvlText w:val="•"/>
      <w:lvlJc w:val="left"/>
      <w:pPr>
        <w:ind w:left="3346" w:hanging="348"/>
      </w:pPr>
      <w:rPr>
        <w:rFonts w:hint="default"/>
      </w:rPr>
    </w:lvl>
    <w:lvl w:ilvl="4">
      <w:start w:val="1"/>
      <w:numFmt w:val="bullet"/>
      <w:lvlText w:val="•"/>
      <w:lvlJc w:val="left"/>
      <w:pPr>
        <w:ind w:left="4168" w:hanging="348"/>
      </w:pPr>
      <w:rPr>
        <w:rFonts w:hint="default"/>
      </w:rPr>
    </w:lvl>
    <w:lvl w:ilvl="5">
      <w:start w:val="1"/>
      <w:numFmt w:val="bullet"/>
      <w:lvlText w:val="•"/>
      <w:lvlJc w:val="left"/>
      <w:pPr>
        <w:ind w:left="4990" w:hanging="348"/>
      </w:pPr>
      <w:rPr>
        <w:rFonts w:hint="default"/>
      </w:rPr>
    </w:lvl>
    <w:lvl w:ilvl="6">
      <w:start w:val="1"/>
      <w:numFmt w:val="bullet"/>
      <w:lvlText w:val="•"/>
      <w:lvlJc w:val="left"/>
      <w:pPr>
        <w:ind w:left="5812" w:hanging="348"/>
      </w:pPr>
      <w:rPr>
        <w:rFonts w:hint="default"/>
      </w:rPr>
    </w:lvl>
    <w:lvl w:ilvl="7">
      <w:start w:val="1"/>
      <w:numFmt w:val="bullet"/>
      <w:lvlText w:val="•"/>
      <w:lvlJc w:val="left"/>
      <w:pPr>
        <w:ind w:left="6634" w:hanging="348"/>
      </w:pPr>
      <w:rPr>
        <w:rFonts w:hint="default"/>
      </w:rPr>
    </w:lvl>
    <w:lvl w:ilvl="8">
      <w:start w:val="1"/>
      <w:numFmt w:val="bullet"/>
      <w:lvlText w:val="•"/>
      <w:lvlJc w:val="left"/>
      <w:pPr>
        <w:ind w:left="7456" w:hanging="348"/>
      </w:pPr>
      <w:rPr>
        <w:rFonts w:hint="default"/>
      </w:rPr>
    </w:lvl>
  </w:abstractNum>
  <w:abstractNum w:abstractNumId="20">
    <w:multiLevelType w:val="hybridMultilevel"/>
    <w:lvl w:ilvl="0">
      <w:start w:val="1"/>
      <w:numFmt w:val="decimal"/>
      <w:lvlText w:val="%1."/>
      <w:lvlJc w:val="left"/>
      <w:pPr>
        <w:ind w:left="152" w:hanging="291"/>
        <w:jc w:val="left"/>
      </w:pPr>
      <w:rPr>
        <w:rFonts w:hint="default" w:ascii="Times New Roman" w:hAnsi="Times New Roman" w:eastAsia="Times New Roman" w:cs="Times New Roman"/>
        <w:b/>
        <w:bCs/>
        <w:spacing w:val="-30"/>
        <w:w w:val="99"/>
        <w:sz w:val="24"/>
        <w:szCs w:val="24"/>
      </w:rPr>
    </w:lvl>
    <w:lvl w:ilvl="1">
      <w:start w:val="1"/>
      <w:numFmt w:val="bullet"/>
      <w:lvlText w:val="•"/>
      <w:lvlJc w:val="left"/>
      <w:pPr>
        <w:ind w:left="1054" w:hanging="291"/>
      </w:pPr>
      <w:rPr>
        <w:rFonts w:hint="default"/>
      </w:rPr>
    </w:lvl>
    <w:lvl w:ilvl="2">
      <w:start w:val="1"/>
      <w:numFmt w:val="bullet"/>
      <w:lvlText w:val="•"/>
      <w:lvlJc w:val="left"/>
      <w:pPr>
        <w:ind w:left="1948" w:hanging="291"/>
      </w:pPr>
      <w:rPr>
        <w:rFonts w:hint="default"/>
      </w:rPr>
    </w:lvl>
    <w:lvl w:ilvl="3">
      <w:start w:val="1"/>
      <w:numFmt w:val="bullet"/>
      <w:lvlText w:val="•"/>
      <w:lvlJc w:val="left"/>
      <w:pPr>
        <w:ind w:left="2842" w:hanging="291"/>
      </w:pPr>
      <w:rPr>
        <w:rFonts w:hint="default"/>
      </w:rPr>
    </w:lvl>
    <w:lvl w:ilvl="4">
      <w:start w:val="1"/>
      <w:numFmt w:val="bullet"/>
      <w:lvlText w:val="•"/>
      <w:lvlJc w:val="left"/>
      <w:pPr>
        <w:ind w:left="3736" w:hanging="291"/>
      </w:pPr>
      <w:rPr>
        <w:rFonts w:hint="default"/>
      </w:rPr>
    </w:lvl>
    <w:lvl w:ilvl="5">
      <w:start w:val="1"/>
      <w:numFmt w:val="bullet"/>
      <w:lvlText w:val="•"/>
      <w:lvlJc w:val="left"/>
      <w:pPr>
        <w:ind w:left="4630" w:hanging="291"/>
      </w:pPr>
      <w:rPr>
        <w:rFonts w:hint="default"/>
      </w:rPr>
    </w:lvl>
    <w:lvl w:ilvl="6">
      <w:start w:val="1"/>
      <w:numFmt w:val="bullet"/>
      <w:lvlText w:val="•"/>
      <w:lvlJc w:val="left"/>
      <w:pPr>
        <w:ind w:left="5524" w:hanging="291"/>
      </w:pPr>
      <w:rPr>
        <w:rFonts w:hint="default"/>
      </w:rPr>
    </w:lvl>
    <w:lvl w:ilvl="7">
      <w:start w:val="1"/>
      <w:numFmt w:val="bullet"/>
      <w:lvlText w:val="•"/>
      <w:lvlJc w:val="left"/>
      <w:pPr>
        <w:ind w:left="6418" w:hanging="291"/>
      </w:pPr>
      <w:rPr>
        <w:rFonts w:hint="default"/>
      </w:rPr>
    </w:lvl>
    <w:lvl w:ilvl="8">
      <w:start w:val="1"/>
      <w:numFmt w:val="bullet"/>
      <w:lvlText w:val="•"/>
      <w:lvlJc w:val="left"/>
      <w:pPr>
        <w:ind w:left="7312" w:hanging="291"/>
      </w:pPr>
      <w:rPr>
        <w:rFonts w:hint="default"/>
      </w:rPr>
    </w:lvl>
  </w:abstractNum>
  <w:abstractNum w:abstractNumId="19">
    <w:multiLevelType w:val="hybridMultilevel"/>
    <w:lvl w:ilvl="0">
      <w:start w:val="1"/>
      <w:numFmt w:val="decimal"/>
      <w:lvlText w:val="%1."/>
      <w:lvlJc w:val="left"/>
      <w:pPr>
        <w:ind w:left="152" w:hanging="250"/>
        <w:jc w:val="left"/>
      </w:pPr>
      <w:rPr>
        <w:rFonts w:hint="default" w:ascii="Times New Roman" w:hAnsi="Times New Roman" w:eastAsia="Times New Roman" w:cs="Times New Roman"/>
        <w:b/>
        <w:bCs/>
        <w:w w:val="100"/>
        <w:sz w:val="24"/>
        <w:szCs w:val="24"/>
      </w:rPr>
    </w:lvl>
    <w:lvl w:ilvl="1">
      <w:start w:val="1"/>
      <w:numFmt w:val="bullet"/>
      <w:lvlText w:val="•"/>
      <w:lvlJc w:val="left"/>
      <w:pPr>
        <w:ind w:left="1054" w:hanging="250"/>
      </w:pPr>
      <w:rPr>
        <w:rFonts w:hint="default"/>
      </w:rPr>
    </w:lvl>
    <w:lvl w:ilvl="2">
      <w:start w:val="1"/>
      <w:numFmt w:val="bullet"/>
      <w:lvlText w:val="•"/>
      <w:lvlJc w:val="left"/>
      <w:pPr>
        <w:ind w:left="1948" w:hanging="250"/>
      </w:pPr>
      <w:rPr>
        <w:rFonts w:hint="default"/>
      </w:rPr>
    </w:lvl>
    <w:lvl w:ilvl="3">
      <w:start w:val="1"/>
      <w:numFmt w:val="bullet"/>
      <w:lvlText w:val="•"/>
      <w:lvlJc w:val="left"/>
      <w:pPr>
        <w:ind w:left="2842" w:hanging="250"/>
      </w:pPr>
      <w:rPr>
        <w:rFonts w:hint="default"/>
      </w:rPr>
    </w:lvl>
    <w:lvl w:ilvl="4">
      <w:start w:val="1"/>
      <w:numFmt w:val="bullet"/>
      <w:lvlText w:val="•"/>
      <w:lvlJc w:val="left"/>
      <w:pPr>
        <w:ind w:left="3736" w:hanging="250"/>
      </w:pPr>
      <w:rPr>
        <w:rFonts w:hint="default"/>
      </w:rPr>
    </w:lvl>
    <w:lvl w:ilvl="5">
      <w:start w:val="1"/>
      <w:numFmt w:val="bullet"/>
      <w:lvlText w:val="•"/>
      <w:lvlJc w:val="left"/>
      <w:pPr>
        <w:ind w:left="4630" w:hanging="250"/>
      </w:pPr>
      <w:rPr>
        <w:rFonts w:hint="default"/>
      </w:rPr>
    </w:lvl>
    <w:lvl w:ilvl="6">
      <w:start w:val="1"/>
      <w:numFmt w:val="bullet"/>
      <w:lvlText w:val="•"/>
      <w:lvlJc w:val="left"/>
      <w:pPr>
        <w:ind w:left="5524" w:hanging="250"/>
      </w:pPr>
      <w:rPr>
        <w:rFonts w:hint="default"/>
      </w:rPr>
    </w:lvl>
    <w:lvl w:ilvl="7">
      <w:start w:val="1"/>
      <w:numFmt w:val="bullet"/>
      <w:lvlText w:val="•"/>
      <w:lvlJc w:val="left"/>
      <w:pPr>
        <w:ind w:left="6418" w:hanging="250"/>
      </w:pPr>
      <w:rPr>
        <w:rFonts w:hint="default"/>
      </w:rPr>
    </w:lvl>
    <w:lvl w:ilvl="8">
      <w:start w:val="1"/>
      <w:numFmt w:val="bullet"/>
      <w:lvlText w:val="•"/>
      <w:lvlJc w:val="left"/>
      <w:pPr>
        <w:ind w:left="7312" w:hanging="250"/>
      </w:pPr>
      <w:rPr>
        <w:rFonts w:hint="default"/>
      </w:rPr>
    </w:lvl>
  </w:abstractNum>
  <w:abstractNum w:abstractNumId="18">
    <w:multiLevelType w:val="hybridMultilevel"/>
    <w:lvl w:ilvl="0">
      <w:start w:val="1"/>
      <w:numFmt w:val="decimal"/>
      <w:lvlText w:val="%1."/>
      <w:lvlJc w:val="left"/>
      <w:pPr>
        <w:ind w:left="392" w:hanging="24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270" w:hanging="240"/>
      </w:pPr>
      <w:rPr>
        <w:rFonts w:hint="default"/>
      </w:rPr>
    </w:lvl>
    <w:lvl w:ilvl="2">
      <w:start w:val="1"/>
      <w:numFmt w:val="bullet"/>
      <w:lvlText w:val="•"/>
      <w:lvlJc w:val="left"/>
      <w:pPr>
        <w:ind w:left="2140" w:hanging="240"/>
      </w:pPr>
      <w:rPr>
        <w:rFonts w:hint="default"/>
      </w:rPr>
    </w:lvl>
    <w:lvl w:ilvl="3">
      <w:start w:val="1"/>
      <w:numFmt w:val="bullet"/>
      <w:lvlText w:val="•"/>
      <w:lvlJc w:val="left"/>
      <w:pPr>
        <w:ind w:left="3010" w:hanging="240"/>
      </w:pPr>
      <w:rPr>
        <w:rFonts w:hint="default"/>
      </w:rPr>
    </w:lvl>
    <w:lvl w:ilvl="4">
      <w:start w:val="1"/>
      <w:numFmt w:val="bullet"/>
      <w:lvlText w:val="•"/>
      <w:lvlJc w:val="left"/>
      <w:pPr>
        <w:ind w:left="3880" w:hanging="240"/>
      </w:pPr>
      <w:rPr>
        <w:rFonts w:hint="default"/>
      </w:rPr>
    </w:lvl>
    <w:lvl w:ilvl="5">
      <w:start w:val="1"/>
      <w:numFmt w:val="bullet"/>
      <w:lvlText w:val="•"/>
      <w:lvlJc w:val="left"/>
      <w:pPr>
        <w:ind w:left="4750" w:hanging="240"/>
      </w:pPr>
      <w:rPr>
        <w:rFonts w:hint="default"/>
      </w:rPr>
    </w:lvl>
    <w:lvl w:ilvl="6">
      <w:start w:val="1"/>
      <w:numFmt w:val="bullet"/>
      <w:lvlText w:val="•"/>
      <w:lvlJc w:val="left"/>
      <w:pPr>
        <w:ind w:left="5620" w:hanging="240"/>
      </w:pPr>
      <w:rPr>
        <w:rFonts w:hint="default"/>
      </w:rPr>
    </w:lvl>
    <w:lvl w:ilvl="7">
      <w:start w:val="1"/>
      <w:numFmt w:val="bullet"/>
      <w:lvlText w:val="•"/>
      <w:lvlJc w:val="left"/>
      <w:pPr>
        <w:ind w:left="6490" w:hanging="240"/>
      </w:pPr>
      <w:rPr>
        <w:rFonts w:hint="default"/>
      </w:rPr>
    </w:lvl>
    <w:lvl w:ilvl="8">
      <w:start w:val="1"/>
      <w:numFmt w:val="bullet"/>
      <w:lvlText w:val="•"/>
      <w:lvlJc w:val="left"/>
      <w:pPr>
        <w:ind w:left="7360" w:hanging="240"/>
      </w:pPr>
      <w:rPr>
        <w:rFonts w:hint="default"/>
      </w:rPr>
    </w:lvl>
  </w:abstractNum>
  <w:abstractNum w:abstractNumId="17">
    <w:multiLevelType w:val="hybridMultilevel"/>
    <w:lvl w:ilvl="0">
      <w:start w:val="1"/>
      <w:numFmt w:val="decimal"/>
      <w:lvlText w:val="%1."/>
      <w:lvlJc w:val="left"/>
      <w:pPr>
        <w:ind w:left="152" w:hanging="346"/>
        <w:jc w:val="left"/>
      </w:pPr>
      <w:rPr>
        <w:rFonts w:hint="default" w:ascii="Times New Roman" w:hAnsi="Times New Roman" w:eastAsia="Times New Roman" w:cs="Times New Roman"/>
        <w:spacing w:val="-22"/>
        <w:w w:val="99"/>
        <w:sz w:val="24"/>
        <w:szCs w:val="24"/>
      </w:rPr>
    </w:lvl>
    <w:lvl w:ilvl="1">
      <w:start w:val="1"/>
      <w:numFmt w:val="bullet"/>
      <w:lvlText w:val="•"/>
      <w:lvlJc w:val="left"/>
      <w:pPr>
        <w:ind w:left="1054" w:hanging="346"/>
      </w:pPr>
      <w:rPr>
        <w:rFonts w:hint="default"/>
      </w:rPr>
    </w:lvl>
    <w:lvl w:ilvl="2">
      <w:start w:val="1"/>
      <w:numFmt w:val="bullet"/>
      <w:lvlText w:val="•"/>
      <w:lvlJc w:val="left"/>
      <w:pPr>
        <w:ind w:left="1948" w:hanging="346"/>
      </w:pPr>
      <w:rPr>
        <w:rFonts w:hint="default"/>
      </w:rPr>
    </w:lvl>
    <w:lvl w:ilvl="3">
      <w:start w:val="1"/>
      <w:numFmt w:val="bullet"/>
      <w:lvlText w:val="•"/>
      <w:lvlJc w:val="left"/>
      <w:pPr>
        <w:ind w:left="2842" w:hanging="346"/>
      </w:pPr>
      <w:rPr>
        <w:rFonts w:hint="default"/>
      </w:rPr>
    </w:lvl>
    <w:lvl w:ilvl="4">
      <w:start w:val="1"/>
      <w:numFmt w:val="bullet"/>
      <w:lvlText w:val="•"/>
      <w:lvlJc w:val="left"/>
      <w:pPr>
        <w:ind w:left="3736" w:hanging="346"/>
      </w:pPr>
      <w:rPr>
        <w:rFonts w:hint="default"/>
      </w:rPr>
    </w:lvl>
    <w:lvl w:ilvl="5">
      <w:start w:val="1"/>
      <w:numFmt w:val="bullet"/>
      <w:lvlText w:val="•"/>
      <w:lvlJc w:val="left"/>
      <w:pPr>
        <w:ind w:left="4630" w:hanging="346"/>
      </w:pPr>
      <w:rPr>
        <w:rFonts w:hint="default"/>
      </w:rPr>
    </w:lvl>
    <w:lvl w:ilvl="6">
      <w:start w:val="1"/>
      <w:numFmt w:val="bullet"/>
      <w:lvlText w:val="•"/>
      <w:lvlJc w:val="left"/>
      <w:pPr>
        <w:ind w:left="5524" w:hanging="346"/>
      </w:pPr>
      <w:rPr>
        <w:rFonts w:hint="default"/>
      </w:rPr>
    </w:lvl>
    <w:lvl w:ilvl="7">
      <w:start w:val="1"/>
      <w:numFmt w:val="bullet"/>
      <w:lvlText w:val="•"/>
      <w:lvlJc w:val="left"/>
      <w:pPr>
        <w:ind w:left="6418" w:hanging="346"/>
      </w:pPr>
      <w:rPr>
        <w:rFonts w:hint="default"/>
      </w:rPr>
    </w:lvl>
    <w:lvl w:ilvl="8">
      <w:start w:val="1"/>
      <w:numFmt w:val="bullet"/>
      <w:lvlText w:val="•"/>
      <w:lvlJc w:val="left"/>
      <w:pPr>
        <w:ind w:left="7312" w:hanging="346"/>
      </w:pPr>
      <w:rPr>
        <w:rFonts w:hint="default"/>
      </w:rPr>
    </w:lvl>
  </w:abstractNum>
  <w:abstractNum w:abstractNumId="16">
    <w:multiLevelType w:val="hybridMultilevel"/>
    <w:lvl w:ilvl="0">
      <w:start w:val="1"/>
      <w:numFmt w:val="decimal"/>
      <w:lvlText w:val="%1."/>
      <w:lvlJc w:val="left"/>
      <w:pPr>
        <w:ind w:left="152" w:hanging="252"/>
        <w:jc w:val="left"/>
      </w:pPr>
      <w:rPr>
        <w:rFonts w:hint="default" w:ascii="Times New Roman" w:hAnsi="Times New Roman" w:eastAsia="Times New Roman" w:cs="Times New Roman"/>
        <w:w w:val="100"/>
        <w:sz w:val="24"/>
        <w:szCs w:val="24"/>
      </w:rPr>
    </w:lvl>
    <w:lvl w:ilvl="1">
      <w:start w:val="1"/>
      <w:numFmt w:val="bullet"/>
      <w:lvlText w:val="•"/>
      <w:lvlJc w:val="left"/>
      <w:pPr>
        <w:ind w:left="1054" w:hanging="252"/>
      </w:pPr>
      <w:rPr>
        <w:rFonts w:hint="default"/>
      </w:rPr>
    </w:lvl>
    <w:lvl w:ilvl="2">
      <w:start w:val="1"/>
      <w:numFmt w:val="bullet"/>
      <w:lvlText w:val="•"/>
      <w:lvlJc w:val="left"/>
      <w:pPr>
        <w:ind w:left="1948" w:hanging="252"/>
      </w:pPr>
      <w:rPr>
        <w:rFonts w:hint="default"/>
      </w:rPr>
    </w:lvl>
    <w:lvl w:ilvl="3">
      <w:start w:val="1"/>
      <w:numFmt w:val="bullet"/>
      <w:lvlText w:val="•"/>
      <w:lvlJc w:val="left"/>
      <w:pPr>
        <w:ind w:left="2842" w:hanging="252"/>
      </w:pPr>
      <w:rPr>
        <w:rFonts w:hint="default"/>
      </w:rPr>
    </w:lvl>
    <w:lvl w:ilvl="4">
      <w:start w:val="1"/>
      <w:numFmt w:val="bullet"/>
      <w:lvlText w:val="•"/>
      <w:lvlJc w:val="left"/>
      <w:pPr>
        <w:ind w:left="3736" w:hanging="252"/>
      </w:pPr>
      <w:rPr>
        <w:rFonts w:hint="default"/>
      </w:rPr>
    </w:lvl>
    <w:lvl w:ilvl="5">
      <w:start w:val="1"/>
      <w:numFmt w:val="bullet"/>
      <w:lvlText w:val="•"/>
      <w:lvlJc w:val="left"/>
      <w:pPr>
        <w:ind w:left="4630" w:hanging="252"/>
      </w:pPr>
      <w:rPr>
        <w:rFonts w:hint="default"/>
      </w:rPr>
    </w:lvl>
    <w:lvl w:ilvl="6">
      <w:start w:val="1"/>
      <w:numFmt w:val="bullet"/>
      <w:lvlText w:val="•"/>
      <w:lvlJc w:val="left"/>
      <w:pPr>
        <w:ind w:left="5524" w:hanging="252"/>
      </w:pPr>
      <w:rPr>
        <w:rFonts w:hint="default"/>
      </w:rPr>
    </w:lvl>
    <w:lvl w:ilvl="7">
      <w:start w:val="1"/>
      <w:numFmt w:val="bullet"/>
      <w:lvlText w:val="•"/>
      <w:lvlJc w:val="left"/>
      <w:pPr>
        <w:ind w:left="6418" w:hanging="252"/>
      </w:pPr>
      <w:rPr>
        <w:rFonts w:hint="default"/>
      </w:rPr>
    </w:lvl>
    <w:lvl w:ilvl="8">
      <w:start w:val="1"/>
      <w:numFmt w:val="bullet"/>
      <w:lvlText w:val="•"/>
      <w:lvlJc w:val="left"/>
      <w:pPr>
        <w:ind w:left="7312" w:hanging="252"/>
      </w:pPr>
      <w:rPr>
        <w:rFonts w:hint="default"/>
      </w:rPr>
    </w:lvl>
  </w:abstractNum>
  <w:abstractNum w:abstractNumId="15">
    <w:multiLevelType w:val="hybridMultilevel"/>
    <w:lvl w:ilvl="0">
      <w:start w:val="1"/>
      <w:numFmt w:val="decimal"/>
      <w:lvlText w:val="%1."/>
      <w:lvlJc w:val="left"/>
      <w:pPr>
        <w:ind w:left="152" w:hanging="286"/>
        <w:jc w:val="left"/>
      </w:pPr>
      <w:rPr>
        <w:rFonts w:hint="default" w:ascii="Times New Roman" w:hAnsi="Times New Roman" w:eastAsia="Times New Roman" w:cs="Times New Roman"/>
        <w:spacing w:val="-17"/>
        <w:w w:val="99"/>
        <w:sz w:val="24"/>
        <w:szCs w:val="24"/>
      </w:rPr>
    </w:lvl>
    <w:lvl w:ilvl="1">
      <w:start w:val="1"/>
      <w:numFmt w:val="bullet"/>
      <w:lvlText w:val="•"/>
      <w:lvlJc w:val="left"/>
      <w:pPr>
        <w:ind w:left="1054" w:hanging="286"/>
      </w:pPr>
      <w:rPr>
        <w:rFonts w:hint="default"/>
      </w:rPr>
    </w:lvl>
    <w:lvl w:ilvl="2">
      <w:start w:val="1"/>
      <w:numFmt w:val="bullet"/>
      <w:lvlText w:val="•"/>
      <w:lvlJc w:val="left"/>
      <w:pPr>
        <w:ind w:left="1948" w:hanging="286"/>
      </w:pPr>
      <w:rPr>
        <w:rFonts w:hint="default"/>
      </w:rPr>
    </w:lvl>
    <w:lvl w:ilvl="3">
      <w:start w:val="1"/>
      <w:numFmt w:val="bullet"/>
      <w:lvlText w:val="•"/>
      <w:lvlJc w:val="left"/>
      <w:pPr>
        <w:ind w:left="2842" w:hanging="286"/>
      </w:pPr>
      <w:rPr>
        <w:rFonts w:hint="default"/>
      </w:rPr>
    </w:lvl>
    <w:lvl w:ilvl="4">
      <w:start w:val="1"/>
      <w:numFmt w:val="bullet"/>
      <w:lvlText w:val="•"/>
      <w:lvlJc w:val="left"/>
      <w:pPr>
        <w:ind w:left="3736" w:hanging="286"/>
      </w:pPr>
      <w:rPr>
        <w:rFonts w:hint="default"/>
      </w:rPr>
    </w:lvl>
    <w:lvl w:ilvl="5">
      <w:start w:val="1"/>
      <w:numFmt w:val="bullet"/>
      <w:lvlText w:val="•"/>
      <w:lvlJc w:val="left"/>
      <w:pPr>
        <w:ind w:left="4630" w:hanging="286"/>
      </w:pPr>
      <w:rPr>
        <w:rFonts w:hint="default"/>
      </w:rPr>
    </w:lvl>
    <w:lvl w:ilvl="6">
      <w:start w:val="1"/>
      <w:numFmt w:val="bullet"/>
      <w:lvlText w:val="•"/>
      <w:lvlJc w:val="left"/>
      <w:pPr>
        <w:ind w:left="5524" w:hanging="286"/>
      </w:pPr>
      <w:rPr>
        <w:rFonts w:hint="default"/>
      </w:rPr>
    </w:lvl>
    <w:lvl w:ilvl="7">
      <w:start w:val="1"/>
      <w:numFmt w:val="bullet"/>
      <w:lvlText w:val="•"/>
      <w:lvlJc w:val="left"/>
      <w:pPr>
        <w:ind w:left="6418" w:hanging="286"/>
      </w:pPr>
      <w:rPr>
        <w:rFonts w:hint="default"/>
      </w:rPr>
    </w:lvl>
    <w:lvl w:ilvl="8">
      <w:start w:val="1"/>
      <w:numFmt w:val="bullet"/>
      <w:lvlText w:val="•"/>
      <w:lvlJc w:val="left"/>
      <w:pPr>
        <w:ind w:left="7312" w:hanging="286"/>
      </w:pPr>
      <w:rPr>
        <w:rFonts w:hint="default"/>
      </w:rPr>
    </w:lvl>
  </w:abstractNum>
  <w:abstractNum w:abstractNumId="14">
    <w:multiLevelType w:val="hybridMultilevel"/>
    <w:lvl w:ilvl="0">
      <w:start w:val="1"/>
      <w:numFmt w:val="decimal"/>
      <w:lvlText w:val="%1."/>
      <w:lvlJc w:val="left"/>
      <w:pPr>
        <w:ind w:left="152" w:hanging="240"/>
        <w:jc w:val="left"/>
      </w:pPr>
      <w:rPr>
        <w:rFonts w:hint="default" w:ascii="Times New Roman" w:hAnsi="Times New Roman" w:eastAsia="Times New Roman" w:cs="Times New Roman"/>
        <w:w w:val="100"/>
        <w:sz w:val="24"/>
        <w:szCs w:val="24"/>
      </w:rPr>
    </w:lvl>
    <w:lvl w:ilvl="1">
      <w:start w:val="1"/>
      <w:numFmt w:val="bullet"/>
      <w:lvlText w:val="•"/>
      <w:lvlJc w:val="left"/>
      <w:pPr>
        <w:ind w:left="1054" w:hanging="240"/>
      </w:pPr>
      <w:rPr>
        <w:rFonts w:hint="default"/>
      </w:rPr>
    </w:lvl>
    <w:lvl w:ilvl="2">
      <w:start w:val="1"/>
      <w:numFmt w:val="bullet"/>
      <w:lvlText w:val="•"/>
      <w:lvlJc w:val="left"/>
      <w:pPr>
        <w:ind w:left="1948" w:hanging="240"/>
      </w:pPr>
      <w:rPr>
        <w:rFonts w:hint="default"/>
      </w:rPr>
    </w:lvl>
    <w:lvl w:ilvl="3">
      <w:start w:val="1"/>
      <w:numFmt w:val="bullet"/>
      <w:lvlText w:val="•"/>
      <w:lvlJc w:val="left"/>
      <w:pPr>
        <w:ind w:left="2842" w:hanging="240"/>
      </w:pPr>
      <w:rPr>
        <w:rFonts w:hint="default"/>
      </w:rPr>
    </w:lvl>
    <w:lvl w:ilvl="4">
      <w:start w:val="1"/>
      <w:numFmt w:val="bullet"/>
      <w:lvlText w:val="•"/>
      <w:lvlJc w:val="left"/>
      <w:pPr>
        <w:ind w:left="3736" w:hanging="240"/>
      </w:pPr>
      <w:rPr>
        <w:rFonts w:hint="default"/>
      </w:rPr>
    </w:lvl>
    <w:lvl w:ilvl="5">
      <w:start w:val="1"/>
      <w:numFmt w:val="bullet"/>
      <w:lvlText w:val="•"/>
      <w:lvlJc w:val="left"/>
      <w:pPr>
        <w:ind w:left="4630" w:hanging="240"/>
      </w:pPr>
      <w:rPr>
        <w:rFonts w:hint="default"/>
      </w:rPr>
    </w:lvl>
    <w:lvl w:ilvl="6">
      <w:start w:val="1"/>
      <w:numFmt w:val="bullet"/>
      <w:lvlText w:val="•"/>
      <w:lvlJc w:val="left"/>
      <w:pPr>
        <w:ind w:left="5524" w:hanging="240"/>
      </w:pPr>
      <w:rPr>
        <w:rFonts w:hint="default"/>
      </w:rPr>
    </w:lvl>
    <w:lvl w:ilvl="7">
      <w:start w:val="1"/>
      <w:numFmt w:val="bullet"/>
      <w:lvlText w:val="•"/>
      <w:lvlJc w:val="left"/>
      <w:pPr>
        <w:ind w:left="6418" w:hanging="240"/>
      </w:pPr>
      <w:rPr>
        <w:rFonts w:hint="default"/>
      </w:rPr>
    </w:lvl>
    <w:lvl w:ilvl="8">
      <w:start w:val="1"/>
      <w:numFmt w:val="bullet"/>
      <w:lvlText w:val="•"/>
      <w:lvlJc w:val="left"/>
      <w:pPr>
        <w:ind w:left="7312" w:hanging="240"/>
      </w:pPr>
      <w:rPr>
        <w:rFonts w:hint="default"/>
      </w:rPr>
    </w:lvl>
  </w:abstractNum>
  <w:abstractNum w:abstractNumId="13">
    <w:multiLevelType w:val="hybridMultilevel"/>
    <w:lvl w:ilvl="0">
      <w:start w:val="1"/>
      <w:numFmt w:val="decimal"/>
      <w:lvlText w:val="%1."/>
      <w:lvlJc w:val="left"/>
      <w:pPr>
        <w:ind w:left="152" w:hanging="252"/>
        <w:jc w:val="left"/>
      </w:pPr>
      <w:rPr>
        <w:rFonts w:hint="default" w:ascii="Times New Roman" w:hAnsi="Times New Roman" w:eastAsia="Times New Roman" w:cs="Times New Roman"/>
        <w:w w:val="100"/>
        <w:sz w:val="24"/>
        <w:szCs w:val="24"/>
      </w:rPr>
    </w:lvl>
    <w:lvl w:ilvl="1">
      <w:start w:val="1"/>
      <w:numFmt w:val="bullet"/>
      <w:lvlText w:val="•"/>
      <w:lvlJc w:val="left"/>
      <w:pPr>
        <w:ind w:left="1054" w:hanging="252"/>
      </w:pPr>
      <w:rPr>
        <w:rFonts w:hint="default"/>
      </w:rPr>
    </w:lvl>
    <w:lvl w:ilvl="2">
      <w:start w:val="1"/>
      <w:numFmt w:val="bullet"/>
      <w:lvlText w:val="•"/>
      <w:lvlJc w:val="left"/>
      <w:pPr>
        <w:ind w:left="1948" w:hanging="252"/>
      </w:pPr>
      <w:rPr>
        <w:rFonts w:hint="default"/>
      </w:rPr>
    </w:lvl>
    <w:lvl w:ilvl="3">
      <w:start w:val="1"/>
      <w:numFmt w:val="bullet"/>
      <w:lvlText w:val="•"/>
      <w:lvlJc w:val="left"/>
      <w:pPr>
        <w:ind w:left="2842" w:hanging="252"/>
      </w:pPr>
      <w:rPr>
        <w:rFonts w:hint="default"/>
      </w:rPr>
    </w:lvl>
    <w:lvl w:ilvl="4">
      <w:start w:val="1"/>
      <w:numFmt w:val="bullet"/>
      <w:lvlText w:val="•"/>
      <w:lvlJc w:val="left"/>
      <w:pPr>
        <w:ind w:left="3736" w:hanging="252"/>
      </w:pPr>
      <w:rPr>
        <w:rFonts w:hint="default"/>
      </w:rPr>
    </w:lvl>
    <w:lvl w:ilvl="5">
      <w:start w:val="1"/>
      <w:numFmt w:val="bullet"/>
      <w:lvlText w:val="•"/>
      <w:lvlJc w:val="left"/>
      <w:pPr>
        <w:ind w:left="4630" w:hanging="252"/>
      </w:pPr>
      <w:rPr>
        <w:rFonts w:hint="default"/>
      </w:rPr>
    </w:lvl>
    <w:lvl w:ilvl="6">
      <w:start w:val="1"/>
      <w:numFmt w:val="bullet"/>
      <w:lvlText w:val="•"/>
      <w:lvlJc w:val="left"/>
      <w:pPr>
        <w:ind w:left="5524" w:hanging="252"/>
      </w:pPr>
      <w:rPr>
        <w:rFonts w:hint="default"/>
      </w:rPr>
    </w:lvl>
    <w:lvl w:ilvl="7">
      <w:start w:val="1"/>
      <w:numFmt w:val="bullet"/>
      <w:lvlText w:val="•"/>
      <w:lvlJc w:val="left"/>
      <w:pPr>
        <w:ind w:left="6418" w:hanging="252"/>
      </w:pPr>
      <w:rPr>
        <w:rFonts w:hint="default"/>
      </w:rPr>
    </w:lvl>
    <w:lvl w:ilvl="8">
      <w:start w:val="1"/>
      <w:numFmt w:val="bullet"/>
      <w:lvlText w:val="•"/>
      <w:lvlJc w:val="left"/>
      <w:pPr>
        <w:ind w:left="7312" w:hanging="252"/>
      </w:pPr>
      <w:rPr>
        <w:rFonts w:hint="default"/>
      </w:rPr>
    </w:lvl>
  </w:abstractNum>
  <w:abstractNum w:abstractNumId="12">
    <w:multiLevelType w:val="hybridMultilevel"/>
    <w:lvl w:ilvl="0">
      <w:start w:val="6"/>
      <w:numFmt w:val="decimal"/>
      <w:lvlText w:val="%1"/>
      <w:lvlJc w:val="left"/>
      <w:pPr>
        <w:ind w:left="512" w:hanging="360"/>
        <w:jc w:val="left"/>
      </w:pPr>
      <w:rPr>
        <w:rFonts w:hint="default"/>
      </w:rPr>
    </w:lvl>
    <w:lvl w:ilvl="1">
      <w:start w:val="1"/>
      <w:numFmt w:val="decimal"/>
      <w:lvlText w:val="%1.%2"/>
      <w:lvlJc w:val="left"/>
      <w:pPr>
        <w:ind w:left="51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92" w:hanging="540"/>
        <w:jc w:val="left"/>
      </w:pPr>
      <w:rPr>
        <w:rFonts w:hint="default"/>
        <w:b/>
        <w:bCs/>
        <w:spacing w:val="-4"/>
        <w:w w:val="99"/>
      </w:rPr>
    </w:lvl>
    <w:lvl w:ilvl="3">
      <w:start w:val="1"/>
      <w:numFmt w:val="decimal"/>
      <w:lvlText w:val="%1.%2.%3.%4"/>
      <w:lvlJc w:val="left"/>
      <w:pPr>
        <w:ind w:left="812" w:hanging="660"/>
        <w:jc w:val="left"/>
      </w:pPr>
      <w:rPr>
        <w:rFonts w:hint="default" w:ascii="Times New Roman" w:hAnsi="Times New Roman" w:eastAsia="Times New Roman" w:cs="Times New Roman"/>
        <w:b/>
        <w:bCs/>
        <w:i/>
        <w:spacing w:val="-1"/>
        <w:w w:val="100"/>
        <w:sz w:val="22"/>
        <w:szCs w:val="22"/>
      </w:rPr>
    </w:lvl>
    <w:lvl w:ilvl="4">
      <w:start w:val="1"/>
      <w:numFmt w:val="bullet"/>
      <w:lvlText w:val="•"/>
      <w:lvlJc w:val="left"/>
      <w:pPr>
        <w:ind w:left="2002" w:hanging="660"/>
      </w:pPr>
      <w:rPr>
        <w:rFonts w:hint="default"/>
      </w:rPr>
    </w:lvl>
    <w:lvl w:ilvl="5">
      <w:start w:val="1"/>
      <w:numFmt w:val="bullet"/>
      <w:lvlText w:val="•"/>
      <w:lvlJc w:val="left"/>
      <w:pPr>
        <w:ind w:left="3185" w:hanging="660"/>
      </w:pPr>
      <w:rPr>
        <w:rFonts w:hint="default"/>
      </w:rPr>
    </w:lvl>
    <w:lvl w:ilvl="6">
      <w:start w:val="1"/>
      <w:numFmt w:val="bullet"/>
      <w:lvlText w:val="•"/>
      <w:lvlJc w:val="left"/>
      <w:pPr>
        <w:ind w:left="4368" w:hanging="660"/>
      </w:pPr>
      <w:rPr>
        <w:rFonts w:hint="default"/>
      </w:rPr>
    </w:lvl>
    <w:lvl w:ilvl="7">
      <w:start w:val="1"/>
      <w:numFmt w:val="bullet"/>
      <w:lvlText w:val="•"/>
      <w:lvlJc w:val="left"/>
      <w:pPr>
        <w:ind w:left="5551" w:hanging="660"/>
      </w:pPr>
      <w:rPr>
        <w:rFonts w:hint="default"/>
      </w:rPr>
    </w:lvl>
    <w:lvl w:ilvl="8">
      <w:start w:val="1"/>
      <w:numFmt w:val="bullet"/>
      <w:lvlText w:val="•"/>
      <w:lvlJc w:val="left"/>
      <w:pPr>
        <w:ind w:left="6734" w:hanging="660"/>
      </w:pPr>
      <w:rPr>
        <w:rFonts w:hint="default"/>
      </w:rPr>
    </w:lvl>
  </w:abstractNum>
  <w:abstractNum w:abstractNumId="11">
    <w:multiLevelType w:val="hybridMultilevel"/>
    <w:lvl w:ilvl="0">
      <w:start w:val="5"/>
      <w:numFmt w:val="decimal"/>
      <w:lvlText w:val="%1"/>
      <w:lvlJc w:val="left"/>
      <w:pPr>
        <w:ind w:left="512" w:hanging="360"/>
        <w:jc w:val="left"/>
      </w:pPr>
      <w:rPr>
        <w:rFonts w:hint="default"/>
      </w:rPr>
    </w:lvl>
    <w:lvl w:ilvl="1">
      <w:start w:val="1"/>
      <w:numFmt w:val="decimal"/>
      <w:lvlText w:val="%1.%2"/>
      <w:lvlJc w:val="left"/>
      <w:pPr>
        <w:ind w:left="512" w:hanging="360"/>
        <w:jc w:val="left"/>
      </w:pPr>
      <w:rPr>
        <w:rFonts w:hint="default" w:ascii="Times New Roman" w:hAnsi="Times New Roman" w:eastAsia="Times New Roman" w:cs="Times New Roman"/>
        <w:b/>
        <w:bCs/>
        <w:spacing w:val="-3"/>
        <w:w w:val="99"/>
        <w:sz w:val="24"/>
        <w:szCs w:val="24"/>
      </w:rPr>
    </w:lvl>
    <w:lvl w:ilvl="2">
      <w:start w:val="1"/>
      <w:numFmt w:val="lowerLetter"/>
      <w:lvlText w:val="%3)"/>
      <w:lvlJc w:val="left"/>
      <w:pPr>
        <w:ind w:left="872" w:hanging="348"/>
        <w:jc w:val="left"/>
      </w:pPr>
      <w:rPr>
        <w:rFonts w:hint="default" w:ascii="Times New Roman" w:hAnsi="Times New Roman" w:eastAsia="Times New Roman" w:cs="Times New Roman"/>
        <w:spacing w:val="-18"/>
        <w:w w:val="99"/>
        <w:sz w:val="24"/>
        <w:szCs w:val="24"/>
      </w:rPr>
    </w:lvl>
    <w:lvl w:ilvl="3">
      <w:start w:val="1"/>
      <w:numFmt w:val="bullet"/>
      <w:lvlText w:val="•"/>
      <w:lvlJc w:val="left"/>
      <w:pPr>
        <w:ind w:left="2706" w:hanging="348"/>
      </w:pPr>
      <w:rPr>
        <w:rFonts w:hint="default"/>
      </w:rPr>
    </w:lvl>
    <w:lvl w:ilvl="4">
      <w:start w:val="1"/>
      <w:numFmt w:val="bullet"/>
      <w:lvlText w:val="•"/>
      <w:lvlJc w:val="left"/>
      <w:pPr>
        <w:ind w:left="3620" w:hanging="348"/>
      </w:pPr>
      <w:rPr>
        <w:rFonts w:hint="default"/>
      </w:rPr>
    </w:lvl>
    <w:lvl w:ilvl="5">
      <w:start w:val="1"/>
      <w:numFmt w:val="bullet"/>
      <w:lvlText w:val="•"/>
      <w:lvlJc w:val="left"/>
      <w:pPr>
        <w:ind w:left="4533" w:hanging="348"/>
      </w:pPr>
      <w:rPr>
        <w:rFonts w:hint="default"/>
      </w:rPr>
    </w:lvl>
    <w:lvl w:ilvl="6">
      <w:start w:val="1"/>
      <w:numFmt w:val="bullet"/>
      <w:lvlText w:val="•"/>
      <w:lvlJc w:val="left"/>
      <w:pPr>
        <w:ind w:left="5446" w:hanging="348"/>
      </w:pPr>
      <w:rPr>
        <w:rFonts w:hint="default"/>
      </w:rPr>
    </w:lvl>
    <w:lvl w:ilvl="7">
      <w:start w:val="1"/>
      <w:numFmt w:val="bullet"/>
      <w:lvlText w:val="•"/>
      <w:lvlJc w:val="left"/>
      <w:pPr>
        <w:ind w:left="6360" w:hanging="348"/>
      </w:pPr>
      <w:rPr>
        <w:rFonts w:hint="default"/>
      </w:rPr>
    </w:lvl>
    <w:lvl w:ilvl="8">
      <w:start w:val="1"/>
      <w:numFmt w:val="bullet"/>
      <w:lvlText w:val="•"/>
      <w:lvlJc w:val="left"/>
      <w:pPr>
        <w:ind w:left="7273" w:hanging="348"/>
      </w:pPr>
      <w:rPr>
        <w:rFonts w:hint="default"/>
      </w:rPr>
    </w:lvl>
  </w:abstractNum>
  <w:abstractNum w:abstractNumId="10">
    <w:multiLevelType w:val="hybridMultilevel"/>
    <w:lvl w:ilvl="0">
      <w:start w:val="2"/>
      <w:numFmt w:val="decimal"/>
      <w:lvlText w:val="%1"/>
      <w:lvlJc w:val="left"/>
      <w:pPr>
        <w:ind w:left="552" w:hanging="360"/>
        <w:jc w:val="left"/>
      </w:pPr>
      <w:rPr>
        <w:rFonts w:hint="default"/>
      </w:rPr>
    </w:lvl>
    <w:lvl w:ilvl="1">
      <w:start w:val="8"/>
      <w:numFmt w:val="decimal"/>
      <w:lvlText w:val="%1.%2"/>
      <w:lvlJc w:val="left"/>
      <w:pPr>
        <w:ind w:left="55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9" w:hanging="497"/>
        <w:jc w:val="right"/>
      </w:pPr>
      <w:rPr>
        <w:rFonts w:hint="default" w:ascii="Times New Roman" w:hAnsi="Times New Roman" w:eastAsia="Times New Roman" w:cs="Times New Roman"/>
        <w:b/>
        <w:bCs/>
        <w:i/>
        <w:spacing w:val="-1"/>
        <w:w w:val="100"/>
        <w:sz w:val="22"/>
        <w:szCs w:val="22"/>
      </w:rPr>
    </w:lvl>
    <w:lvl w:ilvl="3">
      <w:start w:val="1"/>
      <w:numFmt w:val="bullet"/>
      <w:lvlText w:val="•"/>
      <w:lvlJc w:val="left"/>
      <w:pPr>
        <w:ind w:left="2528" w:hanging="497"/>
      </w:pPr>
      <w:rPr>
        <w:rFonts w:hint="default"/>
      </w:rPr>
    </w:lvl>
    <w:lvl w:ilvl="4">
      <w:start w:val="1"/>
      <w:numFmt w:val="bullet"/>
      <w:lvlText w:val="•"/>
      <w:lvlJc w:val="left"/>
      <w:pPr>
        <w:ind w:left="3473" w:hanging="497"/>
      </w:pPr>
      <w:rPr>
        <w:rFonts w:hint="default"/>
      </w:rPr>
    </w:lvl>
    <w:lvl w:ilvl="5">
      <w:start w:val="1"/>
      <w:numFmt w:val="bullet"/>
      <w:lvlText w:val="•"/>
      <w:lvlJc w:val="left"/>
      <w:pPr>
        <w:ind w:left="4417" w:hanging="497"/>
      </w:pPr>
      <w:rPr>
        <w:rFonts w:hint="default"/>
      </w:rPr>
    </w:lvl>
    <w:lvl w:ilvl="6">
      <w:start w:val="1"/>
      <w:numFmt w:val="bullet"/>
      <w:lvlText w:val="•"/>
      <w:lvlJc w:val="left"/>
      <w:pPr>
        <w:ind w:left="5362" w:hanging="497"/>
      </w:pPr>
      <w:rPr>
        <w:rFonts w:hint="default"/>
      </w:rPr>
    </w:lvl>
    <w:lvl w:ilvl="7">
      <w:start w:val="1"/>
      <w:numFmt w:val="bullet"/>
      <w:lvlText w:val="•"/>
      <w:lvlJc w:val="left"/>
      <w:pPr>
        <w:ind w:left="6306" w:hanging="497"/>
      </w:pPr>
      <w:rPr>
        <w:rFonts w:hint="default"/>
      </w:rPr>
    </w:lvl>
    <w:lvl w:ilvl="8">
      <w:start w:val="1"/>
      <w:numFmt w:val="bullet"/>
      <w:lvlText w:val="•"/>
      <w:lvlJc w:val="left"/>
      <w:pPr>
        <w:ind w:left="7251" w:hanging="497"/>
      </w:pPr>
      <w:rPr>
        <w:rFonts w:hint="default"/>
      </w:rPr>
    </w:lvl>
  </w:abstractNum>
  <w:abstractNum w:abstractNumId="9">
    <w:multiLevelType w:val="hybridMultilevel"/>
    <w:lvl w:ilvl="0">
      <w:start w:val="2"/>
      <w:numFmt w:val="decimal"/>
      <w:lvlText w:val="%1"/>
      <w:lvlJc w:val="left"/>
      <w:pPr>
        <w:ind w:left="649" w:hanging="497"/>
        <w:jc w:val="left"/>
      </w:pPr>
      <w:rPr>
        <w:rFonts w:hint="default"/>
      </w:rPr>
    </w:lvl>
    <w:lvl w:ilvl="1">
      <w:start w:val="7"/>
      <w:numFmt w:val="decimal"/>
      <w:lvlText w:val="%1.%2"/>
      <w:lvlJc w:val="left"/>
      <w:pPr>
        <w:ind w:left="649" w:hanging="497"/>
        <w:jc w:val="left"/>
      </w:pPr>
      <w:rPr>
        <w:rFonts w:hint="default"/>
      </w:rPr>
    </w:lvl>
    <w:lvl w:ilvl="2">
      <w:start w:val="1"/>
      <w:numFmt w:val="decimal"/>
      <w:lvlText w:val="%1.%2.%3"/>
      <w:lvlJc w:val="left"/>
      <w:pPr>
        <w:ind w:left="649" w:hanging="497"/>
        <w:jc w:val="left"/>
      </w:pPr>
      <w:rPr>
        <w:rFonts w:hint="default" w:ascii="Times New Roman" w:hAnsi="Times New Roman" w:eastAsia="Times New Roman" w:cs="Times New Roman"/>
        <w:b/>
        <w:bCs/>
        <w:i/>
        <w:w w:val="100"/>
        <w:sz w:val="22"/>
        <w:szCs w:val="22"/>
      </w:rPr>
    </w:lvl>
    <w:lvl w:ilvl="3">
      <w:start w:val="1"/>
      <w:numFmt w:val="bullet"/>
      <w:lvlText w:val="•"/>
      <w:lvlJc w:val="left"/>
      <w:pPr>
        <w:ind w:left="3190" w:hanging="497"/>
      </w:pPr>
      <w:rPr>
        <w:rFonts w:hint="default"/>
      </w:rPr>
    </w:lvl>
    <w:lvl w:ilvl="4">
      <w:start w:val="1"/>
      <w:numFmt w:val="bullet"/>
      <w:lvlText w:val="•"/>
      <w:lvlJc w:val="left"/>
      <w:pPr>
        <w:ind w:left="4040" w:hanging="497"/>
      </w:pPr>
      <w:rPr>
        <w:rFonts w:hint="default"/>
      </w:rPr>
    </w:lvl>
    <w:lvl w:ilvl="5">
      <w:start w:val="1"/>
      <w:numFmt w:val="bullet"/>
      <w:lvlText w:val="•"/>
      <w:lvlJc w:val="left"/>
      <w:pPr>
        <w:ind w:left="4890" w:hanging="497"/>
      </w:pPr>
      <w:rPr>
        <w:rFonts w:hint="default"/>
      </w:rPr>
    </w:lvl>
    <w:lvl w:ilvl="6">
      <w:start w:val="1"/>
      <w:numFmt w:val="bullet"/>
      <w:lvlText w:val="•"/>
      <w:lvlJc w:val="left"/>
      <w:pPr>
        <w:ind w:left="5740" w:hanging="497"/>
      </w:pPr>
      <w:rPr>
        <w:rFonts w:hint="default"/>
      </w:rPr>
    </w:lvl>
    <w:lvl w:ilvl="7">
      <w:start w:val="1"/>
      <w:numFmt w:val="bullet"/>
      <w:lvlText w:val="•"/>
      <w:lvlJc w:val="left"/>
      <w:pPr>
        <w:ind w:left="6590" w:hanging="497"/>
      </w:pPr>
      <w:rPr>
        <w:rFonts w:hint="default"/>
      </w:rPr>
    </w:lvl>
    <w:lvl w:ilvl="8">
      <w:start w:val="1"/>
      <w:numFmt w:val="bullet"/>
      <w:lvlText w:val="•"/>
      <w:lvlJc w:val="left"/>
      <w:pPr>
        <w:ind w:left="7440" w:hanging="497"/>
      </w:pPr>
      <w:rPr>
        <w:rFonts w:hint="default"/>
      </w:rPr>
    </w:lvl>
  </w:abstractNum>
  <w:abstractNum w:abstractNumId="8">
    <w:multiLevelType w:val="hybridMultilevel"/>
    <w:lvl w:ilvl="0">
      <w:start w:val="2"/>
      <w:numFmt w:val="decimal"/>
      <w:lvlText w:val="%1"/>
      <w:lvlJc w:val="left"/>
      <w:pPr>
        <w:ind w:left="649" w:hanging="497"/>
        <w:jc w:val="left"/>
      </w:pPr>
      <w:rPr>
        <w:rFonts w:hint="default"/>
      </w:rPr>
    </w:lvl>
    <w:lvl w:ilvl="1">
      <w:start w:val="5"/>
      <w:numFmt w:val="decimal"/>
      <w:lvlText w:val="%1.%2"/>
      <w:lvlJc w:val="left"/>
      <w:pPr>
        <w:ind w:left="649" w:hanging="497"/>
        <w:jc w:val="left"/>
      </w:pPr>
      <w:rPr>
        <w:rFonts w:hint="default"/>
      </w:rPr>
    </w:lvl>
    <w:lvl w:ilvl="2">
      <w:start w:val="3"/>
      <w:numFmt w:val="decimal"/>
      <w:lvlText w:val="%1.%2.%3"/>
      <w:lvlJc w:val="left"/>
      <w:pPr>
        <w:ind w:left="649" w:hanging="497"/>
        <w:jc w:val="left"/>
      </w:pPr>
      <w:rPr>
        <w:rFonts w:hint="default" w:ascii="Times New Roman" w:hAnsi="Times New Roman" w:eastAsia="Times New Roman" w:cs="Times New Roman"/>
        <w:b/>
        <w:bCs/>
        <w:i/>
        <w:w w:val="100"/>
        <w:sz w:val="22"/>
        <w:szCs w:val="22"/>
      </w:rPr>
    </w:lvl>
    <w:lvl w:ilvl="3">
      <w:start w:val="1"/>
      <w:numFmt w:val="bullet"/>
      <w:lvlText w:val="•"/>
      <w:lvlJc w:val="left"/>
      <w:pPr>
        <w:ind w:left="3190" w:hanging="497"/>
      </w:pPr>
      <w:rPr>
        <w:rFonts w:hint="default"/>
      </w:rPr>
    </w:lvl>
    <w:lvl w:ilvl="4">
      <w:start w:val="1"/>
      <w:numFmt w:val="bullet"/>
      <w:lvlText w:val="•"/>
      <w:lvlJc w:val="left"/>
      <w:pPr>
        <w:ind w:left="4040" w:hanging="497"/>
      </w:pPr>
      <w:rPr>
        <w:rFonts w:hint="default"/>
      </w:rPr>
    </w:lvl>
    <w:lvl w:ilvl="5">
      <w:start w:val="1"/>
      <w:numFmt w:val="bullet"/>
      <w:lvlText w:val="•"/>
      <w:lvlJc w:val="left"/>
      <w:pPr>
        <w:ind w:left="4890" w:hanging="497"/>
      </w:pPr>
      <w:rPr>
        <w:rFonts w:hint="default"/>
      </w:rPr>
    </w:lvl>
    <w:lvl w:ilvl="6">
      <w:start w:val="1"/>
      <w:numFmt w:val="bullet"/>
      <w:lvlText w:val="•"/>
      <w:lvlJc w:val="left"/>
      <w:pPr>
        <w:ind w:left="5740" w:hanging="497"/>
      </w:pPr>
      <w:rPr>
        <w:rFonts w:hint="default"/>
      </w:rPr>
    </w:lvl>
    <w:lvl w:ilvl="7">
      <w:start w:val="1"/>
      <w:numFmt w:val="bullet"/>
      <w:lvlText w:val="•"/>
      <w:lvlJc w:val="left"/>
      <w:pPr>
        <w:ind w:left="6590" w:hanging="497"/>
      </w:pPr>
      <w:rPr>
        <w:rFonts w:hint="default"/>
      </w:rPr>
    </w:lvl>
    <w:lvl w:ilvl="8">
      <w:start w:val="1"/>
      <w:numFmt w:val="bullet"/>
      <w:lvlText w:val="•"/>
      <w:lvlJc w:val="left"/>
      <w:pPr>
        <w:ind w:left="7440" w:hanging="497"/>
      </w:pPr>
      <w:rPr>
        <w:rFonts w:hint="default"/>
      </w:rPr>
    </w:lvl>
  </w:abstractNum>
  <w:abstractNum w:abstractNumId="7">
    <w:multiLevelType w:val="hybridMultilevel"/>
    <w:lvl w:ilvl="0">
      <w:start w:val="2"/>
      <w:numFmt w:val="decimal"/>
      <w:lvlText w:val="%1"/>
      <w:lvlJc w:val="left"/>
      <w:pPr>
        <w:ind w:left="512" w:hanging="360"/>
        <w:jc w:val="left"/>
      </w:pPr>
      <w:rPr>
        <w:rFonts w:hint="default"/>
      </w:rPr>
    </w:lvl>
    <w:lvl w:ilvl="1">
      <w:start w:val="5"/>
      <w:numFmt w:val="decimal"/>
      <w:lvlText w:val="%1.%2"/>
      <w:lvlJc w:val="left"/>
      <w:pPr>
        <w:ind w:left="512"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9" w:hanging="497"/>
        <w:jc w:val="left"/>
      </w:pPr>
      <w:rPr>
        <w:rFonts w:hint="default" w:ascii="Times New Roman" w:hAnsi="Times New Roman" w:eastAsia="Times New Roman" w:cs="Times New Roman"/>
        <w:b/>
        <w:bCs/>
        <w:i/>
        <w:spacing w:val="-1"/>
        <w:w w:val="100"/>
        <w:sz w:val="22"/>
        <w:szCs w:val="22"/>
      </w:rPr>
    </w:lvl>
    <w:lvl w:ilvl="3">
      <w:start w:val="1"/>
      <w:numFmt w:val="bullet"/>
      <w:lvlText w:val="•"/>
      <w:lvlJc w:val="left"/>
      <w:pPr>
        <w:ind w:left="2528" w:hanging="497"/>
      </w:pPr>
      <w:rPr>
        <w:rFonts w:hint="default"/>
      </w:rPr>
    </w:lvl>
    <w:lvl w:ilvl="4">
      <w:start w:val="1"/>
      <w:numFmt w:val="bullet"/>
      <w:lvlText w:val="•"/>
      <w:lvlJc w:val="left"/>
      <w:pPr>
        <w:ind w:left="3473" w:hanging="497"/>
      </w:pPr>
      <w:rPr>
        <w:rFonts w:hint="default"/>
      </w:rPr>
    </w:lvl>
    <w:lvl w:ilvl="5">
      <w:start w:val="1"/>
      <w:numFmt w:val="bullet"/>
      <w:lvlText w:val="•"/>
      <w:lvlJc w:val="left"/>
      <w:pPr>
        <w:ind w:left="4417" w:hanging="497"/>
      </w:pPr>
      <w:rPr>
        <w:rFonts w:hint="default"/>
      </w:rPr>
    </w:lvl>
    <w:lvl w:ilvl="6">
      <w:start w:val="1"/>
      <w:numFmt w:val="bullet"/>
      <w:lvlText w:val="•"/>
      <w:lvlJc w:val="left"/>
      <w:pPr>
        <w:ind w:left="5362" w:hanging="497"/>
      </w:pPr>
      <w:rPr>
        <w:rFonts w:hint="default"/>
      </w:rPr>
    </w:lvl>
    <w:lvl w:ilvl="7">
      <w:start w:val="1"/>
      <w:numFmt w:val="bullet"/>
      <w:lvlText w:val="•"/>
      <w:lvlJc w:val="left"/>
      <w:pPr>
        <w:ind w:left="6306" w:hanging="497"/>
      </w:pPr>
      <w:rPr>
        <w:rFonts w:hint="default"/>
      </w:rPr>
    </w:lvl>
    <w:lvl w:ilvl="8">
      <w:start w:val="1"/>
      <w:numFmt w:val="bullet"/>
      <w:lvlText w:val="•"/>
      <w:lvlJc w:val="left"/>
      <w:pPr>
        <w:ind w:left="7251" w:hanging="497"/>
      </w:pPr>
      <w:rPr>
        <w:rFonts w:hint="default"/>
      </w:rPr>
    </w:lvl>
  </w:abstractNum>
  <w:abstractNum w:abstractNumId="6">
    <w:multiLevelType w:val="hybridMultilevel"/>
    <w:lvl w:ilvl="0">
      <w:start w:val="2"/>
      <w:numFmt w:val="decimal"/>
      <w:lvlText w:val="%1"/>
      <w:lvlJc w:val="left"/>
      <w:pPr>
        <w:ind w:left="512" w:hanging="360"/>
        <w:jc w:val="left"/>
      </w:pPr>
      <w:rPr>
        <w:rFonts w:hint="default"/>
      </w:rPr>
    </w:lvl>
    <w:lvl w:ilvl="1">
      <w:start w:val="3"/>
      <w:numFmt w:val="decimal"/>
      <w:lvlText w:val="%1.%2"/>
      <w:lvlJc w:val="left"/>
      <w:pPr>
        <w:ind w:left="512" w:hanging="360"/>
        <w:jc w:val="right"/>
      </w:pPr>
      <w:rPr>
        <w:rFonts w:hint="default" w:ascii="Times New Roman" w:hAnsi="Times New Roman" w:eastAsia="Times New Roman" w:cs="Times New Roman"/>
        <w:b/>
        <w:bCs/>
        <w:spacing w:val="-3"/>
        <w:w w:val="99"/>
        <w:sz w:val="24"/>
        <w:szCs w:val="24"/>
      </w:rPr>
    </w:lvl>
    <w:lvl w:ilvl="2">
      <w:start w:val="1"/>
      <w:numFmt w:val="bullet"/>
      <w:lvlText w:val="•"/>
      <w:lvlJc w:val="left"/>
      <w:pPr>
        <w:ind w:left="1584" w:hanging="360"/>
      </w:pPr>
      <w:rPr>
        <w:rFonts w:hint="default"/>
      </w:rPr>
    </w:lvl>
    <w:lvl w:ilvl="3">
      <w:start w:val="1"/>
      <w:numFmt w:val="bullet"/>
      <w:lvlText w:val="•"/>
      <w:lvlJc w:val="left"/>
      <w:pPr>
        <w:ind w:left="2528" w:hanging="360"/>
      </w:pPr>
      <w:rPr>
        <w:rFonts w:hint="default"/>
      </w:rPr>
    </w:lvl>
    <w:lvl w:ilvl="4">
      <w:start w:val="1"/>
      <w:numFmt w:val="bullet"/>
      <w:lvlText w:val="•"/>
      <w:lvlJc w:val="left"/>
      <w:pPr>
        <w:ind w:left="3473" w:hanging="360"/>
      </w:pPr>
      <w:rPr>
        <w:rFonts w:hint="default"/>
      </w:rPr>
    </w:lvl>
    <w:lvl w:ilvl="5">
      <w:start w:val="1"/>
      <w:numFmt w:val="bullet"/>
      <w:lvlText w:val="•"/>
      <w:lvlJc w:val="left"/>
      <w:pPr>
        <w:ind w:left="4417" w:hanging="360"/>
      </w:pPr>
      <w:rPr>
        <w:rFonts w:hint="default"/>
      </w:rPr>
    </w:lvl>
    <w:lvl w:ilvl="6">
      <w:start w:val="1"/>
      <w:numFmt w:val="bullet"/>
      <w:lvlText w:val="•"/>
      <w:lvlJc w:val="left"/>
      <w:pPr>
        <w:ind w:left="5362" w:hanging="360"/>
      </w:pPr>
      <w:rPr>
        <w:rFonts w:hint="default"/>
      </w:rPr>
    </w:lvl>
    <w:lvl w:ilvl="7">
      <w:start w:val="1"/>
      <w:numFmt w:val="bullet"/>
      <w:lvlText w:val="•"/>
      <w:lvlJc w:val="left"/>
      <w:pPr>
        <w:ind w:left="6306" w:hanging="360"/>
      </w:pPr>
      <w:rPr>
        <w:rFonts w:hint="default"/>
      </w:rPr>
    </w:lvl>
    <w:lvl w:ilvl="8">
      <w:start w:val="1"/>
      <w:numFmt w:val="bullet"/>
      <w:lvlText w:val="•"/>
      <w:lvlJc w:val="left"/>
      <w:pPr>
        <w:ind w:left="7251" w:hanging="360"/>
      </w:pPr>
      <w:rPr>
        <w:rFonts w:hint="default"/>
      </w:rPr>
    </w:lvl>
  </w:abstractNum>
  <w:abstractNum w:abstractNumId="5">
    <w:multiLevelType w:val="hybridMultilevel"/>
    <w:lvl w:ilvl="0">
      <w:start w:val="2"/>
      <w:numFmt w:val="decimal"/>
      <w:lvlText w:val="%1"/>
      <w:lvlJc w:val="left"/>
      <w:pPr>
        <w:ind w:left="512" w:hanging="360"/>
        <w:jc w:val="left"/>
      </w:pPr>
      <w:rPr>
        <w:rFonts w:hint="default"/>
      </w:rPr>
    </w:lvl>
    <w:lvl w:ilvl="1">
      <w:start w:val="1"/>
      <w:numFmt w:val="decimal"/>
      <w:lvlText w:val="%1.%2"/>
      <w:lvlJc w:val="left"/>
      <w:pPr>
        <w:ind w:left="51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49" w:hanging="497"/>
        <w:jc w:val="left"/>
      </w:pPr>
      <w:rPr>
        <w:rFonts w:hint="default" w:ascii="Times New Roman" w:hAnsi="Times New Roman" w:eastAsia="Times New Roman" w:cs="Times New Roman"/>
        <w:b/>
        <w:bCs/>
        <w:i/>
        <w:w w:val="100"/>
        <w:sz w:val="22"/>
        <w:szCs w:val="22"/>
      </w:rPr>
    </w:lvl>
    <w:lvl w:ilvl="3">
      <w:start w:val="1"/>
      <w:numFmt w:val="bullet"/>
      <w:lvlText w:val="•"/>
      <w:lvlJc w:val="left"/>
      <w:pPr>
        <w:ind w:left="2528" w:hanging="497"/>
      </w:pPr>
      <w:rPr>
        <w:rFonts w:hint="default"/>
      </w:rPr>
    </w:lvl>
    <w:lvl w:ilvl="4">
      <w:start w:val="1"/>
      <w:numFmt w:val="bullet"/>
      <w:lvlText w:val="•"/>
      <w:lvlJc w:val="left"/>
      <w:pPr>
        <w:ind w:left="3473" w:hanging="497"/>
      </w:pPr>
      <w:rPr>
        <w:rFonts w:hint="default"/>
      </w:rPr>
    </w:lvl>
    <w:lvl w:ilvl="5">
      <w:start w:val="1"/>
      <w:numFmt w:val="bullet"/>
      <w:lvlText w:val="•"/>
      <w:lvlJc w:val="left"/>
      <w:pPr>
        <w:ind w:left="4417" w:hanging="497"/>
      </w:pPr>
      <w:rPr>
        <w:rFonts w:hint="default"/>
      </w:rPr>
    </w:lvl>
    <w:lvl w:ilvl="6">
      <w:start w:val="1"/>
      <w:numFmt w:val="bullet"/>
      <w:lvlText w:val="•"/>
      <w:lvlJc w:val="left"/>
      <w:pPr>
        <w:ind w:left="5362" w:hanging="497"/>
      </w:pPr>
      <w:rPr>
        <w:rFonts w:hint="default"/>
      </w:rPr>
    </w:lvl>
    <w:lvl w:ilvl="7">
      <w:start w:val="1"/>
      <w:numFmt w:val="bullet"/>
      <w:lvlText w:val="•"/>
      <w:lvlJc w:val="left"/>
      <w:pPr>
        <w:ind w:left="6306" w:hanging="497"/>
      </w:pPr>
      <w:rPr>
        <w:rFonts w:hint="default"/>
      </w:rPr>
    </w:lvl>
    <w:lvl w:ilvl="8">
      <w:start w:val="1"/>
      <w:numFmt w:val="bullet"/>
      <w:lvlText w:val="•"/>
      <w:lvlJc w:val="left"/>
      <w:pPr>
        <w:ind w:left="7251" w:hanging="497"/>
      </w:pPr>
      <w:rPr>
        <w:rFonts w:hint="default"/>
      </w:rPr>
    </w:lvl>
  </w:abstractNum>
  <w:abstractNum w:abstractNumId="4">
    <w:multiLevelType w:val="hybridMultilevel"/>
    <w:lvl w:ilvl="0">
      <w:start w:val="1"/>
      <w:numFmt w:val="decimal"/>
      <w:lvlText w:val="%1."/>
      <w:lvlJc w:val="left"/>
      <w:pPr>
        <w:ind w:left="3100" w:hanging="240"/>
        <w:jc w:val="right"/>
      </w:pPr>
      <w:rPr>
        <w:rFonts w:hint="default" w:ascii="Times New Roman" w:hAnsi="Times New Roman" w:eastAsia="Times New Roman" w:cs="Times New Roman"/>
        <w:b/>
        <w:bCs/>
        <w:spacing w:val="-1"/>
        <w:w w:val="99"/>
        <w:sz w:val="24"/>
        <w:szCs w:val="24"/>
      </w:rPr>
    </w:lvl>
    <w:lvl w:ilvl="1">
      <w:start w:val="1"/>
      <w:numFmt w:val="bullet"/>
      <w:lvlText w:val="•"/>
      <w:lvlJc w:val="left"/>
      <w:pPr>
        <w:ind w:left="3700" w:hanging="240"/>
      </w:pPr>
      <w:rPr>
        <w:rFonts w:hint="default"/>
      </w:rPr>
    </w:lvl>
    <w:lvl w:ilvl="2">
      <w:start w:val="1"/>
      <w:numFmt w:val="bullet"/>
      <w:lvlText w:val="•"/>
      <w:lvlJc w:val="left"/>
      <w:pPr>
        <w:ind w:left="4300" w:hanging="240"/>
      </w:pPr>
      <w:rPr>
        <w:rFonts w:hint="default"/>
      </w:rPr>
    </w:lvl>
    <w:lvl w:ilvl="3">
      <w:start w:val="1"/>
      <w:numFmt w:val="bullet"/>
      <w:lvlText w:val="•"/>
      <w:lvlJc w:val="left"/>
      <w:pPr>
        <w:ind w:left="4900" w:hanging="240"/>
      </w:pPr>
      <w:rPr>
        <w:rFonts w:hint="default"/>
      </w:rPr>
    </w:lvl>
    <w:lvl w:ilvl="4">
      <w:start w:val="1"/>
      <w:numFmt w:val="bullet"/>
      <w:lvlText w:val="•"/>
      <w:lvlJc w:val="left"/>
      <w:pPr>
        <w:ind w:left="5500" w:hanging="240"/>
      </w:pPr>
      <w:rPr>
        <w:rFonts w:hint="default"/>
      </w:rPr>
    </w:lvl>
    <w:lvl w:ilvl="5">
      <w:start w:val="1"/>
      <w:numFmt w:val="bullet"/>
      <w:lvlText w:val="•"/>
      <w:lvlJc w:val="left"/>
      <w:pPr>
        <w:ind w:left="6100" w:hanging="240"/>
      </w:pPr>
      <w:rPr>
        <w:rFonts w:hint="default"/>
      </w:rPr>
    </w:lvl>
    <w:lvl w:ilvl="6">
      <w:start w:val="1"/>
      <w:numFmt w:val="bullet"/>
      <w:lvlText w:val="•"/>
      <w:lvlJc w:val="left"/>
      <w:pPr>
        <w:ind w:left="6700" w:hanging="240"/>
      </w:pPr>
      <w:rPr>
        <w:rFonts w:hint="default"/>
      </w:rPr>
    </w:lvl>
    <w:lvl w:ilvl="7">
      <w:start w:val="1"/>
      <w:numFmt w:val="bullet"/>
      <w:lvlText w:val="•"/>
      <w:lvlJc w:val="left"/>
      <w:pPr>
        <w:ind w:left="7300" w:hanging="240"/>
      </w:pPr>
      <w:rPr>
        <w:rFonts w:hint="default"/>
      </w:rPr>
    </w:lvl>
    <w:lvl w:ilvl="8">
      <w:start w:val="1"/>
      <w:numFmt w:val="bullet"/>
      <w:lvlText w:val="•"/>
      <w:lvlJc w:val="left"/>
      <w:pPr>
        <w:ind w:left="7900" w:hanging="240"/>
      </w:pPr>
      <w:rPr>
        <w:rFonts w:hint="default"/>
      </w:rPr>
    </w:lvl>
  </w:abstractNum>
  <w:abstractNum w:abstractNumId="3">
    <w:multiLevelType w:val="hybridMultilevel"/>
    <w:lvl w:ilvl="0">
      <w:start w:val="7"/>
      <w:numFmt w:val="decimal"/>
      <w:lvlText w:val="%1"/>
      <w:lvlJc w:val="left"/>
      <w:pPr>
        <w:ind w:left="1172" w:hanging="540"/>
        <w:jc w:val="left"/>
      </w:pPr>
      <w:rPr>
        <w:rFonts w:hint="default"/>
      </w:rPr>
    </w:lvl>
    <w:lvl w:ilvl="1">
      <w:start w:val="5"/>
      <w:numFmt w:val="decimal"/>
      <w:lvlText w:val="%1.%2"/>
      <w:lvlJc w:val="left"/>
      <w:pPr>
        <w:ind w:left="1172" w:hanging="540"/>
        <w:jc w:val="left"/>
      </w:pPr>
      <w:rPr>
        <w:rFonts w:hint="default"/>
      </w:rPr>
    </w:lvl>
    <w:lvl w:ilvl="2">
      <w:start w:val="5"/>
      <w:numFmt w:val="decimal"/>
      <w:lvlText w:val="%1.%2.%3"/>
      <w:lvlJc w:val="left"/>
      <w:pPr>
        <w:ind w:left="1172" w:hanging="540"/>
        <w:jc w:val="left"/>
      </w:pPr>
      <w:rPr>
        <w:rFonts w:hint="default" w:ascii="Times New Roman" w:hAnsi="Times New Roman" w:eastAsia="Times New Roman" w:cs="Times New Roman"/>
        <w:i/>
        <w:spacing w:val="-4"/>
        <w:w w:val="99"/>
        <w:sz w:val="24"/>
        <w:szCs w:val="24"/>
      </w:rPr>
    </w:lvl>
    <w:lvl w:ilvl="3">
      <w:start w:val="1"/>
      <w:numFmt w:val="bullet"/>
      <w:lvlText w:val="•"/>
      <w:lvlJc w:val="left"/>
      <w:pPr>
        <w:ind w:left="3556" w:hanging="540"/>
      </w:pPr>
      <w:rPr>
        <w:rFonts w:hint="default"/>
      </w:rPr>
    </w:lvl>
    <w:lvl w:ilvl="4">
      <w:start w:val="1"/>
      <w:numFmt w:val="bullet"/>
      <w:lvlText w:val="•"/>
      <w:lvlJc w:val="left"/>
      <w:pPr>
        <w:ind w:left="4348" w:hanging="540"/>
      </w:pPr>
      <w:rPr>
        <w:rFonts w:hint="default"/>
      </w:rPr>
    </w:lvl>
    <w:lvl w:ilvl="5">
      <w:start w:val="1"/>
      <w:numFmt w:val="bullet"/>
      <w:lvlText w:val="•"/>
      <w:lvlJc w:val="left"/>
      <w:pPr>
        <w:ind w:left="5140" w:hanging="540"/>
      </w:pPr>
      <w:rPr>
        <w:rFonts w:hint="default"/>
      </w:rPr>
    </w:lvl>
    <w:lvl w:ilvl="6">
      <w:start w:val="1"/>
      <w:numFmt w:val="bullet"/>
      <w:lvlText w:val="•"/>
      <w:lvlJc w:val="left"/>
      <w:pPr>
        <w:ind w:left="5932" w:hanging="540"/>
      </w:pPr>
      <w:rPr>
        <w:rFonts w:hint="default"/>
      </w:rPr>
    </w:lvl>
    <w:lvl w:ilvl="7">
      <w:start w:val="1"/>
      <w:numFmt w:val="bullet"/>
      <w:lvlText w:val="•"/>
      <w:lvlJc w:val="left"/>
      <w:pPr>
        <w:ind w:left="6724" w:hanging="540"/>
      </w:pPr>
      <w:rPr>
        <w:rFonts w:hint="default"/>
      </w:rPr>
    </w:lvl>
    <w:lvl w:ilvl="8">
      <w:start w:val="1"/>
      <w:numFmt w:val="bullet"/>
      <w:lvlText w:val="•"/>
      <w:lvlJc w:val="left"/>
      <w:pPr>
        <w:ind w:left="7516" w:hanging="540"/>
      </w:pPr>
      <w:rPr>
        <w:rFonts w:hint="default"/>
      </w:rPr>
    </w:lvl>
  </w:abstractNum>
  <w:abstractNum w:abstractNumId="2">
    <w:multiLevelType w:val="hybridMultilevel"/>
    <w:lvl w:ilvl="0">
      <w:start w:val="7"/>
      <w:numFmt w:val="decimal"/>
      <w:lvlText w:val="%1"/>
      <w:lvlJc w:val="left"/>
      <w:pPr>
        <w:ind w:left="392" w:hanging="466"/>
        <w:jc w:val="left"/>
      </w:pPr>
      <w:rPr>
        <w:rFonts w:hint="default"/>
      </w:rPr>
    </w:lvl>
    <w:lvl w:ilvl="1">
      <w:start w:val="2"/>
      <w:numFmt w:val="decimal"/>
      <w:lvlText w:val="%1.%2"/>
      <w:lvlJc w:val="left"/>
      <w:pPr>
        <w:ind w:left="392" w:hanging="466"/>
        <w:jc w:val="left"/>
      </w:pPr>
      <w:rPr>
        <w:rFonts w:hint="default" w:ascii="Times New Roman" w:hAnsi="Times New Roman" w:eastAsia="Times New Roman" w:cs="Times New Roman"/>
        <w:spacing w:val="-15"/>
        <w:w w:val="99"/>
        <w:sz w:val="24"/>
        <w:szCs w:val="24"/>
      </w:rPr>
    </w:lvl>
    <w:lvl w:ilvl="2">
      <w:start w:val="1"/>
      <w:numFmt w:val="decimal"/>
      <w:lvlText w:val="%1.%2.%3"/>
      <w:lvlJc w:val="left"/>
      <w:pPr>
        <w:ind w:left="1172" w:hanging="540"/>
        <w:jc w:val="left"/>
      </w:pPr>
      <w:rPr>
        <w:rFonts w:hint="default" w:ascii="Times New Roman" w:hAnsi="Times New Roman" w:eastAsia="Times New Roman" w:cs="Times New Roman"/>
        <w:i/>
        <w:spacing w:val="-2"/>
        <w:w w:val="99"/>
        <w:sz w:val="24"/>
        <w:szCs w:val="24"/>
      </w:rPr>
    </w:lvl>
    <w:lvl w:ilvl="3">
      <w:start w:val="1"/>
      <w:numFmt w:val="bullet"/>
      <w:lvlText w:val="•"/>
      <w:lvlJc w:val="left"/>
      <w:pPr>
        <w:ind w:left="2170" w:hanging="540"/>
      </w:pPr>
      <w:rPr>
        <w:rFonts w:hint="default"/>
      </w:rPr>
    </w:lvl>
    <w:lvl w:ilvl="4">
      <w:start w:val="1"/>
      <w:numFmt w:val="bullet"/>
      <w:lvlText w:val="•"/>
      <w:lvlJc w:val="left"/>
      <w:pPr>
        <w:ind w:left="3160" w:hanging="540"/>
      </w:pPr>
      <w:rPr>
        <w:rFonts w:hint="default"/>
      </w:rPr>
    </w:lvl>
    <w:lvl w:ilvl="5">
      <w:start w:val="1"/>
      <w:numFmt w:val="bullet"/>
      <w:lvlText w:val="•"/>
      <w:lvlJc w:val="left"/>
      <w:pPr>
        <w:ind w:left="4150" w:hanging="540"/>
      </w:pPr>
      <w:rPr>
        <w:rFonts w:hint="default"/>
      </w:rPr>
    </w:lvl>
    <w:lvl w:ilvl="6">
      <w:start w:val="1"/>
      <w:numFmt w:val="bullet"/>
      <w:lvlText w:val="•"/>
      <w:lvlJc w:val="left"/>
      <w:pPr>
        <w:ind w:left="5140" w:hanging="540"/>
      </w:pPr>
      <w:rPr>
        <w:rFonts w:hint="default"/>
      </w:rPr>
    </w:lvl>
    <w:lvl w:ilvl="7">
      <w:start w:val="1"/>
      <w:numFmt w:val="bullet"/>
      <w:lvlText w:val="•"/>
      <w:lvlJc w:val="left"/>
      <w:pPr>
        <w:ind w:left="6130" w:hanging="540"/>
      </w:pPr>
      <w:rPr>
        <w:rFonts w:hint="default"/>
      </w:rPr>
    </w:lvl>
    <w:lvl w:ilvl="8">
      <w:start w:val="1"/>
      <w:numFmt w:val="bullet"/>
      <w:lvlText w:val="•"/>
      <w:lvlJc w:val="left"/>
      <w:pPr>
        <w:ind w:left="7120" w:hanging="540"/>
      </w:pPr>
      <w:rPr>
        <w:rFonts w:hint="default"/>
      </w:rPr>
    </w:lvl>
  </w:abstractNum>
  <w:abstractNum w:abstractNumId="1">
    <w:multiLevelType w:val="hybridMultilevel"/>
    <w:lvl w:ilvl="0">
      <w:start w:val="6"/>
      <w:numFmt w:val="decimal"/>
      <w:lvlText w:val="%1"/>
      <w:lvlJc w:val="left"/>
      <w:pPr>
        <w:ind w:left="937" w:hanging="540"/>
        <w:jc w:val="left"/>
      </w:pPr>
      <w:rPr>
        <w:rFonts w:hint="default"/>
      </w:rPr>
    </w:lvl>
    <w:lvl w:ilvl="1">
      <w:start w:val="6"/>
      <w:numFmt w:val="decimal"/>
      <w:lvlText w:val="%1.%2"/>
      <w:lvlJc w:val="left"/>
      <w:pPr>
        <w:ind w:left="937" w:hanging="540"/>
        <w:jc w:val="left"/>
      </w:pPr>
      <w:rPr>
        <w:rFonts w:hint="default"/>
      </w:rPr>
    </w:lvl>
    <w:lvl w:ilvl="2">
      <w:start w:val="1"/>
      <w:numFmt w:val="decimal"/>
      <w:lvlText w:val="%1.%2.%3"/>
      <w:lvlJc w:val="left"/>
      <w:pPr>
        <w:ind w:left="937" w:hanging="540"/>
        <w:jc w:val="right"/>
      </w:pPr>
      <w:rPr>
        <w:rFonts w:hint="default"/>
        <w:spacing w:val="-3"/>
        <w:w w:val="99"/>
      </w:rPr>
    </w:lvl>
    <w:lvl w:ilvl="3">
      <w:start w:val="1"/>
      <w:numFmt w:val="decimal"/>
      <w:lvlText w:val="%1.%2.%3.%4"/>
      <w:lvlJc w:val="left"/>
      <w:pPr>
        <w:ind w:left="1352" w:hanging="720"/>
        <w:jc w:val="left"/>
      </w:pPr>
      <w:rPr>
        <w:rFonts w:hint="default" w:ascii="Times New Roman" w:hAnsi="Times New Roman" w:eastAsia="Times New Roman" w:cs="Times New Roman"/>
        <w:i/>
        <w:spacing w:val="-3"/>
        <w:w w:val="99"/>
        <w:sz w:val="24"/>
        <w:szCs w:val="24"/>
      </w:rPr>
    </w:lvl>
    <w:lvl w:ilvl="4">
      <w:start w:val="1"/>
      <w:numFmt w:val="bullet"/>
      <w:lvlText w:val="•"/>
      <w:lvlJc w:val="left"/>
      <w:pPr>
        <w:ind w:left="3295" w:hanging="720"/>
      </w:pPr>
      <w:rPr>
        <w:rFonts w:hint="default"/>
      </w:rPr>
    </w:lvl>
    <w:lvl w:ilvl="5">
      <w:start w:val="1"/>
      <w:numFmt w:val="bullet"/>
      <w:lvlText w:val="•"/>
      <w:lvlJc w:val="left"/>
      <w:pPr>
        <w:ind w:left="4262" w:hanging="720"/>
      </w:pPr>
      <w:rPr>
        <w:rFonts w:hint="default"/>
      </w:rPr>
    </w:lvl>
    <w:lvl w:ilvl="6">
      <w:start w:val="1"/>
      <w:numFmt w:val="bullet"/>
      <w:lvlText w:val="•"/>
      <w:lvlJc w:val="left"/>
      <w:pPr>
        <w:ind w:left="5230" w:hanging="720"/>
      </w:pPr>
      <w:rPr>
        <w:rFonts w:hint="default"/>
      </w:rPr>
    </w:lvl>
    <w:lvl w:ilvl="7">
      <w:start w:val="1"/>
      <w:numFmt w:val="bullet"/>
      <w:lvlText w:val="•"/>
      <w:lvlJc w:val="left"/>
      <w:pPr>
        <w:ind w:left="6197" w:hanging="720"/>
      </w:pPr>
      <w:rPr>
        <w:rFonts w:hint="default"/>
      </w:rPr>
    </w:lvl>
    <w:lvl w:ilvl="8">
      <w:start w:val="1"/>
      <w:numFmt w:val="bullet"/>
      <w:lvlText w:val="•"/>
      <w:lvlJc w:val="left"/>
      <w:pPr>
        <w:ind w:left="7165" w:hanging="720"/>
      </w:pPr>
      <w:rPr>
        <w:rFonts w:hint="default"/>
      </w:rPr>
    </w:lvl>
  </w:abstractNum>
  <w:abstractNum w:abstractNumId="0">
    <w:multiLevelType w:val="hybridMultilevel"/>
    <w:lvl w:ilvl="0">
      <w:start w:val="1"/>
      <w:numFmt w:val="decimal"/>
      <w:lvlText w:val="%1."/>
      <w:lvlJc w:val="left"/>
      <w:pPr>
        <w:ind w:left="452" w:hanging="240"/>
        <w:jc w:val="righ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757" w:hanging="360"/>
        <w:jc w:val="left"/>
      </w:pPr>
      <w:rPr>
        <w:rFonts w:hint="default"/>
        <w:spacing w:val="-1"/>
        <w:w w:val="99"/>
      </w:rPr>
    </w:lvl>
    <w:lvl w:ilvl="2">
      <w:start w:val="1"/>
      <w:numFmt w:val="decimal"/>
      <w:lvlText w:val="%1.%2.%3"/>
      <w:lvlJc w:val="left"/>
      <w:pPr>
        <w:ind w:left="1232" w:hanging="360"/>
        <w:jc w:val="left"/>
      </w:pPr>
      <w:rPr>
        <w:rFonts w:hint="default" w:ascii="Times New Roman" w:hAnsi="Times New Roman" w:eastAsia="Times New Roman" w:cs="Times New Roman"/>
        <w:i/>
        <w:spacing w:val="-1"/>
        <w:w w:val="99"/>
        <w:sz w:val="24"/>
        <w:szCs w:val="24"/>
      </w:rPr>
    </w:lvl>
    <w:lvl w:ilvl="3">
      <w:start w:val="1"/>
      <w:numFmt w:val="bullet"/>
      <w:lvlText w:val="•"/>
      <w:lvlJc w:val="left"/>
      <w:pPr>
        <w:ind w:left="820" w:hanging="360"/>
      </w:pPr>
      <w:rPr>
        <w:rFonts w:hint="default"/>
      </w:rPr>
    </w:lvl>
    <w:lvl w:ilvl="4">
      <w:start w:val="1"/>
      <w:numFmt w:val="bullet"/>
      <w:lvlText w:val="•"/>
      <w:lvlJc w:val="left"/>
      <w:pPr>
        <w:ind w:left="1180" w:hanging="360"/>
      </w:pPr>
      <w:rPr>
        <w:rFonts w:hint="default"/>
      </w:rPr>
    </w:lvl>
    <w:lvl w:ilvl="5">
      <w:start w:val="1"/>
      <w:numFmt w:val="bullet"/>
      <w:lvlText w:val="•"/>
      <w:lvlJc w:val="left"/>
      <w:pPr>
        <w:ind w:left="1240" w:hanging="360"/>
      </w:pPr>
      <w:rPr>
        <w:rFonts w:hint="default"/>
      </w:rPr>
    </w:lvl>
    <w:lvl w:ilvl="6">
      <w:start w:val="1"/>
      <w:numFmt w:val="bullet"/>
      <w:lvlText w:val="•"/>
      <w:lvlJc w:val="left"/>
      <w:pPr>
        <w:ind w:left="2812" w:hanging="360"/>
      </w:pPr>
      <w:rPr>
        <w:rFonts w:hint="default"/>
      </w:rPr>
    </w:lvl>
    <w:lvl w:ilvl="7">
      <w:start w:val="1"/>
      <w:numFmt w:val="bullet"/>
      <w:lvlText w:val="•"/>
      <w:lvlJc w:val="left"/>
      <w:pPr>
        <w:ind w:left="4384" w:hanging="360"/>
      </w:pPr>
      <w:rPr>
        <w:rFonts w:hint="default"/>
      </w:rPr>
    </w:lvl>
    <w:lvl w:ilvl="8">
      <w:start w:val="1"/>
      <w:numFmt w:val="bullet"/>
      <w:lvlText w:val="•"/>
      <w:lvlJc w:val="left"/>
      <w:pPr>
        <w:ind w:left="5956" w:hanging="360"/>
      </w:pPr>
      <w:rPr>
        <w:rFonts w:hint="default"/>
      </w:rPr>
    </w:lvl>
  </w:abstract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41"/>
      <w:ind w:left="452" w:hanging="240"/>
    </w:pPr>
    <w:rPr>
      <w:rFonts w:ascii="Times New Roman" w:hAnsi="Times New Roman" w:eastAsia="Times New Roman" w:cs="Times New Roman"/>
      <w:b/>
      <w:bCs/>
      <w:sz w:val="24"/>
      <w:szCs w:val="24"/>
    </w:rPr>
  </w:style>
  <w:style w:styleId="TOC2" w:type="paragraph">
    <w:name w:val="TOC 2"/>
    <w:basedOn w:val="Normal"/>
    <w:uiPriority w:val="1"/>
    <w:qFormat/>
    <w:pPr>
      <w:spacing w:before="41"/>
      <w:ind w:left="212"/>
    </w:pPr>
    <w:rPr>
      <w:rFonts w:ascii="Times New Roman" w:hAnsi="Times New Roman" w:eastAsia="Times New Roman" w:cs="Times New Roman"/>
      <w:sz w:val="24"/>
      <w:szCs w:val="24"/>
    </w:rPr>
  </w:style>
  <w:style w:styleId="TOC3" w:type="paragraph">
    <w:name w:val="TOC 3"/>
    <w:basedOn w:val="Normal"/>
    <w:uiPriority w:val="1"/>
    <w:qFormat/>
    <w:pPr>
      <w:spacing w:before="41"/>
      <w:ind w:left="817" w:hanging="360"/>
    </w:pPr>
    <w:rPr>
      <w:rFonts w:ascii="Times New Roman" w:hAnsi="Times New Roman" w:eastAsia="Times New Roman" w:cs="Times New Roman"/>
      <w:b/>
      <w:bCs/>
      <w:sz w:val="24"/>
      <w:szCs w:val="24"/>
    </w:rPr>
  </w:style>
  <w:style w:styleId="TOC4" w:type="paragraph">
    <w:name w:val="TOC 4"/>
    <w:basedOn w:val="Normal"/>
    <w:uiPriority w:val="1"/>
    <w:qFormat/>
    <w:pPr>
      <w:spacing w:before="41"/>
      <w:ind w:left="1232" w:hanging="540"/>
    </w:pPr>
    <w:rPr>
      <w:rFonts w:ascii="Times New Roman" w:hAnsi="Times New Roman" w:eastAsia="Times New Roman" w:cs="Times New Roman"/>
      <w:i/>
      <w:sz w:val="24"/>
      <w:szCs w:val="24"/>
    </w:rPr>
  </w:style>
  <w:style w:styleId="TOC5" w:type="paragraph">
    <w:name w:val="TOC 5"/>
    <w:basedOn w:val="Normal"/>
    <w:uiPriority w:val="1"/>
    <w:qFormat/>
    <w:pPr>
      <w:spacing w:before="41"/>
      <w:ind w:left="1232" w:hanging="540"/>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9"/>
      <w:ind w:left="51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41"/>
      <w:ind w:left="152" w:hanging="360"/>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footer" Target="footer2.xml"/><Relationship Id="rId11" Type="http://schemas.openxmlformats.org/officeDocument/2006/relationships/header" Target="header4.xml"/><Relationship Id="rId12" Type="http://schemas.openxmlformats.org/officeDocument/2006/relationships/footer" Target="footer3.xml"/><Relationship Id="rId13" Type="http://schemas.openxmlformats.org/officeDocument/2006/relationships/header" Target="header5.xml"/><Relationship Id="rId14" Type="http://schemas.openxmlformats.org/officeDocument/2006/relationships/footer" Target="footer4.xml"/><Relationship Id="rId15" Type="http://schemas.openxmlformats.org/officeDocument/2006/relationships/header" Target="header6.xml"/><Relationship Id="rId16" Type="http://schemas.openxmlformats.org/officeDocument/2006/relationships/footer" Target="footer5.xml"/><Relationship Id="rId17" Type="http://schemas.openxmlformats.org/officeDocument/2006/relationships/header" Target="header7.xml"/><Relationship Id="rId18" Type="http://schemas.openxmlformats.org/officeDocument/2006/relationships/footer" Target="footer6.xml"/><Relationship Id="rId19" Type="http://schemas.openxmlformats.org/officeDocument/2006/relationships/header" Target="header8.xml"/><Relationship Id="rId20" Type="http://schemas.openxmlformats.org/officeDocument/2006/relationships/footer" Target="footer7.xml"/><Relationship Id="rId21" Type="http://schemas.openxmlformats.org/officeDocument/2006/relationships/header" Target="header9.xml"/><Relationship Id="rId22" Type="http://schemas.openxmlformats.org/officeDocument/2006/relationships/footer" Target="footer8.xml"/><Relationship Id="rId23" Type="http://schemas.openxmlformats.org/officeDocument/2006/relationships/header" Target="header10.xml"/><Relationship Id="rId24" Type="http://schemas.openxmlformats.org/officeDocument/2006/relationships/image" Target="media/image4.jpeg"/><Relationship Id="rId25" Type="http://schemas.openxmlformats.org/officeDocument/2006/relationships/image" Target="media/image5.jpeg"/><Relationship Id="rId26" Type="http://schemas.openxmlformats.org/officeDocument/2006/relationships/header" Target="header11.xml"/><Relationship Id="rId27" Type="http://schemas.openxmlformats.org/officeDocument/2006/relationships/header" Target="header12.xml"/><Relationship Id="rId28" Type="http://schemas.openxmlformats.org/officeDocument/2006/relationships/header" Target="header13.xml"/><Relationship Id="rId29" Type="http://schemas.openxmlformats.org/officeDocument/2006/relationships/header" Target="header14.xml"/><Relationship Id="rId30" Type="http://schemas.openxmlformats.org/officeDocument/2006/relationships/image" Target="media/image6.png"/><Relationship Id="rId31" Type="http://schemas.openxmlformats.org/officeDocument/2006/relationships/image" Target="media/image7.png"/><Relationship Id="rId32" Type="http://schemas.openxmlformats.org/officeDocument/2006/relationships/image" Target="media/image8.png"/><Relationship Id="rId33" Type="http://schemas.openxmlformats.org/officeDocument/2006/relationships/image" Target="media/image9.png"/><Relationship Id="rId34" Type="http://schemas.openxmlformats.org/officeDocument/2006/relationships/header" Target="header15.xml"/><Relationship Id="rId35" Type="http://schemas.openxmlformats.org/officeDocument/2006/relationships/header" Target="header16.xml"/><Relationship Id="rId36" Type="http://schemas.openxmlformats.org/officeDocument/2006/relationships/header" Target="header17.xml"/><Relationship Id="rId37" Type="http://schemas.openxmlformats.org/officeDocument/2006/relationships/header" Target="header18.xml"/><Relationship Id="rId38" Type="http://schemas.openxmlformats.org/officeDocument/2006/relationships/footer" Target="footer9.xml"/><Relationship Id="rId39" Type="http://schemas.openxmlformats.org/officeDocument/2006/relationships/image" Target="media/image2.png"/><Relationship Id="rId40" Type="http://schemas.openxmlformats.org/officeDocument/2006/relationships/image" Target="media/image3.png"/><Relationship Id="rId41" Type="http://schemas.openxmlformats.org/officeDocument/2006/relationships/image" Target="media/image10.png"/><Relationship Id="rId42" Type="http://schemas.openxmlformats.org/officeDocument/2006/relationships/footer" Target="footer10.xml"/><Relationship Id="rId43" Type="http://schemas.openxmlformats.org/officeDocument/2006/relationships/image" Target="media/image11.png"/><Relationship Id="rId44" Type="http://schemas.openxmlformats.org/officeDocument/2006/relationships/image" Target="media/image12.png"/><Relationship Id="rId45" Type="http://schemas.openxmlformats.org/officeDocument/2006/relationships/image" Target="media/image13.png"/><Relationship Id="rId46" Type="http://schemas.openxmlformats.org/officeDocument/2006/relationships/image" Target="media/image14.png"/><Relationship Id="rId47" Type="http://schemas.openxmlformats.org/officeDocument/2006/relationships/image" Target="media/image15.png"/><Relationship Id="rId48" Type="http://schemas.openxmlformats.org/officeDocument/2006/relationships/image" Target="media/image16.png"/><Relationship Id="rId49" Type="http://schemas.openxmlformats.org/officeDocument/2006/relationships/image" Target="media/image17.png"/><Relationship Id="rId50" Type="http://schemas.openxmlformats.org/officeDocument/2006/relationships/image" Target="media/image18.png"/><Relationship Id="rId51" Type="http://schemas.openxmlformats.org/officeDocument/2006/relationships/image" Target="media/image19.png"/><Relationship Id="rId52" Type="http://schemas.openxmlformats.org/officeDocument/2006/relationships/image" Target="media/image20.jpeg"/><Relationship Id="rId53" Type="http://schemas.openxmlformats.org/officeDocument/2006/relationships/image" Target="media/image21.png"/><Relationship Id="rId54" Type="http://schemas.openxmlformats.org/officeDocument/2006/relationships/image" Target="media/image22.jpeg"/><Relationship Id="rId55" Type="http://schemas.openxmlformats.org/officeDocument/2006/relationships/image" Target="media/image23.png"/><Relationship Id="rId56" Type="http://schemas.openxmlformats.org/officeDocument/2006/relationships/image" Target="media/image24.jpeg"/><Relationship Id="rId57" Type="http://schemas.openxmlformats.org/officeDocument/2006/relationships/image" Target="media/image25.png"/><Relationship Id="rId58" Type="http://schemas.openxmlformats.org/officeDocument/2006/relationships/image" Target="media/image26.png"/><Relationship Id="rId59" Type="http://schemas.openxmlformats.org/officeDocument/2006/relationships/image" Target="media/image27.png"/><Relationship Id="rId60" Type="http://schemas.openxmlformats.org/officeDocument/2006/relationships/image" Target="media/image28.jpeg"/><Relationship Id="rId61" Type="http://schemas.openxmlformats.org/officeDocument/2006/relationships/image" Target="media/image29.png"/><Relationship Id="rId62" Type="http://schemas.openxmlformats.org/officeDocument/2006/relationships/image" Target="media/image30.jpeg"/><Relationship Id="rId63" Type="http://schemas.openxmlformats.org/officeDocument/2006/relationships/image" Target="media/image31.png"/><Relationship Id="rId64" Type="http://schemas.openxmlformats.org/officeDocument/2006/relationships/image" Target="media/image32.png"/><Relationship Id="rId65" Type="http://schemas.openxmlformats.org/officeDocument/2006/relationships/image" Target="media/image33.png"/><Relationship Id="rId66" Type="http://schemas.openxmlformats.org/officeDocument/2006/relationships/image" Target="media/image34.png"/><Relationship Id="rId67" Type="http://schemas.openxmlformats.org/officeDocument/2006/relationships/image" Target="media/image35.png"/><Relationship Id="rId68" Type="http://schemas.openxmlformats.org/officeDocument/2006/relationships/image" Target="media/image36.png"/><Relationship Id="rId69" Type="http://schemas.openxmlformats.org/officeDocument/2006/relationships/image" Target="media/image37.png"/><Relationship Id="rId70" Type="http://schemas.openxmlformats.org/officeDocument/2006/relationships/image" Target="media/image38.png"/><Relationship Id="rId71" Type="http://schemas.openxmlformats.org/officeDocument/2006/relationships/image" Target="media/image39.png"/><Relationship Id="rId72" Type="http://schemas.openxmlformats.org/officeDocument/2006/relationships/image" Target="media/image40.png"/><Relationship Id="rId73" Type="http://schemas.openxmlformats.org/officeDocument/2006/relationships/image" Target="media/image41.png"/><Relationship Id="rId74" Type="http://schemas.openxmlformats.org/officeDocument/2006/relationships/image" Target="media/image42.png"/><Relationship Id="rId75" Type="http://schemas.openxmlformats.org/officeDocument/2006/relationships/image" Target="media/image43.png"/><Relationship Id="rId76" Type="http://schemas.openxmlformats.org/officeDocument/2006/relationships/image" Target="media/image44.png"/><Relationship Id="rId77" Type="http://schemas.openxmlformats.org/officeDocument/2006/relationships/image" Target="media/image45.png"/><Relationship Id="rId78" Type="http://schemas.openxmlformats.org/officeDocument/2006/relationships/image" Target="media/image46.png"/><Relationship Id="rId79" Type="http://schemas.openxmlformats.org/officeDocument/2006/relationships/image" Target="media/image47.png"/><Relationship Id="rId80" Type="http://schemas.openxmlformats.org/officeDocument/2006/relationships/image" Target="media/image48.png"/><Relationship Id="rId81" Type="http://schemas.openxmlformats.org/officeDocument/2006/relationships/image" Target="media/image49.png"/><Relationship Id="rId82" Type="http://schemas.openxmlformats.org/officeDocument/2006/relationships/image" Target="media/image50.png"/><Relationship Id="rId83" Type="http://schemas.openxmlformats.org/officeDocument/2006/relationships/image" Target="media/image51.png"/><Relationship Id="rId84" Type="http://schemas.openxmlformats.org/officeDocument/2006/relationships/image" Target="media/image52.png"/><Relationship Id="rId85" Type="http://schemas.openxmlformats.org/officeDocument/2006/relationships/image" Target="media/image53.png"/><Relationship Id="rId86" Type="http://schemas.openxmlformats.org/officeDocument/2006/relationships/image" Target="media/image54.png"/><Relationship Id="rId87" Type="http://schemas.openxmlformats.org/officeDocument/2006/relationships/image" Target="media/image55.png"/><Relationship Id="rId88" Type="http://schemas.openxmlformats.org/officeDocument/2006/relationships/image" Target="media/image56.png"/><Relationship Id="rId89" Type="http://schemas.openxmlformats.org/officeDocument/2006/relationships/footer" Target="footer11.xml"/><Relationship Id="rId90" Type="http://schemas.openxmlformats.org/officeDocument/2006/relationships/image" Target="media/image57.png"/><Relationship Id="rId91" Type="http://schemas.openxmlformats.org/officeDocument/2006/relationships/image" Target="media/image58.png"/><Relationship Id="rId92" Type="http://schemas.openxmlformats.org/officeDocument/2006/relationships/footer" Target="footer12.xml"/><Relationship Id="rId93" Type="http://schemas.openxmlformats.org/officeDocument/2006/relationships/image" Target="media/image59.png"/><Relationship Id="rId94" Type="http://schemas.openxmlformats.org/officeDocument/2006/relationships/image" Target="media/image60.png"/><Relationship Id="rId95" Type="http://schemas.openxmlformats.org/officeDocument/2006/relationships/footer" Target="footer13.xml"/><Relationship Id="rId96" Type="http://schemas.openxmlformats.org/officeDocument/2006/relationships/header" Target="header19.xml"/><Relationship Id="rId97" Type="http://schemas.openxmlformats.org/officeDocument/2006/relationships/image" Target="media/image62.jpeg"/><Relationship Id="rId98" Type="http://schemas.openxmlformats.org/officeDocument/2006/relationships/header" Target="header20.xml"/><Relationship Id="rId99" Type="http://schemas.openxmlformats.org/officeDocument/2006/relationships/header" Target="header21.xml"/><Relationship Id="rId100" Type="http://schemas.openxmlformats.org/officeDocument/2006/relationships/footer" Target="footer14.xml"/><Relationship Id="rId101" Type="http://schemas.openxmlformats.org/officeDocument/2006/relationships/image" Target="media/image61.png"/><Relationship Id="rId102" Type="http://schemas.openxmlformats.org/officeDocument/2006/relationships/header" Target="header22.xml"/><Relationship Id="rId103" Type="http://schemas.openxmlformats.org/officeDocument/2006/relationships/footer" Target="footer15.xml"/><Relationship Id="rId104" Type="http://schemas.openxmlformats.org/officeDocument/2006/relationships/hyperlink" Target="http://dx.doi.org/10.1071/AN12192" TargetMode="External"/><Relationship Id="rId105" Type="http://schemas.openxmlformats.org/officeDocument/2006/relationships/hyperlink" Target="http://www.fao.org/ag/againfo/hemes/fr/meat/backgr_composition.html" TargetMode="External"/><Relationship Id="rId106" Type="http://schemas.openxmlformats.org/officeDocument/2006/relationships/hyperlink" Target="http://www.fao.org/docrep/018/al999s.pdf" TargetMode="External"/><Relationship Id="rId107" Type="http://schemas.openxmlformats.org/officeDocument/2006/relationships/header" Target="header23.xml"/><Relationship Id="rId108" Type="http://schemas.openxmlformats.org/officeDocument/2006/relationships/footer" Target="footer16.xml"/><Relationship Id="rId109" Type="http://schemas.openxmlformats.org/officeDocument/2006/relationships/footer" Target="footer17.xml"/><Relationship Id="rId110" Type="http://schemas.openxmlformats.org/officeDocument/2006/relationships/image" Target="media/image63.png"/><Relationship Id="rId111" Type="http://schemas.openxmlformats.org/officeDocument/2006/relationships/image" Target="media/image64.jpeg"/><Relationship Id="rId112" Type="http://schemas.openxmlformats.org/officeDocument/2006/relationships/image" Target="media/image65.png"/><Relationship Id="rId113" Type="http://schemas.openxmlformats.org/officeDocument/2006/relationships/image" Target="media/image66.jpeg"/><Relationship Id="rId114" Type="http://schemas.openxmlformats.org/officeDocument/2006/relationships/image" Target="media/image67.png"/><Relationship Id="rId115" Type="http://schemas.openxmlformats.org/officeDocument/2006/relationships/image" Target="media/image68.jpeg"/><Relationship Id="rId116" Type="http://schemas.openxmlformats.org/officeDocument/2006/relationships/image" Target="media/image69.png"/><Relationship Id="rId117" Type="http://schemas.openxmlformats.org/officeDocument/2006/relationships/image" Target="media/image70.jpeg"/><Relationship Id="rId118" Type="http://schemas.openxmlformats.org/officeDocument/2006/relationships/image" Target="media/image71.png"/><Relationship Id="rId119" Type="http://schemas.openxmlformats.org/officeDocument/2006/relationships/image" Target="media/image72.jpeg"/><Relationship Id="rId120" Type="http://schemas.openxmlformats.org/officeDocument/2006/relationships/image" Target="media/image73.png"/><Relationship Id="rId121" Type="http://schemas.openxmlformats.org/officeDocument/2006/relationships/image" Target="media/image74.jpeg"/><Relationship Id="rId122" Type="http://schemas.openxmlformats.org/officeDocument/2006/relationships/header" Target="header24.xml"/><Relationship Id="rId123" Type="http://schemas.openxmlformats.org/officeDocument/2006/relationships/footer" Target="footer18.xml"/><Relationship Id="rId124" Type="http://schemas.openxmlformats.org/officeDocument/2006/relationships/image" Target="media/image75.png"/><Relationship Id="rId125" Type="http://schemas.openxmlformats.org/officeDocument/2006/relationships/image" Target="media/image76.jpeg"/><Relationship Id="rId126" Type="http://schemas.openxmlformats.org/officeDocument/2006/relationships/footer" Target="footer19.xml"/><Relationship Id="rId127" Type="http://schemas.openxmlformats.org/officeDocument/2006/relationships/image" Target="media/image77.png"/><Relationship Id="rId128" Type="http://schemas.openxmlformats.org/officeDocument/2006/relationships/image" Target="media/image78.jpeg"/><Relationship Id="rId129" Type="http://schemas.openxmlformats.org/officeDocument/2006/relationships/image" Target="media/image79.png"/><Relationship Id="rId130" Type="http://schemas.openxmlformats.org/officeDocument/2006/relationships/image" Target="media/image80.jpeg"/><Relationship Id="rId131" Type="http://schemas.openxmlformats.org/officeDocument/2006/relationships/image" Target="media/image81.png"/><Relationship Id="rId132" Type="http://schemas.openxmlformats.org/officeDocument/2006/relationships/image" Target="media/image82.jpeg"/><Relationship Id="rId133" Type="http://schemas.openxmlformats.org/officeDocument/2006/relationships/header" Target="header25.xml"/><Relationship Id="rId134" Type="http://schemas.openxmlformats.org/officeDocument/2006/relationships/footer" Target="footer20.xml"/><Relationship Id="rId135" Type="http://schemas.openxmlformats.org/officeDocument/2006/relationships/image" Target="media/image83.png"/><Relationship Id="rId136" Type="http://schemas.openxmlformats.org/officeDocument/2006/relationships/image" Target="media/image84.jpeg"/><Relationship Id="rId137" Type="http://schemas.openxmlformats.org/officeDocument/2006/relationships/header" Target="header26.xml"/><Relationship Id="rId138" Type="http://schemas.openxmlformats.org/officeDocument/2006/relationships/footer" Target="footer21.xml"/><Relationship Id="rId139" Type="http://schemas.openxmlformats.org/officeDocument/2006/relationships/image" Target="media/image85.png"/><Relationship Id="rId140" Type="http://schemas.openxmlformats.org/officeDocument/2006/relationships/image" Target="media/image86.jpeg"/><Relationship Id="rId141" Type="http://schemas.openxmlformats.org/officeDocument/2006/relationships/footer" Target="footer22.xml"/><Relationship Id="rId142" Type="http://schemas.openxmlformats.org/officeDocument/2006/relationships/image" Target="media/image87.png"/><Relationship Id="rId143" Type="http://schemas.openxmlformats.org/officeDocument/2006/relationships/image" Target="media/image88.jpeg"/><Relationship Id="rId144" Type="http://schemas.openxmlformats.org/officeDocument/2006/relationships/image" Target="media/image89.png"/><Relationship Id="rId145" Type="http://schemas.openxmlformats.org/officeDocument/2006/relationships/image" Target="media/image90.jpeg"/><Relationship Id="rId146" Type="http://schemas.openxmlformats.org/officeDocument/2006/relationships/image" Target="media/image91.png"/><Relationship Id="rId147" Type="http://schemas.openxmlformats.org/officeDocument/2006/relationships/image" Target="media/image92.png"/><Relationship Id="rId148" Type="http://schemas.openxmlformats.org/officeDocument/2006/relationships/image" Target="media/image93.png"/><Relationship Id="rId149" Type="http://schemas.openxmlformats.org/officeDocument/2006/relationships/image" Target="media/image94.png"/><Relationship Id="rId150" Type="http://schemas.openxmlformats.org/officeDocument/2006/relationships/image" Target="media/image95.png"/><Relationship Id="rId151" Type="http://schemas.openxmlformats.org/officeDocument/2006/relationships/image" Target="media/image96.png"/><Relationship Id="rId152" Type="http://schemas.openxmlformats.org/officeDocument/2006/relationships/image" Target="media/image97.png"/><Relationship Id="rId153" Type="http://schemas.openxmlformats.org/officeDocument/2006/relationships/image" Target="media/image98.png"/><Relationship Id="rId154" Type="http://schemas.openxmlformats.org/officeDocument/2006/relationships/image" Target="media/image99.png"/><Relationship Id="rId155" Type="http://schemas.openxmlformats.org/officeDocument/2006/relationships/image" Target="media/image100.png"/><Relationship Id="rId156" Type="http://schemas.openxmlformats.org/officeDocument/2006/relationships/image" Target="media/image101.png"/><Relationship Id="rId157" Type="http://schemas.openxmlformats.org/officeDocument/2006/relationships/image" Target="media/image102.png"/><Relationship Id="rId158" Type="http://schemas.openxmlformats.org/officeDocument/2006/relationships/image" Target="media/image103.png"/><Relationship Id="rId159" Type="http://schemas.openxmlformats.org/officeDocument/2006/relationships/image" Target="media/image104.png"/><Relationship Id="rId160" Type="http://schemas.openxmlformats.org/officeDocument/2006/relationships/image" Target="media/image105.png"/><Relationship Id="rId161" Type="http://schemas.openxmlformats.org/officeDocument/2006/relationships/image" Target="media/image106.png"/><Relationship Id="rId162" Type="http://schemas.openxmlformats.org/officeDocument/2006/relationships/image" Target="media/image107.png"/><Relationship Id="rId163" Type="http://schemas.openxmlformats.org/officeDocument/2006/relationships/image" Target="media/image108.png"/><Relationship Id="rId164" Type="http://schemas.openxmlformats.org/officeDocument/2006/relationships/image" Target="media/image109.png"/><Relationship Id="rId165" Type="http://schemas.openxmlformats.org/officeDocument/2006/relationships/image" Target="media/image110.png"/><Relationship Id="rId166" Type="http://schemas.openxmlformats.org/officeDocument/2006/relationships/image" Target="media/image111.png"/><Relationship Id="rId167" Type="http://schemas.openxmlformats.org/officeDocument/2006/relationships/image" Target="media/image112.png"/><Relationship Id="rId168" Type="http://schemas.openxmlformats.org/officeDocument/2006/relationships/image" Target="media/image113.png"/><Relationship Id="rId169" Type="http://schemas.openxmlformats.org/officeDocument/2006/relationships/image" Target="media/image114.png"/><Relationship Id="rId170" Type="http://schemas.openxmlformats.org/officeDocument/2006/relationships/image" Target="media/image115.png"/><Relationship Id="rId171" Type="http://schemas.openxmlformats.org/officeDocument/2006/relationships/image" Target="media/image116.png"/><Relationship Id="rId172" Type="http://schemas.openxmlformats.org/officeDocument/2006/relationships/image" Target="media/image117.png"/><Relationship Id="rId173" Type="http://schemas.openxmlformats.org/officeDocument/2006/relationships/image" Target="media/image118.jpeg"/><Relationship Id="rId174"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1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61.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61.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61.png"/></Relationships>

</file>

<file path=word/_rels/footer19.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61.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61.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2017-05-23T21:39:22Z</dcterms:created>
  <dcterms:modified xsi:type="dcterms:W3CDTF">2017-05-23T21:39:22Z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