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2"/>
        <w:rPr>
          <w:rFonts w:ascii="Times New Roman"/>
          <w:sz w:val="20"/>
        </w:rPr>
      </w:pPr>
    </w:p>
    <w:p>
      <w:pPr>
        <w:pStyle w:val="Heading4"/>
        <w:spacing w:before="65"/>
        <w:ind w:left="2596" w:right="2465" w:firstLine="0"/>
        <w:jc w:val="center"/>
      </w:pPr>
      <w:r>
        <w:rPr/>
        <w:pict>
          <v:group style="position:absolute;margin-left:91.919998pt;margin-top:16.581837pt;width:62.9pt;height:558.15pt;mso-position-horizontal-relative:page;mso-position-vertical-relative:paragraph;z-index:-130816" coordorigin="1838,332" coordsize="1258,11163">
            <v:shape style="position:absolute;left:1838;top:1088;width:43;height:10406" type="#_x0000_t75" stroked="false">
              <v:imagedata r:id="rId6" o:title=""/>
            </v:shape>
            <v:shape style="position:absolute;left:1926;top:332;width:1170;height:975" type="#_x0000_t75" stroked="false">
              <v:imagedata r:id="rId7" o:title=""/>
            </v:shape>
            <w10:wrap type="none"/>
          </v:group>
        </w:pict>
      </w:r>
      <w:r>
        <w:rPr/>
        <w:drawing>
          <wp:anchor distT="0" distB="0" distL="0" distR="0" allowOverlap="1" layoutInCell="1" locked="0" behindDoc="0" simplePos="0" relativeHeight="1072">
            <wp:simplePos x="0" y="0"/>
            <wp:positionH relativeFrom="page">
              <wp:posOffset>5859779</wp:posOffset>
            </wp:positionH>
            <wp:positionV relativeFrom="paragraph">
              <wp:posOffset>147089</wp:posOffset>
            </wp:positionV>
            <wp:extent cx="828675" cy="666750"/>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8" cstate="print"/>
                    <a:stretch>
                      <a:fillRect/>
                    </a:stretch>
                  </pic:blipFill>
                  <pic:spPr>
                    <a:xfrm>
                      <a:off x="0" y="0"/>
                      <a:ext cx="828675" cy="666750"/>
                    </a:xfrm>
                    <a:prstGeom prst="rect">
                      <a:avLst/>
                    </a:prstGeom>
                  </pic:spPr>
                </pic:pic>
              </a:graphicData>
            </a:graphic>
          </wp:anchor>
        </w:drawing>
      </w:r>
      <w:r>
        <w:rPr/>
        <w:t>UNIVERSIDAD AUTÓNOMA DEL ESTADO DE MÉXICO</w:t>
      </w:r>
    </w:p>
    <w:p>
      <w:pPr>
        <w:pStyle w:val="BodyText"/>
        <w:spacing w:before="1"/>
        <w:rPr>
          <w:b/>
          <w:sz w:val="32"/>
        </w:rPr>
      </w:pPr>
    </w:p>
    <w:p>
      <w:pPr>
        <w:pStyle w:val="Heading5"/>
        <w:ind w:left="2596" w:right="2460" w:firstLine="0"/>
        <w:jc w:val="center"/>
      </w:pPr>
      <w:r>
        <w:rPr/>
        <w:pict>
          <v:line style="position:absolute;mso-position-horizontal-relative:page;mso-position-vertical-relative:paragraph;z-index:1048" from="87pt,6.681821pt" to="87pt,525.681821pt" stroked="true" strokeweight="2pt" strokecolor="#000000">
            <w10:wrap type="none"/>
          </v:line>
        </w:pict>
      </w:r>
      <w:r>
        <w:rPr/>
        <w:t>FACULTAD DE QUÍMICA</w:t>
      </w:r>
    </w:p>
    <w:p>
      <w:pPr>
        <w:pStyle w:val="BodyText"/>
        <w:rPr>
          <w:sz w:val="20"/>
        </w:rPr>
      </w:pPr>
    </w:p>
    <w:p>
      <w:pPr>
        <w:pStyle w:val="BodyText"/>
        <w:rPr>
          <w:sz w:val="20"/>
        </w:rPr>
      </w:pPr>
    </w:p>
    <w:p>
      <w:pPr>
        <w:pStyle w:val="BodyText"/>
        <w:rPr>
          <w:sz w:val="20"/>
        </w:rPr>
      </w:pPr>
    </w:p>
    <w:p>
      <w:pPr>
        <w:pStyle w:val="BodyText"/>
        <w:rPr>
          <w:sz w:val="20"/>
        </w:rPr>
      </w:pPr>
    </w:p>
    <w:p>
      <w:pPr>
        <w:pStyle w:val="Heading6"/>
        <w:spacing w:line="360" w:lineRule="auto" w:before="185"/>
        <w:ind w:left="1731" w:right="1475"/>
        <w:jc w:val="center"/>
      </w:pPr>
      <w:r>
        <w:rPr/>
        <w:t>SUSTITUCIÓN DEL AGENTE OXIDANTE EN LA DETERMINACIÓN DE LA DEMANDA QUÍMICA DE OXÍGENO (DQO) Y TRATAMIENTO DE LOS RESIDUOS GENERADOS:</w:t>
      </w:r>
    </w:p>
    <w:p>
      <w:pPr>
        <w:spacing w:before="2"/>
        <w:ind w:left="2596" w:right="2347" w:firstLine="0"/>
        <w:jc w:val="center"/>
        <w:rPr>
          <w:b/>
          <w:sz w:val="24"/>
        </w:rPr>
      </w:pPr>
      <w:r>
        <w:rPr>
          <w:b/>
          <w:sz w:val="24"/>
        </w:rPr>
        <w:t>HACIA UN ANÁLISIS SUSTENTABLE</w:t>
      </w:r>
    </w:p>
    <w:p>
      <w:pPr>
        <w:pStyle w:val="BodyText"/>
        <w:rPr>
          <w:b/>
        </w:rPr>
      </w:pPr>
    </w:p>
    <w:p>
      <w:pPr>
        <w:pStyle w:val="BodyText"/>
        <w:rPr>
          <w:b/>
        </w:rPr>
      </w:pPr>
    </w:p>
    <w:p>
      <w:pPr>
        <w:pStyle w:val="BodyText"/>
        <w:rPr>
          <w:b/>
        </w:rPr>
      </w:pPr>
    </w:p>
    <w:p>
      <w:pPr>
        <w:pStyle w:val="BodyText"/>
        <w:rPr>
          <w:b/>
        </w:rPr>
      </w:pPr>
    </w:p>
    <w:p>
      <w:pPr>
        <w:spacing w:line="360" w:lineRule="auto" w:before="0"/>
        <w:ind w:left="3546" w:right="3292" w:hanging="2"/>
        <w:jc w:val="center"/>
        <w:rPr>
          <w:b/>
          <w:sz w:val="24"/>
        </w:rPr>
      </w:pPr>
      <w:r>
        <w:rPr>
          <w:b/>
          <w:sz w:val="24"/>
        </w:rPr>
        <w:t>Tesis para obtener el grado de Doctora en Ciencias Ambientales</w:t>
      </w:r>
    </w:p>
    <w:p>
      <w:pPr>
        <w:pStyle w:val="BodyText"/>
        <w:rPr>
          <w:b/>
        </w:rPr>
      </w:pPr>
    </w:p>
    <w:p>
      <w:pPr>
        <w:pStyle w:val="BodyText"/>
        <w:rPr>
          <w:b/>
        </w:rPr>
      </w:pPr>
    </w:p>
    <w:p>
      <w:pPr>
        <w:pStyle w:val="BodyText"/>
        <w:rPr>
          <w:b/>
        </w:rPr>
      </w:pPr>
    </w:p>
    <w:p>
      <w:pPr>
        <w:pStyle w:val="BodyText"/>
        <w:spacing w:before="10"/>
        <w:rPr>
          <w:b/>
          <w:sz w:val="23"/>
        </w:rPr>
      </w:pPr>
    </w:p>
    <w:p>
      <w:pPr>
        <w:spacing w:before="0"/>
        <w:ind w:left="2293" w:right="286" w:firstLine="0"/>
        <w:jc w:val="left"/>
        <w:rPr>
          <w:b/>
          <w:sz w:val="36"/>
        </w:rPr>
      </w:pPr>
      <w:r>
        <w:rPr>
          <w:b/>
          <w:sz w:val="36"/>
        </w:rPr>
        <w:t>M. en C. A. Patricia Carbajal Palacios</w:t>
      </w:r>
    </w:p>
    <w:p>
      <w:pPr>
        <w:pStyle w:val="BodyText"/>
        <w:rPr>
          <w:b/>
          <w:sz w:val="36"/>
        </w:rPr>
      </w:pPr>
    </w:p>
    <w:p>
      <w:pPr>
        <w:pStyle w:val="BodyText"/>
        <w:spacing w:before="2"/>
        <w:rPr>
          <w:b/>
          <w:sz w:val="30"/>
        </w:rPr>
      </w:pPr>
    </w:p>
    <w:p>
      <w:pPr>
        <w:pStyle w:val="BodyText"/>
        <w:spacing w:before="1"/>
        <w:ind w:left="2596" w:right="2342"/>
        <w:jc w:val="center"/>
      </w:pPr>
      <w:r>
        <w:rPr/>
        <w:t>DIRIGIDA POR:</w:t>
      </w:r>
    </w:p>
    <w:p>
      <w:pPr>
        <w:pStyle w:val="BodyText"/>
      </w:pPr>
    </w:p>
    <w:p>
      <w:pPr>
        <w:pStyle w:val="Heading5"/>
        <w:spacing w:line="463" w:lineRule="auto" w:before="1"/>
        <w:ind w:left="3244" w:right="2987" w:hanging="1"/>
        <w:jc w:val="center"/>
      </w:pPr>
      <w:r>
        <w:rPr/>
        <w:t>Dra. Patricia Balderas Hernández Dr. Jorge Guillermo Ibáñez Cornejo Dra. Gabriela Roa Morales</w:t>
      </w:r>
    </w:p>
    <w:p>
      <w:pPr>
        <w:pStyle w:val="BodyText"/>
        <w:rPr>
          <w:sz w:val="28"/>
        </w:rPr>
      </w:pPr>
    </w:p>
    <w:p>
      <w:pPr>
        <w:pStyle w:val="BodyText"/>
        <w:rPr>
          <w:sz w:val="28"/>
        </w:rPr>
      </w:pPr>
    </w:p>
    <w:p>
      <w:pPr>
        <w:pStyle w:val="BodyText"/>
        <w:rPr>
          <w:sz w:val="28"/>
        </w:rPr>
      </w:pPr>
    </w:p>
    <w:p>
      <w:pPr>
        <w:pStyle w:val="BodyText"/>
        <w:spacing w:before="10"/>
        <w:rPr>
          <w:sz w:val="22"/>
        </w:rPr>
      </w:pPr>
    </w:p>
    <w:p>
      <w:pPr>
        <w:pStyle w:val="BodyText"/>
        <w:ind w:left="5875" w:right="286"/>
      </w:pPr>
      <w:r>
        <w:rPr/>
        <w:t>TOLUCA, MÉXICO, OCTUBRE DE 2016</w:t>
      </w:r>
    </w:p>
    <w:p>
      <w:pPr>
        <w:spacing w:after="0"/>
        <w:sectPr>
          <w:footerReference w:type="default" r:id="rId5"/>
          <w:type w:val="continuous"/>
          <w:pgSz w:w="12240" w:h="15840"/>
          <w:pgMar w:footer="654" w:top="1500" w:bottom="840" w:left="760" w:right="840"/>
          <w:pgNumType w:start="1"/>
        </w:sectPr>
      </w:pPr>
    </w:p>
    <w:p>
      <w:pPr>
        <w:pStyle w:val="BodyText"/>
        <w:spacing w:before="4"/>
        <w:rPr>
          <w:rFonts w:ascii="Times New Roman"/>
          <w:sz w:val="17"/>
        </w:rPr>
      </w:pPr>
    </w:p>
    <w:p>
      <w:pPr>
        <w:spacing w:after="0"/>
        <w:rPr>
          <w:rFonts w:ascii="Times New Roman"/>
          <w:sz w:val="17"/>
        </w:rPr>
        <w:sectPr>
          <w:pgSz w:w="12240" w:h="15840"/>
          <w:pgMar w:header="0" w:footer="654" w:top="1500" w:bottom="840" w:left="760" w:right="8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8"/>
        </w:rPr>
      </w:pPr>
    </w:p>
    <w:p>
      <w:pPr>
        <w:pStyle w:val="Heading2"/>
        <w:spacing w:before="55"/>
        <w:ind w:left="2596" w:right="2344"/>
        <w:jc w:val="center"/>
      </w:pPr>
      <w:r>
        <w:rPr/>
        <w:t>FINANCIAMIENTO</w:t>
      </w:r>
    </w:p>
    <w:p>
      <w:pPr>
        <w:pStyle w:val="BodyText"/>
        <w:spacing w:before="7"/>
        <w:rPr>
          <w:b/>
          <w:sz w:val="35"/>
        </w:rPr>
      </w:pPr>
    </w:p>
    <w:p>
      <w:pPr>
        <w:pStyle w:val="BodyText"/>
        <w:spacing w:line="360" w:lineRule="auto"/>
        <w:ind w:left="658" w:right="403"/>
        <w:jc w:val="both"/>
      </w:pPr>
      <w:r>
        <w:rPr/>
        <w:t>La investigación se realizó mediante el financiamiento del proyecto PROMEP de CONACyT: “Estudio de la interacción del plomo (II), cadmio (II), cromo (VI) y zinc (II) presentes en soluciones acuosas con grupos celulósicos, lignina y azúcares presentes en biomasas de bajo costo, para evidenciar el mecanismo de biosorción”. Convenio  Promep</w:t>
      </w:r>
    </w:p>
    <w:p>
      <w:pPr>
        <w:pStyle w:val="BodyText"/>
        <w:spacing w:before="5"/>
        <w:ind w:left="658"/>
        <w:jc w:val="both"/>
      </w:pPr>
      <w:r>
        <w:rPr/>
        <w:t>/103-5/07/2572. 3736/2014/CID PROYECTO UAEM.</w:t>
      </w:r>
    </w:p>
    <w:p>
      <w:pPr>
        <w:spacing w:after="0"/>
        <w:jc w:val="both"/>
        <w:sectPr>
          <w:pgSz w:w="12240" w:h="15840"/>
          <w:pgMar w:header="0" w:footer="654" w:top="1500" w:bottom="1060" w:left="76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Heading6"/>
        <w:spacing w:line="360" w:lineRule="auto" w:before="70"/>
        <w:ind w:left="658" w:right="404"/>
      </w:pPr>
      <w:r>
        <w:rPr/>
        <w:t>El presente trabajo se desarrolló en el Laboratorio de Química Ambiental del Centro Conjunto de Investigación en Química Sustentable (CCIQS) UAEMex-UNAM, Facultad</w:t>
      </w:r>
      <w:r>
        <w:rPr>
          <w:spacing w:val="-7"/>
        </w:rPr>
        <w:t> </w:t>
      </w:r>
      <w:r>
        <w:rPr/>
        <w:t>de</w:t>
      </w:r>
      <w:r>
        <w:rPr>
          <w:spacing w:val="-6"/>
        </w:rPr>
        <w:t> </w:t>
      </w:r>
      <w:r>
        <w:rPr/>
        <w:t>Química</w:t>
      </w:r>
      <w:r>
        <w:rPr>
          <w:spacing w:val="-8"/>
        </w:rPr>
        <w:t> </w:t>
      </w:r>
      <w:r>
        <w:rPr/>
        <w:t>de</w:t>
      </w:r>
      <w:r>
        <w:rPr>
          <w:spacing w:val="-6"/>
        </w:rPr>
        <w:t> </w:t>
      </w:r>
      <w:r>
        <w:rPr/>
        <w:t>la</w:t>
      </w:r>
      <w:r>
        <w:rPr>
          <w:spacing w:val="-6"/>
        </w:rPr>
        <w:t> </w:t>
      </w:r>
      <w:r>
        <w:rPr/>
        <w:t>Universidad</w:t>
      </w:r>
      <w:r>
        <w:rPr>
          <w:spacing w:val="-5"/>
        </w:rPr>
        <w:t> </w:t>
      </w:r>
      <w:r>
        <w:rPr/>
        <w:t>Autónoma</w:t>
      </w:r>
      <w:r>
        <w:rPr>
          <w:spacing w:val="-6"/>
        </w:rPr>
        <w:t> </w:t>
      </w:r>
      <w:r>
        <w:rPr/>
        <w:t>del</w:t>
      </w:r>
      <w:r>
        <w:rPr>
          <w:spacing w:val="-6"/>
        </w:rPr>
        <w:t> </w:t>
      </w:r>
      <w:r>
        <w:rPr/>
        <w:t>Estado</w:t>
      </w:r>
      <w:r>
        <w:rPr>
          <w:spacing w:val="-7"/>
        </w:rPr>
        <w:t> </w:t>
      </w:r>
      <w:r>
        <w:rPr/>
        <w:t>de</w:t>
      </w:r>
      <w:r>
        <w:rPr>
          <w:spacing w:val="-8"/>
        </w:rPr>
        <w:t> </w:t>
      </w:r>
      <w:r>
        <w:rPr/>
        <w:t>México</w:t>
      </w:r>
      <w:r>
        <w:rPr>
          <w:spacing w:val="-5"/>
        </w:rPr>
        <w:t> </w:t>
      </w:r>
      <w:r>
        <w:rPr/>
        <w:t>y</w:t>
      </w:r>
      <w:r>
        <w:rPr>
          <w:spacing w:val="-12"/>
        </w:rPr>
        <w:t> </w:t>
      </w:r>
      <w:r>
        <w:rPr/>
        <w:t>con</w:t>
      </w:r>
      <w:r>
        <w:rPr>
          <w:spacing w:val="-7"/>
        </w:rPr>
        <w:t> </w:t>
      </w:r>
      <w:r>
        <w:rPr/>
        <w:t>apoyo del Consejo Nacional de Ciencia y Tecnología, número de CVU</w:t>
      </w:r>
      <w:r>
        <w:rPr>
          <w:spacing w:val="51"/>
        </w:rPr>
        <w:t> </w:t>
      </w:r>
      <w:r>
        <w:rPr/>
        <w:t>328366.</w:t>
      </w:r>
    </w:p>
    <w:p>
      <w:pPr>
        <w:pStyle w:val="BodyText"/>
        <w:rPr>
          <w:b/>
        </w:rPr>
      </w:pPr>
    </w:p>
    <w:p>
      <w:pPr>
        <w:spacing w:line="360" w:lineRule="auto" w:before="142"/>
        <w:ind w:left="658" w:right="406" w:firstLine="0"/>
        <w:jc w:val="both"/>
        <w:rPr>
          <w:b/>
          <w:sz w:val="24"/>
        </w:rPr>
      </w:pPr>
      <w:r>
        <w:rPr>
          <w:b/>
          <w:sz w:val="24"/>
        </w:rPr>
        <w:t>Agradezco al CONACyT por la beca proporcionada, para poder realizar éste trabajo y al CCIQS por brindarme la oportunidad de hacer uso de las instalaciones y reactivos para el desarrollo del mismo.</w:t>
      </w:r>
    </w:p>
    <w:p>
      <w:pPr>
        <w:spacing w:after="0" w:line="360" w:lineRule="auto"/>
        <w:jc w:val="both"/>
        <w:rPr>
          <w:sz w:val="24"/>
        </w:rPr>
        <w:sectPr>
          <w:pgSz w:w="12240" w:h="15840"/>
          <w:pgMar w:header="0" w:footer="654" w:top="1500" w:bottom="840" w:left="760" w:right="8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6"/>
        </w:rPr>
      </w:pPr>
    </w:p>
    <w:p>
      <w:pPr>
        <w:spacing w:line="360" w:lineRule="auto" w:before="69"/>
        <w:ind w:left="658" w:right="401" w:firstLine="0"/>
        <w:jc w:val="both"/>
        <w:rPr>
          <w:b/>
          <w:sz w:val="24"/>
        </w:rPr>
      </w:pPr>
      <w:r>
        <w:rPr>
          <w:b/>
          <w:sz w:val="24"/>
        </w:rPr>
        <w:t>Este trabajo de investigación fue registrado con el título de “Sustitución del agente oxidante en la demanda química de oxígeno (DQO) y tratamiento de los residuos generados: hacia un análisis sustentable” con el número de registro DCAAM-0212 ante la Secretaría de Investigación y Estudios Avanzados de la FQ-UAEMex.</w:t>
      </w:r>
    </w:p>
    <w:p>
      <w:pPr>
        <w:pStyle w:val="BodyText"/>
        <w:rPr>
          <w:b/>
        </w:rPr>
      </w:pPr>
    </w:p>
    <w:p>
      <w:pPr>
        <w:spacing w:line="360" w:lineRule="auto" w:before="142"/>
        <w:ind w:left="658" w:right="409" w:firstLine="0"/>
        <w:jc w:val="both"/>
        <w:rPr>
          <w:b/>
          <w:sz w:val="24"/>
        </w:rPr>
      </w:pPr>
      <w:r>
        <w:rPr>
          <w:b/>
          <w:sz w:val="24"/>
        </w:rPr>
        <w:t>El proyecto se inscribe en la línea de “Prevención, efectos y control de la contaminación” del área “Calidad ambiental” del programa de Maestría en Ciencias Ambientales.</w:t>
      </w:r>
    </w:p>
    <w:p>
      <w:pPr>
        <w:spacing w:after="0" w:line="360" w:lineRule="auto"/>
        <w:jc w:val="both"/>
        <w:rPr>
          <w:sz w:val="24"/>
        </w:rPr>
        <w:sectPr>
          <w:pgSz w:w="12240" w:h="15840"/>
          <w:pgMar w:header="0" w:footer="654" w:top="1500" w:bottom="1060" w:left="760" w:right="8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8"/>
        </w:rPr>
      </w:pPr>
    </w:p>
    <w:p>
      <w:pPr>
        <w:pStyle w:val="Heading1"/>
        <w:spacing w:line="917" w:lineRule="exact"/>
        <w:ind w:left="2596" w:right="2345"/>
        <w:jc w:val="center"/>
      </w:pPr>
      <w:r>
        <w:rPr/>
        <w:t>INDICE</w:t>
      </w:r>
    </w:p>
    <w:p>
      <w:pPr>
        <w:spacing w:after="0" w:line="917" w:lineRule="exact"/>
        <w:jc w:val="center"/>
        <w:sectPr>
          <w:footerReference w:type="default" r:id="rId9"/>
          <w:pgSz w:w="12240" w:h="15840"/>
          <w:pgMar w:footer="654" w:header="0" w:top="1500" w:bottom="840" w:left="760" w:right="840"/>
          <w:pgNumType w:start="8"/>
        </w:sectPr>
      </w:pPr>
    </w:p>
    <w:p>
      <w:pPr>
        <w:pStyle w:val="Heading2"/>
        <w:ind w:left="2596" w:right="2341"/>
        <w:jc w:val="center"/>
      </w:pPr>
      <w:r>
        <w:rPr/>
        <w:t>INDICE</w:t>
      </w:r>
    </w:p>
    <w:p>
      <w:pPr>
        <w:pStyle w:val="BodyText"/>
        <w:rPr>
          <w:b/>
          <w:sz w:val="20"/>
        </w:rPr>
      </w:pPr>
    </w:p>
    <w:p>
      <w:pPr>
        <w:pStyle w:val="BodyText"/>
        <w:spacing w:before="5"/>
        <w:rPr>
          <w:b/>
          <w:sz w:val="18"/>
        </w:rPr>
      </w:pPr>
    </w:p>
    <w:tbl>
      <w:tblPr>
        <w:tblW w:w="0" w:type="auto"/>
        <w:jc w:val="left"/>
        <w:tblInd w:w="5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75"/>
        <w:gridCol w:w="8299"/>
        <w:gridCol w:w="684"/>
      </w:tblGrid>
      <w:tr>
        <w:trPr>
          <w:trHeight w:val="326" w:hRule="exact"/>
        </w:trPr>
        <w:tc>
          <w:tcPr>
            <w:tcW w:w="975" w:type="dxa"/>
          </w:tcPr>
          <w:p>
            <w:pPr/>
          </w:p>
        </w:tc>
        <w:tc>
          <w:tcPr>
            <w:tcW w:w="8299" w:type="dxa"/>
          </w:tcPr>
          <w:p>
            <w:pPr>
              <w:pStyle w:val="TableParagraph"/>
              <w:spacing w:line="245" w:lineRule="exact"/>
              <w:ind w:left="107"/>
              <w:rPr>
                <w:sz w:val="24"/>
              </w:rPr>
            </w:pPr>
            <w:r>
              <w:rPr>
                <w:sz w:val="24"/>
              </w:rPr>
              <w:t>Resumen …………….………………………………………………………….</w:t>
            </w:r>
          </w:p>
        </w:tc>
        <w:tc>
          <w:tcPr>
            <w:tcW w:w="684" w:type="dxa"/>
          </w:tcPr>
          <w:p>
            <w:pPr>
              <w:pStyle w:val="TableParagraph"/>
              <w:spacing w:line="245" w:lineRule="exact"/>
              <w:ind w:left="195" w:right="181"/>
              <w:jc w:val="center"/>
              <w:rPr>
                <w:sz w:val="24"/>
              </w:rPr>
            </w:pPr>
            <w:r>
              <w:rPr>
                <w:sz w:val="24"/>
              </w:rPr>
              <w:t>11</w:t>
            </w:r>
          </w:p>
        </w:tc>
      </w:tr>
      <w:tr>
        <w:trPr>
          <w:trHeight w:val="414" w:hRule="exact"/>
        </w:trPr>
        <w:tc>
          <w:tcPr>
            <w:tcW w:w="975" w:type="dxa"/>
          </w:tcPr>
          <w:p>
            <w:pPr>
              <w:pStyle w:val="TableParagraph"/>
              <w:spacing w:before="55"/>
              <w:ind w:left="200"/>
              <w:rPr>
                <w:sz w:val="24"/>
              </w:rPr>
            </w:pPr>
            <w:r>
              <w:rPr>
                <w:w w:val="99"/>
                <w:sz w:val="24"/>
              </w:rPr>
              <w:t>1</w:t>
            </w:r>
          </w:p>
        </w:tc>
        <w:tc>
          <w:tcPr>
            <w:tcW w:w="8299" w:type="dxa"/>
          </w:tcPr>
          <w:p>
            <w:pPr>
              <w:pStyle w:val="TableParagraph"/>
              <w:spacing w:before="55"/>
              <w:ind w:left="107"/>
              <w:rPr>
                <w:sz w:val="24"/>
              </w:rPr>
            </w:pPr>
            <w:r>
              <w:rPr>
                <w:sz w:val="24"/>
              </w:rPr>
              <w:t>Antecedentes ……….………………………………………………………….</w:t>
            </w:r>
          </w:p>
        </w:tc>
        <w:tc>
          <w:tcPr>
            <w:tcW w:w="684" w:type="dxa"/>
          </w:tcPr>
          <w:p>
            <w:pPr>
              <w:pStyle w:val="TableParagraph"/>
              <w:spacing w:before="55"/>
              <w:ind w:left="195" w:right="181"/>
              <w:jc w:val="center"/>
              <w:rPr>
                <w:sz w:val="24"/>
              </w:rPr>
            </w:pPr>
            <w:r>
              <w:rPr>
                <w:sz w:val="24"/>
              </w:rPr>
              <w:t>14</w:t>
            </w:r>
          </w:p>
        </w:tc>
      </w:tr>
      <w:tr>
        <w:trPr>
          <w:trHeight w:val="414" w:hRule="exact"/>
        </w:trPr>
        <w:tc>
          <w:tcPr>
            <w:tcW w:w="975" w:type="dxa"/>
          </w:tcPr>
          <w:p>
            <w:pPr>
              <w:pStyle w:val="TableParagraph"/>
              <w:spacing w:before="57"/>
              <w:ind w:left="200"/>
              <w:rPr>
                <w:sz w:val="24"/>
              </w:rPr>
            </w:pPr>
            <w:r>
              <w:rPr>
                <w:sz w:val="24"/>
              </w:rPr>
              <w:t>1.1</w:t>
            </w:r>
          </w:p>
        </w:tc>
        <w:tc>
          <w:tcPr>
            <w:tcW w:w="8299" w:type="dxa"/>
          </w:tcPr>
          <w:p>
            <w:pPr>
              <w:pStyle w:val="TableParagraph"/>
              <w:spacing w:before="57"/>
              <w:ind w:left="107"/>
              <w:rPr>
                <w:sz w:val="24"/>
              </w:rPr>
            </w:pPr>
            <w:r>
              <w:rPr>
                <w:sz w:val="24"/>
              </w:rPr>
              <w:t>Problema ambiental .…………………………………………………………..</w:t>
            </w:r>
          </w:p>
        </w:tc>
        <w:tc>
          <w:tcPr>
            <w:tcW w:w="684" w:type="dxa"/>
          </w:tcPr>
          <w:p>
            <w:pPr>
              <w:pStyle w:val="TableParagraph"/>
              <w:spacing w:before="57"/>
              <w:ind w:left="195" w:right="180"/>
              <w:jc w:val="center"/>
              <w:rPr>
                <w:sz w:val="24"/>
              </w:rPr>
            </w:pPr>
            <w:r>
              <w:rPr>
                <w:sz w:val="24"/>
              </w:rPr>
              <w:t>15</w:t>
            </w:r>
          </w:p>
        </w:tc>
      </w:tr>
      <w:tr>
        <w:trPr>
          <w:trHeight w:val="414" w:hRule="exact"/>
        </w:trPr>
        <w:tc>
          <w:tcPr>
            <w:tcW w:w="975" w:type="dxa"/>
          </w:tcPr>
          <w:p>
            <w:pPr>
              <w:pStyle w:val="TableParagraph"/>
              <w:spacing w:before="55"/>
              <w:ind w:left="200"/>
              <w:rPr>
                <w:sz w:val="24"/>
              </w:rPr>
            </w:pPr>
            <w:r>
              <w:rPr>
                <w:sz w:val="24"/>
              </w:rPr>
              <w:t>1.2</w:t>
            </w:r>
          </w:p>
        </w:tc>
        <w:tc>
          <w:tcPr>
            <w:tcW w:w="8299" w:type="dxa"/>
          </w:tcPr>
          <w:p>
            <w:pPr>
              <w:pStyle w:val="TableParagraph"/>
              <w:spacing w:before="55"/>
              <w:ind w:left="107"/>
              <w:rPr>
                <w:sz w:val="24"/>
              </w:rPr>
            </w:pPr>
            <w:r>
              <w:rPr>
                <w:sz w:val="24"/>
              </w:rPr>
              <w:t>Problema de la contaminación del agua ….…………………………………</w:t>
            </w:r>
          </w:p>
        </w:tc>
        <w:tc>
          <w:tcPr>
            <w:tcW w:w="684" w:type="dxa"/>
          </w:tcPr>
          <w:p>
            <w:pPr>
              <w:pStyle w:val="TableParagraph"/>
              <w:spacing w:before="55"/>
              <w:ind w:left="195" w:right="180"/>
              <w:jc w:val="center"/>
              <w:rPr>
                <w:sz w:val="24"/>
              </w:rPr>
            </w:pPr>
            <w:r>
              <w:rPr>
                <w:sz w:val="24"/>
              </w:rPr>
              <w:t>16</w:t>
            </w:r>
          </w:p>
        </w:tc>
      </w:tr>
      <w:tr>
        <w:trPr>
          <w:trHeight w:val="414" w:hRule="exact"/>
        </w:trPr>
        <w:tc>
          <w:tcPr>
            <w:tcW w:w="975" w:type="dxa"/>
          </w:tcPr>
          <w:p>
            <w:pPr>
              <w:pStyle w:val="TableParagraph"/>
              <w:spacing w:before="57"/>
              <w:ind w:left="200"/>
              <w:rPr>
                <w:sz w:val="24"/>
              </w:rPr>
            </w:pPr>
            <w:r>
              <w:rPr>
                <w:sz w:val="24"/>
              </w:rPr>
              <w:t>1.3</w:t>
            </w:r>
          </w:p>
        </w:tc>
        <w:tc>
          <w:tcPr>
            <w:tcW w:w="8299" w:type="dxa"/>
          </w:tcPr>
          <w:p>
            <w:pPr>
              <w:pStyle w:val="TableParagraph"/>
              <w:spacing w:before="57"/>
              <w:ind w:left="107"/>
              <w:rPr>
                <w:sz w:val="24"/>
              </w:rPr>
            </w:pPr>
            <w:r>
              <w:rPr>
                <w:sz w:val="24"/>
              </w:rPr>
              <w:t>Parámetros de la calidad del agua ……….………………………………….</w:t>
            </w:r>
          </w:p>
        </w:tc>
        <w:tc>
          <w:tcPr>
            <w:tcW w:w="684" w:type="dxa"/>
          </w:tcPr>
          <w:p>
            <w:pPr>
              <w:pStyle w:val="TableParagraph"/>
              <w:spacing w:before="57"/>
              <w:ind w:left="195" w:right="180"/>
              <w:jc w:val="center"/>
              <w:rPr>
                <w:sz w:val="24"/>
              </w:rPr>
            </w:pPr>
            <w:r>
              <w:rPr>
                <w:sz w:val="24"/>
              </w:rPr>
              <w:t>17</w:t>
            </w:r>
          </w:p>
        </w:tc>
      </w:tr>
      <w:tr>
        <w:trPr>
          <w:trHeight w:val="413" w:hRule="exact"/>
        </w:trPr>
        <w:tc>
          <w:tcPr>
            <w:tcW w:w="975" w:type="dxa"/>
          </w:tcPr>
          <w:p>
            <w:pPr>
              <w:pStyle w:val="TableParagraph"/>
              <w:spacing w:before="55"/>
              <w:ind w:left="200"/>
              <w:rPr>
                <w:sz w:val="24"/>
              </w:rPr>
            </w:pPr>
            <w:r>
              <w:rPr>
                <w:w w:val="99"/>
                <w:sz w:val="24"/>
              </w:rPr>
              <w:t>2</w:t>
            </w:r>
          </w:p>
        </w:tc>
        <w:tc>
          <w:tcPr>
            <w:tcW w:w="8299" w:type="dxa"/>
          </w:tcPr>
          <w:p>
            <w:pPr>
              <w:pStyle w:val="TableParagraph"/>
              <w:spacing w:before="55"/>
              <w:ind w:left="107"/>
              <w:rPr>
                <w:sz w:val="24"/>
              </w:rPr>
            </w:pPr>
            <w:r>
              <w:rPr>
                <w:sz w:val="24"/>
              </w:rPr>
              <w:t>La Demanda Química de Oxígeno (DQO). ………………………………….</w:t>
            </w:r>
          </w:p>
        </w:tc>
        <w:tc>
          <w:tcPr>
            <w:tcW w:w="684" w:type="dxa"/>
          </w:tcPr>
          <w:p>
            <w:pPr>
              <w:pStyle w:val="TableParagraph"/>
              <w:spacing w:before="55"/>
              <w:ind w:left="195" w:right="180"/>
              <w:jc w:val="center"/>
              <w:rPr>
                <w:sz w:val="24"/>
              </w:rPr>
            </w:pPr>
            <w:r>
              <w:rPr>
                <w:sz w:val="24"/>
              </w:rPr>
              <w:t>18</w:t>
            </w:r>
          </w:p>
        </w:tc>
      </w:tr>
      <w:tr>
        <w:trPr>
          <w:trHeight w:val="414" w:hRule="exact"/>
        </w:trPr>
        <w:tc>
          <w:tcPr>
            <w:tcW w:w="975" w:type="dxa"/>
          </w:tcPr>
          <w:p>
            <w:pPr>
              <w:pStyle w:val="TableParagraph"/>
              <w:spacing w:before="55"/>
              <w:ind w:left="200"/>
              <w:rPr>
                <w:sz w:val="24"/>
              </w:rPr>
            </w:pPr>
            <w:r>
              <w:rPr>
                <w:sz w:val="24"/>
              </w:rPr>
              <w:t>2.1</w:t>
            </w:r>
          </w:p>
        </w:tc>
        <w:tc>
          <w:tcPr>
            <w:tcW w:w="8299" w:type="dxa"/>
          </w:tcPr>
          <w:p>
            <w:pPr>
              <w:pStyle w:val="TableParagraph"/>
              <w:spacing w:before="55"/>
              <w:ind w:left="107"/>
              <w:rPr>
                <w:sz w:val="24"/>
              </w:rPr>
            </w:pPr>
            <w:r>
              <w:rPr>
                <w:sz w:val="24"/>
              </w:rPr>
              <w:t>El cromo y su toxicidad ………………..………………………………………</w:t>
            </w:r>
          </w:p>
        </w:tc>
        <w:tc>
          <w:tcPr>
            <w:tcW w:w="684" w:type="dxa"/>
          </w:tcPr>
          <w:p>
            <w:pPr>
              <w:pStyle w:val="TableParagraph"/>
              <w:spacing w:before="55"/>
              <w:ind w:left="195" w:right="180"/>
              <w:jc w:val="center"/>
              <w:rPr>
                <w:sz w:val="24"/>
              </w:rPr>
            </w:pPr>
            <w:r>
              <w:rPr>
                <w:sz w:val="24"/>
              </w:rPr>
              <w:t>21</w:t>
            </w:r>
          </w:p>
        </w:tc>
      </w:tr>
      <w:tr>
        <w:trPr>
          <w:trHeight w:val="414" w:hRule="exact"/>
        </w:trPr>
        <w:tc>
          <w:tcPr>
            <w:tcW w:w="975" w:type="dxa"/>
          </w:tcPr>
          <w:p>
            <w:pPr>
              <w:pStyle w:val="TableParagraph"/>
              <w:spacing w:before="57"/>
              <w:ind w:left="200"/>
              <w:rPr>
                <w:sz w:val="24"/>
              </w:rPr>
            </w:pPr>
            <w:r>
              <w:rPr>
                <w:sz w:val="24"/>
              </w:rPr>
              <w:t>2.2</w:t>
            </w:r>
          </w:p>
        </w:tc>
        <w:tc>
          <w:tcPr>
            <w:tcW w:w="8299" w:type="dxa"/>
          </w:tcPr>
          <w:p>
            <w:pPr>
              <w:pStyle w:val="TableParagraph"/>
              <w:spacing w:before="57"/>
              <w:ind w:left="107"/>
              <w:rPr>
                <w:sz w:val="24"/>
              </w:rPr>
            </w:pPr>
            <w:r>
              <w:rPr>
                <w:sz w:val="24"/>
              </w:rPr>
              <w:t>El mercurio y su toxicidad. ……………………………………………………….</w:t>
            </w:r>
          </w:p>
        </w:tc>
        <w:tc>
          <w:tcPr>
            <w:tcW w:w="684" w:type="dxa"/>
          </w:tcPr>
          <w:p>
            <w:pPr>
              <w:pStyle w:val="TableParagraph"/>
              <w:spacing w:before="57"/>
              <w:ind w:left="195" w:right="180"/>
              <w:jc w:val="center"/>
              <w:rPr>
                <w:sz w:val="24"/>
              </w:rPr>
            </w:pPr>
            <w:r>
              <w:rPr>
                <w:sz w:val="24"/>
              </w:rPr>
              <w:t>22</w:t>
            </w:r>
          </w:p>
        </w:tc>
      </w:tr>
      <w:tr>
        <w:trPr>
          <w:trHeight w:val="414" w:hRule="exact"/>
        </w:trPr>
        <w:tc>
          <w:tcPr>
            <w:tcW w:w="975" w:type="dxa"/>
          </w:tcPr>
          <w:p>
            <w:pPr>
              <w:pStyle w:val="TableParagraph"/>
              <w:spacing w:before="56"/>
              <w:ind w:left="200"/>
              <w:rPr>
                <w:sz w:val="24"/>
              </w:rPr>
            </w:pPr>
            <w:r>
              <w:rPr>
                <w:sz w:val="24"/>
              </w:rPr>
              <w:t>2.3</w:t>
            </w:r>
          </w:p>
        </w:tc>
        <w:tc>
          <w:tcPr>
            <w:tcW w:w="8299" w:type="dxa"/>
          </w:tcPr>
          <w:p>
            <w:pPr>
              <w:pStyle w:val="TableParagraph"/>
              <w:spacing w:before="56"/>
              <w:ind w:left="107"/>
              <w:rPr>
                <w:sz w:val="24"/>
              </w:rPr>
            </w:pPr>
            <w:r>
              <w:rPr>
                <w:sz w:val="24"/>
              </w:rPr>
              <w:t>La plata y su toxicidad ..……………………………………………………….</w:t>
            </w:r>
          </w:p>
        </w:tc>
        <w:tc>
          <w:tcPr>
            <w:tcW w:w="684" w:type="dxa"/>
          </w:tcPr>
          <w:p>
            <w:pPr>
              <w:pStyle w:val="TableParagraph"/>
              <w:spacing w:before="56"/>
              <w:ind w:left="195" w:right="180"/>
              <w:jc w:val="center"/>
              <w:rPr>
                <w:sz w:val="24"/>
              </w:rPr>
            </w:pPr>
            <w:r>
              <w:rPr>
                <w:sz w:val="24"/>
              </w:rPr>
              <w:t>22</w:t>
            </w:r>
          </w:p>
        </w:tc>
      </w:tr>
      <w:tr>
        <w:trPr>
          <w:trHeight w:val="414" w:hRule="exact"/>
        </w:trPr>
        <w:tc>
          <w:tcPr>
            <w:tcW w:w="975" w:type="dxa"/>
          </w:tcPr>
          <w:p>
            <w:pPr>
              <w:pStyle w:val="TableParagraph"/>
              <w:spacing w:before="57"/>
              <w:ind w:left="200"/>
              <w:rPr>
                <w:sz w:val="24"/>
              </w:rPr>
            </w:pPr>
            <w:r>
              <w:rPr>
                <w:w w:val="99"/>
                <w:sz w:val="24"/>
              </w:rPr>
              <w:t>3</w:t>
            </w:r>
          </w:p>
        </w:tc>
        <w:tc>
          <w:tcPr>
            <w:tcW w:w="8299" w:type="dxa"/>
          </w:tcPr>
          <w:p>
            <w:pPr>
              <w:pStyle w:val="TableParagraph"/>
              <w:spacing w:before="57"/>
              <w:ind w:left="107"/>
              <w:rPr>
                <w:sz w:val="24"/>
              </w:rPr>
            </w:pPr>
            <w:r>
              <w:rPr>
                <w:sz w:val="24"/>
              </w:rPr>
              <w:t>Química verde</w:t>
            </w:r>
            <w:r>
              <w:rPr>
                <w:spacing w:val="63"/>
                <w:sz w:val="24"/>
              </w:rPr>
              <w:t> </w:t>
            </w:r>
            <w:r>
              <w:rPr>
                <w:sz w:val="24"/>
              </w:rPr>
              <w:t>…………………………………………………………………</w:t>
            </w:r>
          </w:p>
        </w:tc>
        <w:tc>
          <w:tcPr>
            <w:tcW w:w="684" w:type="dxa"/>
          </w:tcPr>
          <w:p>
            <w:pPr>
              <w:pStyle w:val="TableParagraph"/>
              <w:spacing w:before="57"/>
              <w:ind w:left="195" w:right="180"/>
              <w:jc w:val="center"/>
              <w:rPr>
                <w:sz w:val="24"/>
              </w:rPr>
            </w:pPr>
            <w:r>
              <w:rPr>
                <w:sz w:val="24"/>
              </w:rPr>
              <w:t>23</w:t>
            </w:r>
          </w:p>
        </w:tc>
      </w:tr>
      <w:tr>
        <w:trPr>
          <w:trHeight w:val="414" w:hRule="exact"/>
        </w:trPr>
        <w:tc>
          <w:tcPr>
            <w:tcW w:w="975" w:type="dxa"/>
          </w:tcPr>
          <w:p>
            <w:pPr>
              <w:pStyle w:val="TableParagraph"/>
              <w:spacing w:before="55"/>
              <w:ind w:left="200"/>
              <w:rPr>
                <w:sz w:val="24"/>
              </w:rPr>
            </w:pPr>
            <w:r>
              <w:rPr>
                <w:sz w:val="24"/>
              </w:rPr>
              <w:t>3.1</w:t>
            </w:r>
          </w:p>
        </w:tc>
        <w:tc>
          <w:tcPr>
            <w:tcW w:w="8299" w:type="dxa"/>
          </w:tcPr>
          <w:p>
            <w:pPr>
              <w:pStyle w:val="TableParagraph"/>
              <w:spacing w:before="55"/>
              <w:ind w:left="107"/>
              <w:rPr>
                <w:sz w:val="24"/>
              </w:rPr>
            </w:pPr>
            <w:r>
              <w:rPr>
                <w:sz w:val="24"/>
              </w:rPr>
              <w:t>Principios de la química verde . ………………………………………………</w:t>
            </w:r>
          </w:p>
        </w:tc>
        <w:tc>
          <w:tcPr>
            <w:tcW w:w="684" w:type="dxa"/>
          </w:tcPr>
          <w:p>
            <w:pPr>
              <w:pStyle w:val="TableParagraph"/>
              <w:spacing w:before="55"/>
              <w:ind w:left="195" w:right="180"/>
              <w:jc w:val="center"/>
              <w:rPr>
                <w:sz w:val="24"/>
              </w:rPr>
            </w:pPr>
            <w:r>
              <w:rPr>
                <w:sz w:val="24"/>
              </w:rPr>
              <w:t>25</w:t>
            </w:r>
          </w:p>
        </w:tc>
      </w:tr>
      <w:tr>
        <w:trPr>
          <w:trHeight w:val="414" w:hRule="exact"/>
        </w:trPr>
        <w:tc>
          <w:tcPr>
            <w:tcW w:w="975" w:type="dxa"/>
          </w:tcPr>
          <w:p>
            <w:pPr>
              <w:pStyle w:val="TableParagraph"/>
              <w:spacing w:before="57"/>
              <w:ind w:left="200"/>
              <w:rPr>
                <w:sz w:val="24"/>
              </w:rPr>
            </w:pPr>
            <w:r>
              <w:rPr>
                <w:w w:val="99"/>
                <w:sz w:val="24"/>
              </w:rPr>
              <w:t>4</w:t>
            </w:r>
          </w:p>
        </w:tc>
        <w:tc>
          <w:tcPr>
            <w:tcW w:w="8299" w:type="dxa"/>
          </w:tcPr>
          <w:p>
            <w:pPr>
              <w:pStyle w:val="TableParagraph"/>
              <w:spacing w:before="57"/>
              <w:ind w:left="107"/>
              <w:rPr>
                <w:sz w:val="24"/>
              </w:rPr>
            </w:pPr>
            <w:r>
              <w:rPr>
                <w:sz w:val="24"/>
              </w:rPr>
              <w:t>Peróxido de hidrógeno como agente oxidante………………….…………..</w:t>
            </w:r>
          </w:p>
        </w:tc>
        <w:tc>
          <w:tcPr>
            <w:tcW w:w="684" w:type="dxa"/>
          </w:tcPr>
          <w:p>
            <w:pPr>
              <w:pStyle w:val="TableParagraph"/>
              <w:spacing w:before="57"/>
              <w:ind w:left="195" w:right="180"/>
              <w:jc w:val="center"/>
              <w:rPr>
                <w:sz w:val="24"/>
              </w:rPr>
            </w:pPr>
            <w:r>
              <w:rPr>
                <w:sz w:val="24"/>
              </w:rPr>
              <w:t>27</w:t>
            </w:r>
          </w:p>
        </w:tc>
      </w:tr>
      <w:tr>
        <w:trPr>
          <w:trHeight w:val="414" w:hRule="exact"/>
        </w:trPr>
        <w:tc>
          <w:tcPr>
            <w:tcW w:w="975" w:type="dxa"/>
          </w:tcPr>
          <w:p>
            <w:pPr>
              <w:pStyle w:val="TableParagraph"/>
              <w:spacing w:before="55"/>
              <w:ind w:left="200"/>
              <w:rPr>
                <w:sz w:val="24"/>
              </w:rPr>
            </w:pPr>
            <w:r>
              <w:rPr>
                <w:sz w:val="24"/>
              </w:rPr>
              <w:t>4.1</w:t>
            </w:r>
          </w:p>
        </w:tc>
        <w:tc>
          <w:tcPr>
            <w:tcW w:w="8299" w:type="dxa"/>
          </w:tcPr>
          <w:p>
            <w:pPr>
              <w:pStyle w:val="TableParagraph"/>
              <w:spacing w:before="55"/>
              <w:ind w:left="107"/>
              <w:rPr>
                <w:sz w:val="24"/>
              </w:rPr>
            </w:pPr>
            <w:r>
              <w:rPr>
                <w:sz w:val="24"/>
              </w:rPr>
              <w:t>Aplicaciones del peróxido de hidrógeno en la determinación de la DQO .</w:t>
            </w:r>
          </w:p>
        </w:tc>
        <w:tc>
          <w:tcPr>
            <w:tcW w:w="684" w:type="dxa"/>
          </w:tcPr>
          <w:p>
            <w:pPr>
              <w:pStyle w:val="TableParagraph"/>
              <w:spacing w:before="55"/>
              <w:ind w:left="195" w:right="180"/>
              <w:jc w:val="center"/>
              <w:rPr>
                <w:sz w:val="24"/>
              </w:rPr>
            </w:pPr>
            <w:r>
              <w:rPr>
                <w:sz w:val="24"/>
              </w:rPr>
              <w:t>28</w:t>
            </w:r>
          </w:p>
        </w:tc>
      </w:tr>
      <w:tr>
        <w:trPr>
          <w:trHeight w:val="414" w:hRule="exact"/>
        </w:trPr>
        <w:tc>
          <w:tcPr>
            <w:tcW w:w="975" w:type="dxa"/>
          </w:tcPr>
          <w:p>
            <w:pPr>
              <w:pStyle w:val="TableParagraph"/>
              <w:spacing w:before="57"/>
              <w:ind w:left="200"/>
              <w:rPr>
                <w:sz w:val="24"/>
              </w:rPr>
            </w:pPr>
            <w:r>
              <w:rPr>
                <w:sz w:val="24"/>
              </w:rPr>
              <w:t>4.2</w:t>
            </w:r>
          </w:p>
        </w:tc>
        <w:tc>
          <w:tcPr>
            <w:tcW w:w="8299" w:type="dxa"/>
          </w:tcPr>
          <w:p>
            <w:pPr>
              <w:pStyle w:val="TableParagraph"/>
              <w:spacing w:before="57"/>
              <w:ind w:left="107"/>
              <w:rPr>
                <w:sz w:val="24"/>
              </w:rPr>
            </w:pPr>
            <w:r>
              <w:rPr>
                <w:sz w:val="24"/>
              </w:rPr>
              <w:t>Peróxido de hidrógeno y la luz UV</w:t>
            </w:r>
            <w:r>
              <w:rPr>
                <w:spacing w:val="55"/>
                <w:sz w:val="24"/>
              </w:rPr>
              <w:t> </w:t>
            </w:r>
            <w:r>
              <w:rPr>
                <w:sz w:val="24"/>
              </w:rPr>
              <w:t>………………………………………….</w:t>
            </w:r>
          </w:p>
        </w:tc>
        <w:tc>
          <w:tcPr>
            <w:tcW w:w="684" w:type="dxa"/>
          </w:tcPr>
          <w:p>
            <w:pPr>
              <w:pStyle w:val="TableParagraph"/>
              <w:spacing w:before="57"/>
              <w:ind w:left="195" w:right="180"/>
              <w:jc w:val="center"/>
              <w:rPr>
                <w:sz w:val="24"/>
              </w:rPr>
            </w:pPr>
            <w:r>
              <w:rPr>
                <w:sz w:val="24"/>
              </w:rPr>
              <w:t>33</w:t>
            </w:r>
          </w:p>
        </w:tc>
      </w:tr>
      <w:tr>
        <w:trPr>
          <w:trHeight w:val="414" w:hRule="exact"/>
        </w:trPr>
        <w:tc>
          <w:tcPr>
            <w:tcW w:w="975" w:type="dxa"/>
          </w:tcPr>
          <w:p>
            <w:pPr>
              <w:pStyle w:val="TableParagraph"/>
              <w:spacing w:before="55"/>
              <w:ind w:left="200"/>
              <w:rPr>
                <w:sz w:val="24"/>
              </w:rPr>
            </w:pPr>
            <w:r>
              <w:rPr>
                <w:sz w:val="24"/>
              </w:rPr>
              <w:t>4.2.1</w:t>
            </w:r>
          </w:p>
        </w:tc>
        <w:tc>
          <w:tcPr>
            <w:tcW w:w="8299" w:type="dxa"/>
          </w:tcPr>
          <w:p>
            <w:pPr>
              <w:pStyle w:val="TableParagraph"/>
              <w:spacing w:before="55"/>
              <w:ind w:left="107"/>
              <w:rPr>
                <w:sz w:val="24"/>
              </w:rPr>
            </w:pPr>
            <w:r>
              <w:rPr>
                <w:position w:val="1"/>
                <w:sz w:val="24"/>
              </w:rPr>
              <w:t>Proceso UV/H</w:t>
            </w:r>
            <w:r>
              <w:rPr>
                <w:sz w:val="16"/>
              </w:rPr>
              <w:t>2</w:t>
            </w:r>
            <w:r>
              <w:rPr>
                <w:position w:val="1"/>
                <w:sz w:val="24"/>
              </w:rPr>
              <w:t>O</w:t>
            </w:r>
            <w:r>
              <w:rPr>
                <w:sz w:val="16"/>
              </w:rPr>
              <w:t>2 </w:t>
            </w:r>
            <w:r>
              <w:rPr>
                <w:position w:val="1"/>
                <w:sz w:val="24"/>
              </w:rPr>
              <w:t>………………………………………………………………</w:t>
            </w:r>
          </w:p>
        </w:tc>
        <w:tc>
          <w:tcPr>
            <w:tcW w:w="684" w:type="dxa"/>
          </w:tcPr>
          <w:p>
            <w:pPr>
              <w:pStyle w:val="TableParagraph"/>
              <w:spacing w:before="55"/>
              <w:ind w:left="195" w:right="180"/>
              <w:jc w:val="center"/>
              <w:rPr>
                <w:sz w:val="24"/>
              </w:rPr>
            </w:pPr>
            <w:r>
              <w:rPr>
                <w:sz w:val="24"/>
              </w:rPr>
              <w:t>33</w:t>
            </w:r>
          </w:p>
        </w:tc>
      </w:tr>
      <w:tr>
        <w:trPr>
          <w:trHeight w:val="414" w:hRule="exact"/>
        </w:trPr>
        <w:tc>
          <w:tcPr>
            <w:tcW w:w="975" w:type="dxa"/>
          </w:tcPr>
          <w:p>
            <w:pPr>
              <w:pStyle w:val="TableParagraph"/>
              <w:spacing w:before="57"/>
              <w:ind w:left="200"/>
              <w:rPr>
                <w:sz w:val="24"/>
              </w:rPr>
            </w:pPr>
            <w:r>
              <w:rPr>
                <w:w w:val="99"/>
                <w:sz w:val="24"/>
              </w:rPr>
              <w:t>5</w:t>
            </w:r>
          </w:p>
        </w:tc>
        <w:tc>
          <w:tcPr>
            <w:tcW w:w="8299" w:type="dxa"/>
          </w:tcPr>
          <w:p>
            <w:pPr>
              <w:pStyle w:val="TableParagraph"/>
              <w:spacing w:before="57"/>
              <w:ind w:left="107"/>
              <w:rPr>
                <w:sz w:val="24"/>
              </w:rPr>
            </w:pPr>
            <w:r>
              <w:rPr>
                <w:sz w:val="24"/>
              </w:rPr>
              <w:t>Tratamiento de residuos generados ..……………………………………….</w:t>
            </w:r>
          </w:p>
        </w:tc>
        <w:tc>
          <w:tcPr>
            <w:tcW w:w="684" w:type="dxa"/>
          </w:tcPr>
          <w:p>
            <w:pPr>
              <w:pStyle w:val="TableParagraph"/>
              <w:spacing w:before="57"/>
              <w:ind w:left="195" w:right="180"/>
              <w:jc w:val="center"/>
              <w:rPr>
                <w:sz w:val="24"/>
              </w:rPr>
            </w:pPr>
            <w:r>
              <w:rPr>
                <w:sz w:val="24"/>
              </w:rPr>
              <w:t>34</w:t>
            </w:r>
          </w:p>
        </w:tc>
      </w:tr>
      <w:tr>
        <w:trPr>
          <w:trHeight w:val="414" w:hRule="exact"/>
        </w:trPr>
        <w:tc>
          <w:tcPr>
            <w:tcW w:w="975" w:type="dxa"/>
          </w:tcPr>
          <w:p>
            <w:pPr>
              <w:pStyle w:val="TableParagraph"/>
              <w:spacing w:before="56"/>
              <w:ind w:left="200"/>
              <w:rPr>
                <w:sz w:val="24"/>
              </w:rPr>
            </w:pPr>
            <w:r>
              <w:rPr>
                <w:w w:val="99"/>
                <w:sz w:val="24"/>
              </w:rPr>
              <w:t>6</w:t>
            </w:r>
          </w:p>
        </w:tc>
        <w:tc>
          <w:tcPr>
            <w:tcW w:w="8299" w:type="dxa"/>
          </w:tcPr>
          <w:p>
            <w:pPr>
              <w:pStyle w:val="TableParagraph"/>
              <w:spacing w:before="56"/>
              <w:ind w:left="107"/>
              <w:rPr>
                <w:sz w:val="24"/>
              </w:rPr>
            </w:pPr>
            <w:r>
              <w:rPr>
                <w:sz w:val="24"/>
              </w:rPr>
              <w:t>Justificación …………………………………………………………………….</w:t>
            </w:r>
          </w:p>
        </w:tc>
        <w:tc>
          <w:tcPr>
            <w:tcW w:w="684" w:type="dxa"/>
          </w:tcPr>
          <w:p>
            <w:pPr>
              <w:pStyle w:val="TableParagraph"/>
              <w:spacing w:before="56"/>
              <w:ind w:left="195" w:right="180"/>
              <w:jc w:val="center"/>
              <w:rPr>
                <w:sz w:val="24"/>
              </w:rPr>
            </w:pPr>
            <w:r>
              <w:rPr>
                <w:sz w:val="24"/>
              </w:rPr>
              <w:t>36</w:t>
            </w:r>
          </w:p>
        </w:tc>
      </w:tr>
      <w:tr>
        <w:trPr>
          <w:trHeight w:val="414" w:hRule="exact"/>
        </w:trPr>
        <w:tc>
          <w:tcPr>
            <w:tcW w:w="975" w:type="dxa"/>
          </w:tcPr>
          <w:p>
            <w:pPr>
              <w:pStyle w:val="TableParagraph"/>
              <w:spacing w:before="57"/>
              <w:ind w:left="200"/>
              <w:rPr>
                <w:sz w:val="24"/>
              </w:rPr>
            </w:pPr>
            <w:r>
              <w:rPr>
                <w:w w:val="99"/>
                <w:sz w:val="24"/>
              </w:rPr>
              <w:t>7</w:t>
            </w:r>
          </w:p>
        </w:tc>
        <w:tc>
          <w:tcPr>
            <w:tcW w:w="8299" w:type="dxa"/>
          </w:tcPr>
          <w:p>
            <w:pPr>
              <w:pStyle w:val="TableParagraph"/>
              <w:spacing w:before="57"/>
              <w:ind w:left="107"/>
              <w:rPr>
                <w:sz w:val="24"/>
              </w:rPr>
            </w:pPr>
            <w:r>
              <w:rPr>
                <w:sz w:val="24"/>
              </w:rPr>
              <w:t>Hipótesis</w:t>
            </w:r>
            <w:r>
              <w:rPr>
                <w:spacing w:val="64"/>
                <w:sz w:val="24"/>
              </w:rPr>
              <w:t> </w:t>
            </w:r>
            <w:r>
              <w:rPr>
                <w:sz w:val="24"/>
              </w:rPr>
              <w:t>……………………………………………………………………….</w:t>
            </w:r>
          </w:p>
        </w:tc>
        <w:tc>
          <w:tcPr>
            <w:tcW w:w="684" w:type="dxa"/>
          </w:tcPr>
          <w:p>
            <w:pPr>
              <w:pStyle w:val="TableParagraph"/>
              <w:spacing w:before="57"/>
              <w:ind w:left="195" w:right="180"/>
              <w:jc w:val="center"/>
              <w:rPr>
                <w:sz w:val="24"/>
              </w:rPr>
            </w:pPr>
            <w:r>
              <w:rPr>
                <w:sz w:val="24"/>
              </w:rPr>
              <w:t>39</w:t>
            </w:r>
          </w:p>
        </w:tc>
      </w:tr>
      <w:tr>
        <w:trPr>
          <w:trHeight w:val="414" w:hRule="exact"/>
        </w:trPr>
        <w:tc>
          <w:tcPr>
            <w:tcW w:w="975" w:type="dxa"/>
          </w:tcPr>
          <w:p>
            <w:pPr>
              <w:pStyle w:val="TableParagraph"/>
              <w:spacing w:before="55"/>
              <w:ind w:left="200"/>
              <w:rPr>
                <w:sz w:val="24"/>
              </w:rPr>
            </w:pPr>
            <w:r>
              <w:rPr>
                <w:w w:val="99"/>
                <w:sz w:val="24"/>
              </w:rPr>
              <w:t>8</w:t>
            </w:r>
          </w:p>
        </w:tc>
        <w:tc>
          <w:tcPr>
            <w:tcW w:w="8299" w:type="dxa"/>
          </w:tcPr>
          <w:p>
            <w:pPr>
              <w:pStyle w:val="TableParagraph"/>
              <w:spacing w:before="55"/>
              <w:ind w:left="107"/>
              <w:rPr>
                <w:sz w:val="24"/>
              </w:rPr>
            </w:pPr>
            <w:r>
              <w:rPr>
                <w:sz w:val="24"/>
              </w:rPr>
              <w:t>Objetivo general ..………………………………………………………………</w:t>
            </w:r>
          </w:p>
        </w:tc>
        <w:tc>
          <w:tcPr>
            <w:tcW w:w="684" w:type="dxa"/>
          </w:tcPr>
          <w:p>
            <w:pPr>
              <w:pStyle w:val="TableParagraph"/>
              <w:spacing w:before="55"/>
              <w:ind w:left="195" w:right="180"/>
              <w:jc w:val="center"/>
              <w:rPr>
                <w:sz w:val="24"/>
              </w:rPr>
            </w:pPr>
            <w:r>
              <w:rPr>
                <w:sz w:val="24"/>
              </w:rPr>
              <w:t>40</w:t>
            </w:r>
          </w:p>
        </w:tc>
      </w:tr>
      <w:tr>
        <w:trPr>
          <w:trHeight w:val="414" w:hRule="exact"/>
        </w:trPr>
        <w:tc>
          <w:tcPr>
            <w:tcW w:w="975" w:type="dxa"/>
          </w:tcPr>
          <w:p>
            <w:pPr>
              <w:pStyle w:val="TableParagraph"/>
              <w:spacing w:before="57"/>
              <w:ind w:left="200"/>
              <w:rPr>
                <w:sz w:val="24"/>
              </w:rPr>
            </w:pPr>
            <w:r>
              <w:rPr>
                <w:sz w:val="24"/>
              </w:rPr>
              <w:t>8.1</w:t>
            </w:r>
          </w:p>
        </w:tc>
        <w:tc>
          <w:tcPr>
            <w:tcW w:w="8299" w:type="dxa"/>
          </w:tcPr>
          <w:p>
            <w:pPr>
              <w:pStyle w:val="TableParagraph"/>
              <w:spacing w:before="57"/>
              <w:ind w:left="107"/>
              <w:rPr>
                <w:sz w:val="24"/>
              </w:rPr>
            </w:pPr>
            <w:r>
              <w:rPr>
                <w:sz w:val="24"/>
              </w:rPr>
              <w:t>Objetivos particulares ..………………………………………………………..</w:t>
            </w:r>
          </w:p>
        </w:tc>
        <w:tc>
          <w:tcPr>
            <w:tcW w:w="684" w:type="dxa"/>
          </w:tcPr>
          <w:p>
            <w:pPr>
              <w:pStyle w:val="TableParagraph"/>
              <w:spacing w:before="57"/>
              <w:ind w:left="195" w:right="180"/>
              <w:jc w:val="center"/>
              <w:rPr>
                <w:sz w:val="24"/>
              </w:rPr>
            </w:pPr>
            <w:r>
              <w:rPr>
                <w:sz w:val="24"/>
              </w:rPr>
              <w:t>40</w:t>
            </w:r>
          </w:p>
        </w:tc>
      </w:tr>
      <w:tr>
        <w:trPr>
          <w:trHeight w:val="414" w:hRule="exact"/>
        </w:trPr>
        <w:tc>
          <w:tcPr>
            <w:tcW w:w="975" w:type="dxa"/>
          </w:tcPr>
          <w:p>
            <w:pPr>
              <w:pStyle w:val="TableParagraph"/>
              <w:spacing w:before="55"/>
              <w:ind w:left="200"/>
              <w:rPr>
                <w:sz w:val="24"/>
              </w:rPr>
            </w:pPr>
            <w:r>
              <w:rPr>
                <w:w w:val="99"/>
                <w:sz w:val="24"/>
              </w:rPr>
              <w:t>9</w:t>
            </w:r>
          </w:p>
        </w:tc>
        <w:tc>
          <w:tcPr>
            <w:tcW w:w="8299" w:type="dxa"/>
          </w:tcPr>
          <w:p>
            <w:pPr>
              <w:pStyle w:val="TableParagraph"/>
              <w:spacing w:before="55"/>
              <w:ind w:left="107"/>
              <w:rPr>
                <w:sz w:val="24"/>
              </w:rPr>
            </w:pPr>
            <w:r>
              <w:rPr>
                <w:sz w:val="24"/>
              </w:rPr>
              <w:t>Material y equipo .………………………………………………………………</w:t>
            </w:r>
          </w:p>
        </w:tc>
        <w:tc>
          <w:tcPr>
            <w:tcW w:w="684" w:type="dxa"/>
          </w:tcPr>
          <w:p>
            <w:pPr>
              <w:pStyle w:val="TableParagraph"/>
              <w:spacing w:before="55"/>
              <w:ind w:left="195" w:right="180"/>
              <w:jc w:val="center"/>
              <w:rPr>
                <w:sz w:val="24"/>
              </w:rPr>
            </w:pPr>
            <w:r>
              <w:rPr>
                <w:sz w:val="24"/>
              </w:rPr>
              <w:t>41</w:t>
            </w:r>
          </w:p>
        </w:tc>
      </w:tr>
      <w:tr>
        <w:trPr>
          <w:trHeight w:val="414" w:hRule="exact"/>
        </w:trPr>
        <w:tc>
          <w:tcPr>
            <w:tcW w:w="975" w:type="dxa"/>
          </w:tcPr>
          <w:p>
            <w:pPr>
              <w:pStyle w:val="TableParagraph"/>
              <w:spacing w:before="57"/>
              <w:ind w:left="200"/>
              <w:rPr>
                <w:sz w:val="24"/>
              </w:rPr>
            </w:pPr>
            <w:r>
              <w:rPr>
                <w:sz w:val="24"/>
              </w:rPr>
              <w:t>10</w:t>
            </w:r>
          </w:p>
        </w:tc>
        <w:tc>
          <w:tcPr>
            <w:tcW w:w="8299" w:type="dxa"/>
          </w:tcPr>
          <w:p>
            <w:pPr>
              <w:pStyle w:val="TableParagraph"/>
              <w:spacing w:before="57"/>
              <w:ind w:left="107"/>
              <w:rPr>
                <w:sz w:val="24"/>
              </w:rPr>
            </w:pPr>
            <w:r>
              <w:rPr>
                <w:sz w:val="24"/>
              </w:rPr>
              <w:t>Metodología …………………………………………...………………………..</w:t>
            </w:r>
          </w:p>
        </w:tc>
        <w:tc>
          <w:tcPr>
            <w:tcW w:w="684" w:type="dxa"/>
          </w:tcPr>
          <w:p>
            <w:pPr>
              <w:pStyle w:val="TableParagraph"/>
              <w:spacing w:before="57"/>
              <w:ind w:left="195" w:right="180"/>
              <w:jc w:val="center"/>
              <w:rPr>
                <w:sz w:val="24"/>
              </w:rPr>
            </w:pPr>
            <w:r>
              <w:rPr>
                <w:sz w:val="24"/>
              </w:rPr>
              <w:t>43</w:t>
            </w:r>
          </w:p>
        </w:tc>
      </w:tr>
      <w:tr>
        <w:trPr>
          <w:trHeight w:val="414" w:hRule="exact"/>
        </w:trPr>
        <w:tc>
          <w:tcPr>
            <w:tcW w:w="975" w:type="dxa"/>
          </w:tcPr>
          <w:p>
            <w:pPr>
              <w:pStyle w:val="TableParagraph"/>
              <w:spacing w:before="55"/>
              <w:ind w:left="200"/>
              <w:rPr>
                <w:sz w:val="24"/>
              </w:rPr>
            </w:pPr>
            <w:r>
              <w:rPr>
                <w:sz w:val="24"/>
              </w:rPr>
              <w:t>10.1</w:t>
            </w:r>
          </w:p>
        </w:tc>
        <w:tc>
          <w:tcPr>
            <w:tcW w:w="8299" w:type="dxa"/>
          </w:tcPr>
          <w:p>
            <w:pPr>
              <w:pStyle w:val="TableParagraph"/>
              <w:spacing w:before="55"/>
              <w:ind w:left="107"/>
              <w:rPr>
                <w:sz w:val="24"/>
              </w:rPr>
            </w:pPr>
            <w:r>
              <w:rPr>
                <w:sz w:val="24"/>
              </w:rPr>
              <w:t>Técnica de DQO estandarizada………………………………………………</w:t>
            </w:r>
          </w:p>
        </w:tc>
        <w:tc>
          <w:tcPr>
            <w:tcW w:w="684" w:type="dxa"/>
          </w:tcPr>
          <w:p>
            <w:pPr>
              <w:pStyle w:val="TableParagraph"/>
              <w:spacing w:before="55"/>
              <w:ind w:left="195" w:right="180"/>
              <w:jc w:val="center"/>
              <w:rPr>
                <w:sz w:val="24"/>
              </w:rPr>
            </w:pPr>
            <w:r>
              <w:rPr>
                <w:sz w:val="24"/>
              </w:rPr>
              <w:t>44</w:t>
            </w:r>
          </w:p>
        </w:tc>
      </w:tr>
      <w:tr>
        <w:trPr>
          <w:trHeight w:val="414" w:hRule="exact"/>
        </w:trPr>
        <w:tc>
          <w:tcPr>
            <w:tcW w:w="975" w:type="dxa"/>
          </w:tcPr>
          <w:p>
            <w:pPr>
              <w:pStyle w:val="TableParagraph"/>
              <w:spacing w:before="57"/>
              <w:ind w:left="200"/>
              <w:rPr>
                <w:sz w:val="24"/>
              </w:rPr>
            </w:pPr>
            <w:r>
              <w:rPr>
                <w:sz w:val="24"/>
              </w:rPr>
              <w:t>10.2</w:t>
            </w:r>
          </w:p>
        </w:tc>
        <w:tc>
          <w:tcPr>
            <w:tcW w:w="8299" w:type="dxa"/>
          </w:tcPr>
          <w:p>
            <w:pPr>
              <w:pStyle w:val="TableParagraph"/>
              <w:spacing w:before="56"/>
              <w:ind w:left="107"/>
              <w:rPr>
                <w:sz w:val="24"/>
              </w:rPr>
            </w:pPr>
            <w:r>
              <w:rPr>
                <w:position w:val="1"/>
                <w:sz w:val="24"/>
              </w:rPr>
              <w:t>Técnica de DQO con H</w:t>
            </w:r>
            <w:r>
              <w:rPr>
                <w:sz w:val="16"/>
              </w:rPr>
              <w:t>2</w:t>
            </w:r>
            <w:r>
              <w:rPr>
                <w:position w:val="1"/>
                <w:sz w:val="24"/>
              </w:rPr>
              <w:t>O</w:t>
            </w:r>
            <w:r>
              <w:rPr>
                <w:sz w:val="16"/>
              </w:rPr>
              <w:t>2</w:t>
            </w:r>
            <w:r>
              <w:rPr>
                <w:position w:val="1"/>
                <w:sz w:val="24"/>
              </w:rPr>
              <w:t>…………………………………………………….</w:t>
            </w:r>
          </w:p>
        </w:tc>
        <w:tc>
          <w:tcPr>
            <w:tcW w:w="684" w:type="dxa"/>
          </w:tcPr>
          <w:p>
            <w:pPr>
              <w:pStyle w:val="TableParagraph"/>
              <w:spacing w:before="57"/>
              <w:ind w:left="195" w:right="180"/>
              <w:jc w:val="center"/>
              <w:rPr>
                <w:sz w:val="24"/>
              </w:rPr>
            </w:pPr>
            <w:r>
              <w:rPr>
                <w:sz w:val="24"/>
              </w:rPr>
              <w:t>44</w:t>
            </w:r>
          </w:p>
        </w:tc>
      </w:tr>
      <w:tr>
        <w:trPr>
          <w:trHeight w:val="414" w:hRule="exact"/>
        </w:trPr>
        <w:tc>
          <w:tcPr>
            <w:tcW w:w="975" w:type="dxa"/>
          </w:tcPr>
          <w:p>
            <w:pPr>
              <w:pStyle w:val="TableParagraph"/>
              <w:spacing w:before="56"/>
              <w:ind w:left="200"/>
              <w:rPr>
                <w:sz w:val="24"/>
              </w:rPr>
            </w:pPr>
            <w:r>
              <w:rPr>
                <w:sz w:val="24"/>
              </w:rPr>
              <w:t>10.2.1</w:t>
            </w:r>
          </w:p>
        </w:tc>
        <w:tc>
          <w:tcPr>
            <w:tcW w:w="8299" w:type="dxa"/>
          </w:tcPr>
          <w:p>
            <w:pPr>
              <w:pStyle w:val="TableParagraph"/>
              <w:spacing w:before="56"/>
              <w:ind w:left="107"/>
              <w:rPr>
                <w:sz w:val="24"/>
              </w:rPr>
            </w:pPr>
            <w:r>
              <w:rPr>
                <w:sz w:val="24"/>
              </w:rPr>
              <w:t>Cantidad de reactivos y soluciones…………………………………………..</w:t>
            </w:r>
          </w:p>
        </w:tc>
        <w:tc>
          <w:tcPr>
            <w:tcW w:w="684" w:type="dxa"/>
          </w:tcPr>
          <w:p>
            <w:pPr>
              <w:pStyle w:val="TableParagraph"/>
              <w:spacing w:before="56"/>
              <w:ind w:left="195" w:right="180"/>
              <w:jc w:val="center"/>
              <w:rPr>
                <w:sz w:val="24"/>
              </w:rPr>
            </w:pPr>
            <w:r>
              <w:rPr>
                <w:sz w:val="24"/>
              </w:rPr>
              <w:t>44</w:t>
            </w:r>
          </w:p>
        </w:tc>
      </w:tr>
      <w:tr>
        <w:trPr>
          <w:trHeight w:val="414" w:hRule="exact"/>
        </w:trPr>
        <w:tc>
          <w:tcPr>
            <w:tcW w:w="975" w:type="dxa"/>
          </w:tcPr>
          <w:p>
            <w:pPr>
              <w:pStyle w:val="TableParagraph"/>
              <w:spacing w:before="57"/>
              <w:ind w:left="200"/>
              <w:rPr>
                <w:sz w:val="24"/>
              </w:rPr>
            </w:pPr>
            <w:r>
              <w:rPr>
                <w:sz w:val="24"/>
              </w:rPr>
              <w:t>10.3</w:t>
            </w:r>
          </w:p>
        </w:tc>
        <w:tc>
          <w:tcPr>
            <w:tcW w:w="8299" w:type="dxa"/>
          </w:tcPr>
          <w:p>
            <w:pPr>
              <w:pStyle w:val="TableParagraph"/>
              <w:spacing w:before="57"/>
              <w:ind w:left="107"/>
              <w:rPr>
                <w:sz w:val="24"/>
              </w:rPr>
            </w:pPr>
            <w:r>
              <w:rPr>
                <w:sz w:val="24"/>
              </w:rPr>
              <w:t>Cambios de concentración de sulfatos……………………………………….</w:t>
            </w:r>
          </w:p>
        </w:tc>
        <w:tc>
          <w:tcPr>
            <w:tcW w:w="684" w:type="dxa"/>
          </w:tcPr>
          <w:p>
            <w:pPr>
              <w:pStyle w:val="TableParagraph"/>
              <w:spacing w:before="57"/>
              <w:ind w:left="195" w:right="180"/>
              <w:jc w:val="center"/>
              <w:rPr>
                <w:sz w:val="24"/>
              </w:rPr>
            </w:pPr>
            <w:r>
              <w:rPr>
                <w:sz w:val="24"/>
              </w:rPr>
              <w:t>45</w:t>
            </w:r>
          </w:p>
        </w:tc>
      </w:tr>
      <w:tr>
        <w:trPr>
          <w:trHeight w:val="414" w:hRule="exact"/>
        </w:trPr>
        <w:tc>
          <w:tcPr>
            <w:tcW w:w="975" w:type="dxa"/>
          </w:tcPr>
          <w:p>
            <w:pPr>
              <w:pStyle w:val="TableParagraph"/>
              <w:spacing w:before="55"/>
              <w:ind w:left="200"/>
              <w:rPr>
                <w:sz w:val="24"/>
              </w:rPr>
            </w:pPr>
            <w:r>
              <w:rPr>
                <w:sz w:val="24"/>
              </w:rPr>
              <w:t>10.4</w:t>
            </w:r>
          </w:p>
        </w:tc>
        <w:tc>
          <w:tcPr>
            <w:tcW w:w="8299" w:type="dxa"/>
          </w:tcPr>
          <w:p>
            <w:pPr>
              <w:pStyle w:val="TableParagraph"/>
              <w:spacing w:before="55"/>
              <w:ind w:left="107"/>
              <w:rPr>
                <w:sz w:val="24"/>
              </w:rPr>
            </w:pPr>
            <w:r>
              <w:rPr>
                <w:position w:val="1"/>
                <w:sz w:val="24"/>
              </w:rPr>
              <w:t>Determinación de la DQO con H</w:t>
            </w:r>
            <w:r>
              <w:rPr>
                <w:sz w:val="16"/>
              </w:rPr>
              <w:t>2</w:t>
            </w:r>
            <w:r>
              <w:rPr>
                <w:position w:val="1"/>
                <w:sz w:val="24"/>
              </w:rPr>
              <w:t>O</w:t>
            </w:r>
            <w:r>
              <w:rPr>
                <w:sz w:val="16"/>
              </w:rPr>
              <w:t>2 </w:t>
            </w:r>
            <w:r>
              <w:rPr>
                <w:position w:val="1"/>
                <w:sz w:val="24"/>
              </w:rPr>
              <w:t>y luz UV ..…………………………….</w:t>
            </w:r>
          </w:p>
        </w:tc>
        <w:tc>
          <w:tcPr>
            <w:tcW w:w="684" w:type="dxa"/>
          </w:tcPr>
          <w:p>
            <w:pPr>
              <w:pStyle w:val="TableParagraph"/>
              <w:spacing w:before="55"/>
              <w:ind w:left="195" w:right="180"/>
              <w:jc w:val="center"/>
              <w:rPr>
                <w:sz w:val="24"/>
              </w:rPr>
            </w:pPr>
            <w:r>
              <w:rPr>
                <w:sz w:val="24"/>
              </w:rPr>
              <w:t>45</w:t>
            </w:r>
          </w:p>
        </w:tc>
      </w:tr>
      <w:tr>
        <w:trPr>
          <w:trHeight w:val="414" w:hRule="exact"/>
        </w:trPr>
        <w:tc>
          <w:tcPr>
            <w:tcW w:w="975" w:type="dxa"/>
          </w:tcPr>
          <w:p>
            <w:pPr>
              <w:pStyle w:val="TableParagraph"/>
              <w:spacing w:before="57"/>
              <w:ind w:left="200"/>
              <w:rPr>
                <w:sz w:val="24"/>
              </w:rPr>
            </w:pPr>
            <w:r>
              <w:rPr>
                <w:sz w:val="24"/>
              </w:rPr>
              <w:t>10.5</w:t>
            </w:r>
          </w:p>
        </w:tc>
        <w:tc>
          <w:tcPr>
            <w:tcW w:w="8299" w:type="dxa"/>
          </w:tcPr>
          <w:p>
            <w:pPr>
              <w:pStyle w:val="TableParagraph"/>
              <w:spacing w:before="57"/>
              <w:ind w:left="107"/>
              <w:rPr>
                <w:sz w:val="24"/>
              </w:rPr>
            </w:pPr>
            <w:r>
              <w:rPr>
                <w:sz w:val="24"/>
              </w:rPr>
              <w:t>Pruebas de DQO en muestras de agua: análisis de tiempo de reacción…</w:t>
            </w:r>
          </w:p>
        </w:tc>
        <w:tc>
          <w:tcPr>
            <w:tcW w:w="684" w:type="dxa"/>
          </w:tcPr>
          <w:p>
            <w:pPr>
              <w:pStyle w:val="TableParagraph"/>
              <w:spacing w:before="57"/>
              <w:ind w:left="195" w:right="180"/>
              <w:jc w:val="center"/>
              <w:rPr>
                <w:sz w:val="24"/>
              </w:rPr>
            </w:pPr>
            <w:r>
              <w:rPr>
                <w:sz w:val="24"/>
              </w:rPr>
              <w:t>46</w:t>
            </w:r>
          </w:p>
        </w:tc>
      </w:tr>
      <w:tr>
        <w:trPr>
          <w:trHeight w:val="414" w:hRule="exact"/>
        </w:trPr>
        <w:tc>
          <w:tcPr>
            <w:tcW w:w="975" w:type="dxa"/>
          </w:tcPr>
          <w:p>
            <w:pPr>
              <w:pStyle w:val="TableParagraph"/>
              <w:spacing w:before="55"/>
              <w:ind w:left="200"/>
              <w:rPr>
                <w:sz w:val="24"/>
              </w:rPr>
            </w:pPr>
            <w:r>
              <w:rPr>
                <w:sz w:val="24"/>
              </w:rPr>
              <w:t>10.6</w:t>
            </w:r>
          </w:p>
        </w:tc>
        <w:tc>
          <w:tcPr>
            <w:tcW w:w="8299" w:type="dxa"/>
          </w:tcPr>
          <w:p>
            <w:pPr>
              <w:pStyle w:val="TableParagraph"/>
              <w:spacing w:before="55"/>
              <w:ind w:left="107"/>
              <w:rPr>
                <w:sz w:val="24"/>
              </w:rPr>
            </w:pPr>
            <w:r>
              <w:rPr>
                <w:sz w:val="24"/>
              </w:rPr>
              <w:t>Recuperación de plata y mercurio ..………………………………………….</w:t>
            </w:r>
          </w:p>
        </w:tc>
        <w:tc>
          <w:tcPr>
            <w:tcW w:w="684" w:type="dxa"/>
          </w:tcPr>
          <w:p>
            <w:pPr>
              <w:pStyle w:val="TableParagraph"/>
              <w:spacing w:before="55"/>
              <w:ind w:left="195" w:right="180"/>
              <w:jc w:val="center"/>
              <w:rPr>
                <w:sz w:val="24"/>
              </w:rPr>
            </w:pPr>
            <w:r>
              <w:rPr>
                <w:sz w:val="24"/>
              </w:rPr>
              <w:t>46</w:t>
            </w:r>
          </w:p>
        </w:tc>
      </w:tr>
      <w:tr>
        <w:trPr>
          <w:trHeight w:val="328" w:hRule="exact"/>
        </w:trPr>
        <w:tc>
          <w:tcPr>
            <w:tcW w:w="975" w:type="dxa"/>
          </w:tcPr>
          <w:p>
            <w:pPr>
              <w:pStyle w:val="TableParagraph"/>
              <w:spacing w:before="57"/>
              <w:ind w:left="200"/>
              <w:rPr>
                <w:sz w:val="24"/>
              </w:rPr>
            </w:pPr>
            <w:r>
              <w:rPr>
                <w:sz w:val="24"/>
              </w:rPr>
              <w:t>10.6.1</w:t>
            </w:r>
          </w:p>
        </w:tc>
        <w:tc>
          <w:tcPr>
            <w:tcW w:w="8299" w:type="dxa"/>
          </w:tcPr>
          <w:p>
            <w:pPr>
              <w:pStyle w:val="TableParagraph"/>
              <w:spacing w:before="57"/>
              <w:ind w:left="107"/>
              <w:rPr>
                <w:sz w:val="24"/>
              </w:rPr>
            </w:pPr>
            <w:r>
              <w:rPr>
                <w:sz w:val="24"/>
              </w:rPr>
              <w:t>Preparación de soluciones…………………………………………………….</w:t>
            </w:r>
          </w:p>
        </w:tc>
        <w:tc>
          <w:tcPr>
            <w:tcW w:w="684" w:type="dxa"/>
          </w:tcPr>
          <w:p>
            <w:pPr>
              <w:pStyle w:val="TableParagraph"/>
              <w:spacing w:before="57"/>
              <w:ind w:left="195" w:right="180"/>
              <w:jc w:val="center"/>
              <w:rPr>
                <w:sz w:val="24"/>
              </w:rPr>
            </w:pPr>
            <w:r>
              <w:rPr>
                <w:sz w:val="24"/>
              </w:rPr>
              <w:t>46</w:t>
            </w:r>
          </w:p>
        </w:tc>
      </w:tr>
    </w:tbl>
    <w:p>
      <w:pPr>
        <w:spacing w:after="0"/>
        <w:jc w:val="center"/>
        <w:rPr>
          <w:sz w:val="24"/>
        </w:rPr>
        <w:sectPr>
          <w:pgSz w:w="12240" w:h="15840"/>
          <w:pgMar w:header="0" w:footer="654" w:top="1100" w:bottom="1060" w:left="760" w:right="840"/>
        </w:sectPr>
      </w:pPr>
    </w:p>
    <w:tbl>
      <w:tblPr>
        <w:tblW w:w="0" w:type="auto"/>
        <w:jc w:val="left"/>
        <w:tblInd w:w="5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75"/>
        <w:gridCol w:w="8405"/>
        <w:gridCol w:w="712"/>
      </w:tblGrid>
      <w:tr>
        <w:trPr>
          <w:trHeight w:val="328" w:hRule="exact"/>
        </w:trPr>
        <w:tc>
          <w:tcPr>
            <w:tcW w:w="975" w:type="dxa"/>
          </w:tcPr>
          <w:p>
            <w:pPr>
              <w:pStyle w:val="TableParagraph"/>
              <w:spacing w:line="245" w:lineRule="exact"/>
              <w:ind w:left="200"/>
              <w:rPr>
                <w:sz w:val="24"/>
              </w:rPr>
            </w:pPr>
            <w:r>
              <w:rPr>
                <w:sz w:val="24"/>
              </w:rPr>
              <w:t>10.6.2</w:t>
            </w:r>
          </w:p>
        </w:tc>
        <w:tc>
          <w:tcPr>
            <w:tcW w:w="8405" w:type="dxa"/>
          </w:tcPr>
          <w:p>
            <w:pPr>
              <w:pStyle w:val="TableParagraph"/>
              <w:spacing w:line="245" w:lineRule="exact"/>
              <w:ind w:left="107"/>
              <w:rPr>
                <w:sz w:val="24"/>
              </w:rPr>
            </w:pPr>
            <w:r>
              <w:rPr>
                <w:sz w:val="24"/>
              </w:rPr>
              <w:t>Electrólisis…………………………………………………………………………….</w:t>
            </w:r>
          </w:p>
        </w:tc>
        <w:tc>
          <w:tcPr>
            <w:tcW w:w="712" w:type="dxa"/>
          </w:tcPr>
          <w:p>
            <w:pPr>
              <w:pStyle w:val="TableParagraph"/>
              <w:spacing w:line="245" w:lineRule="exact"/>
              <w:ind w:left="108"/>
              <w:rPr>
                <w:sz w:val="24"/>
              </w:rPr>
            </w:pPr>
            <w:r>
              <w:rPr>
                <w:sz w:val="24"/>
              </w:rPr>
              <w:t>47</w:t>
            </w:r>
          </w:p>
        </w:tc>
      </w:tr>
      <w:tr>
        <w:trPr>
          <w:trHeight w:val="414" w:hRule="exact"/>
        </w:trPr>
        <w:tc>
          <w:tcPr>
            <w:tcW w:w="975" w:type="dxa"/>
          </w:tcPr>
          <w:p>
            <w:pPr>
              <w:pStyle w:val="TableParagraph"/>
              <w:spacing w:before="57"/>
              <w:ind w:left="200"/>
              <w:rPr>
                <w:sz w:val="24"/>
              </w:rPr>
            </w:pPr>
            <w:r>
              <w:rPr>
                <w:sz w:val="24"/>
              </w:rPr>
              <w:t>10.6.3</w:t>
            </w:r>
          </w:p>
        </w:tc>
        <w:tc>
          <w:tcPr>
            <w:tcW w:w="8405" w:type="dxa"/>
          </w:tcPr>
          <w:p>
            <w:pPr>
              <w:pStyle w:val="TableParagraph"/>
              <w:spacing w:before="57"/>
              <w:ind w:left="107"/>
              <w:rPr>
                <w:sz w:val="24"/>
              </w:rPr>
            </w:pPr>
            <w:r>
              <w:rPr>
                <w:sz w:val="24"/>
              </w:rPr>
              <w:t>Lectura en potenciostato……………………………………………………………</w:t>
            </w:r>
          </w:p>
        </w:tc>
        <w:tc>
          <w:tcPr>
            <w:tcW w:w="712" w:type="dxa"/>
          </w:tcPr>
          <w:p>
            <w:pPr>
              <w:pStyle w:val="TableParagraph"/>
              <w:spacing w:before="57"/>
              <w:ind w:left="108"/>
              <w:rPr>
                <w:sz w:val="24"/>
              </w:rPr>
            </w:pPr>
            <w:r>
              <w:rPr>
                <w:sz w:val="24"/>
              </w:rPr>
              <w:t>48</w:t>
            </w:r>
          </w:p>
        </w:tc>
      </w:tr>
      <w:tr>
        <w:trPr>
          <w:trHeight w:val="414" w:hRule="exact"/>
        </w:trPr>
        <w:tc>
          <w:tcPr>
            <w:tcW w:w="975" w:type="dxa"/>
          </w:tcPr>
          <w:p>
            <w:pPr>
              <w:pStyle w:val="TableParagraph"/>
              <w:spacing w:before="55"/>
              <w:ind w:left="200"/>
              <w:rPr>
                <w:sz w:val="24"/>
              </w:rPr>
            </w:pPr>
            <w:r>
              <w:rPr>
                <w:sz w:val="24"/>
              </w:rPr>
              <w:t>11</w:t>
            </w:r>
          </w:p>
        </w:tc>
        <w:tc>
          <w:tcPr>
            <w:tcW w:w="8405" w:type="dxa"/>
          </w:tcPr>
          <w:p>
            <w:pPr>
              <w:pStyle w:val="TableParagraph"/>
              <w:spacing w:before="55"/>
              <w:ind w:left="107"/>
              <w:rPr>
                <w:sz w:val="24"/>
              </w:rPr>
            </w:pPr>
            <w:r>
              <w:rPr>
                <w:sz w:val="24"/>
              </w:rPr>
              <w:t>Diagrama de flujo de experimentos………………………………………………</w:t>
            </w:r>
          </w:p>
        </w:tc>
        <w:tc>
          <w:tcPr>
            <w:tcW w:w="712" w:type="dxa"/>
          </w:tcPr>
          <w:p>
            <w:pPr>
              <w:pStyle w:val="TableParagraph"/>
              <w:spacing w:before="55"/>
              <w:ind w:left="108"/>
              <w:rPr>
                <w:sz w:val="24"/>
              </w:rPr>
            </w:pPr>
            <w:r>
              <w:rPr>
                <w:sz w:val="24"/>
              </w:rPr>
              <w:t>50</w:t>
            </w:r>
          </w:p>
        </w:tc>
      </w:tr>
      <w:tr>
        <w:trPr>
          <w:trHeight w:val="414" w:hRule="exact"/>
        </w:trPr>
        <w:tc>
          <w:tcPr>
            <w:tcW w:w="975" w:type="dxa"/>
          </w:tcPr>
          <w:p>
            <w:pPr>
              <w:pStyle w:val="TableParagraph"/>
              <w:spacing w:before="57"/>
              <w:ind w:left="200"/>
              <w:rPr>
                <w:sz w:val="24"/>
              </w:rPr>
            </w:pPr>
            <w:r>
              <w:rPr>
                <w:sz w:val="24"/>
              </w:rPr>
              <w:t>15</w:t>
            </w:r>
          </w:p>
        </w:tc>
        <w:tc>
          <w:tcPr>
            <w:tcW w:w="8405" w:type="dxa"/>
          </w:tcPr>
          <w:p>
            <w:pPr>
              <w:pStyle w:val="TableParagraph"/>
              <w:spacing w:before="57"/>
              <w:ind w:left="107"/>
              <w:rPr>
                <w:sz w:val="24"/>
              </w:rPr>
            </w:pPr>
            <w:r>
              <w:rPr>
                <w:sz w:val="24"/>
              </w:rPr>
              <w:t>Resultados .……………………………………………….…………………………</w:t>
            </w:r>
          </w:p>
        </w:tc>
        <w:tc>
          <w:tcPr>
            <w:tcW w:w="712" w:type="dxa"/>
          </w:tcPr>
          <w:p>
            <w:pPr>
              <w:pStyle w:val="TableParagraph"/>
              <w:spacing w:before="57"/>
              <w:ind w:left="108"/>
              <w:rPr>
                <w:sz w:val="24"/>
              </w:rPr>
            </w:pPr>
            <w:r>
              <w:rPr>
                <w:sz w:val="24"/>
              </w:rPr>
              <w:t>51</w:t>
            </w:r>
          </w:p>
        </w:tc>
      </w:tr>
      <w:tr>
        <w:trPr>
          <w:trHeight w:val="414" w:hRule="exact"/>
        </w:trPr>
        <w:tc>
          <w:tcPr>
            <w:tcW w:w="975" w:type="dxa"/>
          </w:tcPr>
          <w:p>
            <w:pPr>
              <w:pStyle w:val="TableParagraph"/>
              <w:spacing w:before="55"/>
              <w:ind w:left="200"/>
              <w:rPr>
                <w:sz w:val="24"/>
              </w:rPr>
            </w:pPr>
            <w:r>
              <w:rPr>
                <w:sz w:val="24"/>
              </w:rPr>
              <w:t>15.1</w:t>
            </w:r>
          </w:p>
        </w:tc>
        <w:tc>
          <w:tcPr>
            <w:tcW w:w="8405" w:type="dxa"/>
          </w:tcPr>
          <w:p>
            <w:pPr>
              <w:pStyle w:val="TableParagraph"/>
              <w:spacing w:before="55"/>
              <w:ind w:left="107"/>
              <w:rPr>
                <w:sz w:val="24"/>
              </w:rPr>
            </w:pPr>
            <w:r>
              <w:rPr>
                <w:sz w:val="24"/>
              </w:rPr>
              <w:t>Artículo publicado …………………………………………………………………..</w:t>
            </w:r>
          </w:p>
        </w:tc>
        <w:tc>
          <w:tcPr>
            <w:tcW w:w="712" w:type="dxa"/>
          </w:tcPr>
          <w:p>
            <w:pPr>
              <w:pStyle w:val="TableParagraph"/>
              <w:spacing w:before="55"/>
              <w:ind w:left="108"/>
              <w:rPr>
                <w:sz w:val="24"/>
              </w:rPr>
            </w:pPr>
            <w:r>
              <w:rPr>
                <w:sz w:val="24"/>
              </w:rPr>
              <w:t>54</w:t>
            </w:r>
          </w:p>
        </w:tc>
      </w:tr>
      <w:tr>
        <w:trPr>
          <w:trHeight w:val="414" w:hRule="exact"/>
        </w:trPr>
        <w:tc>
          <w:tcPr>
            <w:tcW w:w="975" w:type="dxa"/>
          </w:tcPr>
          <w:p>
            <w:pPr>
              <w:pStyle w:val="TableParagraph"/>
              <w:spacing w:before="57"/>
              <w:ind w:left="200"/>
              <w:rPr>
                <w:sz w:val="24"/>
              </w:rPr>
            </w:pPr>
            <w:r>
              <w:rPr>
                <w:sz w:val="24"/>
              </w:rPr>
              <w:t>15.2</w:t>
            </w:r>
          </w:p>
        </w:tc>
        <w:tc>
          <w:tcPr>
            <w:tcW w:w="8405" w:type="dxa"/>
          </w:tcPr>
          <w:p>
            <w:pPr>
              <w:pStyle w:val="TableParagraph"/>
              <w:spacing w:before="57"/>
              <w:ind w:left="107"/>
              <w:rPr>
                <w:sz w:val="24"/>
              </w:rPr>
            </w:pPr>
            <w:r>
              <w:rPr>
                <w:sz w:val="24"/>
              </w:rPr>
              <w:t>Artículo enviado ……………………………………………………………….........</w:t>
            </w:r>
          </w:p>
        </w:tc>
        <w:tc>
          <w:tcPr>
            <w:tcW w:w="712" w:type="dxa"/>
          </w:tcPr>
          <w:p>
            <w:pPr>
              <w:pStyle w:val="TableParagraph"/>
              <w:spacing w:before="57"/>
              <w:ind w:left="108"/>
              <w:rPr>
                <w:sz w:val="24"/>
              </w:rPr>
            </w:pPr>
            <w:r>
              <w:rPr>
                <w:sz w:val="24"/>
              </w:rPr>
              <w:t>59</w:t>
            </w:r>
          </w:p>
        </w:tc>
      </w:tr>
      <w:tr>
        <w:trPr>
          <w:trHeight w:val="414" w:hRule="exact"/>
        </w:trPr>
        <w:tc>
          <w:tcPr>
            <w:tcW w:w="975" w:type="dxa"/>
          </w:tcPr>
          <w:p>
            <w:pPr>
              <w:pStyle w:val="TableParagraph"/>
              <w:spacing w:before="55"/>
              <w:ind w:left="200"/>
              <w:rPr>
                <w:sz w:val="24"/>
              </w:rPr>
            </w:pPr>
            <w:r>
              <w:rPr>
                <w:sz w:val="24"/>
              </w:rPr>
              <w:t>15.3</w:t>
            </w:r>
          </w:p>
        </w:tc>
        <w:tc>
          <w:tcPr>
            <w:tcW w:w="8405" w:type="dxa"/>
          </w:tcPr>
          <w:p>
            <w:pPr>
              <w:pStyle w:val="TableParagraph"/>
              <w:spacing w:before="55"/>
              <w:ind w:left="107"/>
              <w:rPr>
                <w:sz w:val="24"/>
              </w:rPr>
            </w:pPr>
            <w:r>
              <w:rPr>
                <w:sz w:val="24"/>
              </w:rPr>
              <w:t>Resultados finales…………………………………………………………………...</w:t>
            </w:r>
          </w:p>
        </w:tc>
        <w:tc>
          <w:tcPr>
            <w:tcW w:w="712" w:type="dxa"/>
          </w:tcPr>
          <w:p>
            <w:pPr>
              <w:pStyle w:val="TableParagraph"/>
              <w:spacing w:before="55"/>
              <w:ind w:left="108"/>
              <w:rPr>
                <w:sz w:val="24"/>
              </w:rPr>
            </w:pPr>
            <w:r>
              <w:rPr>
                <w:sz w:val="24"/>
              </w:rPr>
              <w:t>78</w:t>
            </w:r>
          </w:p>
        </w:tc>
      </w:tr>
      <w:tr>
        <w:trPr>
          <w:trHeight w:val="414" w:hRule="exact"/>
        </w:trPr>
        <w:tc>
          <w:tcPr>
            <w:tcW w:w="975" w:type="dxa"/>
          </w:tcPr>
          <w:p>
            <w:pPr>
              <w:pStyle w:val="TableParagraph"/>
              <w:spacing w:before="57"/>
              <w:ind w:left="200"/>
              <w:rPr>
                <w:sz w:val="24"/>
              </w:rPr>
            </w:pPr>
            <w:r>
              <w:rPr>
                <w:sz w:val="24"/>
              </w:rPr>
              <w:t>16</w:t>
            </w:r>
          </w:p>
        </w:tc>
        <w:tc>
          <w:tcPr>
            <w:tcW w:w="8405" w:type="dxa"/>
          </w:tcPr>
          <w:p>
            <w:pPr>
              <w:pStyle w:val="TableParagraph"/>
              <w:spacing w:before="57"/>
              <w:ind w:left="107"/>
              <w:rPr>
                <w:sz w:val="24"/>
              </w:rPr>
            </w:pPr>
            <w:r>
              <w:rPr>
                <w:sz w:val="24"/>
              </w:rPr>
              <w:t>Discusión general…………..……………………………………………………….</w:t>
            </w:r>
          </w:p>
        </w:tc>
        <w:tc>
          <w:tcPr>
            <w:tcW w:w="712" w:type="dxa"/>
          </w:tcPr>
          <w:p>
            <w:pPr>
              <w:pStyle w:val="TableParagraph"/>
              <w:spacing w:before="57"/>
              <w:ind w:left="108"/>
              <w:rPr>
                <w:sz w:val="24"/>
              </w:rPr>
            </w:pPr>
            <w:r>
              <w:rPr>
                <w:sz w:val="24"/>
              </w:rPr>
              <w:t>84</w:t>
            </w:r>
          </w:p>
        </w:tc>
      </w:tr>
      <w:tr>
        <w:trPr>
          <w:trHeight w:val="414" w:hRule="exact"/>
        </w:trPr>
        <w:tc>
          <w:tcPr>
            <w:tcW w:w="975" w:type="dxa"/>
          </w:tcPr>
          <w:p>
            <w:pPr>
              <w:pStyle w:val="TableParagraph"/>
              <w:spacing w:before="55"/>
              <w:ind w:left="200"/>
              <w:rPr>
                <w:sz w:val="24"/>
              </w:rPr>
            </w:pPr>
            <w:r>
              <w:rPr>
                <w:sz w:val="24"/>
              </w:rPr>
              <w:t>17</w:t>
            </w:r>
          </w:p>
        </w:tc>
        <w:tc>
          <w:tcPr>
            <w:tcW w:w="8405" w:type="dxa"/>
          </w:tcPr>
          <w:p>
            <w:pPr>
              <w:pStyle w:val="TableParagraph"/>
              <w:spacing w:before="55"/>
              <w:ind w:left="107"/>
              <w:rPr>
                <w:sz w:val="24"/>
              </w:rPr>
            </w:pPr>
            <w:r>
              <w:rPr>
                <w:sz w:val="24"/>
              </w:rPr>
              <w:t>Conclusiones</w:t>
            </w:r>
            <w:r>
              <w:rPr>
                <w:spacing w:val="63"/>
                <w:sz w:val="24"/>
              </w:rPr>
              <w:t> </w:t>
            </w:r>
            <w:r>
              <w:rPr>
                <w:sz w:val="24"/>
              </w:rPr>
              <w:t>……...…………..…………………………………………………...</w:t>
            </w:r>
          </w:p>
        </w:tc>
        <w:tc>
          <w:tcPr>
            <w:tcW w:w="712" w:type="dxa"/>
          </w:tcPr>
          <w:p>
            <w:pPr>
              <w:pStyle w:val="TableParagraph"/>
              <w:spacing w:before="55"/>
              <w:ind w:left="108"/>
              <w:rPr>
                <w:sz w:val="24"/>
              </w:rPr>
            </w:pPr>
            <w:r>
              <w:rPr>
                <w:sz w:val="24"/>
              </w:rPr>
              <w:t>87</w:t>
            </w:r>
          </w:p>
        </w:tc>
      </w:tr>
      <w:tr>
        <w:trPr>
          <w:trHeight w:val="414" w:hRule="exact"/>
        </w:trPr>
        <w:tc>
          <w:tcPr>
            <w:tcW w:w="975" w:type="dxa"/>
          </w:tcPr>
          <w:p>
            <w:pPr>
              <w:pStyle w:val="TableParagraph"/>
              <w:spacing w:before="57"/>
              <w:ind w:left="200"/>
              <w:rPr>
                <w:sz w:val="24"/>
              </w:rPr>
            </w:pPr>
            <w:r>
              <w:rPr>
                <w:sz w:val="24"/>
              </w:rPr>
              <w:t>18</w:t>
            </w:r>
          </w:p>
        </w:tc>
        <w:tc>
          <w:tcPr>
            <w:tcW w:w="8405" w:type="dxa"/>
          </w:tcPr>
          <w:p>
            <w:pPr>
              <w:pStyle w:val="TableParagraph"/>
              <w:spacing w:before="57"/>
              <w:ind w:left="107"/>
              <w:rPr>
                <w:sz w:val="24"/>
              </w:rPr>
            </w:pPr>
            <w:r>
              <w:rPr>
                <w:sz w:val="24"/>
              </w:rPr>
              <w:t>Bibliografía……………………….…………………………………………………..</w:t>
            </w:r>
          </w:p>
        </w:tc>
        <w:tc>
          <w:tcPr>
            <w:tcW w:w="712" w:type="dxa"/>
          </w:tcPr>
          <w:p>
            <w:pPr>
              <w:pStyle w:val="TableParagraph"/>
              <w:spacing w:before="57"/>
              <w:ind w:left="108"/>
              <w:rPr>
                <w:sz w:val="24"/>
              </w:rPr>
            </w:pPr>
            <w:r>
              <w:rPr>
                <w:sz w:val="24"/>
              </w:rPr>
              <w:t>89</w:t>
            </w:r>
          </w:p>
        </w:tc>
      </w:tr>
      <w:tr>
        <w:trPr>
          <w:trHeight w:val="414" w:hRule="exact"/>
        </w:trPr>
        <w:tc>
          <w:tcPr>
            <w:tcW w:w="975" w:type="dxa"/>
          </w:tcPr>
          <w:p>
            <w:pPr>
              <w:pStyle w:val="TableParagraph"/>
              <w:spacing w:before="55"/>
              <w:ind w:left="200"/>
              <w:rPr>
                <w:sz w:val="24"/>
              </w:rPr>
            </w:pPr>
            <w:r>
              <w:rPr>
                <w:sz w:val="24"/>
              </w:rPr>
              <w:t>19</w:t>
            </w:r>
          </w:p>
        </w:tc>
        <w:tc>
          <w:tcPr>
            <w:tcW w:w="8405" w:type="dxa"/>
          </w:tcPr>
          <w:p>
            <w:pPr>
              <w:pStyle w:val="TableParagraph"/>
              <w:spacing w:before="55"/>
              <w:ind w:left="107"/>
              <w:rPr>
                <w:sz w:val="24"/>
              </w:rPr>
            </w:pPr>
            <w:r>
              <w:rPr>
                <w:sz w:val="24"/>
              </w:rPr>
              <w:t>ANEXOS...…………...……………………………………………………………….</w:t>
            </w:r>
          </w:p>
        </w:tc>
        <w:tc>
          <w:tcPr>
            <w:tcW w:w="712" w:type="dxa"/>
          </w:tcPr>
          <w:p>
            <w:pPr>
              <w:pStyle w:val="TableParagraph"/>
              <w:spacing w:before="55"/>
              <w:ind w:left="108"/>
              <w:rPr>
                <w:sz w:val="24"/>
              </w:rPr>
            </w:pPr>
            <w:r>
              <w:rPr>
                <w:sz w:val="24"/>
              </w:rPr>
              <w:t>98</w:t>
            </w:r>
          </w:p>
        </w:tc>
      </w:tr>
      <w:tr>
        <w:trPr>
          <w:trHeight w:val="414" w:hRule="exact"/>
        </w:trPr>
        <w:tc>
          <w:tcPr>
            <w:tcW w:w="975" w:type="dxa"/>
          </w:tcPr>
          <w:p>
            <w:pPr>
              <w:pStyle w:val="TableParagraph"/>
              <w:spacing w:before="57"/>
              <w:ind w:left="200"/>
              <w:rPr>
                <w:sz w:val="24"/>
              </w:rPr>
            </w:pPr>
            <w:r>
              <w:rPr>
                <w:sz w:val="24"/>
              </w:rPr>
              <w:t>19.1</w:t>
            </w:r>
          </w:p>
        </w:tc>
        <w:tc>
          <w:tcPr>
            <w:tcW w:w="8405" w:type="dxa"/>
          </w:tcPr>
          <w:p>
            <w:pPr>
              <w:pStyle w:val="TableParagraph"/>
              <w:spacing w:before="57"/>
              <w:ind w:left="107"/>
              <w:rPr>
                <w:sz w:val="24"/>
              </w:rPr>
            </w:pPr>
            <w:r>
              <w:rPr>
                <w:sz w:val="24"/>
              </w:rPr>
              <w:t>Anexo 1: Parámetros de calidad del agua…………...…………………………...</w:t>
            </w:r>
          </w:p>
        </w:tc>
        <w:tc>
          <w:tcPr>
            <w:tcW w:w="712" w:type="dxa"/>
          </w:tcPr>
          <w:p>
            <w:pPr>
              <w:pStyle w:val="TableParagraph"/>
              <w:spacing w:before="57"/>
              <w:ind w:left="108"/>
              <w:rPr>
                <w:sz w:val="24"/>
              </w:rPr>
            </w:pPr>
            <w:r>
              <w:rPr>
                <w:sz w:val="24"/>
              </w:rPr>
              <w:t>99</w:t>
            </w:r>
          </w:p>
        </w:tc>
      </w:tr>
      <w:tr>
        <w:trPr>
          <w:trHeight w:val="414" w:hRule="exact"/>
        </w:trPr>
        <w:tc>
          <w:tcPr>
            <w:tcW w:w="975" w:type="dxa"/>
          </w:tcPr>
          <w:p>
            <w:pPr>
              <w:pStyle w:val="TableParagraph"/>
              <w:spacing w:before="55"/>
              <w:ind w:left="200"/>
              <w:rPr>
                <w:sz w:val="24"/>
              </w:rPr>
            </w:pPr>
            <w:r>
              <w:rPr>
                <w:sz w:val="24"/>
              </w:rPr>
              <w:t>19.2</w:t>
            </w:r>
          </w:p>
        </w:tc>
        <w:tc>
          <w:tcPr>
            <w:tcW w:w="8405" w:type="dxa"/>
          </w:tcPr>
          <w:p>
            <w:pPr>
              <w:pStyle w:val="TableParagraph"/>
              <w:spacing w:before="55"/>
              <w:ind w:left="107"/>
              <w:rPr>
                <w:sz w:val="24"/>
              </w:rPr>
            </w:pPr>
            <w:r>
              <w:rPr>
                <w:sz w:val="24"/>
              </w:rPr>
              <w:t>Anexo 2: Artículo trabajado para su publicación (Downscaling DQO) ……..…</w:t>
            </w:r>
          </w:p>
        </w:tc>
        <w:tc>
          <w:tcPr>
            <w:tcW w:w="712" w:type="dxa"/>
          </w:tcPr>
          <w:p>
            <w:pPr>
              <w:pStyle w:val="TableParagraph"/>
              <w:spacing w:before="55"/>
              <w:ind w:left="108"/>
              <w:rPr>
                <w:sz w:val="24"/>
              </w:rPr>
            </w:pPr>
            <w:r>
              <w:rPr>
                <w:sz w:val="24"/>
              </w:rPr>
              <w:t>101</w:t>
            </w:r>
          </w:p>
        </w:tc>
      </w:tr>
      <w:tr>
        <w:trPr>
          <w:trHeight w:val="328" w:hRule="exact"/>
        </w:trPr>
        <w:tc>
          <w:tcPr>
            <w:tcW w:w="975" w:type="dxa"/>
          </w:tcPr>
          <w:p>
            <w:pPr>
              <w:pStyle w:val="TableParagraph"/>
              <w:spacing w:before="57"/>
              <w:ind w:left="200"/>
              <w:rPr>
                <w:sz w:val="24"/>
              </w:rPr>
            </w:pPr>
            <w:r>
              <w:rPr>
                <w:sz w:val="24"/>
              </w:rPr>
              <w:t>19.3</w:t>
            </w:r>
          </w:p>
        </w:tc>
        <w:tc>
          <w:tcPr>
            <w:tcW w:w="8405" w:type="dxa"/>
          </w:tcPr>
          <w:p>
            <w:pPr>
              <w:pStyle w:val="TableParagraph"/>
              <w:spacing w:before="57"/>
              <w:ind w:left="107"/>
              <w:rPr>
                <w:sz w:val="24"/>
              </w:rPr>
            </w:pPr>
            <w:r>
              <w:rPr>
                <w:sz w:val="24"/>
              </w:rPr>
              <w:t>Anexo 3: Predicción de reacciones………………………………………………..</w:t>
            </w:r>
          </w:p>
        </w:tc>
        <w:tc>
          <w:tcPr>
            <w:tcW w:w="712" w:type="dxa"/>
          </w:tcPr>
          <w:p>
            <w:pPr>
              <w:pStyle w:val="TableParagraph"/>
              <w:spacing w:before="57"/>
              <w:ind w:left="108"/>
              <w:rPr>
                <w:sz w:val="24"/>
              </w:rPr>
            </w:pPr>
            <w:r>
              <w:rPr>
                <w:sz w:val="24"/>
              </w:rPr>
              <w:t>106</w:t>
            </w:r>
          </w:p>
        </w:tc>
      </w:tr>
    </w:tbl>
    <w:p>
      <w:pPr>
        <w:spacing w:after="0"/>
        <w:rPr>
          <w:sz w:val="24"/>
        </w:rPr>
        <w:sectPr>
          <w:pgSz w:w="12240" w:h="15840"/>
          <w:pgMar w:header="0" w:footer="654" w:top="1160" w:bottom="840" w:left="760" w:right="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rPr>
      </w:pPr>
    </w:p>
    <w:p>
      <w:pPr>
        <w:spacing w:line="412" w:lineRule="auto" w:before="0"/>
        <w:ind w:left="2979" w:right="286" w:firstLine="466"/>
        <w:jc w:val="left"/>
        <w:rPr>
          <w:b/>
          <w:sz w:val="80"/>
        </w:rPr>
      </w:pPr>
      <w:r>
        <w:rPr>
          <w:b/>
          <w:sz w:val="80"/>
        </w:rPr>
        <w:t>RESUMEN </w:t>
      </w:r>
      <w:r>
        <w:rPr>
          <w:b/>
          <w:w w:val="95"/>
          <w:sz w:val="80"/>
        </w:rPr>
        <w:t>(ABSTRACT)</w:t>
      </w:r>
    </w:p>
    <w:p>
      <w:pPr>
        <w:spacing w:after="0" w:line="412" w:lineRule="auto"/>
        <w:jc w:val="left"/>
        <w:rPr>
          <w:sz w:val="80"/>
        </w:rPr>
        <w:sectPr>
          <w:pgSz w:w="12240" w:h="15840"/>
          <w:pgMar w:header="0" w:footer="654" w:top="1500" w:bottom="840" w:left="760" w:right="840"/>
        </w:sectPr>
      </w:pPr>
    </w:p>
    <w:p>
      <w:pPr>
        <w:pStyle w:val="BodyText"/>
        <w:spacing w:before="9"/>
        <w:rPr>
          <w:b/>
          <w:sz w:val="10"/>
        </w:rPr>
      </w:pPr>
    </w:p>
    <w:p>
      <w:pPr>
        <w:spacing w:before="54"/>
        <w:ind w:left="2596" w:right="2343" w:firstLine="0"/>
        <w:jc w:val="center"/>
        <w:rPr>
          <w:b/>
          <w:sz w:val="36"/>
        </w:rPr>
      </w:pPr>
      <w:r>
        <w:rPr>
          <w:b/>
          <w:sz w:val="36"/>
        </w:rPr>
        <w:t>RESUMEN</w:t>
      </w:r>
    </w:p>
    <w:p>
      <w:pPr>
        <w:pStyle w:val="BodyText"/>
        <w:rPr>
          <w:b/>
          <w:sz w:val="36"/>
        </w:rPr>
      </w:pPr>
    </w:p>
    <w:p>
      <w:pPr>
        <w:pStyle w:val="BodyText"/>
        <w:spacing w:before="10"/>
        <w:rPr>
          <w:b/>
          <w:sz w:val="35"/>
        </w:rPr>
      </w:pPr>
    </w:p>
    <w:p>
      <w:pPr>
        <w:pStyle w:val="BodyText"/>
        <w:spacing w:line="360" w:lineRule="auto"/>
        <w:ind w:left="658" w:right="406"/>
        <w:jc w:val="both"/>
      </w:pPr>
      <w:r>
        <w:rPr/>
        <w:t>El objetivo más importante de la investigación fue lograr sustituir el cambio del agente oxidante utilizado en la técnica de la determinación de la demanda química de oxígeno (DQO), la cual nos indica la cantidad de materia orgánica oxidable en el medio.</w:t>
      </w:r>
    </w:p>
    <w:p>
      <w:pPr>
        <w:pStyle w:val="BodyText"/>
        <w:spacing w:line="360" w:lineRule="auto" w:before="122"/>
        <w:ind w:left="658" w:right="403"/>
        <w:jc w:val="both"/>
      </w:pPr>
      <w:r>
        <w:rPr/>
        <w:t>Al aplicar la química verde, se sustituye al cromo (VI), un agente tóxico y cancerígeno utilizado en la técnica estandarizada (NMX-AA-030-SCFI-2001), por uno más amigable para el medio ambiente como para el ser humano, como lo es el peróxido de hidrógeno </w:t>
      </w:r>
      <w:r>
        <w:rPr>
          <w:position w:val="1"/>
        </w:rPr>
        <w:t>(H</w:t>
      </w:r>
      <w:r>
        <w:rPr>
          <w:sz w:val="16"/>
        </w:rPr>
        <w:t>2</w:t>
      </w:r>
      <w:r>
        <w:rPr>
          <w:position w:val="1"/>
        </w:rPr>
        <w:t>O</w:t>
      </w:r>
      <w:r>
        <w:rPr>
          <w:sz w:val="16"/>
        </w:rPr>
        <w:t>2</w:t>
      </w:r>
      <w:r>
        <w:rPr>
          <w:position w:val="1"/>
        </w:rPr>
        <w:t>). Se realizaron determinaciones de DQO utilizando diferentes tipos de agua para </w:t>
      </w:r>
      <w:r>
        <w:rPr/>
        <w:t>ambos métodos, haciendo una comparación de ellos con un análisis estadístico, obteniendo como resultado favorable que dichos resultados son comparables estadísticamente, logrando obtener una técnica más verde. Además de lograr sustituir el agente oxidante, se logra eliminar el proceso de digestión de los tubos (calentamiento a 150º C por 2 h), dejando reaccionar los dos tubos por 2 h sin calentamiento.</w:t>
      </w:r>
    </w:p>
    <w:p>
      <w:pPr>
        <w:pStyle w:val="BodyText"/>
        <w:spacing w:line="360" w:lineRule="auto" w:before="125"/>
        <w:ind w:left="658" w:right="405"/>
        <w:jc w:val="both"/>
      </w:pPr>
      <w:r>
        <w:rPr/>
        <w:t>Otro cambio que se realizó fue la disminución de la concentración del sulfato de plata a la mitad</w:t>
      </w:r>
      <w:r>
        <w:rPr>
          <w:spacing w:val="-14"/>
        </w:rPr>
        <w:t> </w:t>
      </w:r>
      <w:r>
        <w:rPr/>
        <w:t>de</w:t>
      </w:r>
      <w:r>
        <w:rPr>
          <w:spacing w:val="-12"/>
        </w:rPr>
        <w:t> </w:t>
      </w:r>
      <w:r>
        <w:rPr/>
        <w:t>su</w:t>
      </w:r>
      <w:r>
        <w:rPr>
          <w:spacing w:val="-14"/>
        </w:rPr>
        <w:t> </w:t>
      </w:r>
      <w:r>
        <w:rPr/>
        <w:t>concentración</w:t>
      </w:r>
      <w:r>
        <w:rPr>
          <w:spacing w:val="-9"/>
        </w:rPr>
        <w:t> </w:t>
      </w:r>
      <w:r>
        <w:rPr/>
        <w:t>original,</w:t>
      </w:r>
      <w:r>
        <w:rPr>
          <w:spacing w:val="-12"/>
        </w:rPr>
        <w:t> </w:t>
      </w:r>
      <w:r>
        <w:rPr/>
        <w:t>sin</w:t>
      </w:r>
      <w:r>
        <w:rPr>
          <w:spacing w:val="-14"/>
        </w:rPr>
        <w:t> </w:t>
      </w:r>
      <w:r>
        <w:rPr/>
        <w:t>que</w:t>
      </w:r>
      <w:r>
        <w:rPr>
          <w:spacing w:val="-12"/>
        </w:rPr>
        <w:t> </w:t>
      </w:r>
      <w:r>
        <w:rPr/>
        <w:t>interfiera</w:t>
      </w:r>
      <w:r>
        <w:rPr>
          <w:spacing w:val="-10"/>
        </w:rPr>
        <w:t> </w:t>
      </w:r>
      <w:r>
        <w:rPr/>
        <w:t>éste</w:t>
      </w:r>
      <w:r>
        <w:rPr>
          <w:spacing w:val="-11"/>
        </w:rPr>
        <w:t> </w:t>
      </w:r>
      <w:r>
        <w:rPr/>
        <w:t>cambio</w:t>
      </w:r>
      <w:r>
        <w:rPr>
          <w:spacing w:val="-14"/>
        </w:rPr>
        <w:t> </w:t>
      </w:r>
      <w:r>
        <w:rPr/>
        <w:t>en</w:t>
      </w:r>
      <w:r>
        <w:rPr>
          <w:spacing w:val="-12"/>
        </w:rPr>
        <w:t> </w:t>
      </w:r>
      <w:r>
        <w:rPr/>
        <w:t>los</w:t>
      </w:r>
      <w:r>
        <w:rPr>
          <w:spacing w:val="-13"/>
        </w:rPr>
        <w:t> </w:t>
      </w:r>
      <w:r>
        <w:rPr/>
        <w:t>valores</w:t>
      </w:r>
      <w:r>
        <w:rPr>
          <w:spacing w:val="-13"/>
        </w:rPr>
        <w:t> </w:t>
      </w:r>
      <w:r>
        <w:rPr/>
        <w:t>de</w:t>
      </w:r>
      <w:r>
        <w:rPr>
          <w:spacing w:val="-12"/>
        </w:rPr>
        <w:t> </w:t>
      </w:r>
      <w:r>
        <w:rPr/>
        <w:t>la</w:t>
      </w:r>
      <w:r>
        <w:rPr>
          <w:spacing w:val="-12"/>
        </w:rPr>
        <w:t> </w:t>
      </w:r>
      <w:r>
        <w:rPr/>
        <w:t>DQO.</w:t>
      </w:r>
    </w:p>
    <w:p>
      <w:pPr>
        <w:pStyle w:val="BodyText"/>
        <w:spacing w:line="360" w:lineRule="auto" w:before="125"/>
        <w:ind w:left="658" w:right="412"/>
        <w:jc w:val="both"/>
      </w:pPr>
      <w:r>
        <w:rPr/>
        <w:t>Para mejorar aún más la técnica, se aplicó luz ultravioleta para acelerar la reacción, logrando disminuir el tiempo de reacción a 1 h.</w:t>
      </w:r>
    </w:p>
    <w:p>
      <w:pPr>
        <w:pStyle w:val="BodyText"/>
        <w:spacing w:line="360" w:lineRule="auto" w:before="125"/>
        <w:ind w:left="658" w:right="402"/>
        <w:jc w:val="both"/>
      </w:pPr>
      <w:r>
        <w:rPr/>
        <w:t>Finalmente los residuos que se generan de dicha determinación son tóxicos debido a que contienen mercurio, cromo y plata en medio ácido. Por ello se su tratamiento electroquímico, logrando separar la plata del resto de los residuos, mientras que el mercurio</w:t>
      </w:r>
      <w:r>
        <w:rPr>
          <w:spacing w:val="-13"/>
        </w:rPr>
        <w:t> </w:t>
      </w:r>
      <w:r>
        <w:rPr/>
        <w:t>queda</w:t>
      </w:r>
      <w:r>
        <w:rPr>
          <w:spacing w:val="-16"/>
        </w:rPr>
        <w:t> </w:t>
      </w:r>
      <w:r>
        <w:rPr/>
        <w:t>en</w:t>
      </w:r>
      <w:r>
        <w:rPr>
          <w:spacing w:val="-13"/>
        </w:rPr>
        <w:t> </w:t>
      </w:r>
      <w:r>
        <w:rPr/>
        <w:t>la</w:t>
      </w:r>
      <w:r>
        <w:rPr>
          <w:spacing w:val="-13"/>
        </w:rPr>
        <w:t> </w:t>
      </w:r>
      <w:r>
        <w:rPr/>
        <w:t>solución.</w:t>
      </w:r>
      <w:r>
        <w:rPr>
          <w:spacing w:val="-16"/>
        </w:rPr>
        <w:t> </w:t>
      </w:r>
      <w:r>
        <w:rPr/>
        <w:t>Al</w:t>
      </w:r>
      <w:r>
        <w:rPr>
          <w:spacing w:val="-14"/>
        </w:rPr>
        <w:t> </w:t>
      </w:r>
      <w:r>
        <w:rPr/>
        <w:t>final</w:t>
      </w:r>
      <w:r>
        <w:rPr>
          <w:spacing w:val="-17"/>
        </w:rPr>
        <w:t> </w:t>
      </w:r>
      <w:r>
        <w:rPr/>
        <w:t>de</w:t>
      </w:r>
      <w:r>
        <w:rPr>
          <w:spacing w:val="-13"/>
        </w:rPr>
        <w:t> </w:t>
      </w:r>
      <w:r>
        <w:rPr/>
        <w:t>todo,</w:t>
      </w:r>
      <w:r>
        <w:rPr>
          <w:spacing w:val="-13"/>
        </w:rPr>
        <w:t> </w:t>
      </w:r>
      <w:r>
        <w:rPr/>
        <w:t>se</w:t>
      </w:r>
      <w:r>
        <w:rPr>
          <w:spacing w:val="-13"/>
        </w:rPr>
        <w:t> </w:t>
      </w:r>
      <w:r>
        <w:rPr/>
        <w:t>obtiene</w:t>
      </w:r>
      <w:r>
        <w:rPr>
          <w:spacing w:val="-13"/>
        </w:rPr>
        <w:t> </w:t>
      </w:r>
      <w:r>
        <w:rPr/>
        <w:t>una</w:t>
      </w:r>
      <w:r>
        <w:rPr>
          <w:spacing w:val="-13"/>
        </w:rPr>
        <w:t> </w:t>
      </w:r>
      <w:r>
        <w:rPr/>
        <w:t>técnica</w:t>
      </w:r>
      <w:r>
        <w:rPr>
          <w:spacing w:val="-9"/>
        </w:rPr>
        <w:t> </w:t>
      </w:r>
      <w:r>
        <w:rPr/>
        <w:t>menos</w:t>
      </w:r>
      <w:r>
        <w:rPr>
          <w:spacing w:val="-16"/>
        </w:rPr>
        <w:t> </w:t>
      </w:r>
      <w:r>
        <w:rPr/>
        <w:t>tóxica,</w:t>
      </w:r>
      <w:r>
        <w:rPr>
          <w:spacing w:val="-13"/>
        </w:rPr>
        <w:t> </w:t>
      </w:r>
      <w:r>
        <w:rPr/>
        <w:t>menor generación de residuos tóxicos, disminución en el consumo de energía eléctrica, que puede ser utilizada con confianza al ser comparada con la estandarizada por medio de análisis</w:t>
      </w:r>
      <w:r>
        <w:rPr>
          <w:spacing w:val="-6"/>
        </w:rPr>
        <w:t> </w:t>
      </w:r>
      <w:r>
        <w:rPr/>
        <w:t>estadístico.</w:t>
      </w:r>
    </w:p>
    <w:p>
      <w:pPr>
        <w:spacing w:after="0" w:line="360" w:lineRule="auto"/>
        <w:jc w:val="both"/>
        <w:sectPr>
          <w:pgSz w:w="12240" w:h="15840"/>
          <w:pgMar w:header="0" w:footer="654" w:top="1500" w:bottom="1060" w:left="760" w:right="840"/>
        </w:sectPr>
      </w:pPr>
    </w:p>
    <w:p>
      <w:pPr>
        <w:pStyle w:val="Heading2"/>
        <w:ind w:left="2596" w:right="2348"/>
        <w:jc w:val="center"/>
      </w:pPr>
      <w:r>
        <w:rPr/>
        <w:t>ABSTRACT</w:t>
      </w:r>
    </w:p>
    <w:p>
      <w:pPr>
        <w:pStyle w:val="BodyText"/>
        <w:rPr>
          <w:b/>
          <w:sz w:val="36"/>
        </w:rPr>
      </w:pPr>
    </w:p>
    <w:p>
      <w:pPr>
        <w:pStyle w:val="BodyText"/>
        <w:rPr>
          <w:b/>
          <w:sz w:val="53"/>
        </w:rPr>
      </w:pPr>
    </w:p>
    <w:p>
      <w:pPr>
        <w:pStyle w:val="BodyText"/>
        <w:spacing w:line="360" w:lineRule="auto"/>
        <w:ind w:left="658" w:right="400"/>
        <w:jc w:val="both"/>
      </w:pPr>
      <w:r>
        <w:rPr/>
        <w:t>The</w:t>
      </w:r>
      <w:r>
        <w:rPr>
          <w:spacing w:val="-8"/>
        </w:rPr>
        <w:t> </w:t>
      </w:r>
      <w:r>
        <w:rPr/>
        <w:t>most</w:t>
      </w:r>
      <w:r>
        <w:rPr>
          <w:spacing w:val="-9"/>
        </w:rPr>
        <w:t> </w:t>
      </w:r>
      <w:r>
        <w:rPr/>
        <w:t>important</w:t>
      </w:r>
      <w:r>
        <w:rPr>
          <w:spacing w:val="-9"/>
        </w:rPr>
        <w:t> </w:t>
      </w:r>
      <w:r>
        <w:rPr/>
        <w:t>objective</w:t>
      </w:r>
      <w:r>
        <w:rPr>
          <w:spacing w:val="-8"/>
        </w:rPr>
        <w:t> </w:t>
      </w:r>
      <w:r>
        <w:rPr/>
        <w:t>of</w:t>
      </w:r>
      <w:r>
        <w:rPr>
          <w:spacing w:val="-7"/>
        </w:rPr>
        <w:t> </w:t>
      </w:r>
      <w:r>
        <w:rPr/>
        <w:t>the</w:t>
      </w:r>
      <w:r>
        <w:rPr>
          <w:spacing w:val="-8"/>
        </w:rPr>
        <w:t> </w:t>
      </w:r>
      <w:r>
        <w:rPr/>
        <w:t>research</w:t>
      </w:r>
      <w:r>
        <w:rPr>
          <w:spacing w:val="-11"/>
        </w:rPr>
        <w:t> </w:t>
      </w:r>
      <w:r>
        <w:rPr/>
        <w:t>was</w:t>
      </w:r>
      <w:r>
        <w:rPr>
          <w:spacing w:val="-9"/>
        </w:rPr>
        <w:t> </w:t>
      </w:r>
      <w:r>
        <w:rPr/>
        <w:t>to</w:t>
      </w:r>
      <w:r>
        <w:rPr>
          <w:spacing w:val="-8"/>
        </w:rPr>
        <w:t> </w:t>
      </w:r>
      <w:r>
        <w:rPr/>
        <w:t>replace</w:t>
      </w:r>
      <w:r>
        <w:rPr>
          <w:spacing w:val="-8"/>
        </w:rPr>
        <w:t> </w:t>
      </w:r>
      <w:r>
        <w:rPr/>
        <w:t>the</w:t>
      </w:r>
      <w:r>
        <w:rPr>
          <w:spacing w:val="-11"/>
        </w:rPr>
        <w:t> </w:t>
      </w:r>
      <w:r>
        <w:rPr/>
        <w:t>oxidizing</w:t>
      </w:r>
      <w:r>
        <w:rPr>
          <w:spacing w:val="-11"/>
        </w:rPr>
        <w:t> </w:t>
      </w:r>
      <w:r>
        <w:rPr/>
        <w:t>agent</w:t>
      </w:r>
      <w:r>
        <w:rPr>
          <w:spacing w:val="-9"/>
        </w:rPr>
        <w:t> </w:t>
      </w:r>
      <w:r>
        <w:rPr/>
        <w:t>used</w:t>
      </w:r>
      <w:r>
        <w:rPr>
          <w:spacing w:val="-8"/>
        </w:rPr>
        <w:t> </w:t>
      </w:r>
      <w:r>
        <w:rPr/>
        <w:t>in</w:t>
      </w:r>
      <w:r>
        <w:rPr>
          <w:spacing w:val="-9"/>
        </w:rPr>
        <w:t> </w:t>
      </w:r>
      <w:r>
        <w:rPr/>
        <w:t>the technique</w:t>
      </w:r>
      <w:r>
        <w:rPr>
          <w:spacing w:val="-14"/>
        </w:rPr>
        <w:t> </w:t>
      </w:r>
      <w:r>
        <w:rPr/>
        <w:t>of</w:t>
      </w:r>
      <w:r>
        <w:rPr>
          <w:spacing w:val="-10"/>
        </w:rPr>
        <w:t> </w:t>
      </w:r>
      <w:r>
        <w:rPr/>
        <w:t>the</w:t>
      </w:r>
      <w:r>
        <w:rPr>
          <w:spacing w:val="-12"/>
        </w:rPr>
        <w:t> </w:t>
      </w:r>
      <w:r>
        <w:rPr/>
        <w:t>determination</w:t>
      </w:r>
      <w:r>
        <w:rPr>
          <w:spacing w:val="-12"/>
        </w:rPr>
        <w:t> </w:t>
      </w:r>
      <w:r>
        <w:rPr/>
        <w:t>of</w:t>
      </w:r>
      <w:r>
        <w:rPr>
          <w:spacing w:val="-12"/>
        </w:rPr>
        <w:t> </w:t>
      </w:r>
      <w:r>
        <w:rPr/>
        <w:t>chemical</w:t>
      </w:r>
      <w:r>
        <w:rPr>
          <w:spacing w:val="-13"/>
        </w:rPr>
        <w:t> </w:t>
      </w:r>
      <w:r>
        <w:rPr/>
        <w:t>oxygen</w:t>
      </w:r>
      <w:r>
        <w:rPr>
          <w:spacing w:val="-12"/>
        </w:rPr>
        <w:t> </w:t>
      </w:r>
      <w:r>
        <w:rPr/>
        <w:t>demand</w:t>
      </w:r>
      <w:r>
        <w:rPr>
          <w:spacing w:val="-12"/>
        </w:rPr>
        <w:t> </w:t>
      </w:r>
      <w:r>
        <w:rPr/>
        <w:t>(COD),</w:t>
      </w:r>
      <w:r>
        <w:rPr>
          <w:spacing w:val="-13"/>
        </w:rPr>
        <w:t> </w:t>
      </w:r>
      <w:r>
        <w:rPr/>
        <w:t>which</w:t>
      </w:r>
      <w:r>
        <w:rPr>
          <w:spacing w:val="-6"/>
        </w:rPr>
        <w:t> </w:t>
      </w:r>
      <w:r>
        <w:rPr/>
        <w:t>gives</w:t>
      </w:r>
      <w:r>
        <w:rPr>
          <w:spacing w:val="-11"/>
        </w:rPr>
        <w:t> </w:t>
      </w:r>
      <w:r>
        <w:rPr/>
        <w:t>the</w:t>
      </w:r>
      <w:r>
        <w:rPr>
          <w:spacing w:val="-12"/>
        </w:rPr>
        <w:t> </w:t>
      </w:r>
      <w:r>
        <w:rPr/>
        <w:t>amount of oxidable organic in the</w:t>
      </w:r>
      <w:r>
        <w:rPr>
          <w:spacing w:val="-7"/>
        </w:rPr>
        <w:t> </w:t>
      </w:r>
      <w:r>
        <w:rPr/>
        <w:t>medium.</w:t>
      </w:r>
    </w:p>
    <w:p>
      <w:pPr>
        <w:pStyle w:val="BodyText"/>
        <w:spacing w:line="360" w:lineRule="auto" w:before="204"/>
        <w:ind w:left="658" w:right="399"/>
        <w:jc w:val="both"/>
      </w:pPr>
      <w:r>
        <w:rPr/>
        <w:t>When one applies the green chemistry, this replaces Cr(VI) toxic agent and carcinogenic used in the standardized technique (NMX-AA-030-SCFI-2001), by one more friendly to the </w:t>
      </w:r>
      <w:r>
        <w:rPr>
          <w:position w:val="1"/>
        </w:rPr>
        <w:t>environment and the human being, as is the hydrogen peroxide (H</w:t>
      </w:r>
      <w:r>
        <w:rPr>
          <w:sz w:val="16"/>
        </w:rPr>
        <w:t>2</w:t>
      </w:r>
      <w:r>
        <w:rPr>
          <w:position w:val="1"/>
        </w:rPr>
        <w:t>O</w:t>
      </w:r>
      <w:r>
        <w:rPr>
          <w:sz w:val="16"/>
        </w:rPr>
        <w:t>2</w:t>
      </w:r>
      <w:r>
        <w:rPr>
          <w:position w:val="1"/>
        </w:rPr>
        <w:t>). COD </w:t>
      </w:r>
      <w:r>
        <w:rPr/>
        <w:t>determinations</w:t>
      </w:r>
      <w:r>
        <w:rPr>
          <w:spacing w:val="-13"/>
        </w:rPr>
        <w:t> </w:t>
      </w:r>
      <w:r>
        <w:rPr/>
        <w:t>were</w:t>
      </w:r>
      <w:r>
        <w:rPr>
          <w:spacing w:val="-12"/>
        </w:rPr>
        <w:t> </w:t>
      </w:r>
      <w:r>
        <w:rPr/>
        <w:t>made</w:t>
      </w:r>
      <w:r>
        <w:rPr>
          <w:spacing w:val="-13"/>
        </w:rPr>
        <w:t> </w:t>
      </w:r>
      <w:r>
        <w:rPr/>
        <w:t>using</w:t>
      </w:r>
      <w:r>
        <w:rPr>
          <w:spacing w:val="-13"/>
        </w:rPr>
        <w:t> </w:t>
      </w:r>
      <w:r>
        <w:rPr/>
        <w:t>different</w:t>
      </w:r>
      <w:r>
        <w:rPr>
          <w:spacing w:val="-12"/>
        </w:rPr>
        <w:t> </w:t>
      </w:r>
      <w:r>
        <w:rPr/>
        <w:t>types</w:t>
      </w:r>
      <w:r>
        <w:rPr>
          <w:spacing w:val="-13"/>
        </w:rPr>
        <w:t> </w:t>
      </w:r>
      <w:r>
        <w:rPr/>
        <w:t>of</w:t>
      </w:r>
      <w:r>
        <w:rPr>
          <w:spacing w:val="-10"/>
        </w:rPr>
        <w:t> </w:t>
      </w:r>
      <w:r>
        <w:rPr/>
        <w:t>water</w:t>
      </w:r>
      <w:r>
        <w:rPr>
          <w:spacing w:val="-15"/>
        </w:rPr>
        <w:t> </w:t>
      </w:r>
      <w:r>
        <w:rPr/>
        <w:t>for</w:t>
      </w:r>
      <w:r>
        <w:rPr>
          <w:spacing w:val="-13"/>
        </w:rPr>
        <w:t> </w:t>
      </w:r>
      <w:r>
        <w:rPr/>
        <w:t>both</w:t>
      </w:r>
      <w:r>
        <w:rPr>
          <w:spacing w:val="-7"/>
        </w:rPr>
        <w:t> </w:t>
      </w:r>
      <w:r>
        <w:rPr/>
        <w:t>methods,</w:t>
      </w:r>
      <w:r>
        <w:rPr>
          <w:spacing w:val="-12"/>
        </w:rPr>
        <w:t> </w:t>
      </w:r>
      <w:r>
        <w:rPr/>
        <w:t>comparing</w:t>
      </w:r>
      <w:r>
        <w:rPr>
          <w:spacing w:val="-11"/>
        </w:rPr>
        <w:t> </w:t>
      </w:r>
      <w:r>
        <w:rPr/>
        <w:t>them with statistical analysis, resulting in favorable results which are statistically comparable, achieving a greener technology. In addition to replacing the oxidizing agent, the digestion process of tubes is overcome (heating at 150 ° C for 2 h), allowing the samples to react 2 h without</w:t>
      </w:r>
      <w:r>
        <w:rPr>
          <w:spacing w:val="-8"/>
        </w:rPr>
        <w:t> </w:t>
      </w:r>
      <w:r>
        <w:rPr/>
        <w:t>heating.</w:t>
      </w:r>
    </w:p>
    <w:p>
      <w:pPr>
        <w:pStyle w:val="BodyText"/>
      </w:pPr>
    </w:p>
    <w:p>
      <w:pPr>
        <w:pStyle w:val="BodyText"/>
        <w:spacing w:line="360" w:lineRule="auto" w:before="142"/>
        <w:ind w:left="658" w:right="411"/>
        <w:jc w:val="both"/>
      </w:pPr>
      <w:r>
        <w:rPr/>
        <w:t>Another</w:t>
      </w:r>
      <w:r>
        <w:rPr>
          <w:spacing w:val="-7"/>
        </w:rPr>
        <w:t> </w:t>
      </w:r>
      <w:r>
        <w:rPr/>
        <w:t>change</w:t>
      </w:r>
      <w:r>
        <w:rPr>
          <w:spacing w:val="-6"/>
        </w:rPr>
        <w:t> </w:t>
      </w:r>
      <w:r>
        <w:rPr/>
        <w:t>made</w:t>
      </w:r>
      <w:r>
        <w:rPr>
          <w:spacing w:val="-8"/>
        </w:rPr>
        <w:t> </w:t>
      </w:r>
      <w:r>
        <w:rPr/>
        <w:t>was</w:t>
      </w:r>
      <w:r>
        <w:rPr>
          <w:spacing w:val="-7"/>
        </w:rPr>
        <w:t> </w:t>
      </w:r>
      <w:r>
        <w:rPr/>
        <w:t>the</w:t>
      </w:r>
      <w:r>
        <w:rPr>
          <w:spacing w:val="-6"/>
        </w:rPr>
        <w:t> </w:t>
      </w:r>
      <w:r>
        <w:rPr/>
        <w:t>decrease</w:t>
      </w:r>
      <w:r>
        <w:rPr>
          <w:spacing w:val="-6"/>
        </w:rPr>
        <w:t> </w:t>
      </w:r>
      <w:r>
        <w:rPr/>
        <w:t>in</w:t>
      </w:r>
      <w:r>
        <w:rPr>
          <w:spacing w:val="-6"/>
        </w:rPr>
        <w:t> </w:t>
      </w:r>
      <w:r>
        <w:rPr/>
        <w:t>concentration</w:t>
      </w:r>
      <w:r>
        <w:rPr>
          <w:spacing w:val="-6"/>
        </w:rPr>
        <w:t> </w:t>
      </w:r>
      <w:r>
        <w:rPr/>
        <w:t>of</w:t>
      </w:r>
      <w:r>
        <w:rPr>
          <w:spacing w:val="-7"/>
        </w:rPr>
        <w:t> </w:t>
      </w:r>
      <w:r>
        <w:rPr/>
        <w:t>the</w:t>
      </w:r>
      <w:r>
        <w:rPr>
          <w:spacing w:val="-6"/>
        </w:rPr>
        <w:t> </w:t>
      </w:r>
      <w:r>
        <w:rPr/>
        <w:t>silver</w:t>
      </w:r>
      <w:r>
        <w:rPr>
          <w:spacing w:val="-7"/>
        </w:rPr>
        <w:t> </w:t>
      </w:r>
      <w:r>
        <w:rPr/>
        <w:t>sulphate</w:t>
      </w:r>
      <w:r>
        <w:rPr>
          <w:spacing w:val="-6"/>
        </w:rPr>
        <w:t> </w:t>
      </w:r>
      <w:r>
        <w:rPr/>
        <w:t>to</w:t>
      </w:r>
      <w:r>
        <w:rPr>
          <w:spacing w:val="-6"/>
        </w:rPr>
        <w:t> </w:t>
      </w:r>
      <w:r>
        <w:rPr/>
        <w:t>half</w:t>
      </w:r>
      <w:r>
        <w:rPr>
          <w:spacing w:val="-7"/>
        </w:rPr>
        <w:t> </w:t>
      </w:r>
      <w:r>
        <w:rPr/>
        <w:t>of</w:t>
      </w:r>
      <w:r>
        <w:rPr>
          <w:spacing w:val="-4"/>
        </w:rPr>
        <w:t> </w:t>
      </w:r>
      <w:r>
        <w:rPr/>
        <w:t>its concentration, without interfering in the values of the</w:t>
      </w:r>
      <w:r>
        <w:rPr>
          <w:spacing w:val="-19"/>
        </w:rPr>
        <w:t> </w:t>
      </w:r>
      <w:r>
        <w:rPr/>
        <w:t>COD.</w:t>
      </w:r>
    </w:p>
    <w:p>
      <w:pPr>
        <w:pStyle w:val="BodyText"/>
        <w:spacing w:line="360" w:lineRule="auto" w:before="5"/>
        <w:ind w:left="658" w:right="404"/>
        <w:jc w:val="both"/>
      </w:pPr>
      <w:r>
        <w:rPr/>
        <w:t>To improve the technique further, ultraviolet light was applied to accelerate the reaction, succeeding in reducing the reaction time to 1 h.</w:t>
      </w:r>
    </w:p>
    <w:p>
      <w:pPr>
        <w:pStyle w:val="BodyText"/>
        <w:spacing w:line="360" w:lineRule="auto" w:before="204"/>
        <w:ind w:left="658" w:right="400"/>
        <w:jc w:val="both"/>
      </w:pPr>
      <w:r>
        <w:rPr/>
        <w:t>Finally the wastes that are generated from such a determination are toxic because they contain mercury, chromium and silver in an acid medium. Therefore we designed a waste treatment, scheme by means of electrochemictry, with waste silver separation, while mercury remains the solution. At the very end, this yields a less-toxic technique, less toxic waste is generated, these is a decrease in the consumption of electrical energy, and the method can be used with confidence to be compared with the standardized one through statistical analysis.</w:t>
      </w:r>
    </w:p>
    <w:p>
      <w:pPr>
        <w:spacing w:after="0" w:line="360" w:lineRule="auto"/>
        <w:jc w:val="both"/>
        <w:sectPr>
          <w:pgSz w:w="12240" w:h="15840"/>
          <w:pgMar w:header="0" w:footer="654" w:top="1100" w:bottom="1060" w:left="76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Heading1"/>
        <w:spacing w:line="917" w:lineRule="exact"/>
        <w:ind w:left="2180"/>
      </w:pPr>
      <w:r>
        <w:rPr/>
        <w:t>ANTECEDENTES</w:t>
      </w:r>
    </w:p>
    <w:p>
      <w:pPr>
        <w:spacing w:after="0" w:line="917" w:lineRule="exact"/>
        <w:sectPr>
          <w:pgSz w:w="12240" w:h="15840"/>
          <w:pgMar w:header="0" w:footer="654" w:top="1500" w:bottom="1060" w:left="760" w:right="840"/>
        </w:sectPr>
      </w:pPr>
    </w:p>
    <w:p>
      <w:pPr>
        <w:pStyle w:val="Heading2"/>
        <w:numPr>
          <w:ilvl w:val="0"/>
          <w:numId w:val="1"/>
        </w:numPr>
        <w:tabs>
          <w:tab w:pos="1379" w:val="left" w:leader="none"/>
        </w:tabs>
        <w:spacing w:line="240" w:lineRule="auto" w:before="42" w:after="0"/>
        <w:ind w:left="1378" w:right="0" w:hanging="360"/>
        <w:jc w:val="left"/>
      </w:pPr>
      <w:r>
        <w:rPr/>
        <w:t>ANTECEDENTES</w:t>
      </w:r>
    </w:p>
    <w:p>
      <w:pPr>
        <w:pStyle w:val="BodyText"/>
        <w:rPr>
          <w:b/>
          <w:sz w:val="36"/>
        </w:rPr>
      </w:pPr>
    </w:p>
    <w:p>
      <w:pPr>
        <w:pStyle w:val="Heading5"/>
        <w:numPr>
          <w:ilvl w:val="1"/>
          <w:numId w:val="1"/>
        </w:numPr>
        <w:tabs>
          <w:tab w:pos="1504" w:val="left" w:leader="none"/>
        </w:tabs>
        <w:spacing w:line="240" w:lineRule="auto" w:before="209" w:after="0"/>
        <w:ind w:left="1503" w:right="0" w:hanging="485"/>
        <w:jc w:val="left"/>
      </w:pPr>
      <w:r>
        <w:rPr/>
        <w:t>PROBLEMÁTICA</w:t>
      </w:r>
      <w:r>
        <w:rPr>
          <w:spacing w:val="-8"/>
        </w:rPr>
        <w:t> </w:t>
      </w:r>
      <w:r>
        <w:rPr/>
        <w:t>AMBIENTAL</w:t>
      </w:r>
    </w:p>
    <w:p>
      <w:pPr>
        <w:pStyle w:val="BodyText"/>
        <w:spacing w:before="7"/>
        <w:rPr>
          <w:sz w:val="31"/>
        </w:rPr>
      </w:pPr>
    </w:p>
    <w:p>
      <w:pPr>
        <w:pStyle w:val="BodyText"/>
        <w:spacing w:line="360" w:lineRule="auto"/>
        <w:ind w:left="658" w:right="399"/>
        <w:jc w:val="both"/>
      </w:pPr>
      <w:r>
        <w:rPr/>
        <w:t>En la actualidad los problemas ambientales relacionados con actividades humanas, (domésticas e industriales) se han incrementado considerablemente como consecuencia del crecimiento poblacional [Benavides, et al., 2008; Frers, 2006 Malato, et al., 2003]. Especialmente</w:t>
      </w:r>
      <w:r>
        <w:rPr>
          <w:spacing w:val="-16"/>
        </w:rPr>
        <w:t> </w:t>
      </w:r>
      <w:r>
        <w:rPr/>
        <w:t>la</w:t>
      </w:r>
      <w:r>
        <w:rPr>
          <w:spacing w:val="-18"/>
        </w:rPr>
        <w:t> </w:t>
      </w:r>
      <w:r>
        <w:rPr/>
        <w:t>contaminación</w:t>
      </w:r>
      <w:r>
        <w:rPr>
          <w:spacing w:val="-18"/>
        </w:rPr>
        <w:t> </w:t>
      </w:r>
      <w:r>
        <w:rPr/>
        <w:t>del</w:t>
      </w:r>
      <w:r>
        <w:rPr>
          <w:spacing w:val="-19"/>
        </w:rPr>
        <w:t> </w:t>
      </w:r>
      <w:r>
        <w:rPr/>
        <w:t>agua</w:t>
      </w:r>
      <w:r>
        <w:rPr>
          <w:spacing w:val="-18"/>
        </w:rPr>
        <w:t> </w:t>
      </w:r>
      <w:r>
        <w:rPr/>
        <w:t>ha</w:t>
      </w:r>
      <w:r>
        <w:rPr>
          <w:spacing w:val="-18"/>
        </w:rPr>
        <w:t> </w:t>
      </w:r>
      <w:r>
        <w:rPr/>
        <w:t>sido</w:t>
      </w:r>
      <w:r>
        <w:rPr>
          <w:spacing w:val="-18"/>
        </w:rPr>
        <w:t> </w:t>
      </w:r>
      <w:r>
        <w:rPr/>
        <w:t>la</w:t>
      </w:r>
      <w:r>
        <w:rPr>
          <w:spacing w:val="-18"/>
        </w:rPr>
        <w:t> </w:t>
      </w:r>
      <w:r>
        <w:rPr/>
        <w:t>principal</w:t>
      </w:r>
      <w:r>
        <w:rPr>
          <w:spacing w:val="-19"/>
        </w:rPr>
        <w:t> </w:t>
      </w:r>
      <w:r>
        <w:rPr/>
        <w:t>preocupación,</w:t>
      </w:r>
      <w:r>
        <w:rPr>
          <w:spacing w:val="-18"/>
        </w:rPr>
        <w:t> </w:t>
      </w:r>
      <w:r>
        <w:rPr/>
        <w:t>y</w:t>
      </w:r>
      <w:r>
        <w:rPr>
          <w:spacing w:val="-21"/>
        </w:rPr>
        <w:t> </w:t>
      </w:r>
      <w:r>
        <w:rPr/>
        <w:t>el</w:t>
      </w:r>
      <w:r>
        <w:rPr>
          <w:spacing w:val="-19"/>
        </w:rPr>
        <w:t> </w:t>
      </w:r>
      <w:r>
        <w:rPr/>
        <w:t>tratamiento inadecuado de la misma, por lo que se necesita tomar acciones inmediatas. Las fuentes de contaminación del agua pueden ser naturales o artificiales: la contaminación natural la genera el ambiente y la artificial el ser humano [Llena, 2011; Li, et al, 2005; Sousa, et al, 2007; McCulligh,</w:t>
      </w:r>
      <w:r>
        <w:rPr>
          <w:spacing w:val="-8"/>
        </w:rPr>
        <w:t> </w:t>
      </w:r>
      <w:r>
        <w:rPr/>
        <w:t>2014].</w:t>
      </w:r>
    </w:p>
    <w:p>
      <w:pPr>
        <w:pStyle w:val="BodyText"/>
      </w:pPr>
    </w:p>
    <w:p>
      <w:pPr>
        <w:pStyle w:val="BodyText"/>
        <w:spacing w:line="360" w:lineRule="auto" w:before="142"/>
        <w:ind w:left="658" w:right="410"/>
        <w:jc w:val="both"/>
      </w:pPr>
      <w:r>
        <w:rPr/>
        <w:t>Uno</w:t>
      </w:r>
      <w:r>
        <w:rPr>
          <w:spacing w:val="-3"/>
        </w:rPr>
        <w:t> </w:t>
      </w:r>
      <w:r>
        <w:rPr/>
        <w:t>de</w:t>
      </w:r>
      <w:r>
        <w:rPr>
          <w:spacing w:val="-4"/>
        </w:rPr>
        <w:t> </w:t>
      </w:r>
      <w:r>
        <w:rPr/>
        <w:t>los</w:t>
      </w:r>
      <w:r>
        <w:rPr>
          <w:spacing w:val="-5"/>
        </w:rPr>
        <w:t> </w:t>
      </w:r>
      <w:r>
        <w:rPr/>
        <w:t>mayores</w:t>
      </w:r>
      <w:r>
        <w:rPr>
          <w:spacing w:val="-2"/>
        </w:rPr>
        <w:t> </w:t>
      </w:r>
      <w:r>
        <w:rPr/>
        <w:t>inconvenientes</w:t>
      </w:r>
      <w:r>
        <w:rPr>
          <w:spacing w:val="-4"/>
        </w:rPr>
        <w:t> </w:t>
      </w:r>
      <w:r>
        <w:rPr/>
        <w:t>de</w:t>
      </w:r>
      <w:r>
        <w:rPr>
          <w:spacing w:val="-4"/>
        </w:rPr>
        <w:t> </w:t>
      </w:r>
      <w:r>
        <w:rPr/>
        <w:t>la</w:t>
      </w:r>
      <w:r>
        <w:rPr>
          <w:spacing w:val="-4"/>
        </w:rPr>
        <w:t> </w:t>
      </w:r>
      <w:r>
        <w:rPr/>
        <w:t>química</w:t>
      </w:r>
      <w:r>
        <w:rPr>
          <w:spacing w:val="-4"/>
        </w:rPr>
        <w:t> </w:t>
      </w:r>
      <w:r>
        <w:rPr/>
        <w:t>y</w:t>
      </w:r>
      <w:r>
        <w:rPr>
          <w:spacing w:val="-4"/>
        </w:rPr>
        <w:t> </w:t>
      </w:r>
      <w:r>
        <w:rPr/>
        <w:t>de</w:t>
      </w:r>
      <w:r>
        <w:rPr>
          <w:spacing w:val="-4"/>
        </w:rPr>
        <w:t> </w:t>
      </w:r>
      <w:r>
        <w:rPr/>
        <w:t>la</w:t>
      </w:r>
      <w:r>
        <w:rPr>
          <w:spacing w:val="-2"/>
        </w:rPr>
        <w:t> </w:t>
      </w:r>
      <w:r>
        <w:rPr/>
        <w:t>industria</w:t>
      </w:r>
      <w:r>
        <w:rPr>
          <w:spacing w:val="-2"/>
        </w:rPr>
        <w:t> </w:t>
      </w:r>
      <w:r>
        <w:rPr/>
        <w:t>química</w:t>
      </w:r>
      <w:r>
        <w:rPr>
          <w:spacing w:val="-4"/>
        </w:rPr>
        <w:t> </w:t>
      </w:r>
      <w:r>
        <w:rPr/>
        <w:t>es</w:t>
      </w:r>
      <w:r>
        <w:rPr>
          <w:spacing w:val="-4"/>
        </w:rPr>
        <w:t> </w:t>
      </w:r>
      <w:r>
        <w:rPr/>
        <w:t>el</w:t>
      </w:r>
      <w:r>
        <w:rPr>
          <w:spacing w:val="-2"/>
        </w:rPr>
        <w:t> </w:t>
      </w:r>
      <w:r>
        <w:rPr/>
        <w:t>problema de la generación de residuos y productos que afectan el medio</w:t>
      </w:r>
      <w:r>
        <w:rPr>
          <w:spacing w:val="-20"/>
        </w:rPr>
        <w:t> </w:t>
      </w:r>
      <w:r>
        <w:rPr/>
        <w:t>ambiente.</w:t>
      </w:r>
    </w:p>
    <w:p>
      <w:pPr>
        <w:pStyle w:val="BodyText"/>
      </w:pPr>
    </w:p>
    <w:p>
      <w:pPr>
        <w:pStyle w:val="BodyText"/>
        <w:spacing w:line="360" w:lineRule="auto" w:before="142"/>
        <w:ind w:left="658" w:right="403"/>
        <w:jc w:val="both"/>
      </w:pPr>
      <w:r>
        <w:rPr/>
        <w:t>Es</w:t>
      </w:r>
      <w:r>
        <w:rPr>
          <w:spacing w:val="-9"/>
        </w:rPr>
        <w:t> </w:t>
      </w:r>
      <w:r>
        <w:rPr/>
        <w:t>importante</w:t>
      </w:r>
      <w:r>
        <w:rPr>
          <w:spacing w:val="-8"/>
        </w:rPr>
        <w:t> </w:t>
      </w:r>
      <w:r>
        <w:rPr/>
        <w:t>mencionar</w:t>
      </w:r>
      <w:r>
        <w:rPr>
          <w:spacing w:val="-10"/>
        </w:rPr>
        <w:t> </w:t>
      </w:r>
      <w:r>
        <w:rPr/>
        <w:t>que</w:t>
      </w:r>
      <w:r>
        <w:rPr>
          <w:spacing w:val="-8"/>
        </w:rPr>
        <w:t> </w:t>
      </w:r>
      <w:r>
        <w:rPr/>
        <w:t>la</w:t>
      </w:r>
      <w:r>
        <w:rPr>
          <w:spacing w:val="-9"/>
        </w:rPr>
        <w:t> </w:t>
      </w:r>
      <w:r>
        <w:rPr/>
        <w:t>industria</w:t>
      </w:r>
      <w:r>
        <w:rPr>
          <w:spacing w:val="-8"/>
        </w:rPr>
        <w:t> </w:t>
      </w:r>
      <w:r>
        <w:rPr/>
        <w:t>química</w:t>
      </w:r>
      <w:r>
        <w:rPr>
          <w:spacing w:val="-9"/>
        </w:rPr>
        <w:t> </w:t>
      </w:r>
      <w:r>
        <w:rPr/>
        <w:t>no</w:t>
      </w:r>
      <w:r>
        <w:rPr>
          <w:spacing w:val="-8"/>
        </w:rPr>
        <w:t> </w:t>
      </w:r>
      <w:r>
        <w:rPr/>
        <w:t>es</w:t>
      </w:r>
      <w:r>
        <w:rPr>
          <w:spacing w:val="-9"/>
        </w:rPr>
        <w:t> </w:t>
      </w:r>
      <w:r>
        <w:rPr/>
        <w:t>la</w:t>
      </w:r>
      <w:r>
        <w:rPr>
          <w:spacing w:val="-9"/>
        </w:rPr>
        <w:t> </w:t>
      </w:r>
      <w:r>
        <w:rPr/>
        <w:t>única</w:t>
      </w:r>
      <w:r>
        <w:rPr>
          <w:spacing w:val="-9"/>
        </w:rPr>
        <w:t> </w:t>
      </w:r>
      <w:r>
        <w:rPr/>
        <w:t>causante</w:t>
      </w:r>
      <w:r>
        <w:rPr>
          <w:spacing w:val="-8"/>
        </w:rPr>
        <w:t> </w:t>
      </w:r>
      <w:r>
        <w:rPr/>
        <w:t>de</w:t>
      </w:r>
      <w:r>
        <w:rPr>
          <w:spacing w:val="-2"/>
        </w:rPr>
        <w:t> </w:t>
      </w:r>
      <w:r>
        <w:rPr/>
        <w:t>la</w:t>
      </w:r>
      <w:r>
        <w:rPr>
          <w:spacing w:val="-11"/>
        </w:rPr>
        <w:t> </w:t>
      </w:r>
      <w:r>
        <w:rPr/>
        <w:t>emisión</w:t>
      </w:r>
      <w:r>
        <w:rPr>
          <w:spacing w:val="-8"/>
        </w:rPr>
        <w:t> </w:t>
      </w:r>
      <w:r>
        <w:rPr/>
        <w:t>de contaminantes al medio</w:t>
      </w:r>
      <w:r>
        <w:rPr>
          <w:spacing w:val="-10"/>
        </w:rPr>
        <w:t> </w:t>
      </w:r>
      <w:r>
        <w:rPr/>
        <w:t>ambiente.</w:t>
      </w:r>
    </w:p>
    <w:p>
      <w:pPr>
        <w:pStyle w:val="BodyText"/>
      </w:pPr>
    </w:p>
    <w:p>
      <w:pPr>
        <w:pStyle w:val="BodyText"/>
        <w:spacing w:line="360" w:lineRule="auto" w:before="142"/>
        <w:ind w:left="658" w:right="400"/>
        <w:jc w:val="both"/>
      </w:pPr>
      <w:r>
        <w:rPr/>
        <w:t>Algunos laboratorios dedicados al análisis de la calidad del agua típicamente realizan aproximadamente 50 pruebas para el análisis de la demanda química de oxígeno a la semana, generando así 3.75 L de residuos muy tóxicos a la semana, que posteriormente deben ser tratados, además de que para dicho análisis se utilizan agentes costosos como es</w:t>
      </w:r>
      <w:r>
        <w:rPr>
          <w:spacing w:val="-16"/>
        </w:rPr>
        <w:t> </w:t>
      </w:r>
      <w:r>
        <w:rPr/>
        <w:t>el</w:t>
      </w:r>
      <w:r>
        <w:rPr>
          <w:spacing w:val="-17"/>
        </w:rPr>
        <w:t> </w:t>
      </w:r>
      <w:r>
        <w:rPr/>
        <w:t>sulfato</w:t>
      </w:r>
      <w:r>
        <w:rPr>
          <w:spacing w:val="-17"/>
        </w:rPr>
        <w:t> </w:t>
      </w:r>
      <w:r>
        <w:rPr/>
        <w:t>de</w:t>
      </w:r>
      <w:r>
        <w:rPr>
          <w:spacing w:val="-16"/>
        </w:rPr>
        <w:t> </w:t>
      </w:r>
      <w:r>
        <w:rPr/>
        <w:t>plata</w:t>
      </w:r>
      <w:r>
        <w:rPr>
          <w:spacing w:val="-15"/>
        </w:rPr>
        <w:t> </w:t>
      </w:r>
      <w:r>
        <w:rPr/>
        <w:t>(Estudio</w:t>
      </w:r>
      <w:r>
        <w:rPr>
          <w:spacing w:val="-18"/>
        </w:rPr>
        <w:t> </w:t>
      </w:r>
      <w:r>
        <w:rPr/>
        <w:t>hecho</w:t>
      </w:r>
      <w:r>
        <w:rPr>
          <w:spacing w:val="-18"/>
        </w:rPr>
        <w:t> </w:t>
      </w:r>
      <w:r>
        <w:rPr/>
        <w:t>en</w:t>
      </w:r>
      <w:r>
        <w:rPr>
          <w:spacing w:val="-16"/>
        </w:rPr>
        <w:t> </w:t>
      </w:r>
      <w:r>
        <w:rPr/>
        <w:t>los</w:t>
      </w:r>
      <w:r>
        <w:rPr>
          <w:spacing w:val="-18"/>
        </w:rPr>
        <w:t> </w:t>
      </w:r>
      <w:r>
        <w:rPr/>
        <w:t>laboratorio</w:t>
      </w:r>
      <w:r>
        <w:rPr>
          <w:spacing w:val="-18"/>
        </w:rPr>
        <w:t> </w:t>
      </w:r>
      <w:r>
        <w:rPr/>
        <w:t>del</w:t>
      </w:r>
      <w:r>
        <w:rPr>
          <w:spacing w:val="-17"/>
        </w:rPr>
        <w:t> </w:t>
      </w:r>
      <w:r>
        <w:rPr/>
        <w:t>Centro</w:t>
      </w:r>
      <w:r>
        <w:rPr>
          <w:spacing w:val="-16"/>
        </w:rPr>
        <w:t> </w:t>
      </w:r>
      <w:r>
        <w:rPr/>
        <w:t>Conjunto</w:t>
      </w:r>
      <w:r>
        <w:rPr>
          <w:spacing w:val="-18"/>
        </w:rPr>
        <w:t> </w:t>
      </w:r>
      <w:r>
        <w:rPr/>
        <w:t>de</w:t>
      </w:r>
      <w:r>
        <w:rPr>
          <w:spacing w:val="-18"/>
        </w:rPr>
        <w:t> </w:t>
      </w:r>
      <w:r>
        <w:rPr/>
        <w:t>Investigación en Química Sustentable, CCIQS, en</w:t>
      </w:r>
      <w:r>
        <w:rPr>
          <w:spacing w:val="-15"/>
        </w:rPr>
        <w:t> </w:t>
      </w:r>
      <w:r>
        <w:rPr/>
        <w:t>2013).</w:t>
      </w:r>
    </w:p>
    <w:p>
      <w:pPr>
        <w:pStyle w:val="BodyText"/>
      </w:pPr>
    </w:p>
    <w:p>
      <w:pPr>
        <w:pStyle w:val="BodyText"/>
        <w:spacing w:line="360" w:lineRule="auto" w:before="142"/>
        <w:ind w:left="658" w:right="404"/>
        <w:jc w:val="both"/>
      </w:pPr>
      <w:r>
        <w:rPr/>
        <w:t>La aparición de los efectos sobre el ambiente por la emisión de contaminantes a la atmósfera y los efluentes, incitó al desarrollo de legislaciones que tenían como finalidad abatir la emisión de contaminantes. Dicho de otra manera, el objetivo de estas leyes era establecer límites a las emisiones de gases y líquidos al ambiente, generalmente a través</w:t>
      </w:r>
    </w:p>
    <w:p>
      <w:pPr>
        <w:spacing w:after="0" w:line="360" w:lineRule="auto"/>
        <w:jc w:val="both"/>
        <w:sectPr>
          <w:pgSz w:w="12240" w:h="15840"/>
          <w:pgMar w:header="0" w:footer="654" w:top="1500" w:bottom="1060" w:left="760" w:right="840"/>
        </w:sectPr>
      </w:pPr>
    </w:p>
    <w:p>
      <w:pPr>
        <w:pStyle w:val="BodyText"/>
        <w:spacing w:line="362" w:lineRule="auto" w:before="51"/>
        <w:ind w:left="658" w:right="402"/>
        <w:jc w:val="both"/>
      </w:pPr>
      <w:r>
        <w:rPr/>
        <w:t>de la implementación de sistemas que atrapan los contaminantes [Meléndez y Camacho, 2008; Rodríguez, et al., 2009].</w:t>
      </w:r>
    </w:p>
    <w:p>
      <w:pPr>
        <w:pStyle w:val="BodyText"/>
      </w:pPr>
    </w:p>
    <w:p>
      <w:pPr>
        <w:pStyle w:val="BodyText"/>
        <w:spacing w:line="360" w:lineRule="auto" w:before="139"/>
        <w:ind w:left="658" w:right="398"/>
        <w:jc w:val="both"/>
      </w:pPr>
      <w:r>
        <w:rPr/>
        <w:t>Esto dio lugar a cambiar los procesos anteriores por otros más eficientes, como el desarrollo de procesos de producción donde se logren disminuir o eliminar la generación de emisiones contaminantes, así como la producción de compuestos con mejores propiedades y que puedan ser reprocesados o biodegradados a sustancias inocuas para el medio ambiente [Meléndez y Camacho, 2008; Anastas y Warner, 2000].</w:t>
      </w:r>
    </w:p>
    <w:p>
      <w:pPr>
        <w:pStyle w:val="BodyText"/>
      </w:pPr>
    </w:p>
    <w:p>
      <w:pPr>
        <w:pStyle w:val="BodyText"/>
      </w:pPr>
    </w:p>
    <w:p>
      <w:pPr>
        <w:pStyle w:val="BodyText"/>
        <w:spacing w:before="1"/>
      </w:pPr>
    </w:p>
    <w:p>
      <w:pPr>
        <w:pStyle w:val="Heading5"/>
        <w:numPr>
          <w:ilvl w:val="1"/>
          <w:numId w:val="1"/>
        </w:numPr>
        <w:tabs>
          <w:tab w:pos="1504" w:val="left" w:leader="none"/>
        </w:tabs>
        <w:spacing w:line="240" w:lineRule="auto" w:before="1" w:after="0"/>
        <w:ind w:left="1503" w:right="0" w:hanging="485"/>
        <w:jc w:val="left"/>
      </w:pPr>
      <w:r>
        <w:rPr/>
        <w:t>PROBLEMÁTICA DE LA CONTAMINACIÓN DEL</w:t>
      </w:r>
      <w:r>
        <w:rPr>
          <w:spacing w:val="-16"/>
        </w:rPr>
        <w:t> </w:t>
      </w:r>
      <w:r>
        <w:rPr/>
        <w:t>AGUA</w:t>
      </w:r>
    </w:p>
    <w:p>
      <w:pPr>
        <w:pStyle w:val="BodyText"/>
        <w:spacing w:before="7"/>
        <w:rPr>
          <w:sz w:val="31"/>
        </w:rPr>
      </w:pPr>
    </w:p>
    <w:p>
      <w:pPr>
        <w:pStyle w:val="BodyText"/>
        <w:spacing w:line="360" w:lineRule="auto"/>
        <w:ind w:left="658" w:right="412"/>
        <w:jc w:val="both"/>
      </w:pPr>
      <w:r>
        <w:rPr/>
        <w:t>El agua pura es un recurso renovable; sin embargo puede llegar a estar tan contaminada por actividades humanas, y no ser útil sino nociva y de calidad deficiente.</w:t>
      </w:r>
    </w:p>
    <w:p>
      <w:pPr>
        <w:pStyle w:val="BodyText"/>
      </w:pPr>
    </w:p>
    <w:p>
      <w:pPr>
        <w:pStyle w:val="BodyText"/>
        <w:spacing w:line="360" w:lineRule="auto" w:before="142"/>
        <w:ind w:left="658" w:right="403"/>
        <w:jc w:val="both"/>
      </w:pPr>
      <w:r>
        <w:rPr/>
        <w:t>La naturaleza a través del ciclo del agua, realizaba una depuración adecuada para sucesivos usos; sin embargo, ya no tiene la capacidad suficiente para eliminar todas las sustancias y contaminantes que se vierten al agua [Morea 2005, Llena, 2011; Miranda 2006].</w:t>
      </w:r>
    </w:p>
    <w:p>
      <w:pPr>
        <w:pStyle w:val="BodyText"/>
      </w:pPr>
    </w:p>
    <w:p>
      <w:pPr>
        <w:pStyle w:val="BodyText"/>
        <w:spacing w:line="360" w:lineRule="auto" w:before="142"/>
        <w:ind w:left="658" w:right="400"/>
        <w:jc w:val="both"/>
      </w:pPr>
      <w:r>
        <w:rPr/>
        <w:t>Se considera que el agua está contaminada, cuando se ven alteradas sus propiedades químicas, biológicas y/o composición [Llena, 2011]. En general, el agua que está contaminada no cumple con los criterios de calidad para su consumo diario o para su utilización en actividades domésticas, industriales o agrícolas.</w:t>
      </w:r>
    </w:p>
    <w:p>
      <w:pPr>
        <w:pStyle w:val="BodyText"/>
      </w:pPr>
    </w:p>
    <w:p>
      <w:pPr>
        <w:pStyle w:val="BodyText"/>
        <w:spacing w:line="360" w:lineRule="auto" w:before="142"/>
        <w:ind w:left="658" w:right="400"/>
        <w:jc w:val="both"/>
      </w:pPr>
      <w:r>
        <w:rPr/>
        <w:t>El tratamiento de aguas residuales se ha convertido en problemática de interés para el mundo,</w:t>
      </w:r>
      <w:r>
        <w:rPr>
          <w:spacing w:val="-11"/>
        </w:rPr>
        <w:t> </w:t>
      </w:r>
      <w:r>
        <w:rPr/>
        <w:t>para</w:t>
      </w:r>
      <w:r>
        <w:rPr>
          <w:spacing w:val="-9"/>
        </w:rPr>
        <w:t> </w:t>
      </w:r>
      <w:r>
        <w:rPr/>
        <w:t>poder</w:t>
      </w:r>
      <w:r>
        <w:rPr>
          <w:spacing w:val="-10"/>
        </w:rPr>
        <w:t> </w:t>
      </w:r>
      <w:r>
        <w:rPr/>
        <w:t>darle</w:t>
      </w:r>
      <w:r>
        <w:rPr>
          <w:spacing w:val="-5"/>
        </w:rPr>
        <w:t> </w:t>
      </w:r>
      <w:r>
        <w:rPr/>
        <w:t>un</w:t>
      </w:r>
      <w:r>
        <w:rPr>
          <w:spacing w:val="-8"/>
        </w:rPr>
        <w:t> </w:t>
      </w:r>
      <w:r>
        <w:rPr/>
        <w:t>uso</w:t>
      </w:r>
      <w:r>
        <w:rPr>
          <w:spacing w:val="-8"/>
        </w:rPr>
        <w:t> </w:t>
      </w:r>
      <w:r>
        <w:rPr/>
        <w:t>adecuado</w:t>
      </w:r>
      <w:r>
        <w:rPr>
          <w:spacing w:val="-8"/>
        </w:rPr>
        <w:t> </w:t>
      </w:r>
      <w:r>
        <w:rPr/>
        <w:t>a</w:t>
      </w:r>
      <w:r>
        <w:rPr>
          <w:spacing w:val="-8"/>
        </w:rPr>
        <w:t> </w:t>
      </w:r>
      <w:r>
        <w:rPr/>
        <w:t>la</w:t>
      </w:r>
      <w:r>
        <w:rPr>
          <w:spacing w:val="-9"/>
        </w:rPr>
        <w:t> </w:t>
      </w:r>
      <w:r>
        <w:rPr/>
        <w:t>misma;</w:t>
      </w:r>
      <w:r>
        <w:rPr>
          <w:spacing w:val="-6"/>
        </w:rPr>
        <w:t> </w:t>
      </w:r>
      <w:r>
        <w:rPr/>
        <w:t>gracias</w:t>
      </w:r>
      <w:r>
        <w:rPr>
          <w:spacing w:val="-9"/>
        </w:rPr>
        <w:t> </w:t>
      </w:r>
      <w:r>
        <w:rPr/>
        <w:t>a</w:t>
      </w:r>
      <w:r>
        <w:rPr>
          <w:spacing w:val="-8"/>
        </w:rPr>
        <w:t> </w:t>
      </w:r>
      <w:r>
        <w:rPr/>
        <w:t>esto</w:t>
      </w:r>
      <w:r>
        <w:rPr>
          <w:spacing w:val="-8"/>
        </w:rPr>
        <w:t> </w:t>
      </w:r>
      <w:r>
        <w:rPr/>
        <w:t>se</w:t>
      </w:r>
      <w:r>
        <w:rPr>
          <w:spacing w:val="-8"/>
        </w:rPr>
        <w:t> </w:t>
      </w:r>
      <w:r>
        <w:rPr/>
        <w:t>ha</w:t>
      </w:r>
      <w:r>
        <w:rPr>
          <w:spacing w:val="-8"/>
        </w:rPr>
        <w:t> </w:t>
      </w:r>
      <w:r>
        <w:rPr/>
        <w:t>estudiado</w:t>
      </w:r>
      <w:r>
        <w:rPr>
          <w:spacing w:val="-11"/>
        </w:rPr>
        <w:t> </w:t>
      </w:r>
      <w:r>
        <w:rPr/>
        <w:t>más y más la protección rigurosa del agua y del medio ambiente monitoreando </w:t>
      </w:r>
      <w:r>
        <w:rPr>
          <w:spacing w:val="3"/>
        </w:rPr>
        <w:t>así </w:t>
      </w:r>
      <w:r>
        <w:rPr/>
        <w:t>la calidad del agua por medio del análisis de diversos parámetros. Entre ellos se encuentra el de la demanda química de oxígeno (DQO), el cual es uno de los parámetros más importantes para asegurar la calidad del agua y controlar la contaminación, además de ser un método rápido</w:t>
      </w:r>
      <w:r>
        <w:rPr>
          <w:spacing w:val="30"/>
        </w:rPr>
        <w:t> </w:t>
      </w:r>
      <w:r>
        <w:rPr/>
        <w:t>y</w:t>
      </w:r>
      <w:r>
        <w:rPr>
          <w:spacing w:val="27"/>
        </w:rPr>
        <w:t> </w:t>
      </w:r>
      <w:r>
        <w:rPr/>
        <w:t>sencillo</w:t>
      </w:r>
      <w:r>
        <w:rPr>
          <w:spacing w:val="29"/>
        </w:rPr>
        <w:t> </w:t>
      </w:r>
      <w:r>
        <w:rPr/>
        <w:t>[Rodríguez,</w:t>
      </w:r>
      <w:r>
        <w:rPr>
          <w:spacing w:val="29"/>
        </w:rPr>
        <w:t> </w:t>
      </w:r>
      <w:r>
        <w:rPr/>
        <w:t>et</w:t>
      </w:r>
      <w:r>
        <w:rPr>
          <w:spacing w:val="29"/>
        </w:rPr>
        <w:t> </w:t>
      </w:r>
      <w:r>
        <w:rPr/>
        <w:t>al.,</w:t>
      </w:r>
      <w:r>
        <w:rPr>
          <w:spacing w:val="29"/>
        </w:rPr>
        <w:t> </w:t>
      </w:r>
      <w:r>
        <w:rPr/>
        <w:t>2009;</w:t>
      </w:r>
      <w:r>
        <w:rPr>
          <w:spacing w:val="33"/>
        </w:rPr>
        <w:t> </w:t>
      </w:r>
      <w:r>
        <w:rPr/>
        <w:t>Vyrides</w:t>
      </w:r>
      <w:r>
        <w:rPr>
          <w:spacing w:val="30"/>
        </w:rPr>
        <w:t> </w:t>
      </w:r>
      <w:r>
        <w:rPr/>
        <w:t>y</w:t>
      </w:r>
      <w:r>
        <w:rPr>
          <w:spacing w:val="27"/>
        </w:rPr>
        <w:t> </w:t>
      </w:r>
      <w:r>
        <w:rPr/>
        <w:t>Stuckey,</w:t>
      </w:r>
      <w:r>
        <w:rPr>
          <w:spacing w:val="29"/>
        </w:rPr>
        <w:t> </w:t>
      </w:r>
      <w:r>
        <w:rPr/>
        <w:t>2009;</w:t>
      </w:r>
      <w:r>
        <w:rPr>
          <w:spacing w:val="29"/>
        </w:rPr>
        <w:t> </w:t>
      </w:r>
      <w:r>
        <w:rPr/>
        <w:t>Zhang,</w:t>
      </w:r>
      <w:r>
        <w:rPr>
          <w:spacing w:val="33"/>
        </w:rPr>
        <w:t> </w:t>
      </w:r>
      <w:r>
        <w:rPr/>
        <w:t>et</w:t>
      </w:r>
      <w:r>
        <w:rPr>
          <w:spacing w:val="27"/>
        </w:rPr>
        <w:t> </w:t>
      </w:r>
      <w:r>
        <w:rPr/>
        <w:t>al,</w:t>
      </w:r>
      <w:r>
        <w:rPr>
          <w:spacing w:val="30"/>
        </w:rPr>
        <w:t> </w:t>
      </w:r>
      <w:r>
        <w:rPr/>
        <w:t>2009;</w:t>
      </w:r>
    </w:p>
    <w:p>
      <w:pPr>
        <w:spacing w:after="0" w:line="360" w:lineRule="auto"/>
        <w:jc w:val="both"/>
        <w:sectPr>
          <w:pgSz w:w="12240" w:h="15840"/>
          <w:pgMar w:header="0" w:footer="654" w:top="1080" w:bottom="1060" w:left="760" w:right="840"/>
        </w:sectPr>
      </w:pPr>
    </w:p>
    <w:p>
      <w:pPr>
        <w:pStyle w:val="BodyText"/>
        <w:spacing w:line="362" w:lineRule="auto" w:before="51"/>
        <w:ind w:left="658" w:right="403"/>
        <w:jc w:val="both"/>
      </w:pPr>
      <w:r>
        <w:rPr/>
        <w:t>Domini, et al, 2009; Raposo, et al, 2008; Su, et al, 2007; Sousa, 2007; Li, et al, 2006; Zhu, et al, 2006; Li, et al, 2005; Ai, et al, 2004; Canals, et al., 2002; Boyles, 1997].</w:t>
      </w:r>
    </w:p>
    <w:p>
      <w:pPr>
        <w:pStyle w:val="BodyText"/>
      </w:pPr>
    </w:p>
    <w:p>
      <w:pPr>
        <w:pStyle w:val="BodyText"/>
        <w:spacing w:line="360" w:lineRule="auto" w:before="139"/>
        <w:ind w:left="658" w:right="403"/>
        <w:jc w:val="both"/>
      </w:pPr>
      <w:r>
        <w:rPr/>
        <w:t>A pesar del control y prevención que se persigue en muchos países, se reportan aguas contaminadas con materia microbiológica, materia orgánica, inorgánica, etc., lo que hace que</w:t>
      </w:r>
      <w:r>
        <w:rPr>
          <w:spacing w:val="-5"/>
        </w:rPr>
        <w:t> </w:t>
      </w:r>
      <w:r>
        <w:rPr/>
        <w:t>la</w:t>
      </w:r>
      <w:r>
        <w:rPr>
          <w:spacing w:val="-5"/>
        </w:rPr>
        <w:t> </w:t>
      </w:r>
      <w:r>
        <w:rPr/>
        <w:t>calidad</w:t>
      </w:r>
      <w:r>
        <w:rPr>
          <w:spacing w:val="-5"/>
        </w:rPr>
        <w:t> </w:t>
      </w:r>
      <w:r>
        <w:rPr/>
        <w:t>del</w:t>
      </w:r>
      <w:r>
        <w:rPr>
          <w:spacing w:val="-6"/>
        </w:rPr>
        <w:t> </w:t>
      </w:r>
      <w:r>
        <w:rPr/>
        <w:t>agua</w:t>
      </w:r>
      <w:r>
        <w:rPr>
          <w:spacing w:val="-7"/>
        </w:rPr>
        <w:t> </w:t>
      </w:r>
      <w:r>
        <w:rPr/>
        <w:t>no</w:t>
      </w:r>
      <w:r>
        <w:rPr>
          <w:spacing w:val="-5"/>
        </w:rPr>
        <w:t> </w:t>
      </w:r>
      <w:r>
        <w:rPr/>
        <w:t>sea</w:t>
      </w:r>
      <w:r>
        <w:rPr>
          <w:spacing w:val="-5"/>
        </w:rPr>
        <w:t> </w:t>
      </w:r>
      <w:r>
        <w:rPr/>
        <w:t>la</w:t>
      </w:r>
      <w:r>
        <w:rPr>
          <w:spacing w:val="-5"/>
        </w:rPr>
        <w:t> </w:t>
      </w:r>
      <w:r>
        <w:rPr/>
        <w:t>deseada.</w:t>
      </w:r>
      <w:r>
        <w:rPr>
          <w:spacing w:val="-5"/>
        </w:rPr>
        <w:t> </w:t>
      </w:r>
      <w:r>
        <w:rPr/>
        <w:t>Si</w:t>
      </w:r>
      <w:r>
        <w:rPr>
          <w:spacing w:val="-9"/>
        </w:rPr>
        <w:t> </w:t>
      </w:r>
      <w:r>
        <w:rPr/>
        <w:t>bien</w:t>
      </w:r>
      <w:r>
        <w:rPr>
          <w:spacing w:val="-4"/>
        </w:rPr>
        <w:t> </w:t>
      </w:r>
      <w:r>
        <w:rPr/>
        <w:t>muchos</w:t>
      </w:r>
      <w:r>
        <w:rPr>
          <w:spacing w:val="-8"/>
        </w:rPr>
        <w:t> </w:t>
      </w:r>
      <w:r>
        <w:rPr/>
        <w:t>países</w:t>
      </w:r>
      <w:r>
        <w:rPr>
          <w:spacing w:val="-6"/>
        </w:rPr>
        <w:t> </w:t>
      </w:r>
      <w:r>
        <w:rPr/>
        <w:t>tienen</w:t>
      </w:r>
      <w:r>
        <w:rPr>
          <w:spacing w:val="-5"/>
        </w:rPr>
        <w:t> </w:t>
      </w:r>
      <w:r>
        <w:rPr/>
        <w:t>agua</w:t>
      </w:r>
      <w:r>
        <w:rPr>
          <w:spacing w:val="-7"/>
        </w:rPr>
        <w:t> </w:t>
      </w:r>
      <w:r>
        <w:rPr/>
        <w:t>en</w:t>
      </w:r>
      <w:r>
        <w:rPr>
          <w:spacing w:val="-5"/>
        </w:rPr>
        <w:t> </w:t>
      </w:r>
      <w:r>
        <w:rPr/>
        <w:t>grandes cantidades,</w:t>
      </w:r>
      <w:r>
        <w:rPr>
          <w:spacing w:val="-7"/>
        </w:rPr>
        <w:t> </w:t>
      </w:r>
      <w:r>
        <w:rPr/>
        <w:t>el</w:t>
      </w:r>
      <w:r>
        <w:rPr>
          <w:spacing w:val="-8"/>
        </w:rPr>
        <w:t> </w:t>
      </w:r>
      <w:r>
        <w:rPr/>
        <w:t>aumento</w:t>
      </w:r>
      <w:r>
        <w:rPr>
          <w:spacing w:val="-5"/>
        </w:rPr>
        <w:t> </w:t>
      </w:r>
      <w:r>
        <w:rPr/>
        <w:t>poblacional,</w:t>
      </w:r>
      <w:r>
        <w:rPr>
          <w:spacing w:val="-5"/>
        </w:rPr>
        <w:t> </w:t>
      </w:r>
      <w:r>
        <w:rPr/>
        <w:t>la</w:t>
      </w:r>
      <w:r>
        <w:rPr>
          <w:spacing w:val="-7"/>
        </w:rPr>
        <w:t> </w:t>
      </w:r>
      <w:r>
        <w:rPr/>
        <w:t>contaminación</w:t>
      </w:r>
      <w:r>
        <w:rPr>
          <w:spacing w:val="-5"/>
        </w:rPr>
        <w:t> </w:t>
      </w:r>
      <w:r>
        <w:rPr/>
        <w:t>de</w:t>
      </w:r>
      <w:r>
        <w:rPr>
          <w:spacing w:val="-5"/>
        </w:rPr>
        <w:t> </w:t>
      </w:r>
      <w:r>
        <w:rPr/>
        <w:t>las</w:t>
      </w:r>
      <w:r>
        <w:rPr>
          <w:spacing w:val="-7"/>
        </w:rPr>
        <w:t> </w:t>
      </w:r>
      <w:r>
        <w:rPr/>
        <w:t>industrias,</w:t>
      </w:r>
      <w:r>
        <w:rPr>
          <w:spacing w:val="-5"/>
        </w:rPr>
        <w:t> </w:t>
      </w:r>
      <w:r>
        <w:rPr/>
        <w:t>el</w:t>
      </w:r>
      <w:r>
        <w:rPr>
          <w:spacing w:val="-6"/>
        </w:rPr>
        <w:t> </w:t>
      </w:r>
      <w:r>
        <w:rPr/>
        <w:t>uso</w:t>
      </w:r>
      <w:r>
        <w:rPr>
          <w:spacing w:val="-7"/>
        </w:rPr>
        <w:t> </w:t>
      </w:r>
      <w:r>
        <w:rPr/>
        <w:t>excesivo</w:t>
      </w:r>
      <w:r>
        <w:rPr>
          <w:spacing w:val="-5"/>
        </w:rPr>
        <w:t> </w:t>
      </w:r>
      <w:r>
        <w:rPr/>
        <w:t>de agroquímicos, la falta de tratamiento de aguas negras y la erosión de suelos por deforestación hacen que este recurso sea escaso [Rodríguez, et al., 2009; Benavides, et al., 2008; Malato, et al.,</w:t>
      </w:r>
      <w:r>
        <w:rPr>
          <w:spacing w:val="-11"/>
        </w:rPr>
        <w:t> </w:t>
      </w:r>
      <w:r>
        <w:rPr/>
        <w:t>2003].</w:t>
      </w:r>
    </w:p>
    <w:p>
      <w:pPr>
        <w:pStyle w:val="BodyText"/>
      </w:pPr>
    </w:p>
    <w:p>
      <w:pPr>
        <w:pStyle w:val="BodyText"/>
        <w:spacing w:line="360" w:lineRule="auto" w:before="142"/>
        <w:ind w:left="658" w:right="403"/>
        <w:jc w:val="both"/>
      </w:pPr>
      <w:r>
        <w:rPr/>
        <w:t>Dentro</w:t>
      </w:r>
      <w:r>
        <w:rPr>
          <w:spacing w:val="-9"/>
        </w:rPr>
        <w:t> </w:t>
      </w:r>
      <w:r>
        <w:rPr/>
        <w:t>de</w:t>
      </w:r>
      <w:r>
        <w:rPr>
          <w:spacing w:val="-8"/>
        </w:rPr>
        <w:t> </w:t>
      </w:r>
      <w:r>
        <w:rPr/>
        <w:t>las</w:t>
      </w:r>
      <w:r>
        <w:rPr>
          <w:spacing w:val="-9"/>
        </w:rPr>
        <w:t> </w:t>
      </w:r>
      <w:r>
        <w:rPr/>
        <w:t>aguas</w:t>
      </w:r>
      <w:r>
        <w:rPr>
          <w:spacing w:val="-9"/>
        </w:rPr>
        <w:t> </w:t>
      </w:r>
      <w:r>
        <w:rPr/>
        <w:t>contaminadas,</w:t>
      </w:r>
      <w:r>
        <w:rPr>
          <w:spacing w:val="-9"/>
        </w:rPr>
        <w:t> </w:t>
      </w:r>
      <w:r>
        <w:rPr/>
        <w:t>se</w:t>
      </w:r>
      <w:r>
        <w:rPr>
          <w:spacing w:val="-8"/>
        </w:rPr>
        <w:t> </w:t>
      </w:r>
      <w:r>
        <w:rPr/>
        <w:t>encuentran</w:t>
      </w:r>
      <w:r>
        <w:rPr>
          <w:spacing w:val="-8"/>
        </w:rPr>
        <w:t> </w:t>
      </w:r>
      <w:r>
        <w:rPr/>
        <w:t>las</w:t>
      </w:r>
      <w:r>
        <w:rPr>
          <w:spacing w:val="-9"/>
        </w:rPr>
        <w:t> </w:t>
      </w:r>
      <w:r>
        <w:rPr/>
        <w:t>de</w:t>
      </w:r>
      <w:r>
        <w:rPr>
          <w:spacing w:val="-8"/>
        </w:rPr>
        <w:t> </w:t>
      </w:r>
      <w:r>
        <w:rPr/>
        <w:t>tipo</w:t>
      </w:r>
      <w:r>
        <w:rPr>
          <w:spacing w:val="-8"/>
        </w:rPr>
        <w:t> </w:t>
      </w:r>
      <w:r>
        <w:rPr/>
        <w:t>residual,</w:t>
      </w:r>
      <w:r>
        <w:rPr>
          <w:spacing w:val="-9"/>
        </w:rPr>
        <w:t> </w:t>
      </w:r>
      <w:r>
        <w:rPr/>
        <w:t>que</w:t>
      </w:r>
      <w:r>
        <w:rPr>
          <w:spacing w:val="-8"/>
        </w:rPr>
        <w:t> </w:t>
      </w:r>
      <w:r>
        <w:rPr/>
        <w:t>se</w:t>
      </w:r>
      <w:r>
        <w:rPr>
          <w:spacing w:val="-8"/>
        </w:rPr>
        <w:t> </w:t>
      </w:r>
      <w:r>
        <w:rPr/>
        <w:t>define</w:t>
      </w:r>
      <w:r>
        <w:rPr>
          <w:spacing w:val="-8"/>
        </w:rPr>
        <w:t> </w:t>
      </w:r>
      <w:r>
        <w:rPr/>
        <w:t>como una combinación de líquidos y residuos que se incorporan al agua. Las aguas residuales pueden tener origen doméstico, industrial, subterráneo o meteorológico y reciben los siguientes nombres respectivamente: domésticas, industriales, de infiltración y pluviales [Lena, 2011; Gala y Gómez, 2005; Miranda,</w:t>
      </w:r>
      <w:r>
        <w:rPr>
          <w:spacing w:val="-27"/>
        </w:rPr>
        <w:t> </w:t>
      </w:r>
      <w:r>
        <w:rPr/>
        <w:t>2006].</w:t>
      </w:r>
    </w:p>
    <w:p>
      <w:pPr>
        <w:pStyle w:val="BodyText"/>
      </w:pPr>
    </w:p>
    <w:p>
      <w:pPr>
        <w:pStyle w:val="BodyText"/>
      </w:pPr>
    </w:p>
    <w:p>
      <w:pPr>
        <w:pStyle w:val="BodyText"/>
        <w:spacing w:before="2"/>
        <w:rPr>
          <w:sz w:val="30"/>
        </w:rPr>
      </w:pPr>
    </w:p>
    <w:p>
      <w:pPr>
        <w:pStyle w:val="Heading5"/>
        <w:numPr>
          <w:ilvl w:val="1"/>
          <w:numId w:val="1"/>
        </w:numPr>
        <w:tabs>
          <w:tab w:pos="1504" w:val="left" w:leader="none"/>
        </w:tabs>
        <w:spacing w:line="240" w:lineRule="auto" w:before="0" w:after="0"/>
        <w:ind w:left="1503" w:right="0" w:hanging="485"/>
        <w:jc w:val="left"/>
      </w:pPr>
      <w:r>
        <w:rPr/>
        <w:t>PARÁMETROS DE CALIDAD DEL</w:t>
      </w:r>
      <w:r>
        <w:rPr>
          <w:spacing w:val="-9"/>
        </w:rPr>
        <w:t> </w:t>
      </w:r>
      <w:r>
        <w:rPr/>
        <w:t>AGUA</w:t>
      </w:r>
    </w:p>
    <w:p>
      <w:pPr>
        <w:pStyle w:val="BodyText"/>
        <w:spacing w:before="7"/>
        <w:rPr>
          <w:sz w:val="31"/>
        </w:rPr>
      </w:pPr>
    </w:p>
    <w:p>
      <w:pPr>
        <w:pStyle w:val="BodyText"/>
        <w:spacing w:line="360" w:lineRule="auto"/>
        <w:ind w:left="658" w:right="400"/>
        <w:jc w:val="both"/>
      </w:pPr>
      <w:r>
        <w:rPr/>
        <w:t>Las</w:t>
      </w:r>
      <w:r>
        <w:rPr>
          <w:spacing w:val="-13"/>
        </w:rPr>
        <w:t> </w:t>
      </w:r>
      <w:r>
        <w:rPr/>
        <w:t>descargas</w:t>
      </w:r>
      <w:r>
        <w:rPr>
          <w:spacing w:val="-13"/>
        </w:rPr>
        <w:t> </w:t>
      </w:r>
      <w:r>
        <w:rPr/>
        <w:t>de</w:t>
      </w:r>
      <w:r>
        <w:rPr>
          <w:spacing w:val="-12"/>
        </w:rPr>
        <w:t> </w:t>
      </w:r>
      <w:r>
        <w:rPr/>
        <w:t>agua</w:t>
      </w:r>
      <w:r>
        <w:rPr>
          <w:spacing w:val="-12"/>
        </w:rPr>
        <w:t> </w:t>
      </w:r>
      <w:r>
        <w:rPr/>
        <w:t>industrial</w:t>
      </w:r>
      <w:r>
        <w:rPr>
          <w:spacing w:val="-13"/>
        </w:rPr>
        <w:t> </w:t>
      </w:r>
      <w:r>
        <w:rPr/>
        <w:t>de</w:t>
      </w:r>
      <w:r>
        <w:rPr>
          <w:spacing w:val="-12"/>
        </w:rPr>
        <w:t> </w:t>
      </w:r>
      <w:r>
        <w:rPr/>
        <w:t>servicios</w:t>
      </w:r>
      <w:r>
        <w:rPr>
          <w:spacing w:val="-13"/>
        </w:rPr>
        <w:t> </w:t>
      </w:r>
      <w:r>
        <w:rPr/>
        <w:t>o</w:t>
      </w:r>
      <w:r>
        <w:rPr>
          <w:spacing w:val="-12"/>
        </w:rPr>
        <w:t> </w:t>
      </w:r>
      <w:r>
        <w:rPr/>
        <w:t>comercios,</w:t>
      </w:r>
      <w:r>
        <w:rPr>
          <w:spacing w:val="-12"/>
        </w:rPr>
        <w:t> </w:t>
      </w:r>
      <w:r>
        <w:rPr/>
        <w:t>deben</w:t>
      </w:r>
      <w:r>
        <w:rPr>
          <w:spacing w:val="-14"/>
        </w:rPr>
        <w:t> </w:t>
      </w:r>
      <w:r>
        <w:rPr/>
        <w:t>de</w:t>
      </w:r>
      <w:r>
        <w:rPr>
          <w:spacing w:val="-12"/>
        </w:rPr>
        <w:t> </w:t>
      </w:r>
      <w:r>
        <w:rPr/>
        <w:t>cumplir</w:t>
      </w:r>
      <w:r>
        <w:rPr>
          <w:spacing w:val="-13"/>
        </w:rPr>
        <w:t> </w:t>
      </w:r>
      <w:r>
        <w:rPr/>
        <w:t>con</w:t>
      </w:r>
      <w:r>
        <w:rPr>
          <w:spacing w:val="-12"/>
        </w:rPr>
        <w:t> </w:t>
      </w:r>
      <w:r>
        <w:rPr/>
        <w:t>una</w:t>
      </w:r>
      <w:r>
        <w:rPr>
          <w:spacing w:val="-12"/>
        </w:rPr>
        <w:t> </w:t>
      </w:r>
      <w:r>
        <w:rPr/>
        <w:t>serie de</w:t>
      </w:r>
      <w:r>
        <w:rPr>
          <w:spacing w:val="-17"/>
        </w:rPr>
        <w:t> </w:t>
      </w:r>
      <w:r>
        <w:rPr/>
        <w:t>criterios</w:t>
      </w:r>
      <w:r>
        <w:rPr>
          <w:spacing w:val="-20"/>
        </w:rPr>
        <w:t> </w:t>
      </w:r>
      <w:r>
        <w:rPr/>
        <w:t>o</w:t>
      </w:r>
      <w:r>
        <w:rPr>
          <w:spacing w:val="-17"/>
        </w:rPr>
        <w:t> </w:t>
      </w:r>
      <w:r>
        <w:rPr/>
        <w:t>parámetros</w:t>
      </w:r>
      <w:r>
        <w:rPr>
          <w:spacing w:val="-17"/>
        </w:rPr>
        <w:t> </w:t>
      </w:r>
      <w:r>
        <w:rPr/>
        <w:t>de</w:t>
      </w:r>
      <w:r>
        <w:rPr>
          <w:spacing w:val="-19"/>
        </w:rPr>
        <w:t> </w:t>
      </w:r>
      <w:r>
        <w:rPr/>
        <w:t>calidad</w:t>
      </w:r>
      <w:r>
        <w:rPr>
          <w:spacing w:val="-17"/>
        </w:rPr>
        <w:t> </w:t>
      </w:r>
      <w:r>
        <w:rPr/>
        <w:t>de</w:t>
      </w:r>
      <w:r>
        <w:rPr>
          <w:spacing w:val="-17"/>
        </w:rPr>
        <w:t> </w:t>
      </w:r>
      <w:r>
        <w:rPr/>
        <w:t>acuerdo</w:t>
      </w:r>
      <w:r>
        <w:rPr>
          <w:spacing w:val="-17"/>
        </w:rPr>
        <w:t> </w:t>
      </w:r>
      <w:r>
        <w:rPr/>
        <w:t>a</w:t>
      </w:r>
      <w:r>
        <w:rPr>
          <w:spacing w:val="-19"/>
        </w:rPr>
        <w:t> </w:t>
      </w:r>
      <w:r>
        <w:rPr/>
        <w:t>la</w:t>
      </w:r>
      <w:r>
        <w:rPr>
          <w:spacing w:val="-17"/>
        </w:rPr>
        <w:t> </w:t>
      </w:r>
      <w:r>
        <w:rPr/>
        <w:t>normatividad</w:t>
      </w:r>
      <w:r>
        <w:rPr>
          <w:spacing w:val="-17"/>
        </w:rPr>
        <w:t> </w:t>
      </w:r>
      <w:r>
        <w:rPr/>
        <w:t>del</w:t>
      </w:r>
      <w:r>
        <w:rPr>
          <w:spacing w:val="-18"/>
        </w:rPr>
        <w:t> </w:t>
      </w:r>
      <w:r>
        <w:rPr/>
        <w:t>lugar</w:t>
      </w:r>
      <w:r>
        <w:rPr>
          <w:spacing w:val="-18"/>
        </w:rPr>
        <w:t> </w:t>
      </w:r>
      <w:r>
        <w:rPr/>
        <w:t>donde</w:t>
      </w:r>
      <w:r>
        <w:rPr>
          <w:spacing w:val="-17"/>
        </w:rPr>
        <w:t> </w:t>
      </w:r>
      <w:r>
        <w:rPr/>
        <w:t>se</w:t>
      </w:r>
      <w:r>
        <w:rPr>
          <w:spacing w:val="-19"/>
        </w:rPr>
        <w:t> </w:t>
      </w:r>
      <w:r>
        <w:rPr/>
        <w:t>realice ésta;</w:t>
      </w:r>
      <w:r>
        <w:rPr>
          <w:spacing w:val="-9"/>
        </w:rPr>
        <w:t> </w:t>
      </w:r>
      <w:r>
        <w:rPr/>
        <w:t>los</w:t>
      </w:r>
      <w:r>
        <w:rPr>
          <w:spacing w:val="-11"/>
        </w:rPr>
        <w:t> </w:t>
      </w:r>
      <w:r>
        <w:rPr/>
        <w:t>más</w:t>
      </w:r>
      <w:r>
        <w:rPr>
          <w:spacing w:val="-9"/>
        </w:rPr>
        <w:t> </w:t>
      </w:r>
      <w:r>
        <w:rPr/>
        <w:t>comunes</w:t>
      </w:r>
      <w:r>
        <w:rPr>
          <w:spacing w:val="-12"/>
        </w:rPr>
        <w:t> </w:t>
      </w:r>
      <w:r>
        <w:rPr/>
        <w:t>se</w:t>
      </w:r>
      <w:r>
        <w:rPr>
          <w:spacing w:val="-8"/>
        </w:rPr>
        <w:t> </w:t>
      </w:r>
      <w:r>
        <w:rPr/>
        <w:t>presentan</w:t>
      </w:r>
      <w:r>
        <w:rPr>
          <w:spacing w:val="-7"/>
        </w:rPr>
        <w:t> </w:t>
      </w:r>
      <w:r>
        <w:rPr/>
        <w:t>más</w:t>
      </w:r>
      <w:r>
        <w:rPr>
          <w:spacing w:val="-12"/>
        </w:rPr>
        <w:t> </w:t>
      </w:r>
      <w:r>
        <w:rPr/>
        <w:t>adelante</w:t>
      </w:r>
      <w:r>
        <w:rPr>
          <w:spacing w:val="-8"/>
        </w:rPr>
        <w:t> </w:t>
      </w:r>
      <w:r>
        <w:rPr/>
        <w:t>en</w:t>
      </w:r>
      <w:r>
        <w:rPr>
          <w:spacing w:val="-6"/>
        </w:rPr>
        <w:t> </w:t>
      </w:r>
      <w:r>
        <w:rPr/>
        <w:t>el</w:t>
      </w:r>
      <w:r>
        <w:rPr>
          <w:spacing w:val="-10"/>
        </w:rPr>
        <w:t> </w:t>
      </w:r>
      <w:r>
        <w:rPr/>
        <w:t>apartado</w:t>
      </w:r>
      <w:r>
        <w:rPr>
          <w:spacing w:val="-8"/>
        </w:rPr>
        <w:t> </w:t>
      </w:r>
      <w:r>
        <w:rPr/>
        <w:t>de</w:t>
      </w:r>
      <w:r>
        <w:rPr>
          <w:spacing w:val="-11"/>
        </w:rPr>
        <w:t> </w:t>
      </w:r>
      <w:r>
        <w:rPr/>
        <w:t>anexos</w:t>
      </w:r>
      <w:r>
        <w:rPr>
          <w:spacing w:val="-8"/>
        </w:rPr>
        <w:t> </w:t>
      </w:r>
      <w:r>
        <w:rPr/>
        <w:t>(ver</w:t>
      </w:r>
      <w:r>
        <w:rPr>
          <w:spacing w:val="-10"/>
        </w:rPr>
        <w:t> </w:t>
      </w:r>
      <w:r>
        <w:rPr/>
        <w:t>anexo</w:t>
      </w:r>
      <w:r>
        <w:rPr>
          <w:spacing w:val="-8"/>
        </w:rPr>
        <w:t> </w:t>
      </w:r>
      <w:r>
        <w:rPr/>
        <w:t>1) [Metcalf y Eddy, 2003; Raposo, et al,  2008; Su, et al,</w:t>
      </w:r>
      <w:r>
        <w:rPr>
          <w:spacing w:val="39"/>
        </w:rPr>
        <w:t> </w:t>
      </w:r>
      <w:r>
        <w:rPr/>
        <w:t>2007].</w:t>
      </w:r>
    </w:p>
    <w:p>
      <w:pPr>
        <w:pStyle w:val="BodyText"/>
      </w:pPr>
    </w:p>
    <w:p>
      <w:pPr>
        <w:pStyle w:val="BodyText"/>
        <w:spacing w:line="360" w:lineRule="auto" w:before="142"/>
        <w:ind w:left="658" w:right="402"/>
        <w:jc w:val="both"/>
      </w:pPr>
      <w:r>
        <w:rPr/>
        <w:t>Entre los parámetros actualmente más usados para la evaluación de la calidad del agua residual, se puede encontrar a la DQO, el cual refleja el contenido de materia orgánica químicamente oxidable en agua [Ramalho, 2003; Jirka y Carter, 1975; Cañizares, et al, 2004a, 2006b; Sousa, et al, 2007; Domini, et al, 2009; Vyrides y Stuckey 2009], debido a que es una prueba rápida (2.5 a 3 h) sencilla y económica.</w:t>
      </w:r>
    </w:p>
    <w:p>
      <w:pPr>
        <w:pStyle w:val="BodyText"/>
      </w:pPr>
    </w:p>
    <w:p>
      <w:pPr>
        <w:pStyle w:val="BodyText"/>
        <w:spacing w:line="360" w:lineRule="auto" w:before="142"/>
        <w:ind w:left="658" w:right="400"/>
        <w:jc w:val="both"/>
      </w:pPr>
      <w:r>
        <w:rPr/>
        <w:t>Por ejemplo en una refresquera realizan aproximadamente alrededor de 30 pruebas de análisis de la DQO semana, generando 225 mL de residuos a la semana y por tanto </w:t>
      </w:r>
      <w:r>
        <w:rPr>
          <w:spacing w:val="64"/>
        </w:rPr>
        <w:t> </w:t>
      </w:r>
      <w:r>
        <w:rPr/>
        <w:t>900</w:t>
      </w:r>
    </w:p>
    <w:p>
      <w:pPr>
        <w:spacing w:after="0" w:line="360" w:lineRule="auto"/>
        <w:jc w:val="both"/>
        <w:sectPr>
          <w:pgSz w:w="12240" w:h="15840"/>
          <w:pgMar w:header="0" w:footer="654" w:top="1080" w:bottom="1060" w:left="760" w:right="840"/>
        </w:sectPr>
      </w:pPr>
    </w:p>
    <w:p>
      <w:pPr>
        <w:pStyle w:val="BodyText"/>
        <w:spacing w:before="51"/>
        <w:ind w:left="658"/>
        <w:jc w:val="both"/>
      </w:pPr>
      <w:r>
        <w:rPr/>
        <w:t>mL al mes.</w:t>
      </w:r>
    </w:p>
    <w:p>
      <w:pPr>
        <w:pStyle w:val="BodyText"/>
      </w:pPr>
    </w:p>
    <w:p>
      <w:pPr>
        <w:pStyle w:val="BodyText"/>
      </w:pPr>
    </w:p>
    <w:p>
      <w:pPr>
        <w:pStyle w:val="BodyText"/>
        <w:spacing w:line="360" w:lineRule="auto"/>
        <w:ind w:left="658" w:right="405"/>
        <w:jc w:val="both"/>
      </w:pPr>
      <w:r>
        <w:rPr/>
        <w:t>En una planta tratadora de agua residual, realizan alrededor de 250 determinaciones de DQO al mes, generando 1875 mL de residuos al mes, lo cual es demasiado, pues deben ser tratados posteriormente, por los agentes tóxicos que contienen.</w:t>
      </w:r>
    </w:p>
    <w:p>
      <w:pPr>
        <w:pStyle w:val="BodyText"/>
      </w:pPr>
    </w:p>
    <w:p>
      <w:pPr>
        <w:pStyle w:val="BodyText"/>
        <w:spacing w:line="360" w:lineRule="auto" w:before="142"/>
        <w:ind w:left="658" w:right="399"/>
        <w:jc w:val="both"/>
      </w:pPr>
      <w:r>
        <w:rPr/>
        <w:t>Finalmente en los laboratorios de ambiental del Centro Conjunto de Química Sustentable de la UAEMex-UNAM, se realizan alrededor de 280 análisis de DQO a la semana, generando 2100 mL de residuos a la semana (8.4 L al mes), (datos promedio tomados durante los años 2013-2014), que son entregados a una empresa externa para ser tratados, lo cual genera más gasto para la misma universidad.</w:t>
      </w:r>
    </w:p>
    <w:p>
      <w:pPr>
        <w:pStyle w:val="BodyText"/>
      </w:pPr>
    </w:p>
    <w:p>
      <w:pPr>
        <w:pStyle w:val="BodyText"/>
        <w:spacing w:line="360" w:lineRule="auto" w:before="142"/>
        <w:ind w:left="658" w:right="403"/>
        <w:jc w:val="both"/>
      </w:pPr>
      <w:r>
        <w:rPr/>
        <w:t>Es por ello que es de vital importancia mejorar la técnica de análisis de la DQO, primero para no utilizar agentes oxidantes tan tóxicos, tratar los residuos generados que son bastante tóxicos por contener mercurio y finalmente tratar de recuperar los metales minimizando el costo de la misma, al recuperar la plata utilizada para su reúso.</w:t>
      </w:r>
    </w:p>
    <w:p>
      <w:pPr>
        <w:pStyle w:val="BodyText"/>
      </w:pPr>
    </w:p>
    <w:p>
      <w:pPr>
        <w:pStyle w:val="BodyText"/>
        <w:spacing w:line="360" w:lineRule="auto" w:before="142"/>
        <w:ind w:left="658" w:right="401"/>
        <w:jc w:val="both"/>
      </w:pPr>
      <w:r>
        <w:rPr/>
        <w:t>Para ayudar a ello, se realizó una nueva metodología de la DQO, donde se disminuyeron las cantidades de soluciones adicionadas, logrando disminuir el volumen final de 7.5 mL a</w:t>
      </w:r>
    </w:p>
    <w:p>
      <w:pPr>
        <w:pStyle w:val="ListParagraph"/>
        <w:numPr>
          <w:ilvl w:val="1"/>
          <w:numId w:val="2"/>
        </w:numPr>
        <w:tabs>
          <w:tab w:pos="1083" w:val="left" w:leader="none"/>
        </w:tabs>
        <w:spacing w:line="360" w:lineRule="auto" w:before="5" w:after="0"/>
        <w:ind w:left="658" w:right="404" w:firstLine="0"/>
        <w:jc w:val="both"/>
        <w:rPr>
          <w:sz w:val="24"/>
        </w:rPr>
      </w:pPr>
      <w:r>
        <w:rPr>
          <w:sz w:val="24"/>
        </w:rPr>
        <w:t>mL; al mismo tiempo se disminuyó el tiempo de digestión de 2 h a 40 minutos. Los resultados fueron comparados con la técnica estandarizada y con el kit Hach ®, con un análisis estadístico, con lo cual se corrobora que los resultados obtenidos con la nueva metodología resultan confiables. Dichos resultados pueden observarse en el anexo</w:t>
      </w:r>
      <w:r>
        <w:rPr>
          <w:spacing w:val="-32"/>
          <w:sz w:val="24"/>
        </w:rPr>
        <w:t> </w:t>
      </w:r>
      <w:r>
        <w:rPr>
          <w:sz w:val="24"/>
        </w:rPr>
        <w:t>2.</w:t>
      </w:r>
    </w:p>
    <w:p>
      <w:pPr>
        <w:pStyle w:val="BodyText"/>
      </w:pPr>
    </w:p>
    <w:p>
      <w:pPr>
        <w:pStyle w:val="BodyText"/>
      </w:pPr>
    </w:p>
    <w:p>
      <w:pPr>
        <w:pStyle w:val="BodyText"/>
        <w:spacing w:before="11"/>
        <w:rPr>
          <w:sz w:val="23"/>
        </w:rPr>
      </w:pPr>
    </w:p>
    <w:p>
      <w:pPr>
        <w:pStyle w:val="ListParagraph"/>
        <w:numPr>
          <w:ilvl w:val="0"/>
          <w:numId w:val="1"/>
        </w:numPr>
        <w:tabs>
          <w:tab w:pos="1379" w:val="left" w:leader="none"/>
        </w:tabs>
        <w:spacing w:line="240" w:lineRule="auto" w:before="0" w:after="0"/>
        <w:ind w:left="1378" w:right="0" w:hanging="360"/>
        <w:jc w:val="left"/>
        <w:rPr>
          <w:b/>
          <w:sz w:val="32"/>
        </w:rPr>
      </w:pPr>
      <w:r>
        <w:rPr>
          <w:b/>
          <w:sz w:val="32"/>
        </w:rPr>
        <w:t>DEMANDA QUÍMICA DE OXÍGENO</w:t>
      </w:r>
      <w:r>
        <w:rPr>
          <w:b/>
          <w:spacing w:val="-10"/>
          <w:sz w:val="32"/>
        </w:rPr>
        <w:t> </w:t>
      </w:r>
      <w:r>
        <w:rPr>
          <w:b/>
          <w:sz w:val="32"/>
        </w:rPr>
        <w:t>(DQO)</w:t>
      </w:r>
    </w:p>
    <w:p>
      <w:pPr>
        <w:pStyle w:val="BodyText"/>
        <w:rPr>
          <w:b/>
          <w:sz w:val="32"/>
        </w:rPr>
      </w:pPr>
    </w:p>
    <w:p>
      <w:pPr>
        <w:pStyle w:val="BodyText"/>
        <w:spacing w:before="8"/>
        <w:rPr>
          <w:b/>
          <w:sz w:val="37"/>
        </w:rPr>
      </w:pPr>
    </w:p>
    <w:p>
      <w:pPr>
        <w:pStyle w:val="BodyText"/>
        <w:spacing w:line="360" w:lineRule="auto"/>
        <w:ind w:left="658" w:right="400"/>
        <w:jc w:val="both"/>
      </w:pPr>
      <w:r>
        <w:rPr/>
        <w:t>La demanda química de oxígeno (DQO) es un parámetro ampliamente utilizado para controlar</w:t>
      </w:r>
      <w:r>
        <w:rPr>
          <w:spacing w:val="-6"/>
        </w:rPr>
        <w:t> </w:t>
      </w:r>
      <w:r>
        <w:rPr/>
        <w:t>el</w:t>
      </w:r>
      <w:r>
        <w:rPr>
          <w:spacing w:val="-6"/>
        </w:rPr>
        <w:t> </w:t>
      </w:r>
      <w:r>
        <w:rPr/>
        <w:t>grado</w:t>
      </w:r>
      <w:r>
        <w:rPr>
          <w:spacing w:val="-5"/>
        </w:rPr>
        <w:t> </w:t>
      </w:r>
      <w:r>
        <w:rPr/>
        <w:t>de</w:t>
      </w:r>
      <w:r>
        <w:rPr>
          <w:spacing w:val="-7"/>
        </w:rPr>
        <w:t> </w:t>
      </w:r>
      <w:r>
        <w:rPr/>
        <w:t>calidad</w:t>
      </w:r>
      <w:r>
        <w:rPr>
          <w:spacing w:val="-7"/>
        </w:rPr>
        <w:t> </w:t>
      </w:r>
      <w:r>
        <w:rPr/>
        <w:t>del</w:t>
      </w:r>
      <w:r>
        <w:rPr>
          <w:spacing w:val="-6"/>
        </w:rPr>
        <w:t> </w:t>
      </w:r>
      <w:r>
        <w:rPr/>
        <w:t>agua,</w:t>
      </w:r>
      <w:r>
        <w:rPr>
          <w:spacing w:val="-5"/>
        </w:rPr>
        <w:t> </w:t>
      </w:r>
      <w:r>
        <w:rPr/>
        <w:t>permite</w:t>
      </w:r>
      <w:r>
        <w:rPr>
          <w:spacing w:val="-5"/>
        </w:rPr>
        <w:t> </w:t>
      </w:r>
      <w:r>
        <w:rPr/>
        <w:t>evaluar</w:t>
      </w:r>
      <w:r>
        <w:rPr>
          <w:spacing w:val="-6"/>
        </w:rPr>
        <w:t> </w:t>
      </w:r>
      <w:r>
        <w:rPr/>
        <w:t>la</w:t>
      </w:r>
      <w:r>
        <w:rPr>
          <w:spacing w:val="-5"/>
        </w:rPr>
        <w:t> </w:t>
      </w:r>
      <w:r>
        <w:rPr/>
        <w:t>cantidad</w:t>
      </w:r>
      <w:r>
        <w:rPr>
          <w:spacing w:val="-5"/>
        </w:rPr>
        <w:t> </w:t>
      </w:r>
      <w:r>
        <w:rPr/>
        <w:t>de</w:t>
      </w:r>
      <w:r>
        <w:rPr>
          <w:spacing w:val="-5"/>
        </w:rPr>
        <w:t> </w:t>
      </w:r>
      <w:r>
        <w:rPr/>
        <w:t>materia</w:t>
      </w:r>
      <w:r>
        <w:rPr>
          <w:spacing w:val="-7"/>
        </w:rPr>
        <w:t> </w:t>
      </w:r>
      <w:r>
        <w:rPr/>
        <w:t>oxidable</w:t>
      </w:r>
      <w:r>
        <w:rPr>
          <w:spacing w:val="-5"/>
        </w:rPr>
        <w:t> </w:t>
      </w:r>
      <w:r>
        <w:rPr/>
        <w:t>por medio de la oxidación de materia orgánica [Domini, 2009; Li, et al., 2003; Li, et </w:t>
      </w:r>
      <w:r>
        <w:rPr>
          <w:spacing w:val="2"/>
        </w:rPr>
        <w:t>al., </w:t>
      </w:r>
      <w:r>
        <w:rPr/>
        <w:t>2005; Ramon, y Del Valle., 2003; Raposo, et al., 2008; Benavides, et al., 2008; Hincapié-Mejía, et al., 2011; Teran, 2016]. Esta        </w:t>
      </w:r>
      <w:r>
        <w:rPr>
          <w:spacing w:val="3"/>
        </w:rPr>
        <w:t> </w:t>
      </w:r>
      <w:r>
        <w:rPr/>
        <w:t>materia orgánica en condiciones naturales puede ser</w:t>
      </w:r>
    </w:p>
    <w:p>
      <w:pPr>
        <w:spacing w:after="0" w:line="360" w:lineRule="auto"/>
        <w:jc w:val="both"/>
        <w:sectPr>
          <w:pgSz w:w="12240" w:h="15840"/>
          <w:pgMar w:header="0" w:footer="654" w:top="1080" w:bottom="1060" w:left="760" w:right="840"/>
        </w:sectPr>
      </w:pPr>
    </w:p>
    <w:p>
      <w:pPr>
        <w:pStyle w:val="BodyText"/>
        <w:spacing w:line="360" w:lineRule="auto" w:before="50"/>
        <w:ind w:left="658" w:right="398"/>
        <w:jc w:val="both"/>
      </w:pPr>
      <w:r>
        <w:rPr>
          <w:position w:val="1"/>
        </w:rPr>
        <w:t>biodegradada lentamente (oxidada) a CO</w:t>
      </w:r>
      <w:r>
        <w:rPr>
          <w:sz w:val="16"/>
        </w:rPr>
        <w:t>2 </w:t>
      </w:r>
      <w:r>
        <w:rPr>
          <w:position w:val="1"/>
        </w:rPr>
        <w:t>y H</w:t>
      </w:r>
      <w:r>
        <w:rPr>
          <w:sz w:val="16"/>
        </w:rPr>
        <w:t>2</w:t>
      </w:r>
      <w:r>
        <w:rPr>
          <w:position w:val="1"/>
        </w:rPr>
        <w:t>O mediante un proceso que puede tardar </w:t>
      </w:r>
      <w:r>
        <w:rPr/>
        <w:t>desde unos poco días hasta millones de años, dependiendo de las características de la materia orgánica presente y de las condiciones ambientales. En las pruebas de la técnica de la DQO se acelera artificialmente el proceso de biodegradación </w:t>
      </w:r>
      <w:r>
        <w:rPr>
          <w:spacing w:val="2"/>
        </w:rPr>
        <w:t>que </w:t>
      </w:r>
      <w:r>
        <w:rPr/>
        <w:t>realizan los microorganismos, mediante un proceso de oxidación forzada, utilizando oxidantes químicos</w:t>
      </w:r>
      <w:r>
        <w:rPr>
          <w:spacing w:val="-5"/>
        </w:rPr>
        <w:t> </w:t>
      </w:r>
      <w:r>
        <w:rPr/>
        <w:t>y</w:t>
      </w:r>
      <w:r>
        <w:rPr>
          <w:spacing w:val="-8"/>
        </w:rPr>
        <w:t> </w:t>
      </w:r>
      <w:r>
        <w:rPr/>
        <w:t>métodos</w:t>
      </w:r>
      <w:r>
        <w:rPr>
          <w:spacing w:val="-5"/>
        </w:rPr>
        <w:t> </w:t>
      </w:r>
      <w:r>
        <w:rPr/>
        <w:t>debidamente</w:t>
      </w:r>
      <w:r>
        <w:rPr>
          <w:spacing w:val="-7"/>
        </w:rPr>
        <w:t> </w:t>
      </w:r>
      <w:r>
        <w:rPr/>
        <w:t>estandarizados</w:t>
      </w:r>
      <w:r>
        <w:rPr>
          <w:spacing w:val="-5"/>
        </w:rPr>
        <w:t> </w:t>
      </w:r>
      <w:r>
        <w:rPr/>
        <w:t>[Raposo</w:t>
      </w:r>
      <w:r>
        <w:rPr>
          <w:spacing w:val="-5"/>
        </w:rPr>
        <w:t> </w:t>
      </w:r>
      <w:r>
        <w:rPr/>
        <w:t>et</w:t>
      </w:r>
      <w:r>
        <w:rPr>
          <w:spacing w:val="-5"/>
        </w:rPr>
        <w:t> </w:t>
      </w:r>
      <w:r>
        <w:rPr/>
        <w:t>al,</w:t>
      </w:r>
      <w:r>
        <w:rPr>
          <w:spacing w:val="-5"/>
        </w:rPr>
        <w:t> </w:t>
      </w:r>
      <w:r>
        <w:rPr/>
        <w:t>2008].</w:t>
      </w:r>
      <w:r>
        <w:rPr>
          <w:spacing w:val="-5"/>
        </w:rPr>
        <w:t> </w:t>
      </w:r>
      <w:r>
        <w:rPr/>
        <w:t>Este</w:t>
      </w:r>
      <w:r>
        <w:rPr>
          <w:spacing w:val="-4"/>
        </w:rPr>
        <w:t> </w:t>
      </w:r>
      <w:r>
        <w:rPr/>
        <w:t>parámetro</w:t>
      </w:r>
      <w:r>
        <w:rPr>
          <w:spacing w:val="-5"/>
        </w:rPr>
        <w:t> </w:t>
      </w:r>
      <w:r>
        <w:rPr/>
        <w:t>se define</w:t>
      </w:r>
      <w:r>
        <w:rPr>
          <w:spacing w:val="-6"/>
        </w:rPr>
        <w:t> </w:t>
      </w:r>
      <w:r>
        <w:rPr/>
        <w:t>como</w:t>
      </w:r>
      <w:r>
        <w:rPr>
          <w:spacing w:val="-6"/>
        </w:rPr>
        <w:t> </w:t>
      </w:r>
      <w:r>
        <w:rPr/>
        <w:t>la</w:t>
      </w:r>
      <w:r>
        <w:rPr>
          <w:spacing w:val="-6"/>
        </w:rPr>
        <w:t> </w:t>
      </w:r>
      <w:r>
        <w:rPr/>
        <w:t>cantidad</w:t>
      </w:r>
      <w:r>
        <w:rPr>
          <w:spacing w:val="-6"/>
        </w:rPr>
        <w:t> </w:t>
      </w:r>
      <w:r>
        <w:rPr/>
        <w:t>de</w:t>
      </w:r>
      <w:r>
        <w:rPr>
          <w:spacing w:val="-6"/>
        </w:rPr>
        <w:t> </w:t>
      </w:r>
      <w:r>
        <w:rPr/>
        <w:t>oxígeno</w:t>
      </w:r>
      <w:r>
        <w:rPr>
          <w:spacing w:val="-6"/>
        </w:rPr>
        <w:t> </w:t>
      </w:r>
      <w:r>
        <w:rPr/>
        <w:t>necesario,</w:t>
      </w:r>
      <w:r>
        <w:rPr>
          <w:spacing w:val="-6"/>
        </w:rPr>
        <w:t> </w:t>
      </w:r>
      <w:r>
        <w:rPr/>
        <w:t>o</w:t>
      </w:r>
      <w:r>
        <w:rPr>
          <w:spacing w:val="-6"/>
        </w:rPr>
        <w:t> </w:t>
      </w:r>
      <w:r>
        <w:rPr/>
        <w:t>equivalente,</w:t>
      </w:r>
      <w:r>
        <w:rPr>
          <w:spacing w:val="-6"/>
        </w:rPr>
        <w:t> </w:t>
      </w:r>
      <w:r>
        <w:rPr/>
        <w:t>para</w:t>
      </w:r>
      <w:r>
        <w:rPr>
          <w:spacing w:val="-7"/>
        </w:rPr>
        <w:t> </w:t>
      </w:r>
      <w:r>
        <w:rPr/>
        <w:t>oxidar</w:t>
      </w:r>
      <w:r>
        <w:rPr>
          <w:spacing w:val="-7"/>
        </w:rPr>
        <w:t> </w:t>
      </w:r>
      <w:r>
        <w:rPr/>
        <w:t>químicamente</w:t>
      </w:r>
      <w:r>
        <w:rPr>
          <w:spacing w:val="-6"/>
        </w:rPr>
        <w:t> </w:t>
      </w:r>
      <w:r>
        <w:rPr/>
        <w:t>la </w:t>
      </w:r>
      <w:r>
        <w:rPr>
          <w:position w:val="1"/>
        </w:rPr>
        <w:t>materia orgánica susceptible de oxidación existente en un agua. Se expresa en mg </w:t>
      </w:r>
      <w:hyperlink r:id="rId10">
        <w:r>
          <w:rPr>
            <w:position w:val="1"/>
          </w:rPr>
          <w:t>O</w:t>
        </w:r>
        <w:r>
          <w:rPr>
            <w:sz w:val="16"/>
          </w:rPr>
          <w:t>2</w:t>
        </w:r>
      </w:hyperlink>
      <w:r>
        <w:rPr>
          <w:position w:val="1"/>
        </w:rPr>
        <w:t>/L </w:t>
      </w:r>
      <w:r>
        <w:rPr/>
        <w:t>[Chen,</w:t>
      </w:r>
      <w:r>
        <w:rPr>
          <w:spacing w:val="-11"/>
        </w:rPr>
        <w:t> </w:t>
      </w:r>
      <w:r>
        <w:rPr/>
        <w:t>et</w:t>
      </w:r>
      <w:r>
        <w:rPr>
          <w:spacing w:val="-11"/>
        </w:rPr>
        <w:t> </w:t>
      </w:r>
      <w:r>
        <w:rPr/>
        <w:t>al.,</w:t>
      </w:r>
      <w:r>
        <w:rPr>
          <w:spacing w:val="-11"/>
        </w:rPr>
        <w:t> </w:t>
      </w:r>
      <w:r>
        <w:rPr/>
        <w:t>2005;</w:t>
      </w:r>
      <w:r>
        <w:rPr>
          <w:spacing w:val="-9"/>
        </w:rPr>
        <w:t> </w:t>
      </w:r>
      <w:r>
        <w:rPr/>
        <w:t>Domini,</w:t>
      </w:r>
      <w:r>
        <w:rPr>
          <w:spacing w:val="-6"/>
        </w:rPr>
        <w:t> </w:t>
      </w:r>
      <w:r>
        <w:rPr/>
        <w:t>et</w:t>
      </w:r>
      <w:r>
        <w:rPr>
          <w:spacing w:val="-9"/>
        </w:rPr>
        <w:t> </w:t>
      </w:r>
      <w:r>
        <w:rPr/>
        <w:t>al.,</w:t>
      </w:r>
      <w:r>
        <w:rPr>
          <w:spacing w:val="-8"/>
        </w:rPr>
        <w:t> </w:t>
      </w:r>
      <w:r>
        <w:rPr/>
        <w:t>2009;</w:t>
      </w:r>
      <w:r>
        <w:rPr>
          <w:spacing w:val="-9"/>
        </w:rPr>
        <w:t> </w:t>
      </w:r>
      <w:r>
        <w:rPr/>
        <w:t>Hu</w:t>
      </w:r>
      <w:r>
        <w:rPr>
          <w:spacing w:val="-11"/>
        </w:rPr>
        <w:t> </w:t>
      </w:r>
      <w:r>
        <w:rPr/>
        <w:t>and</w:t>
      </w:r>
      <w:r>
        <w:rPr>
          <w:spacing w:val="-8"/>
        </w:rPr>
        <w:t> </w:t>
      </w:r>
      <w:r>
        <w:rPr/>
        <w:t>Yang,</w:t>
      </w:r>
      <w:r>
        <w:rPr>
          <w:spacing w:val="-9"/>
        </w:rPr>
        <w:t> </w:t>
      </w:r>
      <w:r>
        <w:rPr/>
        <w:t>2004;</w:t>
      </w:r>
      <w:r>
        <w:rPr>
          <w:spacing w:val="-9"/>
        </w:rPr>
        <w:t> </w:t>
      </w:r>
      <w:r>
        <w:rPr/>
        <w:t>Li,</w:t>
      </w:r>
      <w:r>
        <w:rPr>
          <w:spacing w:val="-12"/>
        </w:rPr>
        <w:t> </w:t>
      </w:r>
      <w:r>
        <w:rPr/>
        <w:t>et</w:t>
      </w:r>
      <w:r>
        <w:rPr>
          <w:spacing w:val="-11"/>
        </w:rPr>
        <w:t> </w:t>
      </w:r>
      <w:r>
        <w:rPr/>
        <w:t>al.,</w:t>
      </w:r>
      <w:r>
        <w:rPr>
          <w:spacing w:val="-9"/>
        </w:rPr>
        <w:t> </w:t>
      </w:r>
      <w:r>
        <w:rPr/>
        <w:t>2003;</w:t>
      </w:r>
      <w:r>
        <w:rPr>
          <w:spacing w:val="-11"/>
        </w:rPr>
        <w:t> </w:t>
      </w:r>
      <w:r>
        <w:rPr/>
        <w:t>Li,</w:t>
      </w:r>
      <w:r>
        <w:rPr>
          <w:spacing w:val="-12"/>
        </w:rPr>
        <w:t> </w:t>
      </w:r>
      <w:r>
        <w:rPr/>
        <w:t>et</w:t>
      </w:r>
      <w:r>
        <w:rPr>
          <w:spacing w:val="-9"/>
        </w:rPr>
        <w:t> </w:t>
      </w:r>
      <w:r>
        <w:rPr/>
        <w:t>al.,</w:t>
      </w:r>
      <w:r>
        <w:rPr>
          <w:spacing w:val="-9"/>
        </w:rPr>
        <w:t> </w:t>
      </w:r>
      <w:r>
        <w:rPr/>
        <w:t>2005; Ramon, y Del Valle., 2003; Raposo, et al., 2008; Yao, et al., 2009; Zhang, et al., 2007; Benavides,</w:t>
      </w:r>
      <w:r>
        <w:rPr>
          <w:spacing w:val="-16"/>
        </w:rPr>
        <w:t> </w:t>
      </w:r>
      <w:r>
        <w:rPr/>
        <w:t>et</w:t>
      </w:r>
      <w:r>
        <w:rPr>
          <w:spacing w:val="-13"/>
        </w:rPr>
        <w:t> </w:t>
      </w:r>
      <w:r>
        <w:rPr/>
        <w:t>al.,</w:t>
      </w:r>
      <w:r>
        <w:rPr>
          <w:spacing w:val="-13"/>
        </w:rPr>
        <w:t> </w:t>
      </w:r>
      <w:r>
        <w:rPr/>
        <w:t>2008;</w:t>
      </w:r>
      <w:r>
        <w:rPr>
          <w:spacing w:val="-13"/>
        </w:rPr>
        <w:t> </w:t>
      </w:r>
      <w:r>
        <w:rPr/>
        <w:t>Baisheng,</w:t>
      </w:r>
      <w:r>
        <w:rPr>
          <w:spacing w:val="-13"/>
        </w:rPr>
        <w:t> </w:t>
      </w:r>
      <w:r>
        <w:rPr/>
        <w:t>et</w:t>
      </w:r>
      <w:r>
        <w:rPr>
          <w:spacing w:val="-16"/>
        </w:rPr>
        <w:t> </w:t>
      </w:r>
      <w:r>
        <w:rPr/>
        <w:t>al.,</w:t>
      </w:r>
      <w:r>
        <w:rPr>
          <w:spacing w:val="-16"/>
        </w:rPr>
        <w:t> </w:t>
      </w:r>
      <w:r>
        <w:rPr/>
        <w:t>2014;</w:t>
      </w:r>
      <w:r>
        <w:rPr>
          <w:spacing w:val="-18"/>
        </w:rPr>
        <w:t> </w:t>
      </w:r>
      <w:r>
        <w:rPr/>
        <w:t>Wijesekara</w:t>
      </w:r>
      <w:r>
        <w:rPr>
          <w:spacing w:val="-14"/>
        </w:rPr>
        <w:t> </w:t>
      </w:r>
      <w:r>
        <w:rPr/>
        <w:t>et</w:t>
      </w:r>
      <w:r>
        <w:rPr>
          <w:spacing w:val="-13"/>
        </w:rPr>
        <w:t> </w:t>
      </w:r>
      <w:r>
        <w:rPr/>
        <w:t>al.,</w:t>
      </w:r>
      <w:r>
        <w:rPr>
          <w:spacing w:val="-16"/>
        </w:rPr>
        <w:t> </w:t>
      </w:r>
      <w:r>
        <w:rPr/>
        <w:t>2014;</w:t>
      </w:r>
      <w:r>
        <w:rPr>
          <w:spacing w:val="-13"/>
        </w:rPr>
        <w:t> </w:t>
      </w:r>
      <w:r>
        <w:rPr/>
        <w:t>Kondo,</w:t>
      </w:r>
      <w:r>
        <w:rPr>
          <w:spacing w:val="-13"/>
        </w:rPr>
        <w:t> </w:t>
      </w:r>
      <w:r>
        <w:rPr/>
        <w:t>et</w:t>
      </w:r>
      <w:r>
        <w:rPr>
          <w:spacing w:val="-13"/>
        </w:rPr>
        <w:t> </w:t>
      </w:r>
      <w:r>
        <w:rPr/>
        <w:t>al.,</w:t>
      </w:r>
      <w:r>
        <w:rPr>
          <w:spacing w:val="-16"/>
        </w:rPr>
        <w:t> </w:t>
      </w:r>
      <w:r>
        <w:rPr/>
        <w:t>2014].</w:t>
      </w:r>
    </w:p>
    <w:p>
      <w:pPr>
        <w:pStyle w:val="BodyText"/>
        <w:spacing w:line="360" w:lineRule="auto" w:before="204"/>
        <w:ind w:left="658" w:right="399"/>
        <w:jc w:val="both"/>
      </w:pPr>
      <w:r>
        <w:rPr/>
        <w:t>Es un método aplicable en aguas continentales (ríos, lagos, acuíferos, etc.), </w:t>
      </w:r>
      <w:hyperlink r:id="rId11">
        <w:r>
          <w:rPr/>
          <w:t>aguas</w:t>
        </w:r>
      </w:hyperlink>
      <w:r>
        <w:rPr/>
        <w:t> </w:t>
      </w:r>
      <w:hyperlink r:id="rId11">
        <w:r>
          <w:rPr/>
          <w:t>residuales</w:t>
        </w:r>
      </w:hyperlink>
      <w:r>
        <w:rPr/>
        <w:t> o cualquier agua que pueda contener una cantidad apreciable de </w:t>
      </w:r>
      <w:hyperlink r:id="rId12">
        <w:r>
          <w:rPr/>
          <w:t>materia</w:t>
        </w:r>
      </w:hyperlink>
      <w:r>
        <w:rPr/>
        <w:t> </w:t>
      </w:r>
      <w:hyperlink r:id="rId12">
        <w:r>
          <w:rPr/>
          <w:t>orgánica</w:t>
        </w:r>
      </w:hyperlink>
      <w:r>
        <w:rPr/>
        <w:t>. No es aplicable para el agua potable debido al valor tan bajo que se obtendría </w:t>
      </w:r>
      <w:r>
        <w:rPr>
          <w:position w:val="1"/>
        </w:rPr>
        <w:t>utilizando el método de </w:t>
      </w:r>
      <w:hyperlink r:id="rId13">
        <w:r>
          <w:rPr>
            <w:position w:val="1"/>
          </w:rPr>
          <w:t>oxida</w:t>
        </w:r>
      </w:hyperlink>
      <w:r>
        <w:rPr>
          <w:position w:val="1"/>
        </w:rPr>
        <w:t>ción con dicromato de potasio (K</w:t>
      </w:r>
      <w:r>
        <w:rPr>
          <w:sz w:val="16"/>
        </w:rPr>
        <w:t>2</w:t>
      </w:r>
      <w:r>
        <w:rPr>
          <w:position w:val="1"/>
        </w:rPr>
        <w:t>Cr</w:t>
      </w:r>
      <w:r>
        <w:rPr>
          <w:sz w:val="16"/>
        </w:rPr>
        <w:t>2</w:t>
      </w:r>
      <w:r>
        <w:rPr>
          <w:position w:val="1"/>
        </w:rPr>
        <w:t>O</w:t>
      </w:r>
      <w:r>
        <w:rPr>
          <w:sz w:val="16"/>
        </w:rPr>
        <w:t>7</w:t>
      </w:r>
      <w:r>
        <w:rPr>
          <w:position w:val="1"/>
        </w:rPr>
        <w:t>) [Boyles, 1997; </w:t>
      </w:r>
      <w:r>
        <w:rPr/>
        <w:t>Domini,</w:t>
      </w:r>
      <w:r>
        <w:rPr>
          <w:spacing w:val="-16"/>
        </w:rPr>
        <w:t> </w:t>
      </w:r>
      <w:r>
        <w:rPr/>
        <w:t>et</w:t>
      </w:r>
      <w:r>
        <w:rPr>
          <w:spacing w:val="-16"/>
        </w:rPr>
        <w:t> </w:t>
      </w:r>
      <w:r>
        <w:rPr/>
        <w:t>al.,</w:t>
      </w:r>
      <w:r>
        <w:rPr>
          <w:spacing w:val="-16"/>
        </w:rPr>
        <w:t> </w:t>
      </w:r>
      <w:r>
        <w:rPr/>
        <w:t>2009;</w:t>
      </w:r>
      <w:r>
        <w:rPr>
          <w:spacing w:val="-13"/>
        </w:rPr>
        <w:t> </w:t>
      </w:r>
      <w:r>
        <w:rPr/>
        <w:t>Lee,</w:t>
      </w:r>
      <w:r>
        <w:rPr>
          <w:spacing w:val="-16"/>
        </w:rPr>
        <w:t> </w:t>
      </w:r>
      <w:r>
        <w:rPr/>
        <w:t>et</w:t>
      </w:r>
      <w:r>
        <w:rPr>
          <w:spacing w:val="-16"/>
        </w:rPr>
        <w:t> </w:t>
      </w:r>
      <w:r>
        <w:rPr/>
        <w:t>al.,</w:t>
      </w:r>
      <w:r>
        <w:rPr>
          <w:spacing w:val="-16"/>
        </w:rPr>
        <w:t> </w:t>
      </w:r>
      <w:r>
        <w:rPr/>
        <w:t>1999;</w:t>
      </w:r>
      <w:r>
        <w:rPr>
          <w:spacing w:val="-16"/>
        </w:rPr>
        <w:t> </w:t>
      </w:r>
      <w:r>
        <w:rPr/>
        <w:t>Zhang,</w:t>
      </w:r>
      <w:r>
        <w:rPr>
          <w:spacing w:val="-16"/>
        </w:rPr>
        <w:t> </w:t>
      </w:r>
      <w:r>
        <w:rPr/>
        <w:t>et</w:t>
      </w:r>
      <w:r>
        <w:rPr>
          <w:spacing w:val="-16"/>
        </w:rPr>
        <w:t> </w:t>
      </w:r>
      <w:r>
        <w:rPr/>
        <w:t>al.,</w:t>
      </w:r>
      <w:r>
        <w:rPr>
          <w:spacing w:val="-16"/>
        </w:rPr>
        <w:t> </w:t>
      </w:r>
      <w:r>
        <w:rPr/>
        <w:t>2009;</w:t>
      </w:r>
      <w:r>
        <w:rPr>
          <w:spacing w:val="-16"/>
        </w:rPr>
        <w:t> </w:t>
      </w:r>
      <w:r>
        <w:rPr/>
        <w:t>Benavides,</w:t>
      </w:r>
      <w:r>
        <w:rPr>
          <w:spacing w:val="-13"/>
        </w:rPr>
        <w:t> </w:t>
      </w:r>
      <w:r>
        <w:rPr/>
        <w:t>et</w:t>
      </w:r>
      <w:r>
        <w:rPr>
          <w:spacing w:val="-16"/>
        </w:rPr>
        <w:t> </w:t>
      </w:r>
      <w:r>
        <w:rPr/>
        <w:t>al.,</w:t>
      </w:r>
      <w:r>
        <w:rPr>
          <w:spacing w:val="-16"/>
        </w:rPr>
        <w:t> </w:t>
      </w:r>
      <w:r>
        <w:rPr/>
        <w:t>2008;</w:t>
      </w:r>
      <w:r>
        <w:rPr>
          <w:spacing w:val="-13"/>
        </w:rPr>
        <w:t> </w:t>
      </w:r>
      <w:r>
        <w:rPr/>
        <w:t>Hincapié- Mejía, et al.,</w:t>
      </w:r>
      <w:r>
        <w:rPr>
          <w:spacing w:val="-7"/>
        </w:rPr>
        <w:t> </w:t>
      </w:r>
      <w:r>
        <w:rPr/>
        <w:t>2011].</w:t>
      </w:r>
    </w:p>
    <w:p>
      <w:pPr>
        <w:pStyle w:val="BodyText"/>
      </w:pPr>
    </w:p>
    <w:p>
      <w:pPr>
        <w:pStyle w:val="BodyText"/>
        <w:spacing w:line="360" w:lineRule="auto" w:before="142"/>
        <w:ind w:left="658" w:right="400"/>
        <w:jc w:val="both"/>
      </w:pPr>
      <w:r>
        <w:rPr/>
        <w:t>El método empleado tradicionalmente para obtener el valor de la DQO es el denominado </w:t>
      </w:r>
      <w:r>
        <w:rPr>
          <w:i/>
        </w:rPr>
        <w:t>Método</w:t>
      </w:r>
      <w:r>
        <w:rPr>
          <w:i/>
          <w:spacing w:val="-9"/>
        </w:rPr>
        <w:t> </w:t>
      </w:r>
      <w:r>
        <w:rPr>
          <w:i/>
        </w:rPr>
        <w:t>Estandarizado</w:t>
      </w:r>
      <w:r>
        <w:rPr>
          <w:i/>
          <w:spacing w:val="-4"/>
        </w:rPr>
        <w:t> </w:t>
      </w:r>
      <w:r>
        <w:rPr>
          <w:i/>
        </w:rPr>
        <w:t>[APHA,</w:t>
      </w:r>
      <w:r>
        <w:rPr>
          <w:i/>
          <w:spacing w:val="-10"/>
        </w:rPr>
        <w:t> </w:t>
      </w:r>
      <w:r>
        <w:rPr>
          <w:i/>
        </w:rPr>
        <w:t>1998,</w:t>
      </w:r>
      <w:r>
        <w:rPr>
          <w:i/>
          <w:spacing w:val="-10"/>
        </w:rPr>
        <w:t> </w:t>
      </w:r>
      <w:r>
        <w:rPr>
          <w:i/>
        </w:rPr>
        <w:t>NMX-AA-030,</w:t>
      </w:r>
      <w:r>
        <w:rPr>
          <w:i/>
          <w:spacing w:val="-10"/>
        </w:rPr>
        <w:t> </w:t>
      </w:r>
      <w:r>
        <w:rPr>
          <w:i/>
        </w:rPr>
        <w:t>2001]</w:t>
      </w:r>
      <w:r>
        <w:rPr/>
        <w:t>,</w:t>
      </w:r>
      <w:r>
        <w:rPr>
          <w:spacing w:val="-10"/>
        </w:rPr>
        <w:t> </w:t>
      </w:r>
      <w:r>
        <w:rPr/>
        <w:t>en</w:t>
      </w:r>
      <w:r>
        <w:rPr>
          <w:spacing w:val="-9"/>
        </w:rPr>
        <w:t> </w:t>
      </w:r>
      <w:r>
        <w:rPr/>
        <w:t>el</w:t>
      </w:r>
      <w:r>
        <w:rPr>
          <w:spacing w:val="-11"/>
        </w:rPr>
        <w:t> </w:t>
      </w:r>
      <w:r>
        <w:rPr/>
        <w:t>cual</w:t>
      </w:r>
      <w:r>
        <w:rPr>
          <w:spacing w:val="-8"/>
        </w:rPr>
        <w:t> </w:t>
      </w:r>
      <w:r>
        <w:rPr/>
        <w:t>el</w:t>
      </w:r>
      <w:r>
        <w:rPr>
          <w:spacing w:val="-11"/>
        </w:rPr>
        <w:t> </w:t>
      </w:r>
      <w:r>
        <w:rPr/>
        <w:t>agente</w:t>
      </w:r>
      <w:r>
        <w:rPr>
          <w:spacing w:val="-9"/>
        </w:rPr>
        <w:t> </w:t>
      </w:r>
      <w:r>
        <w:rPr/>
        <w:t>oxidante</w:t>
      </w:r>
      <w:r>
        <w:rPr>
          <w:spacing w:val="-9"/>
        </w:rPr>
        <w:t> </w:t>
      </w:r>
      <w:r>
        <w:rPr/>
        <w:t>es </w:t>
      </w:r>
      <w:r>
        <w:rPr>
          <w:position w:val="1"/>
        </w:rPr>
        <w:t>el dicromato de potasio (K</w:t>
      </w:r>
      <w:r>
        <w:rPr>
          <w:sz w:val="16"/>
        </w:rPr>
        <w:t>2</w:t>
      </w:r>
      <w:r>
        <w:rPr>
          <w:position w:val="1"/>
        </w:rPr>
        <w:t>Cr</w:t>
      </w:r>
      <w:r>
        <w:rPr>
          <w:sz w:val="16"/>
        </w:rPr>
        <w:t>2</w:t>
      </w:r>
      <w:r>
        <w:rPr>
          <w:position w:val="1"/>
        </w:rPr>
        <w:t>O</w:t>
      </w:r>
      <w:r>
        <w:rPr>
          <w:sz w:val="16"/>
        </w:rPr>
        <w:t>7</w:t>
      </w:r>
      <w:r>
        <w:rPr>
          <w:position w:val="1"/>
        </w:rPr>
        <w:t>), y el sulfato de plata (Ag</w:t>
      </w:r>
      <w:r>
        <w:rPr>
          <w:sz w:val="16"/>
        </w:rPr>
        <w:t>2</w:t>
      </w:r>
      <w:r>
        <w:rPr>
          <w:position w:val="1"/>
        </w:rPr>
        <w:t>SO</w:t>
      </w:r>
      <w:r>
        <w:rPr>
          <w:sz w:val="16"/>
        </w:rPr>
        <w:t>4</w:t>
      </w:r>
      <w:r>
        <w:rPr>
          <w:position w:val="1"/>
        </w:rPr>
        <w:t>) que es utilizado como </w:t>
      </w:r>
      <w:r>
        <w:rPr/>
        <w:t>catalizador para la oxidación de los compuestos alifáticos lineales. Dado que en el medio se</w:t>
      </w:r>
      <w:r>
        <w:rPr>
          <w:spacing w:val="-14"/>
        </w:rPr>
        <w:t> </w:t>
      </w:r>
      <w:r>
        <w:rPr/>
        <w:t>pueden</w:t>
      </w:r>
      <w:r>
        <w:rPr>
          <w:spacing w:val="-17"/>
        </w:rPr>
        <w:t> </w:t>
      </w:r>
      <w:r>
        <w:rPr/>
        <w:t>encontrar</w:t>
      </w:r>
      <w:r>
        <w:rPr>
          <w:spacing w:val="-16"/>
        </w:rPr>
        <w:t> </w:t>
      </w:r>
      <w:r>
        <w:rPr/>
        <w:t>sustancias</w:t>
      </w:r>
      <w:r>
        <w:rPr>
          <w:spacing w:val="-15"/>
        </w:rPr>
        <w:t> </w:t>
      </w:r>
      <w:r>
        <w:rPr/>
        <w:t>inorgánicas</w:t>
      </w:r>
      <w:r>
        <w:rPr>
          <w:spacing w:val="-17"/>
        </w:rPr>
        <w:t> </w:t>
      </w:r>
      <w:r>
        <w:rPr/>
        <w:t>susceptibles</w:t>
      </w:r>
      <w:r>
        <w:rPr>
          <w:spacing w:val="-14"/>
        </w:rPr>
        <w:t> </w:t>
      </w:r>
      <w:r>
        <w:rPr/>
        <w:t>de</w:t>
      </w:r>
      <w:r>
        <w:rPr>
          <w:spacing w:val="-14"/>
        </w:rPr>
        <w:t> </w:t>
      </w:r>
      <w:r>
        <w:rPr/>
        <w:t>oxidación</w:t>
      </w:r>
      <w:r>
        <w:rPr>
          <w:spacing w:val="-14"/>
        </w:rPr>
        <w:t> </w:t>
      </w:r>
      <w:r>
        <w:rPr/>
        <w:t>las</w:t>
      </w:r>
      <w:r>
        <w:rPr>
          <w:spacing w:val="-14"/>
        </w:rPr>
        <w:t> </w:t>
      </w:r>
      <w:r>
        <w:rPr/>
        <w:t>cuales</w:t>
      </w:r>
      <w:r>
        <w:rPr>
          <w:spacing w:val="-15"/>
        </w:rPr>
        <w:t> </w:t>
      </w:r>
      <w:r>
        <w:rPr/>
        <w:t>provocan </w:t>
      </w:r>
      <w:r>
        <w:rPr>
          <w:position w:val="1"/>
        </w:rPr>
        <w:t>interferencias, se adiciona sulfato de mercurio(II) (HgSO</w:t>
      </w:r>
      <w:r>
        <w:rPr>
          <w:sz w:val="16"/>
        </w:rPr>
        <w:t>4</w:t>
      </w:r>
      <w:r>
        <w:rPr>
          <w:position w:val="1"/>
        </w:rPr>
        <w:t>) como inhibidor de haluros, sulfuros,</w:t>
      </w:r>
      <w:r>
        <w:rPr>
          <w:spacing w:val="-6"/>
          <w:position w:val="1"/>
        </w:rPr>
        <w:t> </w:t>
      </w:r>
      <w:r>
        <w:rPr>
          <w:position w:val="1"/>
        </w:rPr>
        <w:t>sulfitos,</w:t>
      </w:r>
      <w:r>
        <w:rPr>
          <w:spacing w:val="-9"/>
          <w:position w:val="1"/>
        </w:rPr>
        <w:t> </w:t>
      </w:r>
      <w:r>
        <w:rPr>
          <w:position w:val="1"/>
        </w:rPr>
        <w:t>etc.</w:t>
      </w:r>
      <w:r>
        <w:rPr>
          <w:spacing w:val="-9"/>
          <w:position w:val="1"/>
        </w:rPr>
        <w:t> </w:t>
      </w:r>
      <w:r>
        <w:rPr>
          <w:position w:val="1"/>
        </w:rPr>
        <w:t>Todo</w:t>
      </w:r>
      <w:r>
        <w:rPr>
          <w:spacing w:val="-8"/>
          <w:position w:val="1"/>
        </w:rPr>
        <w:t> </w:t>
      </w:r>
      <w:r>
        <w:rPr>
          <w:position w:val="1"/>
        </w:rPr>
        <w:t>esto</w:t>
      </w:r>
      <w:r>
        <w:rPr>
          <w:spacing w:val="-8"/>
          <w:position w:val="1"/>
        </w:rPr>
        <w:t> </w:t>
      </w:r>
      <w:r>
        <w:rPr>
          <w:position w:val="1"/>
        </w:rPr>
        <w:t>se</w:t>
      </w:r>
      <w:r>
        <w:rPr>
          <w:spacing w:val="-6"/>
          <w:position w:val="1"/>
        </w:rPr>
        <w:t> </w:t>
      </w:r>
      <w:r>
        <w:rPr>
          <w:position w:val="1"/>
        </w:rPr>
        <w:t>lleva</w:t>
      </w:r>
      <w:r>
        <w:rPr>
          <w:spacing w:val="-6"/>
          <w:position w:val="1"/>
        </w:rPr>
        <w:t> </w:t>
      </w:r>
      <w:r>
        <w:rPr>
          <w:position w:val="1"/>
        </w:rPr>
        <w:t>a</w:t>
      </w:r>
      <w:r>
        <w:rPr>
          <w:spacing w:val="-8"/>
          <w:position w:val="1"/>
        </w:rPr>
        <w:t> </w:t>
      </w:r>
      <w:r>
        <w:rPr>
          <w:position w:val="1"/>
        </w:rPr>
        <w:t>cabo</w:t>
      </w:r>
      <w:r>
        <w:rPr>
          <w:spacing w:val="-3"/>
          <w:position w:val="1"/>
        </w:rPr>
        <w:t> </w:t>
      </w:r>
      <w:r>
        <w:rPr>
          <w:position w:val="1"/>
        </w:rPr>
        <w:t>bajo</w:t>
      </w:r>
      <w:r>
        <w:rPr>
          <w:spacing w:val="-6"/>
          <w:position w:val="1"/>
        </w:rPr>
        <w:t> </w:t>
      </w:r>
      <w:r>
        <w:rPr>
          <w:position w:val="1"/>
        </w:rPr>
        <w:t>condiciones</w:t>
      </w:r>
      <w:r>
        <w:rPr>
          <w:spacing w:val="-7"/>
          <w:position w:val="1"/>
        </w:rPr>
        <w:t> </w:t>
      </w:r>
      <w:r>
        <w:rPr>
          <w:position w:val="1"/>
        </w:rPr>
        <w:t>ácidas</w:t>
      </w:r>
      <w:r>
        <w:rPr>
          <w:spacing w:val="-7"/>
          <w:position w:val="1"/>
        </w:rPr>
        <w:t> </w:t>
      </w:r>
      <w:r>
        <w:rPr>
          <w:position w:val="1"/>
        </w:rPr>
        <w:t>(H</w:t>
      </w:r>
      <w:r>
        <w:rPr>
          <w:sz w:val="16"/>
        </w:rPr>
        <w:t>2</w:t>
      </w:r>
      <w:r>
        <w:rPr>
          <w:position w:val="1"/>
        </w:rPr>
        <w:t>SO</w:t>
      </w:r>
      <w:r>
        <w:rPr>
          <w:sz w:val="16"/>
        </w:rPr>
        <w:t>4</w:t>
      </w:r>
      <w:r>
        <w:rPr>
          <w:position w:val="1"/>
        </w:rPr>
        <w:t>)</w:t>
      </w:r>
      <w:r>
        <w:rPr>
          <w:spacing w:val="-7"/>
          <w:position w:val="1"/>
        </w:rPr>
        <w:t> </w:t>
      </w:r>
      <w:r>
        <w:rPr>
          <w:position w:val="1"/>
        </w:rPr>
        <w:t>[Ai,</w:t>
      </w:r>
      <w:r>
        <w:rPr>
          <w:spacing w:val="-9"/>
          <w:position w:val="1"/>
        </w:rPr>
        <w:t> </w:t>
      </w:r>
      <w:r>
        <w:rPr>
          <w:position w:val="1"/>
        </w:rPr>
        <w:t>et</w:t>
      </w:r>
      <w:r>
        <w:rPr>
          <w:spacing w:val="-9"/>
          <w:position w:val="1"/>
        </w:rPr>
        <w:t> </w:t>
      </w:r>
      <w:r>
        <w:rPr>
          <w:position w:val="1"/>
        </w:rPr>
        <w:t>al., </w:t>
      </w:r>
      <w:r>
        <w:rPr/>
        <w:t>2004; Chen, et al., 2005; Lee, et al., 1999; Ramon, y Del Valle., 2003; Zhu, et al., 2006]. Básicamente</w:t>
      </w:r>
      <w:r>
        <w:rPr>
          <w:spacing w:val="-12"/>
        </w:rPr>
        <w:t> </w:t>
      </w:r>
      <w:r>
        <w:rPr/>
        <w:t>consiste</w:t>
      </w:r>
      <w:r>
        <w:rPr>
          <w:spacing w:val="-14"/>
        </w:rPr>
        <w:t> </w:t>
      </w:r>
      <w:r>
        <w:rPr/>
        <w:t>en</w:t>
      </w:r>
      <w:r>
        <w:rPr>
          <w:spacing w:val="-12"/>
        </w:rPr>
        <w:t> </w:t>
      </w:r>
      <w:r>
        <w:rPr/>
        <w:t>someter</w:t>
      </w:r>
      <w:r>
        <w:rPr>
          <w:spacing w:val="-13"/>
        </w:rPr>
        <w:t> </w:t>
      </w:r>
      <w:r>
        <w:rPr/>
        <w:t>las</w:t>
      </w:r>
      <w:r>
        <w:rPr>
          <w:spacing w:val="-12"/>
        </w:rPr>
        <w:t> </w:t>
      </w:r>
      <w:r>
        <w:rPr/>
        <w:t>muestras</w:t>
      </w:r>
      <w:r>
        <w:rPr>
          <w:spacing w:val="-13"/>
        </w:rPr>
        <w:t> </w:t>
      </w:r>
      <w:r>
        <w:rPr/>
        <w:t>a</w:t>
      </w:r>
      <w:r>
        <w:rPr>
          <w:spacing w:val="-12"/>
        </w:rPr>
        <w:t> </w:t>
      </w:r>
      <w:r>
        <w:rPr/>
        <w:t>tratamiento</w:t>
      </w:r>
      <w:r>
        <w:rPr>
          <w:spacing w:val="-12"/>
        </w:rPr>
        <w:t> </w:t>
      </w:r>
      <w:r>
        <w:rPr/>
        <w:t>térmico</w:t>
      </w:r>
      <w:r>
        <w:rPr>
          <w:spacing w:val="-12"/>
        </w:rPr>
        <w:t> </w:t>
      </w:r>
      <w:r>
        <w:rPr/>
        <w:t>durante</w:t>
      </w:r>
      <w:r>
        <w:rPr>
          <w:spacing w:val="-14"/>
        </w:rPr>
        <w:t> </w:t>
      </w:r>
      <w:r>
        <w:rPr/>
        <w:t>dos</w:t>
      </w:r>
      <w:r>
        <w:rPr>
          <w:spacing w:val="-13"/>
        </w:rPr>
        <w:t> </w:t>
      </w:r>
      <w:r>
        <w:rPr/>
        <w:t>horas</w:t>
      </w:r>
      <w:r>
        <w:rPr>
          <w:spacing w:val="-12"/>
        </w:rPr>
        <w:t> </w:t>
      </w:r>
      <w:r>
        <w:rPr/>
        <w:t>en un digestor, después de la adición de un exceso conocido del oxidante. El problema fundamental de este método reside en la baja eficiencia del método de calentamiento de la mezcla de reacción, lo cual hace que el tiempo de reacción sea excesivamente largo [APHA, 1998; Boyles, 1997; Domini, et al., 2009; Li, et al., 2003; Li, et al., 2005;Li, et  </w:t>
      </w:r>
      <w:r>
        <w:rPr>
          <w:spacing w:val="44"/>
        </w:rPr>
        <w:t> </w:t>
      </w:r>
      <w:r>
        <w:rPr/>
        <w:t>al.,</w:t>
      </w:r>
    </w:p>
    <w:p>
      <w:pPr>
        <w:spacing w:after="0" w:line="360" w:lineRule="auto"/>
        <w:jc w:val="both"/>
        <w:sectPr>
          <w:pgSz w:w="12240" w:h="15840"/>
          <w:pgMar w:header="0" w:footer="654" w:top="1080" w:bottom="1060" w:left="760" w:right="840"/>
        </w:sectPr>
      </w:pPr>
    </w:p>
    <w:p>
      <w:pPr>
        <w:pStyle w:val="BodyText"/>
        <w:spacing w:line="362" w:lineRule="auto" w:before="51"/>
        <w:ind w:left="658" w:right="409"/>
        <w:jc w:val="both"/>
      </w:pPr>
      <w:r>
        <w:rPr/>
        <w:t>2006;</w:t>
      </w:r>
      <w:r>
        <w:rPr>
          <w:spacing w:val="-13"/>
        </w:rPr>
        <w:t> </w:t>
      </w:r>
      <w:r>
        <w:rPr/>
        <w:t>Raposo,</w:t>
      </w:r>
      <w:r>
        <w:rPr>
          <w:spacing w:val="-13"/>
        </w:rPr>
        <w:t> </w:t>
      </w:r>
      <w:r>
        <w:rPr/>
        <w:t>et</w:t>
      </w:r>
      <w:r>
        <w:rPr>
          <w:spacing w:val="-13"/>
        </w:rPr>
        <w:t> </w:t>
      </w:r>
      <w:r>
        <w:rPr/>
        <w:t>al.,</w:t>
      </w:r>
      <w:r>
        <w:rPr>
          <w:spacing w:val="-13"/>
        </w:rPr>
        <w:t> </w:t>
      </w:r>
      <w:r>
        <w:rPr/>
        <w:t>2008;</w:t>
      </w:r>
      <w:r>
        <w:rPr>
          <w:spacing w:val="-16"/>
        </w:rPr>
        <w:t> </w:t>
      </w:r>
      <w:r>
        <w:rPr/>
        <w:t>Sousa,</w:t>
      </w:r>
      <w:r>
        <w:rPr>
          <w:spacing w:val="-13"/>
        </w:rPr>
        <w:t> </w:t>
      </w:r>
      <w:r>
        <w:rPr/>
        <w:t>et</w:t>
      </w:r>
      <w:r>
        <w:rPr>
          <w:spacing w:val="-16"/>
        </w:rPr>
        <w:t> </w:t>
      </w:r>
      <w:r>
        <w:rPr/>
        <w:t>al.,</w:t>
      </w:r>
      <w:r>
        <w:rPr>
          <w:spacing w:val="-13"/>
        </w:rPr>
        <w:t> </w:t>
      </w:r>
      <w:r>
        <w:rPr/>
        <w:t>2007;</w:t>
      </w:r>
      <w:r>
        <w:rPr>
          <w:spacing w:val="-13"/>
        </w:rPr>
        <w:t> </w:t>
      </w:r>
      <w:r>
        <w:rPr/>
        <w:t>Su,</w:t>
      </w:r>
      <w:r>
        <w:rPr>
          <w:spacing w:val="-16"/>
        </w:rPr>
        <w:t> </w:t>
      </w:r>
      <w:r>
        <w:rPr/>
        <w:t>et</w:t>
      </w:r>
      <w:r>
        <w:rPr>
          <w:spacing w:val="-13"/>
        </w:rPr>
        <w:t> </w:t>
      </w:r>
      <w:r>
        <w:rPr/>
        <w:t>al.,</w:t>
      </w:r>
      <w:r>
        <w:rPr>
          <w:spacing w:val="-13"/>
        </w:rPr>
        <w:t> </w:t>
      </w:r>
      <w:r>
        <w:rPr/>
        <w:t>2007;</w:t>
      </w:r>
      <w:r>
        <w:rPr>
          <w:spacing w:val="-13"/>
        </w:rPr>
        <w:t> </w:t>
      </w:r>
      <w:r>
        <w:rPr/>
        <w:t>Vyrides</w:t>
      </w:r>
      <w:r>
        <w:rPr>
          <w:spacing w:val="-14"/>
        </w:rPr>
        <w:t> </w:t>
      </w:r>
      <w:r>
        <w:rPr/>
        <w:t>and</w:t>
      </w:r>
      <w:r>
        <w:rPr>
          <w:spacing w:val="-13"/>
        </w:rPr>
        <w:t> </w:t>
      </w:r>
      <w:r>
        <w:rPr/>
        <w:t>Stuckey,</w:t>
      </w:r>
      <w:r>
        <w:rPr>
          <w:spacing w:val="-13"/>
        </w:rPr>
        <w:t> </w:t>
      </w:r>
      <w:r>
        <w:rPr/>
        <w:t>2009; Yao, et al., 2009; Zhang, et al., 2007; Zhang, et al.,</w:t>
      </w:r>
      <w:r>
        <w:rPr>
          <w:spacing w:val="-23"/>
        </w:rPr>
        <w:t> </w:t>
      </w:r>
      <w:r>
        <w:rPr/>
        <w:t>2009].</w:t>
      </w:r>
    </w:p>
    <w:p>
      <w:pPr>
        <w:pStyle w:val="BodyText"/>
      </w:pPr>
    </w:p>
    <w:p>
      <w:pPr>
        <w:pStyle w:val="BodyText"/>
        <w:spacing w:line="360" w:lineRule="auto" w:before="139"/>
        <w:ind w:left="658" w:right="402"/>
        <w:jc w:val="both"/>
      </w:pPr>
      <w:r>
        <w:rPr/>
        <w:t>Las reacciones que se llevan a cabo en el proceso de la determinación de la demanda química</w:t>
      </w:r>
      <w:r>
        <w:rPr>
          <w:spacing w:val="-17"/>
        </w:rPr>
        <w:t> </w:t>
      </w:r>
      <w:r>
        <w:rPr/>
        <w:t>de</w:t>
      </w:r>
      <w:r>
        <w:rPr>
          <w:spacing w:val="-17"/>
        </w:rPr>
        <w:t> </w:t>
      </w:r>
      <w:r>
        <w:rPr/>
        <w:t>oxígeno</w:t>
      </w:r>
      <w:r>
        <w:rPr>
          <w:spacing w:val="-15"/>
        </w:rPr>
        <w:t> </w:t>
      </w:r>
      <w:r>
        <w:rPr/>
        <w:t>utilizando</w:t>
      </w:r>
      <w:r>
        <w:rPr>
          <w:spacing w:val="-17"/>
        </w:rPr>
        <w:t> </w:t>
      </w:r>
      <w:r>
        <w:rPr/>
        <w:t>biftalato</w:t>
      </w:r>
      <w:r>
        <w:rPr>
          <w:spacing w:val="-16"/>
        </w:rPr>
        <w:t> </w:t>
      </w:r>
      <w:r>
        <w:rPr/>
        <w:t>de</w:t>
      </w:r>
      <w:r>
        <w:rPr>
          <w:spacing w:val="-17"/>
        </w:rPr>
        <w:t> </w:t>
      </w:r>
      <w:r>
        <w:rPr/>
        <w:t>potasio</w:t>
      </w:r>
      <w:r>
        <w:rPr>
          <w:spacing w:val="-17"/>
        </w:rPr>
        <w:t> </w:t>
      </w:r>
      <w:r>
        <w:rPr/>
        <w:t>como</w:t>
      </w:r>
      <w:r>
        <w:rPr>
          <w:spacing w:val="-17"/>
        </w:rPr>
        <w:t> </w:t>
      </w:r>
      <w:r>
        <w:rPr/>
        <w:t>referencia</w:t>
      </w:r>
      <w:r>
        <w:rPr>
          <w:spacing w:val="-12"/>
        </w:rPr>
        <w:t> </w:t>
      </w:r>
      <w:r>
        <w:rPr/>
        <w:t>son</w:t>
      </w:r>
      <w:r>
        <w:rPr>
          <w:spacing w:val="-16"/>
        </w:rPr>
        <w:t> </w:t>
      </w:r>
      <w:r>
        <w:rPr/>
        <w:t>[Ramon,</w:t>
      </w:r>
      <w:r>
        <w:rPr>
          <w:spacing w:val="-16"/>
        </w:rPr>
        <w:t> </w:t>
      </w:r>
      <w:r>
        <w:rPr/>
        <w:t>y</w:t>
      </w:r>
      <w:r>
        <w:rPr>
          <w:spacing w:val="-20"/>
        </w:rPr>
        <w:t> </w:t>
      </w:r>
      <w:r>
        <w:rPr/>
        <w:t>Del</w:t>
      </w:r>
      <w:r>
        <w:rPr>
          <w:spacing w:val="-17"/>
        </w:rPr>
        <w:t> </w:t>
      </w:r>
      <w:r>
        <w:rPr/>
        <w:t>Valle, 2003; Ai, et al, 2003; Berenguer, et al, 2009; Temas Ambientales,</w:t>
      </w:r>
      <w:r>
        <w:rPr>
          <w:spacing w:val="-23"/>
        </w:rPr>
        <w:t> </w:t>
      </w:r>
      <w:r>
        <w:rPr/>
        <w:t>2004]:</w:t>
      </w:r>
    </w:p>
    <w:p>
      <w:pPr>
        <w:pStyle w:val="BodyText"/>
      </w:pPr>
    </w:p>
    <w:p>
      <w:pPr>
        <w:spacing w:before="141"/>
        <w:ind w:left="766" w:right="286" w:firstLine="0"/>
        <w:jc w:val="left"/>
        <w:rPr>
          <w:rFonts w:ascii="Cambria Math" w:hAnsi="Cambria Math" w:eastAsia="Cambria Math"/>
          <w:sz w:val="18"/>
        </w:rPr>
      </w:pPr>
      <w:r>
        <w:rPr>
          <w:rFonts w:ascii="Cambria Math" w:hAnsi="Cambria Math" w:eastAsia="Cambria Math"/>
          <w:spacing w:val="-29"/>
          <w:w w:val="95"/>
          <w:sz w:val="18"/>
        </w:rPr>
        <w:t>���</w:t>
      </w:r>
      <w:r>
        <w:rPr>
          <w:rFonts w:ascii="Cambria Math" w:hAnsi="Cambria Math" w:eastAsia="Cambria Math"/>
          <w:spacing w:val="-29"/>
          <w:w w:val="95"/>
          <w:position w:val="-3"/>
          <w:sz w:val="13"/>
        </w:rPr>
        <w:t>�</w:t>
      </w:r>
      <w:r>
        <w:rPr>
          <w:rFonts w:ascii="Cambria Math" w:hAnsi="Cambria Math" w:eastAsia="Cambria Math"/>
          <w:spacing w:val="-29"/>
          <w:w w:val="95"/>
          <w:sz w:val="18"/>
        </w:rPr>
        <w:t>𝐒𝐎</w:t>
      </w:r>
      <w:r>
        <w:rPr>
          <w:rFonts w:ascii="Cambria Math" w:hAnsi="Cambria Math" w:eastAsia="Cambria Math"/>
          <w:spacing w:val="-29"/>
          <w:w w:val="95"/>
          <w:position w:val="-3"/>
          <w:sz w:val="13"/>
        </w:rPr>
        <w:t>� (𝐚�) </w:t>
      </w:r>
      <w:r>
        <w:rPr>
          <w:rFonts w:ascii="Cambria Math" w:hAnsi="Cambria Math" w:eastAsia="Cambria Math"/>
          <w:spacing w:val="-29"/>
          <w:w w:val="95"/>
          <w:sz w:val="18"/>
        </w:rPr>
        <w:t>+ ��𝐊</w:t>
      </w:r>
      <w:r>
        <w:rPr>
          <w:rFonts w:ascii="Cambria Math" w:hAnsi="Cambria Math" w:eastAsia="Cambria Math"/>
          <w:spacing w:val="-29"/>
          <w:w w:val="95"/>
          <w:position w:val="-3"/>
          <w:sz w:val="13"/>
        </w:rPr>
        <w:t>�</w:t>
      </w:r>
      <w:r>
        <w:rPr>
          <w:rFonts w:ascii="Cambria Math" w:hAnsi="Cambria Math" w:eastAsia="Cambria Math"/>
          <w:spacing w:val="-29"/>
          <w:w w:val="95"/>
          <w:sz w:val="18"/>
        </w:rPr>
        <w:t>𝐂�</w:t>
      </w:r>
      <w:r>
        <w:rPr>
          <w:rFonts w:ascii="Cambria Math" w:hAnsi="Cambria Math" w:eastAsia="Cambria Math"/>
          <w:spacing w:val="-29"/>
          <w:w w:val="95"/>
          <w:position w:val="-3"/>
          <w:sz w:val="13"/>
        </w:rPr>
        <w:t>�</w:t>
      </w:r>
      <w:r>
        <w:rPr>
          <w:rFonts w:ascii="Cambria Math" w:hAnsi="Cambria Math" w:eastAsia="Cambria Math"/>
          <w:spacing w:val="-29"/>
          <w:w w:val="95"/>
          <w:sz w:val="18"/>
        </w:rPr>
        <w:t>𝐎</w:t>
      </w:r>
      <w:r>
        <w:rPr>
          <w:rFonts w:ascii="Cambria Math" w:hAnsi="Cambria Math" w:eastAsia="Cambria Math"/>
          <w:spacing w:val="-29"/>
          <w:w w:val="95"/>
          <w:position w:val="-3"/>
          <w:sz w:val="13"/>
        </w:rPr>
        <w:t>� (𝐚�) </w:t>
      </w:r>
      <w:r>
        <w:rPr>
          <w:rFonts w:ascii="Cambria Math" w:hAnsi="Cambria Math" w:eastAsia="Cambria Math"/>
          <w:spacing w:val="-28"/>
          <w:w w:val="95"/>
          <w:sz w:val="18"/>
        </w:rPr>
        <w:t>+ �𝐊𝐂</w:t>
      </w:r>
      <w:r>
        <w:rPr>
          <w:rFonts w:ascii="Cambria Math" w:hAnsi="Cambria Math" w:eastAsia="Cambria Math"/>
          <w:spacing w:val="-28"/>
          <w:w w:val="95"/>
          <w:position w:val="-3"/>
          <w:sz w:val="13"/>
        </w:rPr>
        <w:t>�</w:t>
      </w:r>
      <w:r>
        <w:rPr>
          <w:rFonts w:ascii="Cambria Math" w:hAnsi="Cambria Math" w:eastAsia="Cambria Math"/>
          <w:spacing w:val="-28"/>
          <w:w w:val="95"/>
          <w:sz w:val="18"/>
        </w:rPr>
        <w:t>�</w:t>
      </w:r>
      <w:r>
        <w:rPr>
          <w:rFonts w:ascii="Cambria Math" w:hAnsi="Cambria Math" w:eastAsia="Cambria Math"/>
          <w:spacing w:val="-28"/>
          <w:w w:val="95"/>
          <w:position w:val="-3"/>
          <w:sz w:val="13"/>
        </w:rPr>
        <w:t>�</w:t>
      </w:r>
      <w:r>
        <w:rPr>
          <w:rFonts w:ascii="Cambria Math" w:hAnsi="Cambria Math" w:eastAsia="Cambria Math"/>
          <w:spacing w:val="-28"/>
          <w:w w:val="95"/>
          <w:sz w:val="18"/>
        </w:rPr>
        <w:t>𝐎</w:t>
      </w:r>
      <w:r>
        <w:rPr>
          <w:rFonts w:ascii="Cambria Math" w:hAnsi="Cambria Math" w:eastAsia="Cambria Math"/>
          <w:spacing w:val="-28"/>
          <w:w w:val="95"/>
          <w:position w:val="-3"/>
          <w:sz w:val="13"/>
        </w:rPr>
        <w:t>� (𝐚�) </w:t>
      </w:r>
      <w:r>
        <w:rPr>
          <w:rFonts w:ascii="Cambria Math" w:hAnsi="Cambria Math" w:eastAsia="Cambria Math"/>
          <w:spacing w:val="-28"/>
          <w:w w:val="95"/>
          <w:sz w:val="18"/>
        </w:rPr>
        <w:t>→ ��𝐂�</w:t>
      </w:r>
      <w:r>
        <w:rPr>
          <w:rFonts w:ascii="Cambria Math" w:hAnsi="Cambria Math" w:eastAsia="Cambria Math"/>
          <w:spacing w:val="-28"/>
          <w:w w:val="95"/>
          <w:position w:val="-3"/>
          <w:sz w:val="13"/>
        </w:rPr>
        <w:t>�</w:t>
      </w:r>
      <w:r>
        <w:rPr>
          <w:rFonts w:ascii="Cambria Math" w:hAnsi="Cambria Math" w:eastAsia="Cambria Math"/>
          <w:spacing w:val="-28"/>
          <w:w w:val="95"/>
          <w:sz w:val="18"/>
        </w:rPr>
        <w:t>(𝐒𝐎</w:t>
      </w:r>
      <w:r>
        <w:rPr>
          <w:rFonts w:ascii="Cambria Math" w:hAnsi="Cambria Math" w:eastAsia="Cambria Math"/>
          <w:spacing w:val="-28"/>
          <w:w w:val="95"/>
          <w:position w:val="-3"/>
          <w:sz w:val="13"/>
        </w:rPr>
        <w:t>�</w:t>
      </w:r>
      <w:r>
        <w:rPr>
          <w:rFonts w:ascii="Cambria Math" w:hAnsi="Cambria Math" w:eastAsia="Cambria Math"/>
          <w:spacing w:val="-28"/>
          <w:w w:val="95"/>
          <w:sz w:val="18"/>
        </w:rPr>
        <w:t>)</w:t>
      </w:r>
      <w:r>
        <w:rPr>
          <w:rFonts w:ascii="Cambria Math" w:hAnsi="Cambria Math" w:eastAsia="Cambria Math"/>
          <w:spacing w:val="-28"/>
          <w:w w:val="95"/>
          <w:position w:val="-3"/>
          <w:sz w:val="13"/>
        </w:rPr>
        <w:t>� </w:t>
      </w:r>
      <w:r>
        <w:rPr>
          <w:rFonts w:ascii="Cambria Math" w:hAnsi="Cambria Math" w:eastAsia="Cambria Math"/>
          <w:spacing w:val="-28"/>
          <w:w w:val="95"/>
          <w:position w:val="-2"/>
          <w:sz w:val="13"/>
        </w:rPr>
        <w:t>(</w:t>
      </w:r>
      <w:r>
        <w:rPr>
          <w:rFonts w:ascii="Cambria Math" w:hAnsi="Cambria Math" w:eastAsia="Cambria Math"/>
          <w:spacing w:val="-28"/>
          <w:w w:val="95"/>
          <w:position w:val="-3"/>
          <w:sz w:val="13"/>
        </w:rPr>
        <w:t>𝐚�</w:t>
      </w:r>
      <w:r>
        <w:rPr>
          <w:rFonts w:ascii="Cambria Math" w:hAnsi="Cambria Math" w:eastAsia="Cambria Math"/>
          <w:spacing w:val="-28"/>
          <w:w w:val="95"/>
          <w:position w:val="-2"/>
          <w:sz w:val="13"/>
        </w:rPr>
        <w:t>) </w:t>
      </w:r>
      <w:r>
        <w:rPr>
          <w:rFonts w:ascii="Cambria Math" w:hAnsi="Cambria Math" w:eastAsia="Cambria Math"/>
          <w:spacing w:val="-28"/>
          <w:w w:val="95"/>
          <w:sz w:val="18"/>
        </w:rPr>
        <w:t>+ ��𝐊</w:t>
      </w:r>
      <w:r>
        <w:rPr>
          <w:rFonts w:ascii="Cambria Math" w:hAnsi="Cambria Math" w:eastAsia="Cambria Math"/>
          <w:spacing w:val="-28"/>
          <w:w w:val="95"/>
          <w:position w:val="-3"/>
          <w:sz w:val="13"/>
        </w:rPr>
        <w:t>�</w:t>
      </w:r>
      <w:r>
        <w:rPr>
          <w:rFonts w:ascii="Cambria Math" w:hAnsi="Cambria Math" w:eastAsia="Cambria Math"/>
          <w:spacing w:val="-28"/>
          <w:w w:val="95"/>
          <w:sz w:val="18"/>
        </w:rPr>
        <w:t>𝐒𝐎</w:t>
      </w:r>
      <w:r>
        <w:rPr>
          <w:rFonts w:ascii="Cambria Math" w:hAnsi="Cambria Math" w:eastAsia="Cambria Math"/>
          <w:spacing w:val="-28"/>
          <w:w w:val="95"/>
          <w:position w:val="-3"/>
          <w:sz w:val="13"/>
        </w:rPr>
        <w:t>� </w:t>
      </w:r>
      <w:r>
        <w:rPr>
          <w:rFonts w:ascii="Cambria Math" w:hAnsi="Cambria Math" w:eastAsia="Cambria Math"/>
          <w:spacing w:val="-28"/>
          <w:w w:val="95"/>
          <w:position w:val="-2"/>
          <w:sz w:val="13"/>
        </w:rPr>
        <w:t>(</w:t>
      </w:r>
      <w:r>
        <w:rPr>
          <w:rFonts w:ascii="Cambria Math" w:hAnsi="Cambria Math" w:eastAsia="Cambria Math"/>
          <w:spacing w:val="-28"/>
          <w:w w:val="95"/>
          <w:position w:val="-3"/>
          <w:sz w:val="13"/>
        </w:rPr>
        <w:t>𝐚�</w:t>
      </w:r>
      <w:r>
        <w:rPr>
          <w:rFonts w:ascii="Cambria Math" w:hAnsi="Cambria Math" w:eastAsia="Cambria Math"/>
          <w:spacing w:val="-28"/>
          <w:w w:val="95"/>
          <w:position w:val="-2"/>
          <w:sz w:val="13"/>
        </w:rPr>
        <w:t>) </w:t>
      </w:r>
      <w:r>
        <w:rPr>
          <w:rFonts w:ascii="Cambria Math" w:hAnsi="Cambria Math" w:eastAsia="Cambria Math"/>
          <w:spacing w:val="-28"/>
          <w:w w:val="95"/>
          <w:sz w:val="18"/>
        </w:rPr>
        <w:t>+ </w:t>
      </w:r>
      <w:r>
        <w:rPr>
          <w:rFonts w:ascii="Cambria Math" w:hAnsi="Cambria Math" w:eastAsia="Cambria Math"/>
          <w:spacing w:val="-27"/>
          <w:w w:val="95"/>
          <w:sz w:val="18"/>
        </w:rPr>
        <w:t>���</w:t>
      </w:r>
      <w:r>
        <w:rPr>
          <w:rFonts w:ascii="Cambria Math" w:hAnsi="Cambria Math" w:eastAsia="Cambria Math"/>
          <w:spacing w:val="-27"/>
          <w:w w:val="95"/>
          <w:position w:val="-3"/>
          <w:sz w:val="13"/>
        </w:rPr>
        <w:t>�</w:t>
      </w:r>
      <w:r>
        <w:rPr>
          <w:rFonts w:ascii="Cambria Math" w:hAnsi="Cambria Math" w:eastAsia="Cambria Math"/>
          <w:spacing w:val="-27"/>
          <w:w w:val="95"/>
          <w:sz w:val="18"/>
        </w:rPr>
        <w:t>𝐎   </w:t>
      </w:r>
      <w:r>
        <w:rPr>
          <w:rFonts w:ascii="Cambria Math" w:hAnsi="Cambria Math" w:eastAsia="Cambria Math"/>
          <w:spacing w:val="-27"/>
          <w:w w:val="95"/>
          <w:position w:val="-2"/>
          <w:sz w:val="13"/>
        </w:rPr>
        <w:t>(</w:t>
      </w:r>
      <w:r>
        <w:rPr>
          <w:rFonts w:ascii="Cambria Math" w:hAnsi="Cambria Math" w:eastAsia="Cambria Math"/>
          <w:spacing w:val="-27"/>
          <w:w w:val="95"/>
          <w:position w:val="-3"/>
          <w:sz w:val="13"/>
        </w:rPr>
        <w:t>𝐚�</w:t>
      </w:r>
      <w:r>
        <w:rPr>
          <w:rFonts w:ascii="Cambria Math" w:hAnsi="Cambria Math" w:eastAsia="Cambria Math"/>
          <w:spacing w:val="-27"/>
          <w:w w:val="95"/>
          <w:position w:val="-2"/>
          <w:sz w:val="13"/>
        </w:rPr>
        <w:t>)                                                                                                                                                </w:t>
      </w:r>
      <w:r>
        <w:rPr>
          <w:rFonts w:ascii="Cambria Math" w:hAnsi="Cambria Math" w:eastAsia="Cambria Math"/>
          <w:spacing w:val="-27"/>
          <w:w w:val="95"/>
          <w:sz w:val="18"/>
        </w:rPr>
        <w:t>+  ��𝑪𝑶</w:t>
      </w:r>
      <w:r>
        <w:rPr>
          <w:rFonts w:ascii="Cambria Math" w:hAnsi="Cambria Math" w:eastAsia="Cambria Math"/>
          <w:spacing w:val="-27"/>
          <w:w w:val="95"/>
          <w:position w:val="-3"/>
          <w:sz w:val="13"/>
        </w:rPr>
        <w:t>�                                                                                                                                                                                                                                                                                                                                                                                                               </w:t>
      </w:r>
      <w:r>
        <w:rPr>
          <w:rFonts w:ascii="Cambria Math" w:hAnsi="Cambria Math" w:eastAsia="Cambria Math"/>
          <w:spacing w:val="-27"/>
          <w:w w:val="95"/>
          <w:sz w:val="18"/>
        </w:rPr>
        <w:t>𝐄𝐜.  </w:t>
      </w:r>
      <w:r>
        <w:rPr>
          <w:rFonts w:ascii="Cambria Math" w:hAnsi="Cambria Math" w:eastAsia="Cambria Math"/>
          <w:spacing w:val="-26"/>
          <w:w w:val="95"/>
          <w:sz w:val="18"/>
        </w:rPr>
        <w:t>�</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9"/>
        <w:rPr>
          <w:rFonts w:ascii="Cambria Math"/>
          <w:sz w:val="20"/>
        </w:rPr>
      </w:pPr>
    </w:p>
    <w:p>
      <w:pPr>
        <w:pStyle w:val="BodyText"/>
        <w:spacing w:line="360" w:lineRule="auto"/>
        <w:ind w:left="658" w:right="405"/>
        <w:jc w:val="both"/>
      </w:pPr>
      <w:r>
        <w:rPr/>
        <w:t>Como</w:t>
      </w:r>
      <w:r>
        <w:rPr>
          <w:spacing w:val="-11"/>
        </w:rPr>
        <w:t> </w:t>
      </w:r>
      <w:r>
        <w:rPr/>
        <w:t>existen</w:t>
      </w:r>
      <w:r>
        <w:rPr>
          <w:spacing w:val="-11"/>
        </w:rPr>
        <w:t> </w:t>
      </w:r>
      <w:r>
        <w:rPr/>
        <w:t>dos</w:t>
      </w:r>
      <w:r>
        <w:rPr>
          <w:spacing w:val="-12"/>
        </w:rPr>
        <w:t> </w:t>
      </w:r>
      <w:r>
        <w:rPr/>
        <w:t>átomos</w:t>
      </w:r>
      <w:r>
        <w:rPr>
          <w:spacing w:val="-12"/>
        </w:rPr>
        <w:t> </w:t>
      </w:r>
      <w:r>
        <w:rPr/>
        <w:t>de</w:t>
      </w:r>
      <w:r>
        <w:rPr>
          <w:spacing w:val="-11"/>
        </w:rPr>
        <w:t> </w:t>
      </w:r>
      <w:r>
        <w:rPr/>
        <w:t>cromo</w:t>
      </w:r>
      <w:r>
        <w:rPr>
          <w:spacing w:val="-11"/>
        </w:rPr>
        <w:t> </w:t>
      </w:r>
      <w:r>
        <w:rPr/>
        <w:t>en</w:t>
      </w:r>
      <w:r>
        <w:rPr>
          <w:spacing w:val="-11"/>
        </w:rPr>
        <w:t> </w:t>
      </w:r>
      <w:r>
        <w:rPr/>
        <w:t>el</w:t>
      </w:r>
      <w:r>
        <w:rPr>
          <w:spacing w:val="-12"/>
        </w:rPr>
        <w:t> </w:t>
      </w:r>
      <w:r>
        <w:rPr/>
        <w:t>dicromato,</w:t>
      </w:r>
      <w:r>
        <w:rPr>
          <w:spacing w:val="-11"/>
        </w:rPr>
        <w:t> </w:t>
      </w:r>
      <w:r>
        <w:rPr/>
        <w:t>hay</w:t>
      </w:r>
      <w:r>
        <w:rPr>
          <w:spacing w:val="-12"/>
        </w:rPr>
        <w:t> </w:t>
      </w:r>
      <w:r>
        <w:rPr/>
        <w:t>una</w:t>
      </w:r>
      <w:r>
        <w:rPr>
          <w:spacing w:val="-11"/>
        </w:rPr>
        <w:t> </w:t>
      </w:r>
      <w:r>
        <w:rPr/>
        <w:t>ganancia</w:t>
      </w:r>
      <w:r>
        <w:rPr>
          <w:spacing w:val="-9"/>
        </w:rPr>
        <w:t> </w:t>
      </w:r>
      <w:r>
        <w:rPr/>
        <w:t>de</w:t>
      </w:r>
      <w:r>
        <w:rPr>
          <w:spacing w:val="-11"/>
        </w:rPr>
        <w:t> </w:t>
      </w:r>
      <w:r>
        <w:rPr/>
        <w:t>6</w:t>
      </w:r>
      <w:r>
        <w:rPr>
          <w:spacing w:val="-11"/>
        </w:rPr>
        <w:t> </w:t>
      </w:r>
      <w:r>
        <w:rPr/>
        <w:t>electrones</w:t>
      </w:r>
      <w:r>
        <w:rPr>
          <w:spacing w:val="-12"/>
        </w:rPr>
        <w:t> </w:t>
      </w:r>
      <w:r>
        <w:rPr/>
        <w:t>por unidad</w:t>
      </w:r>
      <w:r>
        <w:rPr>
          <w:spacing w:val="-16"/>
        </w:rPr>
        <w:t> </w:t>
      </w:r>
      <w:r>
        <w:rPr/>
        <w:t>de</w:t>
      </w:r>
      <w:r>
        <w:rPr>
          <w:spacing w:val="-16"/>
        </w:rPr>
        <w:t> </w:t>
      </w:r>
      <w:r>
        <w:rPr/>
        <w:t>dicromato</w:t>
      </w:r>
      <w:r>
        <w:rPr>
          <w:spacing w:val="-18"/>
        </w:rPr>
        <w:t> </w:t>
      </w:r>
      <w:r>
        <w:rPr/>
        <w:t>de</w:t>
      </w:r>
      <w:r>
        <w:rPr>
          <w:spacing w:val="-16"/>
        </w:rPr>
        <w:t> </w:t>
      </w:r>
      <w:r>
        <w:rPr/>
        <w:t>potasio</w:t>
      </w:r>
      <w:r>
        <w:rPr>
          <w:spacing w:val="-18"/>
        </w:rPr>
        <w:t> </w:t>
      </w:r>
      <w:r>
        <w:rPr/>
        <w:t>[Ai,</w:t>
      </w:r>
      <w:r>
        <w:rPr>
          <w:spacing w:val="-19"/>
        </w:rPr>
        <w:t> </w:t>
      </w:r>
      <w:r>
        <w:rPr/>
        <w:t>et</w:t>
      </w:r>
      <w:r>
        <w:rPr>
          <w:spacing w:val="-18"/>
        </w:rPr>
        <w:t> </w:t>
      </w:r>
      <w:r>
        <w:rPr/>
        <w:t>al,</w:t>
      </w:r>
      <w:r>
        <w:rPr>
          <w:spacing w:val="-16"/>
        </w:rPr>
        <w:t> </w:t>
      </w:r>
      <w:r>
        <w:rPr/>
        <w:t>2003;</w:t>
      </w:r>
      <w:r>
        <w:rPr>
          <w:spacing w:val="-16"/>
        </w:rPr>
        <w:t> </w:t>
      </w:r>
      <w:r>
        <w:rPr/>
        <w:t>Berenguer,</w:t>
      </w:r>
      <w:r>
        <w:rPr>
          <w:spacing w:val="-19"/>
        </w:rPr>
        <w:t> </w:t>
      </w:r>
      <w:r>
        <w:rPr/>
        <w:t>et</w:t>
      </w:r>
      <w:r>
        <w:rPr>
          <w:spacing w:val="-18"/>
        </w:rPr>
        <w:t> </w:t>
      </w:r>
      <w:r>
        <w:rPr/>
        <w:t>al,</w:t>
      </w:r>
      <w:r>
        <w:rPr>
          <w:spacing w:val="-16"/>
        </w:rPr>
        <w:t> </w:t>
      </w:r>
      <w:r>
        <w:rPr/>
        <w:t>2009;</w:t>
      </w:r>
      <w:r>
        <w:rPr>
          <w:spacing w:val="-18"/>
        </w:rPr>
        <w:t> </w:t>
      </w:r>
      <w:r>
        <w:rPr/>
        <w:t>Temas</w:t>
      </w:r>
      <w:r>
        <w:rPr>
          <w:spacing w:val="-19"/>
        </w:rPr>
        <w:t> </w:t>
      </w:r>
      <w:r>
        <w:rPr/>
        <w:t>Ambientales, 2004; Lagos,</w:t>
      </w:r>
      <w:r>
        <w:rPr>
          <w:spacing w:val="-10"/>
        </w:rPr>
        <w:t> </w:t>
      </w:r>
      <w:r>
        <w:rPr/>
        <w:t>2016].</w:t>
      </w:r>
    </w:p>
    <w:p>
      <w:pPr>
        <w:pStyle w:val="BodyText"/>
        <w:rPr>
          <w:sz w:val="20"/>
        </w:rPr>
      </w:pPr>
    </w:p>
    <w:p>
      <w:pPr>
        <w:pStyle w:val="BodyText"/>
        <w:spacing w:before="10"/>
        <w:rPr>
          <w:sz w:val="15"/>
        </w:rPr>
      </w:pPr>
    </w:p>
    <w:p>
      <w:pPr>
        <w:spacing w:after="0"/>
        <w:rPr>
          <w:sz w:val="15"/>
        </w:rPr>
        <w:sectPr>
          <w:pgSz w:w="12240" w:h="15840"/>
          <w:pgMar w:header="0" w:footer="654" w:top="1080" w:bottom="1060" w:left="760" w:right="840"/>
        </w:sectPr>
      </w:pPr>
    </w:p>
    <w:p>
      <w:pPr>
        <w:tabs>
          <w:tab w:pos="2221" w:val="left" w:leader="none"/>
          <w:tab w:pos="3395" w:val="left" w:leader="none"/>
        </w:tabs>
        <w:spacing w:line="75" w:lineRule="exact" w:before="70"/>
        <w:ind w:left="1568" w:right="0" w:firstLine="0"/>
        <w:jc w:val="left"/>
        <w:rPr>
          <w:rFonts w:ascii="Cambria Math" w:hAnsi="Cambria Math" w:eastAsia="Cambria Math"/>
          <w:sz w:val="24"/>
        </w:rPr>
      </w:pPr>
      <w:r>
        <w:rPr>
          <w:rFonts w:ascii="Cambria Math" w:hAnsi="Cambria Math" w:eastAsia="Cambria Math"/>
          <w:position w:val="10"/>
          <w:sz w:val="17"/>
        </w:rPr>
        <w:t>�−</w:t>
        <w:tab/>
      </w:r>
      <w:r>
        <w:rPr>
          <w:rFonts w:ascii="Cambria Math" w:hAnsi="Cambria Math" w:eastAsia="Cambria Math"/>
          <w:spacing w:val="-19"/>
          <w:w w:val="95"/>
          <w:sz w:val="24"/>
        </w:rPr>
        <w:t>+</w:t>
      </w:r>
      <w:r>
        <w:rPr>
          <w:rFonts w:ascii="Cambria Math" w:hAnsi="Cambria Math" w:eastAsia="Cambria Math"/>
          <w:spacing w:val="-6"/>
          <w:w w:val="95"/>
          <w:sz w:val="24"/>
        </w:rPr>
        <w:t> </w:t>
      </w:r>
      <w:r>
        <w:rPr>
          <w:rFonts w:ascii="Cambria Math" w:hAnsi="Cambria Math" w:eastAsia="Cambria Math"/>
          <w:spacing w:val="-19"/>
          <w:w w:val="95"/>
          <w:sz w:val="24"/>
        </w:rPr>
        <w:t>��𝑯</w:t>
      </w:r>
      <w:r>
        <w:rPr>
          <w:rFonts w:ascii="Cambria Math" w:hAnsi="Cambria Math" w:eastAsia="Cambria Math"/>
          <w:spacing w:val="-19"/>
          <w:w w:val="95"/>
          <w:position w:val="10"/>
          <w:sz w:val="17"/>
        </w:rPr>
        <w:t>+</w:t>
        <w:tab/>
      </w:r>
      <w:r>
        <w:rPr>
          <w:rFonts w:ascii="Cambria Math" w:hAnsi="Cambria Math" w:eastAsia="Cambria Math"/>
          <w:spacing w:val="-9"/>
          <w:w w:val="95"/>
          <w:sz w:val="24"/>
        </w:rPr>
        <w:t>+ </w:t>
      </w:r>
      <w:r>
        <w:rPr>
          <w:rFonts w:ascii="Cambria Math" w:hAnsi="Cambria Math" w:eastAsia="Cambria Math"/>
          <w:spacing w:val="-8"/>
          <w:w w:val="95"/>
          <w:sz w:val="24"/>
        </w:rPr>
        <w:t>�𝐞</w:t>
      </w:r>
      <w:r>
        <w:rPr>
          <w:rFonts w:ascii="Cambria Math" w:hAnsi="Cambria Math" w:eastAsia="Cambria Math"/>
          <w:spacing w:val="-8"/>
          <w:w w:val="95"/>
          <w:position w:val="9"/>
          <w:sz w:val="17"/>
        </w:rPr>
        <w:t>−  </w:t>
      </w:r>
      <w:r>
        <w:rPr>
          <w:rFonts w:ascii="Cambria Math" w:hAnsi="Cambria Math" w:eastAsia="Cambria Math"/>
          <w:spacing w:val="-8"/>
          <w:w w:val="95"/>
          <w:sz w:val="24"/>
        </w:rPr>
        <w:t>→</w:t>
      </w:r>
      <w:r>
        <w:rPr>
          <w:rFonts w:ascii="Cambria Math" w:hAnsi="Cambria Math" w:eastAsia="Cambria Math"/>
          <w:spacing w:val="-7"/>
          <w:w w:val="95"/>
          <w:sz w:val="24"/>
        </w:rPr>
        <w:t> </w:t>
      </w:r>
      <w:r>
        <w:rPr>
          <w:rFonts w:ascii="Cambria Math" w:hAnsi="Cambria Math" w:eastAsia="Cambria Math"/>
          <w:spacing w:val="-8"/>
          <w:w w:val="95"/>
          <w:sz w:val="24"/>
        </w:rPr>
        <w:t>�𝐂�</w:t>
      </w:r>
      <w:r>
        <w:rPr>
          <w:rFonts w:ascii="Cambria Math" w:hAnsi="Cambria Math" w:eastAsia="Cambria Math"/>
          <w:spacing w:val="-8"/>
          <w:w w:val="95"/>
          <w:position w:val="10"/>
          <w:sz w:val="17"/>
        </w:rPr>
        <w:t>�+</w:t>
      </w:r>
      <w:r>
        <w:rPr>
          <w:rFonts w:ascii="Cambria Math" w:hAnsi="Cambria Math" w:eastAsia="Cambria Math"/>
          <w:spacing w:val="18"/>
          <w:w w:val="95"/>
          <w:position w:val="10"/>
          <w:sz w:val="17"/>
        </w:rPr>
        <w:t> </w:t>
      </w:r>
      <w:r>
        <w:rPr>
          <w:rFonts w:ascii="Cambria Math" w:hAnsi="Cambria Math" w:eastAsia="Cambria Math"/>
          <w:spacing w:val="-8"/>
          <w:w w:val="95"/>
          <w:sz w:val="24"/>
        </w:rPr>
        <w:t>+</w:t>
      </w:r>
      <w:r>
        <w:rPr>
          <w:rFonts w:ascii="Cambria Math" w:hAnsi="Cambria Math" w:eastAsia="Cambria Math"/>
          <w:sz w:val="24"/>
        </w:rPr>
        <w:t> �� </w:t>
      </w:r>
      <w:r>
        <w:rPr>
          <w:rFonts w:ascii="Cambria Math" w:hAnsi="Cambria Math" w:eastAsia="Cambria Math"/>
          <w:spacing w:val="12"/>
          <w:sz w:val="24"/>
        </w:rPr>
        <w:t> </w:t>
      </w:r>
      <w:r>
        <w:rPr>
          <w:rFonts w:ascii="Cambria Math" w:hAnsi="Cambria Math" w:eastAsia="Cambria Math"/>
          <w:sz w:val="24"/>
        </w:rPr>
        <w:t>𝐎</w:t>
      </w:r>
    </w:p>
    <w:p>
      <w:pPr>
        <w:pStyle w:val="BodyText"/>
        <w:spacing w:line="41" w:lineRule="exact" w:before="103"/>
        <w:ind w:left="1568"/>
        <w:rPr>
          <w:rFonts w:ascii="Cambria Math" w:eastAsia="Cambria Math"/>
        </w:rPr>
      </w:pPr>
      <w:r>
        <w:rPr/>
        <w:br w:type="column"/>
      </w:r>
      <w:r>
        <w:rPr>
          <w:rFonts w:ascii="Cambria Math" w:eastAsia="Cambria Math"/>
          <w:spacing w:val="-69"/>
          <w:w w:val="95"/>
        </w:rPr>
        <w:t>𝐄𝐜.</w:t>
      </w:r>
      <w:r>
        <w:rPr>
          <w:rFonts w:ascii="Cambria Math" w:eastAsia="Cambria Math"/>
          <w:spacing w:val="27"/>
          <w:w w:val="95"/>
        </w:rPr>
        <w:t> </w:t>
      </w:r>
      <w:r>
        <w:rPr>
          <w:rFonts w:ascii="Cambria Math" w:eastAsia="Cambria Math"/>
          <w:spacing w:val="-68"/>
          <w:w w:val="95"/>
        </w:rPr>
        <w:t>�</w:t>
      </w:r>
    </w:p>
    <w:p>
      <w:pPr>
        <w:spacing w:after="0" w:line="41" w:lineRule="exact"/>
        <w:rPr>
          <w:rFonts w:ascii="Cambria Math" w:eastAsia="Cambria Math"/>
        </w:rPr>
        <w:sectPr>
          <w:type w:val="continuous"/>
          <w:pgSz w:w="12240" w:h="15840"/>
          <w:pgMar w:top="1500" w:bottom="840" w:left="760" w:right="840"/>
          <w:cols w:num="2" w:equalWidth="0">
            <w:col w:w="6209" w:space="1871"/>
            <w:col w:w="2560"/>
          </w:cols>
        </w:sectPr>
      </w:pPr>
    </w:p>
    <w:p>
      <w:pPr>
        <w:spacing w:line="282" w:lineRule="exact" w:before="0"/>
        <w:ind w:left="1050" w:right="0" w:firstLine="0"/>
        <w:jc w:val="left"/>
        <w:rPr>
          <w:rFonts w:ascii="Cambria Math" w:eastAsia="Cambria Math"/>
          <w:sz w:val="17"/>
        </w:rPr>
      </w:pPr>
      <w:r>
        <w:rPr>
          <w:rFonts w:ascii="Cambria Math" w:eastAsia="Cambria Math"/>
          <w:spacing w:val="-59"/>
          <w:w w:val="90"/>
          <w:position w:val="6"/>
          <w:sz w:val="24"/>
        </w:rPr>
        <w:t>𝐂�</w:t>
      </w:r>
      <w:r>
        <w:rPr>
          <w:rFonts w:ascii="Cambria Math" w:eastAsia="Cambria Math"/>
          <w:spacing w:val="-59"/>
          <w:w w:val="90"/>
          <w:position w:val="1"/>
          <w:sz w:val="17"/>
        </w:rPr>
        <w:t>�</w:t>
      </w:r>
      <w:r>
        <w:rPr>
          <w:rFonts w:ascii="Cambria Math" w:eastAsia="Cambria Math"/>
          <w:spacing w:val="-59"/>
          <w:w w:val="90"/>
          <w:position w:val="6"/>
          <w:sz w:val="24"/>
        </w:rPr>
        <w:t>𝐎</w:t>
      </w:r>
      <w:r>
        <w:rPr>
          <w:rFonts w:ascii="Cambria Math" w:eastAsia="Cambria Math"/>
          <w:spacing w:val="-59"/>
          <w:w w:val="90"/>
          <w:sz w:val="17"/>
        </w:rPr>
        <w:t>�</w:t>
      </w:r>
      <w:r>
        <w:rPr>
          <w:rFonts w:ascii="Cambria Math" w:eastAsia="Cambria Math"/>
          <w:spacing w:val="-32"/>
          <w:w w:val="90"/>
          <w:sz w:val="17"/>
        </w:rPr>
        <w:t> </w:t>
      </w:r>
      <w:r>
        <w:rPr>
          <w:rFonts w:ascii="Cambria Math" w:eastAsia="Cambria Math"/>
          <w:sz w:val="17"/>
        </w:rPr>
        <w:t>(𝐚�)</w:t>
      </w:r>
    </w:p>
    <w:p>
      <w:pPr>
        <w:spacing w:before="85"/>
        <w:ind w:left="0" w:right="0" w:firstLine="0"/>
        <w:jc w:val="right"/>
        <w:rPr>
          <w:rFonts w:ascii="Cambria Math" w:eastAsia="Cambria Math"/>
          <w:sz w:val="17"/>
        </w:rPr>
      </w:pPr>
      <w:r>
        <w:rPr/>
        <w:br w:type="column"/>
      </w:r>
      <w:r>
        <w:rPr>
          <w:rFonts w:ascii="Cambria Math" w:eastAsia="Cambria Math"/>
          <w:w w:val="95"/>
          <w:sz w:val="17"/>
        </w:rPr>
        <w:t>(𝒂�)</w:t>
      </w:r>
    </w:p>
    <w:p>
      <w:pPr>
        <w:spacing w:before="85"/>
        <w:ind w:left="0" w:right="0" w:firstLine="0"/>
        <w:jc w:val="right"/>
        <w:rPr>
          <w:rFonts w:ascii="Cambria Math" w:eastAsia="Cambria Math"/>
          <w:sz w:val="17"/>
        </w:rPr>
      </w:pPr>
      <w:r>
        <w:rPr/>
        <w:br w:type="column"/>
      </w:r>
      <w:r>
        <w:rPr>
          <w:rFonts w:ascii="Cambria Math" w:eastAsia="Cambria Math"/>
          <w:w w:val="95"/>
          <w:sz w:val="17"/>
        </w:rPr>
        <w:t>(𝒂�)</w:t>
      </w:r>
    </w:p>
    <w:p>
      <w:pPr>
        <w:spacing w:before="73"/>
        <w:ind w:left="576" w:right="0" w:firstLine="0"/>
        <w:jc w:val="left"/>
        <w:rPr>
          <w:rFonts w:ascii="Cambria Math" w:eastAsia="Cambria Math"/>
          <w:sz w:val="17"/>
        </w:rPr>
      </w:pPr>
      <w:r>
        <w:rPr/>
        <w:br w:type="column"/>
      </w:r>
      <w:r>
        <w:rPr>
          <w:rFonts w:ascii="Cambria Math" w:eastAsia="Cambria Math"/>
          <w:w w:val="95"/>
          <w:sz w:val="17"/>
        </w:rPr>
        <w:t>�   (𝒍)</w:t>
      </w:r>
    </w:p>
    <w:p>
      <w:pPr>
        <w:spacing w:after="0"/>
        <w:jc w:val="left"/>
        <w:rPr>
          <w:rFonts w:ascii="Cambria Math" w:eastAsia="Cambria Math"/>
          <w:sz w:val="17"/>
        </w:rPr>
        <w:sectPr>
          <w:type w:val="continuous"/>
          <w:pgSz w:w="12240" w:h="15840"/>
          <w:pgMar w:top="1500" w:bottom="840" w:left="760" w:right="840"/>
          <w:cols w:num="4" w:equalWidth="0">
            <w:col w:w="2122" w:space="40"/>
            <w:col w:w="1171" w:space="580"/>
            <w:col w:w="1400" w:space="40"/>
            <w:col w:w="5287"/>
          </w:cols>
        </w:sectPr>
      </w:pPr>
    </w:p>
    <w:p>
      <w:pPr>
        <w:pStyle w:val="BodyText"/>
        <w:rPr>
          <w:rFonts w:ascii="Cambria Math"/>
          <w:sz w:val="20"/>
        </w:rPr>
      </w:pPr>
    </w:p>
    <w:p>
      <w:pPr>
        <w:pStyle w:val="BodyText"/>
        <w:rPr>
          <w:rFonts w:ascii="Cambria Math"/>
          <w:sz w:val="23"/>
        </w:rPr>
      </w:pPr>
    </w:p>
    <w:p>
      <w:pPr>
        <w:tabs>
          <w:tab w:pos="9672" w:val="left" w:leader="none"/>
        </w:tabs>
        <w:spacing w:before="70"/>
        <w:ind w:left="1383" w:right="286" w:firstLine="0"/>
        <w:jc w:val="left"/>
        <w:rPr>
          <w:rFonts w:ascii="Cambria Math" w:hAnsi="Cambria Math" w:eastAsia="Cambria Math"/>
          <w:sz w:val="24"/>
        </w:rPr>
      </w:pPr>
      <w:r>
        <w:rPr>
          <w:rFonts w:ascii="Cambria Math" w:hAnsi="Cambria Math" w:eastAsia="Cambria Math"/>
          <w:spacing w:val="-33"/>
          <w:w w:val="90"/>
          <w:sz w:val="24"/>
        </w:rPr>
        <w:t>𝐂�</w:t>
      </w:r>
      <w:r>
        <w:rPr>
          <w:rFonts w:ascii="Cambria Math" w:hAnsi="Cambria Math" w:eastAsia="Cambria Math"/>
          <w:spacing w:val="-33"/>
          <w:w w:val="90"/>
          <w:position w:val="1"/>
          <w:sz w:val="24"/>
        </w:rPr>
        <w:t>(</w:t>
      </w:r>
      <w:r>
        <w:rPr>
          <w:rFonts w:ascii="Cambria Math" w:hAnsi="Cambria Math" w:eastAsia="Cambria Math"/>
          <w:spacing w:val="-33"/>
          <w:w w:val="90"/>
          <w:sz w:val="24"/>
        </w:rPr>
        <w:t>𝐕�</w:t>
      </w:r>
      <w:r>
        <w:rPr>
          <w:rFonts w:ascii="Cambria Math" w:hAnsi="Cambria Math" w:eastAsia="Cambria Math"/>
          <w:spacing w:val="-33"/>
          <w:w w:val="90"/>
          <w:position w:val="1"/>
          <w:sz w:val="24"/>
        </w:rPr>
        <w:t>)</w:t>
      </w:r>
      <w:r>
        <w:rPr>
          <w:rFonts w:ascii="Cambria Math" w:hAnsi="Cambria Math" w:eastAsia="Cambria Math"/>
          <w:spacing w:val="-33"/>
          <w:w w:val="90"/>
          <w:position w:val="-4"/>
          <w:sz w:val="17"/>
        </w:rPr>
        <w:t>(𝒂�)                                                 </w:t>
      </w:r>
      <w:r>
        <w:rPr>
          <w:rFonts w:ascii="Cambria Math" w:hAnsi="Cambria Math" w:eastAsia="Cambria Math"/>
          <w:spacing w:val="-33"/>
          <w:w w:val="90"/>
          <w:sz w:val="24"/>
        </w:rPr>
        <w:t>+    �𝐞</w:t>
      </w:r>
      <w:r>
        <w:rPr>
          <w:rFonts w:ascii="Cambria Math" w:hAnsi="Cambria Math" w:eastAsia="Cambria Math"/>
          <w:spacing w:val="-33"/>
          <w:w w:val="90"/>
          <w:position w:val="9"/>
          <w:sz w:val="17"/>
        </w:rPr>
        <w:t>−                                                                                                     </w:t>
      </w:r>
      <w:r>
        <w:rPr>
          <w:rFonts w:ascii="Cambria Math" w:hAnsi="Cambria Math" w:eastAsia="Cambria Math"/>
          <w:spacing w:val="-33"/>
          <w:w w:val="90"/>
          <w:sz w:val="24"/>
        </w:rPr>
        <w:t>→     </w:t>
      </w:r>
      <w:r>
        <w:rPr>
          <w:rFonts w:ascii="Cambria Math" w:hAnsi="Cambria Math" w:eastAsia="Cambria Math"/>
          <w:spacing w:val="-25"/>
          <w:w w:val="90"/>
          <w:sz w:val="24"/>
        </w:rPr>
        <w:t> </w:t>
      </w:r>
      <w:r>
        <w:rPr>
          <w:rFonts w:ascii="Cambria Math" w:hAnsi="Cambria Math" w:eastAsia="Cambria Math"/>
          <w:spacing w:val="-33"/>
          <w:w w:val="90"/>
          <w:sz w:val="24"/>
        </w:rPr>
        <w:t>𝐂�(���)</w:t>
      </w:r>
      <w:r>
        <w:rPr>
          <w:rFonts w:ascii="Cambria Math" w:hAnsi="Cambria Math" w:eastAsia="Cambria Math"/>
          <w:spacing w:val="-33"/>
          <w:w w:val="90"/>
          <w:position w:val="-4"/>
          <w:sz w:val="17"/>
        </w:rPr>
        <w:t>(𝒂�)</w:t>
        <w:tab/>
      </w:r>
      <w:r>
        <w:rPr>
          <w:rFonts w:ascii="Cambria Math" w:hAnsi="Cambria Math" w:eastAsia="Cambria Math"/>
          <w:spacing w:val="-69"/>
          <w:w w:val="95"/>
          <w:sz w:val="24"/>
        </w:rPr>
        <w:t>𝐄𝐜.</w:t>
      </w:r>
      <w:r>
        <w:rPr>
          <w:rFonts w:ascii="Cambria Math" w:hAnsi="Cambria Math" w:eastAsia="Cambria Math"/>
          <w:spacing w:val="29"/>
          <w:w w:val="95"/>
          <w:sz w:val="24"/>
        </w:rPr>
        <w:t> </w:t>
      </w:r>
      <w:r>
        <w:rPr>
          <w:rFonts w:ascii="Cambria Math" w:hAnsi="Cambria Math" w:eastAsia="Cambria Math"/>
          <w:spacing w:val="-68"/>
          <w:w w:val="95"/>
          <w:sz w:val="24"/>
        </w:rPr>
        <w:t>�</w:t>
      </w:r>
    </w:p>
    <w:p>
      <w:pPr>
        <w:pStyle w:val="BodyText"/>
        <w:rPr>
          <w:rFonts w:ascii="Cambria Math"/>
          <w:sz w:val="30"/>
        </w:rPr>
      </w:pPr>
    </w:p>
    <w:p>
      <w:pPr>
        <w:pStyle w:val="BodyText"/>
        <w:rPr>
          <w:rFonts w:ascii="Cambria Math"/>
          <w:sz w:val="30"/>
        </w:rPr>
      </w:pPr>
    </w:p>
    <w:p>
      <w:pPr>
        <w:pStyle w:val="BodyText"/>
        <w:spacing w:line="360" w:lineRule="auto" w:before="249"/>
        <w:ind w:left="658" w:right="400"/>
        <w:jc w:val="both"/>
      </w:pPr>
      <w:r>
        <w:rPr/>
        <w:t>En general, en aguas residuales, los iones cloruro constituyen una especie oxidable que compite con la materia orgánica, y constituye la incidencia de error más importante en el valor de la DQO.</w:t>
      </w:r>
    </w:p>
    <w:p>
      <w:pPr>
        <w:pStyle w:val="BodyText"/>
        <w:rPr>
          <w:sz w:val="20"/>
        </w:rPr>
      </w:pPr>
    </w:p>
    <w:p>
      <w:pPr>
        <w:pStyle w:val="BodyText"/>
        <w:spacing w:before="8"/>
        <w:rPr>
          <w:sz w:val="15"/>
        </w:rPr>
      </w:pPr>
    </w:p>
    <w:p>
      <w:pPr>
        <w:spacing w:after="0"/>
        <w:rPr>
          <w:sz w:val="15"/>
        </w:rPr>
        <w:sectPr>
          <w:type w:val="continuous"/>
          <w:pgSz w:w="12240" w:h="15840"/>
          <w:pgMar w:top="1500" w:bottom="840" w:left="760" w:right="840"/>
        </w:sectPr>
      </w:pPr>
    </w:p>
    <w:p>
      <w:pPr>
        <w:pStyle w:val="BodyText"/>
        <w:tabs>
          <w:tab w:pos="1894" w:val="left" w:leader="none"/>
          <w:tab w:pos="3325" w:val="left" w:leader="none"/>
          <w:tab w:pos="4501" w:val="left" w:leader="none"/>
        </w:tabs>
        <w:spacing w:line="75" w:lineRule="exact" w:before="74"/>
        <w:ind w:left="1431"/>
        <w:rPr>
          <w:rFonts w:ascii="Cambria Math" w:hAnsi="Cambria Math" w:eastAsia="Cambria Math"/>
        </w:rPr>
      </w:pPr>
      <w:r>
        <w:rPr>
          <w:rFonts w:ascii="Cambria Math" w:hAnsi="Cambria Math" w:eastAsia="Cambria Math"/>
          <w:w w:val="97"/>
          <w:position w:val="10"/>
          <w:sz w:val="17"/>
        </w:rPr>
        <w:t>−</w:t>
      </w:r>
      <w:r>
        <w:rPr>
          <w:rFonts w:ascii="Cambria Math" w:hAnsi="Cambria Math" w:eastAsia="Cambria Math"/>
          <w:position w:val="10"/>
          <w:sz w:val="17"/>
        </w:rPr>
        <w:tab/>
      </w:r>
      <w:r>
        <w:rPr>
          <w:rFonts w:ascii="Cambria Math" w:hAnsi="Cambria Math" w:eastAsia="Cambria Math"/>
        </w:rPr>
        <w:t>+  </w:t>
      </w:r>
      <w:r>
        <w:rPr>
          <w:rFonts w:ascii="Cambria Math" w:hAnsi="Cambria Math" w:eastAsia="Cambria Math"/>
          <w:w w:val="100"/>
        </w:rPr>
        <w:t>𝐂</w:t>
      </w:r>
      <w:r>
        <w:rPr>
          <w:rFonts w:ascii="Cambria Math" w:hAnsi="Cambria Math" w:eastAsia="Cambria Math"/>
          <w:w w:val="72"/>
        </w:rPr>
        <w:t>�</w:t>
      </w:r>
      <w:r>
        <w:rPr>
          <w:rFonts w:ascii="Cambria Math" w:hAnsi="Cambria Math" w:eastAsia="Cambria Math"/>
        </w:rPr>
        <w:t> </w:t>
      </w:r>
      <w:r>
        <w:rPr>
          <w:rFonts w:ascii="Cambria Math" w:hAnsi="Cambria Math" w:eastAsia="Cambria Math"/>
          <w:spacing w:val="-14"/>
        </w:rPr>
        <w:t> </w:t>
      </w:r>
      <w:r>
        <w:rPr>
          <w:rFonts w:ascii="Cambria Math" w:hAnsi="Cambria Math" w:eastAsia="Cambria Math"/>
        </w:rPr>
        <w:t>𝐎</w:t>
      </w:r>
      <w:r>
        <w:rPr>
          <w:rFonts w:ascii="Cambria Math" w:hAnsi="Cambria Math" w:eastAsia="Cambria Math"/>
          <w:spacing w:val="1"/>
          <w:w w:val="91"/>
          <w:position w:val="10"/>
          <w:sz w:val="17"/>
        </w:rPr>
        <w:t>�</w:t>
      </w:r>
      <w:r>
        <w:rPr>
          <w:rFonts w:ascii="Cambria Math" w:hAnsi="Cambria Math" w:eastAsia="Cambria Math"/>
          <w:w w:val="97"/>
          <w:position w:val="10"/>
          <w:sz w:val="17"/>
        </w:rPr>
        <w:t>−</w:t>
      </w:r>
      <w:r>
        <w:rPr>
          <w:rFonts w:ascii="Cambria Math" w:hAnsi="Cambria Math" w:eastAsia="Cambria Math"/>
          <w:position w:val="10"/>
          <w:sz w:val="17"/>
        </w:rPr>
        <w:tab/>
      </w:r>
      <w:r>
        <w:rPr>
          <w:rFonts w:ascii="Cambria Math" w:hAnsi="Cambria Math" w:eastAsia="Cambria Math"/>
        </w:rPr>
        <w:t>+  </w:t>
      </w:r>
      <w:r>
        <w:rPr>
          <w:rFonts w:ascii="Cambria Math" w:hAnsi="Cambria Math" w:eastAsia="Cambria Math"/>
          <w:w w:val="90"/>
        </w:rPr>
        <w:t>��</w:t>
      </w:r>
      <w:r>
        <w:rPr>
          <w:rFonts w:ascii="Cambria Math" w:hAnsi="Cambria Math" w:eastAsia="Cambria Math"/>
          <w:spacing w:val="8"/>
          <w:w w:val="111"/>
        </w:rPr>
        <w:t>�</w:t>
      </w:r>
      <w:r>
        <w:rPr>
          <w:rFonts w:ascii="Cambria Math" w:hAnsi="Cambria Math" w:eastAsia="Cambria Math"/>
          <w:w w:val="97"/>
          <w:position w:val="10"/>
          <w:sz w:val="17"/>
        </w:rPr>
        <w:t>+</w:t>
      </w:r>
      <w:r>
        <w:rPr>
          <w:rFonts w:ascii="Cambria Math" w:hAnsi="Cambria Math" w:eastAsia="Cambria Math"/>
          <w:position w:val="10"/>
          <w:sz w:val="17"/>
        </w:rPr>
        <w:tab/>
      </w:r>
      <w:r>
        <w:rPr>
          <w:rFonts w:ascii="Cambria Math" w:hAnsi="Cambria Math" w:eastAsia="Cambria Math"/>
          <w:spacing w:val="-202"/>
          <w:w w:val="100"/>
        </w:rPr>
        <w:t>↽</w:t>
      </w:r>
      <w:r>
        <w:rPr>
          <w:rFonts w:ascii="Cambria Math" w:hAnsi="Cambria Math" w:eastAsia="Cambria Math"/>
          <w:spacing w:val="-37"/>
          <w:w w:val="79"/>
        </w:rPr>
        <w:t>⃑</w:t>
      </w:r>
      <w:r>
        <w:rPr>
          <w:rFonts w:ascii="Cambria Math" w:hAnsi="Cambria Math" w:eastAsia="Cambria Math"/>
          <w:spacing w:val="8"/>
          <w:w w:val="79"/>
        </w:rPr>
        <w:t>⃑</w:t>
      </w:r>
      <w:r>
        <w:rPr>
          <w:rFonts w:ascii="Cambria Math" w:hAnsi="Cambria Math" w:eastAsia="Cambria Math"/>
          <w:w w:val="167"/>
        </w:rPr>
        <w:t> </w:t>
      </w:r>
      <w:r>
        <w:rPr>
          <w:rFonts w:ascii="Cambria Math" w:hAnsi="Cambria Math" w:eastAsia="Cambria Math"/>
        </w:rPr>
        <w:t>  </w:t>
      </w:r>
      <w:r>
        <w:rPr>
          <w:rFonts w:ascii="Cambria Math" w:hAnsi="Cambria Math" w:eastAsia="Cambria Math"/>
          <w:spacing w:val="14"/>
        </w:rPr>
        <w:t> </w:t>
      </w:r>
      <w:r>
        <w:rPr>
          <w:rFonts w:ascii="Cambria Math" w:hAnsi="Cambria Math" w:eastAsia="Cambria Math"/>
        </w:rPr>
        <w:t>�𝐂𝐥</w:t>
      </w:r>
    </w:p>
    <w:p>
      <w:pPr>
        <w:spacing w:line="75" w:lineRule="exact" w:before="74"/>
        <w:ind w:left="520" w:right="0" w:firstLine="0"/>
        <w:jc w:val="left"/>
        <w:rPr>
          <w:rFonts w:ascii="Cambria Math" w:eastAsia="Cambria Math"/>
          <w:sz w:val="24"/>
        </w:rPr>
      </w:pPr>
      <w:r>
        <w:rPr/>
        <w:br w:type="column"/>
      </w:r>
      <w:r>
        <w:rPr>
          <w:rFonts w:ascii="Cambria Math" w:eastAsia="Cambria Math"/>
          <w:w w:val="95"/>
          <w:sz w:val="24"/>
        </w:rPr>
        <w:t>+ �𝑪�</w:t>
      </w:r>
      <w:r>
        <w:rPr>
          <w:rFonts w:ascii="Cambria Math" w:eastAsia="Cambria Math"/>
          <w:w w:val="95"/>
          <w:position w:val="10"/>
          <w:sz w:val="17"/>
        </w:rPr>
        <w:t>�+ </w:t>
      </w:r>
      <w:r>
        <w:rPr>
          <w:rFonts w:ascii="Cambria Math" w:eastAsia="Cambria Math"/>
          <w:w w:val="95"/>
          <w:sz w:val="24"/>
        </w:rPr>
        <w:t>+ � </w:t>
      </w:r>
      <w:r>
        <w:rPr>
          <w:rFonts w:ascii="Cambria Math" w:eastAsia="Cambria Math"/>
          <w:sz w:val="24"/>
        </w:rPr>
        <w:t>�  𝐎</w:t>
      </w:r>
    </w:p>
    <w:p>
      <w:pPr>
        <w:pStyle w:val="BodyText"/>
        <w:spacing w:line="41" w:lineRule="exact" w:before="107"/>
        <w:ind w:left="1431"/>
        <w:rPr>
          <w:rFonts w:ascii="Cambria Math" w:eastAsia="Cambria Math"/>
        </w:rPr>
      </w:pPr>
      <w:r>
        <w:rPr/>
        <w:br w:type="column"/>
      </w:r>
      <w:r>
        <w:rPr>
          <w:rFonts w:ascii="Cambria Math" w:eastAsia="Cambria Math"/>
          <w:spacing w:val="-69"/>
          <w:w w:val="95"/>
        </w:rPr>
        <w:t>𝐄𝐜.</w:t>
      </w:r>
      <w:r>
        <w:rPr>
          <w:rFonts w:ascii="Cambria Math" w:eastAsia="Cambria Math"/>
          <w:spacing w:val="27"/>
          <w:w w:val="95"/>
        </w:rPr>
        <w:t> </w:t>
      </w:r>
      <w:r>
        <w:rPr>
          <w:rFonts w:ascii="Cambria Math" w:eastAsia="Cambria Math"/>
          <w:spacing w:val="-68"/>
          <w:w w:val="95"/>
        </w:rPr>
        <w:t>�</w:t>
      </w:r>
    </w:p>
    <w:p>
      <w:pPr>
        <w:spacing w:after="0" w:line="41" w:lineRule="exact"/>
        <w:rPr>
          <w:rFonts w:ascii="Cambria Math" w:eastAsia="Cambria Math"/>
        </w:rPr>
        <w:sectPr>
          <w:type w:val="continuous"/>
          <w:pgSz w:w="12240" w:h="15840"/>
          <w:pgMar w:top="1500" w:bottom="840" w:left="760" w:right="840"/>
          <w:cols w:num="3" w:equalWidth="0">
            <w:col w:w="5240" w:space="40"/>
            <w:col w:w="2530" w:space="409"/>
            <w:col w:w="2421"/>
          </w:cols>
        </w:sectPr>
      </w:pPr>
    </w:p>
    <w:p>
      <w:pPr>
        <w:spacing w:line="282" w:lineRule="exact" w:before="0"/>
        <w:ind w:left="1047" w:right="-449" w:firstLine="0"/>
        <w:jc w:val="left"/>
        <w:rPr>
          <w:rFonts w:ascii="Cambria Math" w:eastAsia="Cambria Math"/>
          <w:sz w:val="17"/>
        </w:rPr>
      </w:pPr>
      <w:r>
        <w:rPr>
          <w:rFonts w:ascii="Cambria Math" w:eastAsia="Cambria Math"/>
          <w:w w:val="90"/>
          <w:position w:val="6"/>
          <w:sz w:val="24"/>
        </w:rPr>
        <w:t>�</w:t>
      </w:r>
      <w:r>
        <w:rPr>
          <w:rFonts w:ascii="Cambria Math" w:eastAsia="Cambria Math"/>
          <w:w w:val="99"/>
          <w:position w:val="6"/>
          <w:sz w:val="24"/>
        </w:rPr>
        <w:t>𝑪</w:t>
      </w:r>
      <w:r>
        <w:rPr>
          <w:rFonts w:ascii="Cambria Math" w:eastAsia="Cambria Math"/>
          <w:spacing w:val="-1"/>
          <w:w w:val="99"/>
          <w:position w:val="6"/>
          <w:sz w:val="24"/>
        </w:rPr>
        <w:t>𝒍</w:t>
      </w:r>
      <w:r>
        <w:rPr>
          <w:rFonts w:ascii="Cambria Math" w:eastAsia="Cambria Math"/>
          <w:spacing w:val="-2"/>
          <w:w w:val="100"/>
          <w:sz w:val="17"/>
        </w:rPr>
        <w:t>(</w:t>
      </w:r>
      <w:r>
        <w:rPr>
          <w:rFonts w:ascii="Cambria Math" w:eastAsia="Cambria Math"/>
          <w:spacing w:val="-1"/>
          <w:w w:val="100"/>
          <w:sz w:val="17"/>
        </w:rPr>
        <w:t>𝒂</w:t>
      </w:r>
      <w:r>
        <w:rPr>
          <w:rFonts w:ascii="Cambria Math" w:eastAsia="Cambria Math"/>
          <w:w w:val="92"/>
          <w:sz w:val="17"/>
        </w:rPr>
        <w:t>�</w:t>
      </w:r>
      <w:r>
        <w:rPr>
          <w:rFonts w:ascii="Cambria Math" w:eastAsia="Cambria Math"/>
          <w:w w:val="100"/>
          <w:sz w:val="17"/>
        </w:rPr>
        <w:t>)</w:t>
      </w:r>
    </w:p>
    <w:p>
      <w:pPr>
        <w:spacing w:before="77"/>
        <w:ind w:left="597" w:right="0" w:firstLine="0"/>
        <w:jc w:val="left"/>
        <w:rPr>
          <w:rFonts w:ascii="Cambria Math" w:eastAsia="Cambria Math"/>
          <w:sz w:val="17"/>
        </w:rPr>
      </w:pPr>
      <w:r>
        <w:rPr/>
        <w:br w:type="column"/>
      </w:r>
      <w:r>
        <w:rPr>
          <w:rFonts w:ascii="Cambria Math" w:eastAsia="Cambria Math"/>
          <w:position w:val="1"/>
          <w:sz w:val="17"/>
        </w:rPr>
        <w:t>� </w:t>
      </w:r>
      <w:r>
        <w:rPr>
          <w:rFonts w:ascii="Cambria Math" w:eastAsia="Cambria Math"/>
          <w:sz w:val="17"/>
        </w:rPr>
        <w:t>� </w:t>
      </w:r>
      <w:r>
        <w:rPr>
          <w:rFonts w:ascii="Cambria Math" w:eastAsia="Cambria Math"/>
          <w:position w:val="1"/>
          <w:sz w:val="17"/>
        </w:rPr>
        <w:t>(</w:t>
      </w:r>
      <w:r>
        <w:rPr>
          <w:rFonts w:ascii="Cambria Math" w:eastAsia="Cambria Math"/>
          <w:sz w:val="17"/>
        </w:rPr>
        <w:t>𝒂�</w:t>
      </w:r>
      <w:r>
        <w:rPr>
          <w:rFonts w:ascii="Cambria Math" w:eastAsia="Cambria Math"/>
          <w:position w:val="1"/>
          <w:sz w:val="17"/>
        </w:rPr>
        <w:t>)</w:t>
      </w:r>
    </w:p>
    <w:p>
      <w:pPr>
        <w:spacing w:before="77"/>
        <w:ind w:left="0" w:right="0" w:firstLine="0"/>
        <w:jc w:val="right"/>
        <w:rPr>
          <w:rFonts w:ascii="Cambria Math" w:eastAsia="Cambria Math"/>
          <w:sz w:val="17"/>
        </w:rPr>
      </w:pPr>
      <w:r>
        <w:rPr/>
        <w:br w:type="column"/>
      </w:r>
      <w:r>
        <w:rPr>
          <w:rFonts w:ascii="Cambria Math" w:eastAsia="Cambria Math"/>
          <w:w w:val="95"/>
          <w:position w:val="1"/>
          <w:sz w:val="17"/>
        </w:rPr>
        <w:t>(</w:t>
      </w:r>
      <w:r>
        <w:rPr>
          <w:rFonts w:ascii="Cambria Math" w:eastAsia="Cambria Math"/>
          <w:w w:val="95"/>
          <w:sz w:val="17"/>
        </w:rPr>
        <w:t>𝒂�</w:t>
      </w:r>
      <w:r>
        <w:rPr>
          <w:rFonts w:ascii="Cambria Math" w:eastAsia="Cambria Math"/>
          <w:w w:val="95"/>
          <w:position w:val="1"/>
          <w:sz w:val="17"/>
        </w:rPr>
        <w:t>)</w:t>
      </w:r>
    </w:p>
    <w:p>
      <w:pPr>
        <w:spacing w:before="73"/>
        <w:ind w:left="772" w:right="0" w:firstLine="0"/>
        <w:jc w:val="left"/>
        <w:rPr>
          <w:rFonts w:ascii="Cambria Math" w:eastAsia="Cambria Math"/>
          <w:sz w:val="17"/>
        </w:rPr>
      </w:pPr>
      <w:r>
        <w:rPr/>
        <w:br w:type="column"/>
      </w:r>
      <w:r>
        <w:rPr>
          <w:rFonts w:ascii="Cambria Math" w:eastAsia="Cambria Math"/>
          <w:sz w:val="17"/>
        </w:rPr>
        <w:t>� (𝐠)</w:t>
      </w:r>
    </w:p>
    <w:p>
      <w:pPr>
        <w:spacing w:before="85"/>
        <w:ind w:left="0" w:right="0" w:firstLine="0"/>
        <w:jc w:val="right"/>
        <w:rPr>
          <w:rFonts w:ascii="Cambria Math" w:eastAsia="Cambria Math"/>
          <w:sz w:val="17"/>
        </w:rPr>
      </w:pPr>
      <w:r>
        <w:rPr/>
        <w:br w:type="column"/>
      </w:r>
      <w:r>
        <w:rPr>
          <w:rFonts w:ascii="Cambria Math" w:eastAsia="Cambria Math"/>
          <w:w w:val="95"/>
          <w:sz w:val="17"/>
        </w:rPr>
        <w:t>(𝒂�)</w:t>
      </w:r>
    </w:p>
    <w:p>
      <w:pPr>
        <w:spacing w:before="73"/>
        <w:ind w:left="628" w:right="0" w:firstLine="0"/>
        <w:jc w:val="left"/>
        <w:rPr>
          <w:rFonts w:ascii="Cambria Math" w:eastAsia="Cambria Math"/>
          <w:sz w:val="17"/>
        </w:rPr>
      </w:pPr>
      <w:r>
        <w:rPr/>
        <w:br w:type="column"/>
      </w:r>
      <w:r>
        <w:rPr>
          <w:rFonts w:ascii="Cambria Math" w:eastAsia="Cambria Math"/>
          <w:w w:val="95"/>
          <w:sz w:val="17"/>
        </w:rPr>
        <w:t>�  (𝒂�)</w:t>
      </w:r>
    </w:p>
    <w:p>
      <w:pPr>
        <w:spacing w:after="0"/>
        <w:jc w:val="left"/>
        <w:rPr>
          <w:rFonts w:ascii="Cambria Math" w:eastAsia="Cambria Math"/>
          <w:sz w:val="17"/>
        </w:rPr>
        <w:sectPr>
          <w:type w:val="continuous"/>
          <w:pgSz w:w="12240" w:h="15840"/>
          <w:pgMar w:top="1500" w:bottom="840" w:left="760" w:right="840"/>
          <w:cols w:num="6" w:equalWidth="0">
            <w:col w:w="1781" w:space="40"/>
            <w:col w:w="1447" w:space="40"/>
            <w:col w:w="1120" w:space="40"/>
            <w:col w:w="1220" w:space="40"/>
            <w:col w:w="1135" w:space="40"/>
            <w:col w:w="3737"/>
          </w:cols>
        </w:sectPr>
      </w:pPr>
    </w:p>
    <w:p>
      <w:pPr>
        <w:pStyle w:val="BodyText"/>
        <w:rPr>
          <w:rFonts w:ascii="Cambria Math"/>
          <w:sz w:val="20"/>
        </w:rPr>
      </w:pPr>
    </w:p>
    <w:p>
      <w:pPr>
        <w:pStyle w:val="BodyText"/>
        <w:spacing w:before="3"/>
        <w:rPr>
          <w:rFonts w:ascii="Cambria Math"/>
          <w:sz w:val="28"/>
        </w:rPr>
      </w:pPr>
    </w:p>
    <w:p>
      <w:pPr>
        <w:pStyle w:val="BodyText"/>
        <w:spacing w:line="360" w:lineRule="auto" w:before="69"/>
        <w:ind w:left="658" w:right="286"/>
      </w:pPr>
      <w:r>
        <w:rPr/>
        <w:t>El sulfato mercúrico evita la interferencia causada por los iones cloruro, haluro y sulfitos que se encuentran en el medio:</w:t>
      </w:r>
    </w:p>
    <w:p>
      <w:pPr>
        <w:pStyle w:val="BodyText"/>
        <w:rPr>
          <w:sz w:val="20"/>
        </w:rPr>
      </w:pPr>
    </w:p>
    <w:p>
      <w:pPr>
        <w:pStyle w:val="BodyText"/>
        <w:spacing w:before="10"/>
        <w:rPr>
          <w:sz w:val="15"/>
        </w:rPr>
      </w:pPr>
    </w:p>
    <w:p>
      <w:pPr>
        <w:spacing w:after="0"/>
        <w:rPr>
          <w:sz w:val="15"/>
        </w:rPr>
        <w:sectPr>
          <w:type w:val="continuous"/>
          <w:pgSz w:w="12240" w:h="15840"/>
          <w:pgMar w:top="1500" w:bottom="840" w:left="760" w:right="840"/>
        </w:sectPr>
      </w:pPr>
    </w:p>
    <w:p>
      <w:pPr>
        <w:tabs>
          <w:tab w:pos="1916" w:val="left" w:leader="none"/>
        </w:tabs>
        <w:spacing w:line="75" w:lineRule="exact" w:before="70"/>
        <w:ind w:left="1506" w:right="0" w:firstLine="0"/>
        <w:jc w:val="left"/>
        <w:rPr>
          <w:rFonts w:ascii="Cambria Math" w:hAnsi="Cambria Math" w:eastAsia="Cambria Math"/>
          <w:sz w:val="24"/>
        </w:rPr>
      </w:pPr>
      <w:r>
        <w:rPr>
          <w:rFonts w:ascii="Cambria Math" w:hAnsi="Cambria Math" w:eastAsia="Cambria Math"/>
          <w:w w:val="97"/>
          <w:position w:val="10"/>
          <w:sz w:val="17"/>
        </w:rPr>
        <w:t>−</w:t>
      </w:r>
      <w:r>
        <w:rPr>
          <w:rFonts w:ascii="Cambria Math" w:hAnsi="Cambria Math" w:eastAsia="Cambria Math"/>
          <w:position w:val="10"/>
          <w:sz w:val="17"/>
        </w:rPr>
        <w:tab/>
      </w:r>
      <w:r>
        <w:rPr>
          <w:rFonts w:ascii="Cambria Math" w:hAnsi="Cambria Math" w:eastAsia="Cambria Math"/>
          <w:sz w:val="24"/>
        </w:rPr>
        <w:t>+   </w:t>
      </w:r>
      <w:r>
        <w:rPr>
          <w:rFonts w:ascii="Cambria Math" w:hAnsi="Cambria Math" w:eastAsia="Cambria Math"/>
          <w:w w:val="99"/>
          <w:sz w:val="24"/>
        </w:rPr>
        <w:t>𝑯</w:t>
      </w:r>
      <w:r>
        <w:rPr>
          <w:rFonts w:ascii="Cambria Math" w:hAnsi="Cambria Math" w:eastAsia="Cambria Math"/>
          <w:w w:val="100"/>
          <w:sz w:val="24"/>
        </w:rPr>
        <w:t>𝒈</w:t>
      </w:r>
      <w:r>
        <w:rPr>
          <w:rFonts w:ascii="Cambria Math" w:hAnsi="Cambria Math" w:eastAsia="Cambria Math"/>
          <w:spacing w:val="-2"/>
          <w:w w:val="91"/>
          <w:position w:val="10"/>
          <w:sz w:val="17"/>
        </w:rPr>
        <w:t>�</w:t>
      </w:r>
      <w:r>
        <w:rPr>
          <w:rFonts w:ascii="Cambria Math" w:hAnsi="Cambria Math" w:eastAsia="Cambria Math"/>
          <w:w w:val="97"/>
          <w:position w:val="10"/>
          <w:sz w:val="17"/>
        </w:rPr>
        <w:t>+</w:t>
      </w:r>
      <w:r>
        <w:rPr>
          <w:rFonts w:ascii="Cambria Math" w:hAnsi="Cambria Math" w:eastAsia="Cambria Math"/>
          <w:position w:val="10"/>
          <w:sz w:val="17"/>
        </w:rPr>
        <w:t>    </w:t>
      </w:r>
      <w:r>
        <w:rPr>
          <w:rFonts w:ascii="Cambria Math" w:hAnsi="Cambria Math" w:eastAsia="Cambria Math"/>
          <w:spacing w:val="12"/>
          <w:position w:val="10"/>
          <w:sz w:val="17"/>
        </w:rPr>
        <w:t> </w:t>
      </w:r>
      <w:r>
        <w:rPr>
          <w:rFonts w:ascii="Cambria Math" w:hAnsi="Cambria Math" w:eastAsia="Cambria Math"/>
          <w:spacing w:val="-202"/>
          <w:w w:val="100"/>
          <w:sz w:val="24"/>
        </w:rPr>
        <w:t>↽</w:t>
      </w:r>
      <w:r>
        <w:rPr>
          <w:rFonts w:ascii="Cambria Math" w:hAnsi="Cambria Math" w:eastAsia="Cambria Math"/>
          <w:spacing w:val="-37"/>
          <w:w w:val="79"/>
          <w:sz w:val="24"/>
        </w:rPr>
        <w:t>⃑</w:t>
      </w:r>
      <w:r>
        <w:rPr>
          <w:rFonts w:ascii="Cambria Math" w:hAnsi="Cambria Math" w:eastAsia="Cambria Math"/>
          <w:spacing w:val="9"/>
          <w:w w:val="79"/>
          <w:sz w:val="24"/>
        </w:rPr>
        <w:t>⃑</w:t>
      </w:r>
      <w:r>
        <w:rPr>
          <w:rFonts w:ascii="Cambria Math" w:hAnsi="Cambria Math" w:eastAsia="Cambria Math"/>
          <w:w w:val="167"/>
          <w:sz w:val="24"/>
        </w:rPr>
        <w:t> </w:t>
      </w:r>
      <w:r>
        <w:rPr>
          <w:rFonts w:ascii="Cambria Math" w:hAnsi="Cambria Math" w:eastAsia="Cambria Math"/>
          <w:sz w:val="24"/>
        </w:rPr>
        <w:t> </w:t>
      </w:r>
      <w:r>
        <w:rPr>
          <w:rFonts w:ascii="Cambria Math" w:hAnsi="Cambria Math" w:eastAsia="Cambria Math"/>
          <w:spacing w:val="14"/>
          <w:sz w:val="24"/>
        </w:rPr>
        <w:t> </w:t>
      </w:r>
      <w:r>
        <w:rPr>
          <w:rFonts w:ascii="Cambria Math" w:hAnsi="Cambria Math" w:eastAsia="Cambria Math"/>
          <w:sz w:val="24"/>
        </w:rPr>
        <w:t>�𝐠𝐂𝐥</w:t>
      </w:r>
    </w:p>
    <w:p>
      <w:pPr>
        <w:pStyle w:val="BodyText"/>
        <w:tabs>
          <w:tab w:pos="5720" w:val="left" w:leader="none"/>
        </w:tabs>
        <w:spacing w:line="41" w:lineRule="exact" w:before="103"/>
        <w:ind w:left="70"/>
        <w:rPr>
          <w:rFonts w:ascii="Cambria Math" w:eastAsia="Cambria Math"/>
        </w:rPr>
      </w:pPr>
      <w:r>
        <w:rPr/>
        <w:br w:type="column"/>
      </w:r>
      <w:r>
        <w:rPr>
          <w:rFonts w:ascii="Cambria Math" w:eastAsia="Cambria Math"/>
        </w:rPr>
        <w:t>(�)</w:t>
        <w:tab/>
      </w:r>
      <w:r>
        <w:rPr>
          <w:rFonts w:ascii="Cambria Math" w:eastAsia="Cambria Math"/>
          <w:spacing w:val="-76"/>
          <w:w w:val="95"/>
        </w:rPr>
        <w:t>𝐄𝐜.</w:t>
      </w:r>
      <w:r>
        <w:rPr>
          <w:rFonts w:ascii="Cambria Math" w:eastAsia="Cambria Math"/>
          <w:spacing w:val="3"/>
          <w:w w:val="95"/>
        </w:rPr>
        <w:t> </w:t>
      </w:r>
      <w:r>
        <w:rPr>
          <w:rFonts w:ascii="Cambria Math" w:eastAsia="Cambria Math"/>
          <w:spacing w:val="-75"/>
          <w:w w:val="95"/>
        </w:rPr>
        <w:t>�</w:t>
      </w:r>
    </w:p>
    <w:p>
      <w:pPr>
        <w:spacing w:after="0" w:line="41" w:lineRule="exact"/>
        <w:rPr>
          <w:rFonts w:ascii="Cambria Math" w:eastAsia="Cambria Math"/>
        </w:rPr>
        <w:sectPr>
          <w:type w:val="continuous"/>
          <w:pgSz w:w="12240" w:h="15840"/>
          <w:pgMar w:top="1500" w:bottom="840" w:left="760" w:right="840"/>
          <w:cols w:num="2" w:equalWidth="0">
            <w:col w:w="3881" w:space="40"/>
            <w:col w:w="6719"/>
          </w:cols>
        </w:sectPr>
      </w:pPr>
    </w:p>
    <w:p>
      <w:pPr>
        <w:spacing w:line="282" w:lineRule="exact" w:before="0"/>
        <w:ind w:left="1122" w:right="-449" w:firstLine="0"/>
        <w:jc w:val="left"/>
        <w:rPr>
          <w:rFonts w:ascii="Cambria Math" w:eastAsia="Cambria Math"/>
          <w:sz w:val="17"/>
        </w:rPr>
      </w:pPr>
      <w:r>
        <w:rPr>
          <w:rFonts w:ascii="Cambria Math" w:eastAsia="Cambria Math"/>
          <w:w w:val="90"/>
          <w:position w:val="6"/>
          <w:sz w:val="24"/>
        </w:rPr>
        <w:t>�</w:t>
      </w:r>
      <w:r>
        <w:rPr>
          <w:rFonts w:ascii="Cambria Math" w:eastAsia="Cambria Math"/>
          <w:w w:val="99"/>
          <w:position w:val="6"/>
          <w:sz w:val="24"/>
        </w:rPr>
        <w:t>𝑪</w:t>
      </w:r>
      <w:r>
        <w:rPr>
          <w:rFonts w:ascii="Cambria Math" w:eastAsia="Cambria Math"/>
          <w:spacing w:val="-1"/>
          <w:w w:val="99"/>
          <w:position w:val="6"/>
          <w:sz w:val="24"/>
        </w:rPr>
        <w:t>𝒍</w:t>
      </w:r>
      <w:r>
        <w:rPr>
          <w:rFonts w:ascii="Cambria Math" w:eastAsia="Cambria Math"/>
          <w:spacing w:val="-2"/>
          <w:w w:val="100"/>
          <w:sz w:val="17"/>
        </w:rPr>
        <w:t>(</w:t>
      </w:r>
      <w:r>
        <w:rPr>
          <w:rFonts w:ascii="Cambria Math" w:eastAsia="Cambria Math"/>
          <w:spacing w:val="-1"/>
          <w:w w:val="100"/>
          <w:sz w:val="17"/>
        </w:rPr>
        <w:t>𝒂</w:t>
      </w:r>
      <w:r>
        <w:rPr>
          <w:rFonts w:ascii="Cambria Math" w:eastAsia="Cambria Math"/>
          <w:w w:val="92"/>
          <w:sz w:val="17"/>
        </w:rPr>
        <w:t>�</w:t>
      </w:r>
      <w:r>
        <w:rPr>
          <w:rFonts w:ascii="Cambria Math" w:eastAsia="Cambria Math"/>
          <w:w w:val="100"/>
          <w:sz w:val="17"/>
        </w:rPr>
        <w:t>)</w:t>
      </w:r>
    </w:p>
    <w:p>
      <w:pPr>
        <w:tabs>
          <w:tab w:pos="1985" w:val="left" w:leader="none"/>
        </w:tabs>
        <w:spacing w:before="75"/>
        <w:ind w:left="712" w:right="0" w:firstLine="0"/>
        <w:jc w:val="left"/>
        <w:rPr>
          <w:rFonts w:ascii="Cambria Math" w:eastAsia="Cambria Math"/>
          <w:sz w:val="17"/>
        </w:rPr>
      </w:pPr>
      <w:r>
        <w:rPr/>
        <w:br w:type="column"/>
      </w:r>
      <w:r>
        <w:rPr>
          <w:rFonts w:ascii="Cambria Math" w:eastAsia="Cambria Math"/>
          <w:spacing w:val="-22"/>
          <w:w w:val="95"/>
          <w:sz w:val="17"/>
        </w:rPr>
        <w:t>(𝒂�)</w:t>
        <w:tab/>
      </w:r>
      <w:r>
        <w:rPr>
          <w:rFonts w:ascii="Cambria Math" w:eastAsia="Cambria Math"/>
          <w:position w:val="1"/>
          <w:sz w:val="17"/>
        </w:rPr>
        <w:t>�</w:t>
      </w:r>
    </w:p>
    <w:p>
      <w:pPr>
        <w:spacing w:after="0"/>
        <w:jc w:val="left"/>
        <w:rPr>
          <w:rFonts w:ascii="Cambria Math" w:eastAsia="Cambria Math"/>
          <w:sz w:val="17"/>
        </w:rPr>
        <w:sectPr>
          <w:type w:val="continuous"/>
          <w:pgSz w:w="12240" w:h="15840"/>
          <w:pgMar w:top="1500" w:bottom="840" w:left="760" w:right="840"/>
          <w:cols w:num="2" w:equalWidth="0">
            <w:col w:w="1856" w:space="40"/>
            <w:col w:w="8744"/>
          </w:cols>
        </w:sectPr>
      </w:pPr>
    </w:p>
    <w:p>
      <w:pPr>
        <w:pStyle w:val="BodyText"/>
        <w:spacing w:line="360" w:lineRule="auto" w:before="51"/>
        <w:ind w:left="658" w:right="403"/>
        <w:jc w:val="both"/>
      </w:pPr>
      <w:r>
        <w:rPr/>
        <w:t>Una vez finalizada la digestión de las muestras en los tubos, la cuantificación de la DQO se realizará mediante del espectrofotómetro de UV-Vis, después de dejar enfriar las muestras a temperatura ambiente.</w:t>
      </w:r>
    </w:p>
    <w:p>
      <w:pPr>
        <w:pStyle w:val="BodyText"/>
      </w:pPr>
    </w:p>
    <w:p>
      <w:pPr>
        <w:pStyle w:val="BodyText"/>
      </w:pPr>
    </w:p>
    <w:p>
      <w:pPr>
        <w:pStyle w:val="BodyText"/>
        <w:rPr>
          <w:sz w:val="23"/>
        </w:rPr>
      </w:pPr>
    </w:p>
    <w:p>
      <w:pPr>
        <w:pStyle w:val="Heading5"/>
        <w:numPr>
          <w:ilvl w:val="1"/>
          <w:numId w:val="1"/>
        </w:numPr>
        <w:tabs>
          <w:tab w:pos="1504" w:val="left" w:leader="none"/>
        </w:tabs>
        <w:spacing w:line="240" w:lineRule="auto" w:before="1" w:after="0"/>
        <w:ind w:left="1503" w:right="0" w:hanging="485"/>
        <w:jc w:val="left"/>
      </w:pPr>
      <w:r>
        <w:rPr/>
        <w:t>EL CROMO Y SU</w:t>
      </w:r>
      <w:r>
        <w:rPr>
          <w:spacing w:val="-8"/>
        </w:rPr>
        <w:t> </w:t>
      </w:r>
      <w:r>
        <w:rPr/>
        <w:t>TOXICIDAD</w:t>
      </w:r>
    </w:p>
    <w:p>
      <w:pPr>
        <w:pStyle w:val="BodyText"/>
        <w:spacing w:before="7"/>
        <w:rPr>
          <w:sz w:val="31"/>
        </w:rPr>
      </w:pPr>
    </w:p>
    <w:p>
      <w:pPr>
        <w:pStyle w:val="BodyText"/>
        <w:spacing w:line="360" w:lineRule="auto"/>
        <w:ind w:left="658" w:right="408"/>
        <w:jc w:val="both"/>
      </w:pPr>
      <w:r>
        <w:rPr/>
        <w:t>Como se mencionó anteriormente en la técnica objeto del presente trabajo, se utiliza el dicromato de potasio como agente oxidante para la DQO.</w:t>
      </w:r>
    </w:p>
    <w:p>
      <w:pPr>
        <w:pStyle w:val="BodyText"/>
      </w:pPr>
    </w:p>
    <w:p>
      <w:pPr>
        <w:pStyle w:val="BodyText"/>
        <w:spacing w:line="357" w:lineRule="auto" w:before="142"/>
        <w:ind w:left="658" w:right="402"/>
        <w:jc w:val="both"/>
      </w:pPr>
      <w:r>
        <w:rPr>
          <w:position w:val="1"/>
        </w:rPr>
        <w:t>El </w:t>
      </w:r>
      <w:r>
        <w:rPr>
          <w:b/>
          <w:position w:val="1"/>
        </w:rPr>
        <w:t>dicromato de potasio </w:t>
      </w:r>
      <w:r>
        <w:rPr>
          <w:position w:val="1"/>
        </w:rPr>
        <w:t>(K</w:t>
      </w:r>
      <w:r>
        <w:rPr>
          <w:sz w:val="16"/>
        </w:rPr>
        <w:t>2</w:t>
      </w:r>
      <w:r>
        <w:rPr>
          <w:position w:val="1"/>
        </w:rPr>
        <w:t>Cr</w:t>
      </w:r>
      <w:r>
        <w:rPr>
          <w:sz w:val="16"/>
        </w:rPr>
        <w:t>2</w:t>
      </w:r>
      <w:r>
        <w:rPr>
          <w:position w:val="1"/>
        </w:rPr>
        <w:t>O</w:t>
      </w:r>
      <w:r>
        <w:rPr>
          <w:sz w:val="16"/>
        </w:rPr>
        <w:t>7</w:t>
      </w:r>
      <w:r>
        <w:rPr>
          <w:position w:val="1"/>
        </w:rPr>
        <w:t>) es una sal del </w:t>
      </w:r>
      <w:hyperlink r:id="rId14">
        <w:r>
          <w:rPr>
            <w:position w:val="1"/>
          </w:rPr>
          <w:t>ácido dicrómico</w:t>
        </w:r>
      </w:hyperlink>
      <w:r>
        <w:rPr>
          <w:position w:val="1"/>
        </w:rPr>
        <w:t>. Se trata de una </w:t>
      </w:r>
      <w:r>
        <w:rPr/>
        <w:t>sustancia de color intenso anaranjado intenso. Es un </w:t>
      </w:r>
      <w:hyperlink r:id="rId15">
        <w:r>
          <w:rPr/>
          <w:t>oxidante</w:t>
        </w:r>
      </w:hyperlink>
      <w:r>
        <w:rPr/>
        <w:t> fuerte (E</w:t>
      </w:r>
      <w:r>
        <w:rPr>
          <w:position w:val="8"/>
          <w:sz w:val="16"/>
        </w:rPr>
        <w:t>o </w:t>
      </w:r>
      <w:r>
        <w:rPr/>
        <w:t>= +1.33). En contacto con algunas sustancias orgánicas puede provocar </w:t>
      </w:r>
      <w:hyperlink r:id="rId16">
        <w:r>
          <w:rPr/>
          <w:t>incendios</w:t>
        </w:r>
      </w:hyperlink>
      <w:r>
        <w:rPr/>
        <w:t> [Lagos, 2016].</w:t>
      </w:r>
    </w:p>
    <w:p>
      <w:pPr>
        <w:pStyle w:val="BodyText"/>
      </w:pPr>
    </w:p>
    <w:p>
      <w:pPr>
        <w:pStyle w:val="BodyText"/>
        <w:spacing w:line="360" w:lineRule="auto" w:before="144"/>
        <w:ind w:left="658" w:right="400"/>
        <w:jc w:val="both"/>
      </w:pPr>
      <w:r>
        <w:rPr/>
        <w:t>El cromo es encontrado en el ambiente en dos diferentes formas, siendo la forma hexavalente la más soluble, tóxica y de mayor interés ambiental [Lacma, 2007, Bernal, et al., 2015].</w:t>
      </w:r>
    </w:p>
    <w:p>
      <w:pPr>
        <w:pStyle w:val="BodyText"/>
      </w:pPr>
    </w:p>
    <w:p>
      <w:pPr>
        <w:pStyle w:val="BodyText"/>
        <w:spacing w:line="360" w:lineRule="auto" w:before="142"/>
        <w:ind w:left="658" w:right="405"/>
        <w:jc w:val="both"/>
      </w:pPr>
      <w:r>
        <w:rPr/>
        <w:t>El Cr(VI) como ya se mencionó anteriormente, es un oxidante con alta solubilidad y movilidad en los suelos y los acuíferos, además de ser considerado muy tóxico para los humanos y los ecosistemas [Yaging, et al., 2007; Lacma 2007].</w:t>
      </w:r>
    </w:p>
    <w:p>
      <w:pPr>
        <w:pStyle w:val="BodyText"/>
      </w:pPr>
    </w:p>
    <w:p>
      <w:pPr>
        <w:pStyle w:val="BodyText"/>
        <w:spacing w:line="360" w:lineRule="auto" w:before="142"/>
        <w:ind w:left="658" w:right="401"/>
        <w:jc w:val="both"/>
      </w:pPr>
      <w:r>
        <w:rPr/>
        <w:t>Es</w:t>
      </w:r>
      <w:r>
        <w:rPr>
          <w:spacing w:val="-4"/>
        </w:rPr>
        <w:t> </w:t>
      </w:r>
      <w:r>
        <w:rPr/>
        <w:t>un</w:t>
      </w:r>
      <w:r>
        <w:rPr>
          <w:spacing w:val="-6"/>
        </w:rPr>
        <w:t> </w:t>
      </w:r>
      <w:r>
        <w:rPr/>
        <w:t>contaminante</w:t>
      </w:r>
      <w:r>
        <w:rPr>
          <w:spacing w:val="-8"/>
        </w:rPr>
        <w:t> </w:t>
      </w:r>
      <w:r>
        <w:rPr/>
        <w:t>frecuente</w:t>
      </w:r>
      <w:r>
        <w:rPr>
          <w:spacing w:val="-5"/>
        </w:rPr>
        <w:t> </w:t>
      </w:r>
      <w:r>
        <w:rPr/>
        <w:t>en</w:t>
      </w:r>
      <w:r>
        <w:rPr>
          <w:spacing w:val="-6"/>
        </w:rPr>
        <w:t> </w:t>
      </w:r>
      <w:r>
        <w:rPr/>
        <w:t>aguas</w:t>
      </w:r>
      <w:r>
        <w:rPr>
          <w:spacing w:val="-7"/>
        </w:rPr>
        <w:t> </w:t>
      </w:r>
      <w:r>
        <w:rPr/>
        <w:t>residuales</w:t>
      </w:r>
      <w:r>
        <w:rPr>
          <w:spacing w:val="-6"/>
        </w:rPr>
        <w:t> </w:t>
      </w:r>
      <w:r>
        <w:rPr/>
        <w:t>industriales.</w:t>
      </w:r>
      <w:r>
        <w:rPr>
          <w:spacing w:val="-4"/>
        </w:rPr>
        <w:t> </w:t>
      </w:r>
      <w:r>
        <w:rPr/>
        <w:t>Debido</w:t>
      </w:r>
      <w:r>
        <w:rPr>
          <w:spacing w:val="-6"/>
        </w:rPr>
        <w:t> </w:t>
      </w:r>
      <w:r>
        <w:rPr/>
        <w:t>a</w:t>
      </w:r>
      <w:r>
        <w:rPr>
          <w:spacing w:val="-4"/>
        </w:rPr>
        <w:t> </w:t>
      </w:r>
      <w:r>
        <w:rPr/>
        <w:t>sus</w:t>
      </w:r>
      <w:r>
        <w:rPr>
          <w:spacing w:val="-7"/>
        </w:rPr>
        <w:t> </w:t>
      </w:r>
      <w:r>
        <w:rPr/>
        <w:t>propiedades carcinogénicas</w:t>
      </w:r>
      <w:r>
        <w:rPr>
          <w:spacing w:val="-7"/>
        </w:rPr>
        <w:t> </w:t>
      </w:r>
      <w:r>
        <w:rPr/>
        <w:t>y</w:t>
      </w:r>
      <w:r>
        <w:rPr>
          <w:spacing w:val="-10"/>
        </w:rPr>
        <w:t> </w:t>
      </w:r>
      <w:r>
        <w:rPr/>
        <w:t>mutagénicas</w:t>
      </w:r>
      <w:r>
        <w:rPr>
          <w:spacing w:val="-5"/>
        </w:rPr>
        <w:t> </w:t>
      </w:r>
      <w:r>
        <w:rPr/>
        <w:t>su</w:t>
      </w:r>
      <w:r>
        <w:rPr>
          <w:spacing w:val="-7"/>
        </w:rPr>
        <w:t> </w:t>
      </w:r>
      <w:r>
        <w:rPr/>
        <w:t>concentración</w:t>
      </w:r>
      <w:r>
        <w:rPr>
          <w:spacing w:val="-7"/>
        </w:rPr>
        <w:t> </w:t>
      </w:r>
      <w:r>
        <w:rPr/>
        <w:t>máxima</w:t>
      </w:r>
      <w:r>
        <w:rPr>
          <w:spacing w:val="-8"/>
        </w:rPr>
        <w:t> </w:t>
      </w:r>
      <w:r>
        <w:rPr/>
        <w:t>en</w:t>
      </w:r>
      <w:r>
        <w:rPr>
          <w:spacing w:val="-9"/>
        </w:rPr>
        <w:t> </w:t>
      </w:r>
      <w:r>
        <w:rPr/>
        <w:t>agua</w:t>
      </w:r>
      <w:r>
        <w:rPr>
          <w:spacing w:val="-9"/>
        </w:rPr>
        <w:t> </w:t>
      </w:r>
      <w:r>
        <w:rPr/>
        <w:t>potable</w:t>
      </w:r>
      <w:r>
        <w:rPr>
          <w:spacing w:val="-10"/>
        </w:rPr>
        <w:t> </w:t>
      </w:r>
      <w:r>
        <w:rPr/>
        <w:t>ha</w:t>
      </w:r>
      <w:r>
        <w:rPr>
          <w:spacing w:val="-9"/>
        </w:rPr>
        <w:t> </w:t>
      </w:r>
      <w:r>
        <w:rPr/>
        <w:t>sido</w:t>
      </w:r>
      <w:r>
        <w:rPr>
          <w:spacing w:val="-9"/>
        </w:rPr>
        <w:t> </w:t>
      </w:r>
      <w:r>
        <w:rPr/>
        <w:t>regulada en muchos países a 0.05 mg/L [Yaging, et al., 2007; Yao, et al., 2009; Galvão y Corey, 1993; Pérez, 2009; Arboleda, Herrera,</w:t>
      </w:r>
      <w:r>
        <w:rPr>
          <w:spacing w:val="-18"/>
        </w:rPr>
        <w:t> </w:t>
      </w:r>
      <w:r>
        <w:rPr/>
        <w:t>2015].</w:t>
      </w:r>
    </w:p>
    <w:p>
      <w:pPr>
        <w:pStyle w:val="BodyText"/>
      </w:pPr>
    </w:p>
    <w:p>
      <w:pPr>
        <w:pStyle w:val="BodyText"/>
        <w:spacing w:line="360" w:lineRule="auto" w:before="142"/>
        <w:ind w:left="658" w:right="400"/>
        <w:jc w:val="both"/>
      </w:pPr>
      <w:r>
        <w:rPr/>
        <w:t>El Cr(VI) causa estrés oxidativo, daño al ADN y perturbación de la expresión genética de las especies asociadas [Lacma, et al., 2007].</w:t>
      </w:r>
    </w:p>
    <w:p>
      <w:pPr>
        <w:spacing w:after="0" w:line="360" w:lineRule="auto"/>
        <w:jc w:val="both"/>
        <w:sectPr>
          <w:pgSz w:w="12240" w:h="15840"/>
          <w:pgMar w:header="0" w:footer="654" w:top="1080" w:bottom="1060" w:left="760" w:right="840"/>
        </w:sectPr>
      </w:pPr>
    </w:p>
    <w:p>
      <w:pPr>
        <w:pStyle w:val="Heading5"/>
        <w:numPr>
          <w:ilvl w:val="1"/>
          <w:numId w:val="1"/>
        </w:numPr>
        <w:tabs>
          <w:tab w:pos="1893" w:val="left" w:leader="none"/>
        </w:tabs>
        <w:spacing w:line="240" w:lineRule="auto" w:before="45" w:after="0"/>
        <w:ind w:left="1892" w:right="0" w:hanging="468"/>
        <w:jc w:val="left"/>
      </w:pPr>
      <w:r>
        <w:rPr/>
        <w:t>EL MERCURIO Y SU</w:t>
      </w:r>
      <w:r>
        <w:rPr>
          <w:spacing w:val="-11"/>
        </w:rPr>
        <w:t> </w:t>
      </w:r>
      <w:r>
        <w:rPr/>
        <w:t>TOXICIDAD</w:t>
      </w:r>
    </w:p>
    <w:p>
      <w:pPr>
        <w:pStyle w:val="BodyText"/>
        <w:spacing w:before="7"/>
        <w:rPr>
          <w:sz w:val="31"/>
        </w:rPr>
      </w:pPr>
    </w:p>
    <w:p>
      <w:pPr>
        <w:pStyle w:val="BodyText"/>
        <w:spacing w:line="362" w:lineRule="auto"/>
        <w:ind w:left="658" w:right="401"/>
        <w:jc w:val="both"/>
      </w:pPr>
      <w:r>
        <w:rPr/>
        <w:t>El mercurio está en la naturaleza en forma de mineral cinabrio, que es un sulfuro de mercurio,</w:t>
      </w:r>
      <w:r>
        <w:rPr>
          <w:spacing w:val="-13"/>
        </w:rPr>
        <w:t> </w:t>
      </w:r>
      <w:r>
        <w:rPr/>
        <w:t>o</w:t>
      </w:r>
      <w:r>
        <w:rPr>
          <w:spacing w:val="-11"/>
        </w:rPr>
        <w:t> </w:t>
      </w:r>
      <w:r>
        <w:rPr/>
        <w:t>principalmente,</w:t>
      </w:r>
      <w:r>
        <w:rPr>
          <w:spacing w:val="-11"/>
        </w:rPr>
        <w:t> </w:t>
      </w:r>
      <w:r>
        <w:rPr/>
        <w:t>en</w:t>
      </w:r>
      <w:r>
        <w:rPr>
          <w:spacing w:val="-8"/>
        </w:rPr>
        <w:t> </w:t>
      </w:r>
      <w:r>
        <w:rPr/>
        <w:t>grandes</w:t>
      </w:r>
      <w:r>
        <w:rPr>
          <w:spacing w:val="-12"/>
        </w:rPr>
        <w:t> </w:t>
      </w:r>
      <w:r>
        <w:rPr/>
        <w:t>bolsas</w:t>
      </w:r>
      <w:r>
        <w:rPr>
          <w:spacing w:val="-12"/>
        </w:rPr>
        <w:t> </w:t>
      </w:r>
      <w:r>
        <w:rPr/>
        <w:t>de</w:t>
      </w:r>
      <w:r>
        <w:rPr>
          <w:spacing w:val="-11"/>
        </w:rPr>
        <w:t> </w:t>
      </w:r>
      <w:r>
        <w:rPr/>
        <w:t>mercurio</w:t>
      </w:r>
      <w:r>
        <w:rPr>
          <w:spacing w:val="-11"/>
        </w:rPr>
        <w:t> </w:t>
      </w:r>
      <w:r>
        <w:rPr/>
        <w:t>metálico.</w:t>
      </w:r>
      <w:r>
        <w:rPr>
          <w:spacing w:val="-13"/>
        </w:rPr>
        <w:t> </w:t>
      </w:r>
      <w:r>
        <w:rPr/>
        <w:t>El</w:t>
      </w:r>
      <w:r>
        <w:rPr>
          <w:spacing w:val="-12"/>
        </w:rPr>
        <w:t> </w:t>
      </w:r>
      <w:r>
        <w:rPr/>
        <w:t>sulfuro</w:t>
      </w:r>
      <w:r>
        <w:rPr>
          <w:spacing w:val="-11"/>
        </w:rPr>
        <w:t> </w:t>
      </w:r>
      <w:r>
        <w:rPr/>
        <w:t>de</w:t>
      </w:r>
      <w:r>
        <w:rPr>
          <w:spacing w:val="-11"/>
        </w:rPr>
        <w:t> </w:t>
      </w:r>
      <w:r>
        <w:rPr/>
        <w:t>mercurio (II), es prácticamente inatacable por los agentes atmosféricos (CO</w:t>
      </w:r>
      <w:r>
        <w:rPr>
          <w:position w:val="-8"/>
          <w:sz w:val="16"/>
        </w:rPr>
        <w:t>2</w:t>
      </w:r>
      <w:r>
        <w:rPr/>
        <w:t>, O</w:t>
      </w:r>
      <w:r>
        <w:rPr>
          <w:position w:val="-8"/>
          <w:sz w:val="16"/>
        </w:rPr>
        <w:t>2 </w:t>
      </w:r>
      <w:r>
        <w:rPr/>
        <w:t>y H</w:t>
      </w:r>
      <w:r>
        <w:rPr>
          <w:position w:val="-8"/>
          <w:sz w:val="16"/>
        </w:rPr>
        <w:t>2</w:t>
      </w:r>
      <w:r>
        <w:rPr/>
        <w:t>O) y no entra en</w:t>
      </w:r>
      <w:r>
        <w:rPr>
          <w:spacing w:val="-11"/>
        </w:rPr>
        <w:t> </w:t>
      </w:r>
      <w:r>
        <w:rPr/>
        <w:t>el</w:t>
      </w:r>
      <w:r>
        <w:rPr>
          <w:spacing w:val="-12"/>
        </w:rPr>
        <w:t> </w:t>
      </w:r>
      <w:r>
        <w:rPr/>
        <w:t>ciclo</w:t>
      </w:r>
      <w:r>
        <w:rPr>
          <w:spacing w:val="-11"/>
        </w:rPr>
        <w:t> </w:t>
      </w:r>
      <w:r>
        <w:rPr/>
        <w:t>del</w:t>
      </w:r>
      <w:r>
        <w:rPr>
          <w:spacing w:val="-12"/>
        </w:rPr>
        <w:t> </w:t>
      </w:r>
      <w:r>
        <w:rPr/>
        <w:t>agua,</w:t>
      </w:r>
      <w:r>
        <w:rPr>
          <w:spacing w:val="-11"/>
        </w:rPr>
        <w:t> </w:t>
      </w:r>
      <w:r>
        <w:rPr/>
        <w:t>por</w:t>
      </w:r>
      <w:r>
        <w:rPr>
          <w:spacing w:val="-12"/>
        </w:rPr>
        <w:t> </w:t>
      </w:r>
      <w:r>
        <w:rPr/>
        <w:t>lo</w:t>
      </w:r>
      <w:r>
        <w:rPr>
          <w:spacing w:val="-11"/>
        </w:rPr>
        <w:t> </w:t>
      </w:r>
      <w:r>
        <w:rPr/>
        <w:t>que</w:t>
      </w:r>
      <w:r>
        <w:rPr>
          <w:spacing w:val="-11"/>
        </w:rPr>
        <w:t> </w:t>
      </w:r>
      <w:r>
        <w:rPr/>
        <w:t>la</w:t>
      </w:r>
      <w:r>
        <w:rPr>
          <w:spacing w:val="-11"/>
        </w:rPr>
        <w:t> </w:t>
      </w:r>
      <w:r>
        <w:rPr/>
        <w:t>incorporación</w:t>
      </w:r>
      <w:r>
        <w:rPr>
          <w:spacing w:val="-11"/>
        </w:rPr>
        <w:t> </w:t>
      </w:r>
      <w:r>
        <w:rPr/>
        <w:t>del</w:t>
      </w:r>
      <w:r>
        <w:rPr>
          <w:spacing w:val="-12"/>
        </w:rPr>
        <w:t> </w:t>
      </w:r>
      <w:r>
        <w:rPr/>
        <w:t>mercurio</w:t>
      </w:r>
      <w:r>
        <w:rPr>
          <w:spacing w:val="-11"/>
        </w:rPr>
        <w:t> </w:t>
      </w:r>
      <w:r>
        <w:rPr/>
        <w:t>a</w:t>
      </w:r>
      <w:r>
        <w:rPr>
          <w:spacing w:val="-11"/>
        </w:rPr>
        <w:t> </w:t>
      </w:r>
      <w:r>
        <w:rPr/>
        <w:t>las</w:t>
      </w:r>
      <w:r>
        <w:rPr>
          <w:spacing w:val="-11"/>
        </w:rPr>
        <w:t> </w:t>
      </w:r>
      <w:r>
        <w:rPr/>
        <w:t>cadenas</w:t>
      </w:r>
      <w:r>
        <w:rPr>
          <w:spacing w:val="-12"/>
        </w:rPr>
        <w:t> </w:t>
      </w:r>
      <w:r>
        <w:rPr/>
        <w:t>tróficas</w:t>
      </w:r>
      <w:r>
        <w:rPr>
          <w:spacing w:val="-11"/>
        </w:rPr>
        <w:t> </w:t>
      </w:r>
      <w:r>
        <w:rPr/>
        <w:t>por</w:t>
      </w:r>
      <w:r>
        <w:rPr>
          <w:spacing w:val="-12"/>
        </w:rPr>
        <w:t> </w:t>
      </w:r>
      <w:r>
        <w:rPr/>
        <w:t>esta vía, es insignificante [Lacma,</w:t>
      </w:r>
      <w:r>
        <w:rPr>
          <w:spacing w:val="-10"/>
        </w:rPr>
        <w:t> </w:t>
      </w:r>
      <w:r>
        <w:rPr/>
        <w:t>2007].</w:t>
      </w:r>
    </w:p>
    <w:p>
      <w:pPr>
        <w:pStyle w:val="BodyText"/>
      </w:pPr>
    </w:p>
    <w:p>
      <w:pPr>
        <w:pStyle w:val="BodyText"/>
        <w:spacing w:line="360" w:lineRule="auto" w:before="139"/>
        <w:ind w:left="658" w:right="399"/>
        <w:jc w:val="both"/>
      </w:pPr>
      <w:r>
        <w:rPr/>
        <w:t>La principal incorporación de mercurio a las cadenas tróficas, es a partir del propio Hg metal, ya que es volátil y a temperatura ambiente tiene una presión de vapor importante, con lo que se incorpora a la atmósfera en forma de vapor, sufriendo procesos posteriores</w:t>
      </w:r>
    </w:p>
    <w:p>
      <w:pPr>
        <w:spacing w:line="131" w:lineRule="exact" w:before="0"/>
        <w:ind w:left="2596" w:right="1252" w:firstLine="0"/>
        <w:jc w:val="center"/>
        <w:rPr>
          <w:sz w:val="16"/>
        </w:rPr>
      </w:pPr>
      <w:r>
        <w:rPr>
          <w:sz w:val="16"/>
        </w:rPr>
        <w:t>2+</w:t>
      </w:r>
    </w:p>
    <w:p>
      <w:pPr>
        <w:pStyle w:val="BodyText"/>
        <w:spacing w:line="227" w:lineRule="exact"/>
        <w:ind w:left="658"/>
        <w:jc w:val="both"/>
      </w:pPr>
      <w:r>
        <w:rPr/>
        <w:t>de transformación hacia la especie soluble de Hg  .</w:t>
      </w:r>
    </w:p>
    <w:p>
      <w:pPr>
        <w:pStyle w:val="BodyText"/>
      </w:pPr>
    </w:p>
    <w:p>
      <w:pPr>
        <w:pStyle w:val="BodyText"/>
        <w:spacing w:before="2"/>
      </w:pPr>
    </w:p>
    <w:p>
      <w:pPr>
        <w:pStyle w:val="BodyText"/>
        <w:spacing w:line="360" w:lineRule="auto"/>
        <w:ind w:left="658" w:right="402"/>
        <w:jc w:val="both"/>
      </w:pPr>
      <w:r>
        <w:rPr/>
        <w:t>El mercurio se presenta en las cadenas tróficas en dos grupos de especies químicas inorgánicas y orgánicas, con características toxicológicas diferentes. Las especies inorgánicas dentro de las cadenas tróficas están constituidas por el propio Hg metal, el</w:t>
      </w:r>
    </w:p>
    <w:p>
      <w:pPr>
        <w:spacing w:line="131" w:lineRule="exact" w:before="0"/>
        <w:ind w:left="0" w:right="2055" w:firstLine="0"/>
        <w:jc w:val="right"/>
        <w:rPr>
          <w:sz w:val="16"/>
        </w:rPr>
      </w:pPr>
      <w:r>
        <w:rPr>
          <w:sz w:val="16"/>
        </w:rPr>
        <w:t>2+</w:t>
      </w:r>
    </w:p>
    <w:p>
      <w:pPr>
        <w:pStyle w:val="BodyText"/>
        <w:spacing w:line="227" w:lineRule="exact"/>
        <w:ind w:left="658"/>
        <w:jc w:val="both"/>
      </w:pPr>
      <w:r>
        <w:rPr/>
        <w:t>óxido de mercurio (II) HgO y dos especies iónicas, el catión mercúrico Hg y el mercurioso</w:t>
      </w:r>
    </w:p>
    <w:p>
      <w:pPr>
        <w:spacing w:line="135" w:lineRule="exact" w:before="135"/>
        <w:ind w:left="1052" w:right="286" w:firstLine="0"/>
        <w:jc w:val="left"/>
        <w:rPr>
          <w:sz w:val="16"/>
        </w:rPr>
      </w:pPr>
      <w:r>
        <w:rPr>
          <w:sz w:val="16"/>
        </w:rPr>
        <w:t>2+</w:t>
      </w:r>
    </w:p>
    <w:p>
      <w:pPr>
        <w:pStyle w:val="BodyText"/>
        <w:spacing w:line="300" w:lineRule="exact"/>
        <w:ind w:left="658"/>
        <w:jc w:val="both"/>
      </w:pPr>
      <w:r>
        <w:rPr/>
        <w:t>Hg</w:t>
      </w:r>
      <w:r>
        <w:rPr>
          <w:position w:val="-8"/>
          <w:sz w:val="16"/>
        </w:rPr>
        <w:t>2            </w:t>
      </w:r>
      <w:r>
        <w:rPr/>
        <w:t>; mientras que las especies orgánicas son habitualmente tres: el dimetil mercurio</w:t>
      </w:r>
    </w:p>
    <w:p>
      <w:pPr>
        <w:tabs>
          <w:tab w:pos="7180" w:val="left" w:leader="none"/>
        </w:tabs>
        <w:spacing w:line="135" w:lineRule="exact" w:before="139"/>
        <w:ind w:left="4312" w:right="286" w:firstLine="0"/>
        <w:jc w:val="left"/>
        <w:rPr>
          <w:sz w:val="16"/>
        </w:rPr>
      </w:pPr>
      <w:r>
        <w:rPr>
          <w:sz w:val="16"/>
        </w:rPr>
        <w:t>+</w:t>
        <w:tab/>
        <w:t>+</w:t>
      </w:r>
    </w:p>
    <w:p>
      <w:pPr>
        <w:pStyle w:val="BodyText"/>
        <w:spacing w:line="300" w:lineRule="exact"/>
        <w:ind w:left="658"/>
        <w:jc w:val="both"/>
      </w:pPr>
      <w:r>
        <w:rPr/>
        <w:t>(CH</w:t>
      </w:r>
      <w:r>
        <w:rPr>
          <w:position w:val="-8"/>
          <w:sz w:val="16"/>
        </w:rPr>
        <w:t>3</w:t>
      </w:r>
      <w:r>
        <w:rPr/>
        <w:t>)</w:t>
      </w:r>
      <w:r>
        <w:rPr>
          <w:position w:val="-8"/>
          <w:sz w:val="16"/>
        </w:rPr>
        <w:t>2</w:t>
      </w:r>
      <w:r>
        <w:rPr/>
        <w:t>Hg, el metil mercurio CH</w:t>
      </w:r>
      <w:r>
        <w:rPr>
          <w:position w:val="-8"/>
          <w:sz w:val="16"/>
        </w:rPr>
        <w:t>3</w:t>
      </w:r>
      <w:r>
        <w:rPr/>
        <w:t>Hg</w:t>
      </w:r>
      <w:r>
        <w:rPr>
          <w:spacing w:val="60"/>
        </w:rPr>
        <w:t> </w:t>
      </w:r>
      <w:r>
        <w:rPr/>
        <w:t>y el fenil mercurio C</w:t>
      </w:r>
      <w:r>
        <w:rPr>
          <w:position w:val="-8"/>
          <w:sz w:val="16"/>
        </w:rPr>
        <w:t>6</w:t>
      </w:r>
      <w:r>
        <w:rPr/>
        <w:t>H</w:t>
      </w:r>
      <w:r>
        <w:rPr>
          <w:position w:val="-8"/>
          <w:sz w:val="16"/>
        </w:rPr>
        <w:t>5</w:t>
      </w:r>
      <w:r>
        <w:rPr/>
        <w:t>Hg . La toxicología del mercurio</w:t>
      </w:r>
    </w:p>
    <w:p>
      <w:pPr>
        <w:pStyle w:val="BodyText"/>
        <w:spacing w:before="143"/>
        <w:ind w:left="658"/>
        <w:jc w:val="both"/>
      </w:pPr>
      <w:r>
        <w:rPr/>
        <w:t>es diferente, según su especie química [Muñoz, et al., 2007; Lacma, 2007].</w:t>
      </w:r>
    </w:p>
    <w:p>
      <w:pPr>
        <w:pStyle w:val="BodyText"/>
      </w:pPr>
    </w:p>
    <w:p>
      <w:pPr>
        <w:pStyle w:val="BodyText"/>
      </w:pPr>
    </w:p>
    <w:p>
      <w:pPr>
        <w:pStyle w:val="BodyText"/>
        <w:spacing w:before="11"/>
        <w:rPr>
          <w:sz w:val="35"/>
        </w:rPr>
      </w:pPr>
    </w:p>
    <w:p>
      <w:pPr>
        <w:pStyle w:val="Heading5"/>
        <w:numPr>
          <w:ilvl w:val="1"/>
          <w:numId w:val="1"/>
        </w:numPr>
        <w:tabs>
          <w:tab w:pos="1895" w:val="left" w:leader="none"/>
        </w:tabs>
        <w:spacing w:line="240" w:lineRule="auto" w:before="0" w:after="0"/>
        <w:ind w:left="1894" w:right="0" w:hanging="470"/>
        <w:jc w:val="left"/>
      </w:pPr>
      <w:r>
        <w:rPr/>
        <w:t>LA PLATA Y SU</w:t>
      </w:r>
      <w:r>
        <w:rPr>
          <w:spacing w:val="-8"/>
        </w:rPr>
        <w:t> </w:t>
      </w:r>
      <w:r>
        <w:rPr/>
        <w:t>TOXICIDAD</w:t>
      </w:r>
    </w:p>
    <w:p>
      <w:pPr>
        <w:pStyle w:val="BodyText"/>
        <w:spacing w:before="4"/>
        <w:rPr>
          <w:sz w:val="31"/>
        </w:rPr>
      </w:pPr>
    </w:p>
    <w:p>
      <w:pPr>
        <w:pStyle w:val="BodyText"/>
        <w:spacing w:line="360" w:lineRule="auto"/>
        <w:ind w:left="658" w:right="401"/>
        <w:jc w:val="both"/>
      </w:pPr>
      <w:r>
        <w:rPr/>
        <w:t>La plata es un metal relativamente raro que se encuentra naturalmente en la corteza terrestre y se libera al medio ambiente de diversas fuentes industriales. La exposición humana a los compuestos de plata y a la plata se puede producir por vía oral, dérmica o por inhalación. La plata se encuentra en la mayoría de los tejidos, pero no tiene ninguna función fisiológica conocida.</w:t>
      </w:r>
    </w:p>
    <w:p>
      <w:pPr>
        <w:spacing w:after="0" w:line="360" w:lineRule="auto"/>
        <w:jc w:val="both"/>
        <w:sectPr>
          <w:pgSz w:w="12240" w:h="15840"/>
          <w:pgMar w:header="0" w:footer="654" w:top="1500" w:bottom="1060" w:left="760" w:right="840"/>
        </w:sectPr>
      </w:pPr>
    </w:p>
    <w:p>
      <w:pPr>
        <w:pStyle w:val="BodyText"/>
        <w:spacing w:line="360" w:lineRule="auto" w:before="51"/>
        <w:ind w:left="658" w:right="399"/>
        <w:jc w:val="both"/>
      </w:pPr>
      <w:r>
        <w:rPr/>
        <w:t>La ingestión accidental o intencional de grandes dosis de nitrato de plata ha producido daños corrosivos en el tracto gastrointestinal, dolor abdominal, diarrea, vómitos, shock, convulsiones, y muerte, irritación respiratoria por la exposición aguda por inhalación de plata o de compuestos de plata. Soluciones de nitrato de plata son muy irritantes para la piel, membranas, mucosas y ojos.</w:t>
      </w:r>
    </w:p>
    <w:p>
      <w:pPr>
        <w:pStyle w:val="BodyText"/>
      </w:pPr>
    </w:p>
    <w:p>
      <w:pPr>
        <w:pStyle w:val="BodyText"/>
        <w:spacing w:line="360" w:lineRule="auto" w:before="142"/>
        <w:ind w:left="658" w:right="402" w:firstLine="67"/>
        <w:jc w:val="both"/>
      </w:pPr>
      <w:r>
        <w:rPr/>
        <w:t>La</w:t>
      </w:r>
      <w:r>
        <w:rPr>
          <w:spacing w:val="-5"/>
        </w:rPr>
        <w:t> </w:t>
      </w:r>
      <w:r>
        <w:rPr/>
        <w:t>ingestión,</w:t>
      </w:r>
      <w:r>
        <w:rPr>
          <w:spacing w:val="-5"/>
        </w:rPr>
        <w:t> </w:t>
      </w:r>
      <w:r>
        <w:rPr/>
        <w:t>inhalación</w:t>
      </w:r>
      <w:r>
        <w:rPr>
          <w:spacing w:val="-5"/>
        </w:rPr>
        <w:t> </w:t>
      </w:r>
      <w:r>
        <w:rPr/>
        <w:t>o</w:t>
      </w:r>
      <w:r>
        <w:rPr>
          <w:spacing w:val="-5"/>
        </w:rPr>
        <w:t> </w:t>
      </w:r>
      <w:r>
        <w:rPr/>
        <w:t>absorción</w:t>
      </w:r>
      <w:r>
        <w:rPr>
          <w:spacing w:val="-5"/>
        </w:rPr>
        <w:t> </w:t>
      </w:r>
      <w:r>
        <w:rPr/>
        <w:t>cutánea</w:t>
      </w:r>
      <w:r>
        <w:rPr>
          <w:spacing w:val="-5"/>
        </w:rPr>
        <w:t> </w:t>
      </w:r>
      <w:r>
        <w:rPr/>
        <w:t>de</w:t>
      </w:r>
      <w:r>
        <w:rPr>
          <w:spacing w:val="-5"/>
        </w:rPr>
        <w:t> </w:t>
      </w:r>
      <w:r>
        <w:rPr/>
        <w:t>la</w:t>
      </w:r>
      <w:r>
        <w:rPr>
          <w:spacing w:val="-5"/>
        </w:rPr>
        <w:t> </w:t>
      </w:r>
      <w:r>
        <w:rPr/>
        <w:t>plata</w:t>
      </w:r>
      <w:r>
        <w:rPr>
          <w:spacing w:val="-5"/>
        </w:rPr>
        <w:t> </w:t>
      </w:r>
      <w:r>
        <w:rPr/>
        <w:t>puede</w:t>
      </w:r>
      <w:r>
        <w:rPr>
          <w:spacing w:val="-5"/>
        </w:rPr>
        <w:t> </w:t>
      </w:r>
      <w:r>
        <w:rPr/>
        <w:t>causar</w:t>
      </w:r>
      <w:r>
        <w:rPr>
          <w:spacing w:val="-6"/>
        </w:rPr>
        <w:t> </w:t>
      </w:r>
      <w:r>
        <w:rPr/>
        <w:t>argiria,</w:t>
      </w:r>
      <w:r>
        <w:rPr>
          <w:spacing w:val="-5"/>
        </w:rPr>
        <w:t> </w:t>
      </w:r>
      <w:r>
        <w:rPr/>
        <w:t>el</w:t>
      </w:r>
      <w:r>
        <w:rPr>
          <w:spacing w:val="-6"/>
        </w:rPr>
        <w:t> </w:t>
      </w:r>
      <w:r>
        <w:rPr/>
        <w:t>indicador más común de exposición prolongada a la plata o compuestos de plata en los seres humanos  [Faust Rosmaric,</w:t>
      </w:r>
      <w:r>
        <w:rPr>
          <w:spacing w:val="-13"/>
        </w:rPr>
        <w:t> </w:t>
      </w:r>
      <w:r>
        <w:rPr/>
        <w:t>1992].</w:t>
      </w:r>
    </w:p>
    <w:p>
      <w:pPr>
        <w:pStyle w:val="BodyText"/>
      </w:pPr>
    </w:p>
    <w:p>
      <w:pPr>
        <w:pStyle w:val="BodyText"/>
        <w:spacing w:line="360" w:lineRule="auto" w:before="142"/>
        <w:ind w:left="658" w:right="406"/>
        <w:jc w:val="both"/>
      </w:pPr>
      <w:r>
        <w:rPr/>
        <w:t>Debido a esta problemática, una alternativa que surge es diseñar nuevas técnicas que permitan disminuir la cantidad de residuos y las sustancias tóxicas en determinados métodos o técnicas, como lo propone la Química Verde; por lo que en este trabajo se pretende utilizar agentes más oxidantes  y menos tóxicos.</w:t>
      </w:r>
    </w:p>
    <w:p>
      <w:pPr>
        <w:pStyle w:val="BodyText"/>
      </w:pPr>
    </w:p>
    <w:p>
      <w:pPr>
        <w:pStyle w:val="BodyText"/>
        <w:spacing w:line="360" w:lineRule="auto" w:before="142"/>
        <w:ind w:left="658" w:right="401"/>
        <w:jc w:val="both"/>
      </w:pPr>
      <w:r>
        <w:rPr/>
        <w:t>Como se mencionó anteriormente que es de vital importancia modificar la técnica para la determinación de la DQO, en este proyecto se pretende sustituir el agente oxidante (especie</w:t>
      </w:r>
      <w:r>
        <w:rPr>
          <w:spacing w:val="-14"/>
        </w:rPr>
        <w:t> </w:t>
      </w:r>
      <w:r>
        <w:rPr/>
        <w:t>con</w:t>
      </w:r>
      <w:r>
        <w:rPr>
          <w:spacing w:val="-16"/>
        </w:rPr>
        <w:t> </w:t>
      </w:r>
      <w:r>
        <w:rPr/>
        <w:t>cromo</w:t>
      </w:r>
      <w:r>
        <w:rPr>
          <w:spacing w:val="-14"/>
        </w:rPr>
        <w:t> </w:t>
      </w:r>
      <w:r>
        <w:rPr/>
        <w:t>(VI))</w:t>
      </w:r>
      <w:r>
        <w:rPr>
          <w:spacing w:val="-16"/>
        </w:rPr>
        <w:t> </w:t>
      </w:r>
      <w:r>
        <w:rPr/>
        <w:t>utilizado</w:t>
      </w:r>
      <w:r>
        <w:rPr>
          <w:spacing w:val="-14"/>
        </w:rPr>
        <w:t> </w:t>
      </w:r>
      <w:r>
        <w:rPr/>
        <w:t>en</w:t>
      </w:r>
      <w:r>
        <w:rPr>
          <w:spacing w:val="-16"/>
        </w:rPr>
        <w:t> </w:t>
      </w:r>
      <w:r>
        <w:rPr/>
        <w:t>la</w:t>
      </w:r>
      <w:r>
        <w:rPr>
          <w:spacing w:val="-13"/>
        </w:rPr>
        <w:t> </w:t>
      </w:r>
      <w:r>
        <w:rPr/>
        <w:t>técnica</w:t>
      </w:r>
      <w:r>
        <w:rPr>
          <w:spacing w:val="-14"/>
        </w:rPr>
        <w:t> </w:t>
      </w:r>
      <w:r>
        <w:rPr/>
        <w:t>estandarizada</w:t>
      </w:r>
      <w:r>
        <w:rPr>
          <w:spacing w:val="-14"/>
        </w:rPr>
        <w:t> </w:t>
      </w:r>
      <w:r>
        <w:rPr/>
        <w:t>de</w:t>
      </w:r>
      <w:r>
        <w:rPr>
          <w:spacing w:val="-14"/>
        </w:rPr>
        <w:t> </w:t>
      </w:r>
      <w:r>
        <w:rPr/>
        <w:t>la</w:t>
      </w:r>
      <w:r>
        <w:rPr>
          <w:spacing w:val="-14"/>
        </w:rPr>
        <w:t> </w:t>
      </w:r>
      <w:r>
        <w:rPr/>
        <w:t>determinación</w:t>
      </w:r>
      <w:r>
        <w:rPr>
          <w:spacing w:val="-16"/>
        </w:rPr>
        <w:t> </w:t>
      </w:r>
      <w:r>
        <w:rPr/>
        <w:t>de</w:t>
      </w:r>
      <w:r>
        <w:rPr>
          <w:spacing w:val="-14"/>
        </w:rPr>
        <w:t> </w:t>
      </w:r>
      <w:r>
        <w:rPr/>
        <w:t>DQO, por</w:t>
      </w:r>
      <w:r>
        <w:rPr>
          <w:spacing w:val="-19"/>
        </w:rPr>
        <w:t> </w:t>
      </w:r>
      <w:r>
        <w:rPr/>
        <w:t>un</w:t>
      </w:r>
      <w:r>
        <w:rPr>
          <w:spacing w:val="-20"/>
        </w:rPr>
        <w:t> </w:t>
      </w:r>
      <w:r>
        <w:rPr/>
        <w:t>agente</w:t>
      </w:r>
      <w:r>
        <w:rPr>
          <w:spacing w:val="-20"/>
        </w:rPr>
        <w:t> </w:t>
      </w:r>
      <w:r>
        <w:rPr/>
        <w:t>oxidante</w:t>
      </w:r>
      <w:r>
        <w:rPr>
          <w:spacing w:val="-20"/>
        </w:rPr>
        <w:t> </w:t>
      </w:r>
      <w:r>
        <w:rPr/>
        <w:t>menos</w:t>
      </w:r>
      <w:r>
        <w:rPr>
          <w:spacing w:val="-19"/>
        </w:rPr>
        <w:t> </w:t>
      </w:r>
      <w:r>
        <w:rPr/>
        <w:t>tóxico</w:t>
      </w:r>
      <w:r>
        <w:rPr>
          <w:spacing w:val="-18"/>
        </w:rPr>
        <w:t> </w:t>
      </w:r>
      <w:r>
        <w:rPr/>
        <w:t>para</w:t>
      </w:r>
      <w:r>
        <w:rPr>
          <w:spacing w:val="-21"/>
        </w:rPr>
        <w:t> </w:t>
      </w:r>
      <w:r>
        <w:rPr/>
        <w:t>el</w:t>
      </w:r>
      <w:r>
        <w:rPr>
          <w:spacing w:val="-19"/>
        </w:rPr>
        <w:t> </w:t>
      </w:r>
      <w:r>
        <w:rPr/>
        <w:t>ser</w:t>
      </w:r>
      <w:r>
        <w:rPr>
          <w:spacing w:val="-19"/>
        </w:rPr>
        <w:t> </w:t>
      </w:r>
      <w:r>
        <w:rPr/>
        <w:t>humano</w:t>
      </w:r>
      <w:r>
        <w:rPr>
          <w:spacing w:val="-18"/>
        </w:rPr>
        <w:t> </w:t>
      </w:r>
      <w:r>
        <w:rPr/>
        <w:t>y</w:t>
      </w:r>
      <w:r>
        <w:rPr>
          <w:spacing w:val="-15"/>
        </w:rPr>
        <w:t> </w:t>
      </w:r>
      <w:r>
        <w:rPr/>
        <w:t>para</w:t>
      </w:r>
      <w:r>
        <w:rPr>
          <w:spacing w:val="-19"/>
        </w:rPr>
        <w:t> </w:t>
      </w:r>
      <w:r>
        <w:rPr/>
        <w:t>el</w:t>
      </w:r>
      <w:r>
        <w:rPr>
          <w:spacing w:val="-19"/>
        </w:rPr>
        <w:t> </w:t>
      </w:r>
      <w:r>
        <w:rPr/>
        <w:t>medio</w:t>
      </w:r>
      <w:r>
        <w:rPr>
          <w:spacing w:val="-18"/>
        </w:rPr>
        <w:t> </w:t>
      </w:r>
      <w:r>
        <w:rPr/>
        <w:t>ambiente,</w:t>
      </w:r>
      <w:r>
        <w:rPr>
          <w:spacing w:val="-21"/>
        </w:rPr>
        <w:t> </w:t>
      </w:r>
      <w:r>
        <w:rPr/>
        <w:t>además de otras modificaciones que se pretenden hacer a la técnica, haciendo así uso de los principios de la química verde mencionados más</w:t>
      </w:r>
      <w:r>
        <w:rPr>
          <w:spacing w:val="-23"/>
        </w:rPr>
        <w:t> </w:t>
      </w:r>
      <w:r>
        <w:rPr/>
        <w:t>adelante.</w:t>
      </w:r>
    </w:p>
    <w:p>
      <w:pPr>
        <w:pStyle w:val="BodyText"/>
      </w:pPr>
    </w:p>
    <w:p>
      <w:pPr>
        <w:pStyle w:val="BodyText"/>
        <w:spacing w:before="7"/>
        <w:rPr>
          <w:sz w:val="29"/>
        </w:rPr>
      </w:pPr>
    </w:p>
    <w:p>
      <w:pPr>
        <w:pStyle w:val="Heading3"/>
        <w:numPr>
          <w:ilvl w:val="0"/>
          <w:numId w:val="1"/>
        </w:numPr>
        <w:tabs>
          <w:tab w:pos="1379" w:val="left" w:leader="none"/>
        </w:tabs>
        <w:spacing w:line="240" w:lineRule="auto" w:before="0" w:after="0"/>
        <w:ind w:left="1378" w:right="0" w:hanging="360"/>
        <w:jc w:val="left"/>
      </w:pPr>
      <w:r>
        <w:rPr/>
        <w:t>QUÍMICA</w:t>
      </w:r>
      <w:r>
        <w:rPr>
          <w:spacing w:val="-7"/>
        </w:rPr>
        <w:t> </w:t>
      </w:r>
      <w:r>
        <w:rPr/>
        <w:t>VERDE</w:t>
      </w:r>
    </w:p>
    <w:p>
      <w:pPr>
        <w:pStyle w:val="BodyText"/>
        <w:spacing w:before="6"/>
        <w:rPr>
          <w:b/>
          <w:sz w:val="33"/>
        </w:rPr>
      </w:pPr>
    </w:p>
    <w:p>
      <w:pPr>
        <w:pStyle w:val="BodyText"/>
        <w:spacing w:line="360" w:lineRule="auto" w:before="1"/>
        <w:ind w:left="658" w:right="400"/>
        <w:jc w:val="both"/>
      </w:pPr>
      <w:r>
        <w:rPr/>
        <w:t>La American Chemical Society desarrolló el concepto de </w:t>
      </w:r>
      <w:r>
        <w:rPr>
          <w:b/>
        </w:rPr>
        <w:t>química verde o química sustentable</w:t>
      </w:r>
      <w:r>
        <w:rPr/>
        <w:t>. El concepto de química verde está íntimamente asociado con la prevención de la contaminación ambiental mediante el diseño de procesos y productos químicos que no posean propiedades dañinas al medio ambiente. Dicho de otra manera promueve el desarrollo y uso de tecnologías químicas innovadoras que reduzcan o eliminen el uso o generación de sustancias dañinas en el diseño, manufactura y uso de productos químicos [Horváth  y  Anastas,  2010;  Garritz,  2009;  Anastas  y  Warner,  1998;  Kirchnoff,   2005;</w:t>
      </w:r>
    </w:p>
    <w:p>
      <w:pPr>
        <w:pStyle w:val="BodyText"/>
        <w:spacing w:before="2"/>
        <w:ind w:left="658"/>
        <w:jc w:val="both"/>
      </w:pPr>
      <w:r>
        <w:rPr/>
        <w:t>Conover, 2003; Kidwai y Mohan, 2005].</w:t>
      </w:r>
    </w:p>
    <w:p>
      <w:pPr>
        <w:spacing w:after="0"/>
        <w:jc w:val="both"/>
        <w:sectPr>
          <w:pgSz w:w="12240" w:h="15840"/>
          <w:pgMar w:header="0" w:footer="654" w:top="1080" w:bottom="1060" w:left="760" w:right="840"/>
        </w:sectPr>
      </w:pPr>
    </w:p>
    <w:p>
      <w:pPr>
        <w:spacing w:line="360" w:lineRule="auto" w:before="44"/>
        <w:ind w:left="658" w:right="402" w:firstLine="0"/>
        <w:jc w:val="both"/>
        <w:rPr>
          <w:sz w:val="24"/>
        </w:rPr>
      </w:pPr>
      <w:r>
        <w:rPr>
          <w:sz w:val="24"/>
        </w:rPr>
        <w:t>La llamada </w:t>
      </w:r>
      <w:r>
        <w:rPr>
          <w:b/>
          <w:sz w:val="24"/>
        </w:rPr>
        <w:t>química verde o química sustentable </w:t>
      </w:r>
      <w:r>
        <w:rPr>
          <w:sz w:val="24"/>
        </w:rPr>
        <w:t>- </w:t>
      </w:r>
      <w:r>
        <w:rPr>
          <w:i/>
          <w:sz w:val="24"/>
        </w:rPr>
        <w:t>el uso de la química para prevenir la </w:t>
      </w:r>
      <w:r>
        <w:rPr>
          <w:i/>
          <w:sz w:val="24"/>
        </w:rPr>
        <w:t>contaminación a través del diseño de productos y procesos químicos que sean ambientalmente benignos</w:t>
      </w:r>
      <w:r>
        <w:rPr>
          <w:sz w:val="24"/>
        </w:rPr>
        <w:t>- ha crecido sustancialmente desde su aparición a principios de los años 90. Este crecimiento está basado en un fuerte desarrollo científico guiado por la necesidad ética y económica de lograr un desarrollo sustentable.</w:t>
      </w:r>
    </w:p>
    <w:p>
      <w:pPr>
        <w:pStyle w:val="BodyText"/>
      </w:pPr>
    </w:p>
    <w:p>
      <w:pPr>
        <w:pStyle w:val="BodyText"/>
        <w:spacing w:line="360" w:lineRule="auto" w:before="142"/>
        <w:ind w:left="658" w:right="400"/>
        <w:jc w:val="both"/>
      </w:pPr>
      <w:r>
        <w:rPr/>
        <w:t>Se trata de una herramienta imprescindible cuando se hace necesario introducir mejoras tecnológicas ya que se ocupa de estudiar y modificar todos los aspectos de los procesos químicos que generen impactos negativos tanto sobre la salud humana como sobre el ambiente. Se parte de la base de que el camino más eficiente para prevenir la contaminación consiste en [Horváth y Anastas, 2010; Constable, et al., 2001; Mayoral, 2008; Kirchoff, 2005; Vargas et al., 2007; Wilson y Schwarzman, 2015]:</w:t>
      </w:r>
    </w:p>
    <w:p>
      <w:pPr>
        <w:pStyle w:val="BodyText"/>
      </w:pPr>
    </w:p>
    <w:p>
      <w:pPr>
        <w:pStyle w:val="ListParagraph"/>
        <w:numPr>
          <w:ilvl w:val="2"/>
          <w:numId w:val="2"/>
        </w:numPr>
        <w:tabs>
          <w:tab w:pos="1379" w:val="left" w:leader="none"/>
        </w:tabs>
        <w:spacing w:line="360" w:lineRule="auto" w:before="142" w:after="0"/>
        <w:ind w:left="1378" w:right="400" w:hanging="360"/>
        <w:jc w:val="left"/>
        <w:rPr>
          <w:sz w:val="24"/>
        </w:rPr>
      </w:pPr>
      <w:r>
        <w:rPr>
          <w:sz w:val="24"/>
        </w:rPr>
        <w:t>Diseñar productos nuevos que sean útiles y viables comercialmente pero cuya toxicidad sea</w:t>
      </w:r>
      <w:r>
        <w:rPr>
          <w:spacing w:val="-8"/>
          <w:sz w:val="24"/>
        </w:rPr>
        <w:t> </w:t>
      </w:r>
      <w:r>
        <w:rPr>
          <w:sz w:val="24"/>
        </w:rPr>
        <w:t>mínima</w:t>
      </w:r>
    </w:p>
    <w:p>
      <w:pPr>
        <w:pStyle w:val="ListParagraph"/>
        <w:numPr>
          <w:ilvl w:val="2"/>
          <w:numId w:val="2"/>
        </w:numPr>
        <w:tabs>
          <w:tab w:pos="1379" w:val="left" w:leader="none"/>
        </w:tabs>
        <w:spacing w:line="360" w:lineRule="auto" w:before="2" w:after="0"/>
        <w:ind w:left="1378" w:right="400" w:hanging="360"/>
        <w:jc w:val="left"/>
        <w:rPr>
          <w:sz w:val="24"/>
        </w:rPr>
      </w:pPr>
      <w:r>
        <w:rPr>
          <w:sz w:val="24"/>
        </w:rPr>
        <w:t>Diseñar –para productos ya existentes- pasos sintéticos alternativos que no requieran sustratos o solventes tóxicos ni generen subproductos</w:t>
      </w:r>
      <w:r>
        <w:rPr>
          <w:spacing w:val="-22"/>
          <w:sz w:val="24"/>
        </w:rPr>
        <w:t> </w:t>
      </w:r>
      <w:r>
        <w:rPr>
          <w:sz w:val="24"/>
        </w:rPr>
        <w:t>tóxicos.</w:t>
      </w:r>
    </w:p>
    <w:p>
      <w:pPr>
        <w:pStyle w:val="BodyText"/>
      </w:pPr>
    </w:p>
    <w:p>
      <w:pPr>
        <w:pStyle w:val="BodyText"/>
        <w:spacing w:line="360" w:lineRule="auto" w:before="142"/>
        <w:ind w:left="658" w:right="402"/>
        <w:jc w:val="both"/>
      </w:pPr>
      <w:r>
        <w:rPr/>
        <w:t>La necesidad de reducir o eliminar el uso o generación de sustancias peligrosas en el diseño, manufactura y aplicación de los productos químicos de manera tal de prevenir la contaminación pone al químico ante un cambio importante tanto en la forma de encarar la resolución de los problemas como en su formación profesional [Gotor-Fernández, 2010; Sheldon, 1997; Armenta, et al., 2008; Warner, et al., 2004; Venegas y Corrales, 2008; Warren, 2002; Hutchison, 2009; Vargas, et al., 2007].</w:t>
      </w:r>
    </w:p>
    <w:p>
      <w:pPr>
        <w:pStyle w:val="BodyText"/>
      </w:pPr>
    </w:p>
    <w:p>
      <w:pPr>
        <w:pStyle w:val="BodyText"/>
        <w:spacing w:before="8"/>
        <w:rPr>
          <w:sz w:val="29"/>
        </w:rPr>
      </w:pPr>
    </w:p>
    <w:p>
      <w:pPr>
        <w:pStyle w:val="BodyText"/>
        <w:ind w:left="658"/>
        <w:jc w:val="both"/>
      </w:pPr>
      <w:r>
        <w:rPr>
          <w:u w:val="single"/>
        </w:rPr>
        <w:t>La Química Verde implica</w:t>
      </w:r>
      <w:r>
        <w:rPr/>
        <w:t>:</w:t>
      </w:r>
    </w:p>
    <w:p>
      <w:pPr>
        <w:pStyle w:val="BodyText"/>
        <w:rPr>
          <w:sz w:val="20"/>
        </w:rPr>
      </w:pPr>
    </w:p>
    <w:p>
      <w:pPr>
        <w:pStyle w:val="BodyText"/>
        <w:spacing w:before="11"/>
        <w:rPr>
          <w:sz w:val="21"/>
        </w:rPr>
      </w:pPr>
    </w:p>
    <w:p>
      <w:pPr>
        <w:pStyle w:val="ListParagraph"/>
        <w:numPr>
          <w:ilvl w:val="0"/>
          <w:numId w:val="3"/>
        </w:numPr>
        <w:tabs>
          <w:tab w:pos="810" w:val="left" w:leader="none"/>
        </w:tabs>
        <w:spacing w:line="240" w:lineRule="auto" w:before="69" w:after="0"/>
        <w:ind w:left="658" w:right="0" w:firstLine="0"/>
        <w:jc w:val="left"/>
        <w:rPr>
          <w:sz w:val="24"/>
        </w:rPr>
      </w:pPr>
      <w:r>
        <w:rPr>
          <w:sz w:val="24"/>
        </w:rPr>
        <w:t>Prevenir la contaminación antes de que</w:t>
      </w:r>
      <w:r>
        <w:rPr>
          <w:spacing w:val="-18"/>
          <w:sz w:val="24"/>
        </w:rPr>
        <w:t> </w:t>
      </w:r>
      <w:r>
        <w:rPr>
          <w:sz w:val="24"/>
        </w:rPr>
        <w:t>aparezca.</w:t>
      </w:r>
    </w:p>
    <w:p>
      <w:pPr>
        <w:pStyle w:val="ListParagraph"/>
        <w:numPr>
          <w:ilvl w:val="0"/>
          <w:numId w:val="3"/>
        </w:numPr>
        <w:tabs>
          <w:tab w:pos="832" w:val="left" w:leader="none"/>
        </w:tabs>
        <w:spacing w:line="360" w:lineRule="auto" w:before="139" w:after="0"/>
        <w:ind w:left="658" w:right="402" w:firstLine="0"/>
        <w:jc w:val="left"/>
        <w:rPr>
          <w:sz w:val="24"/>
        </w:rPr>
      </w:pPr>
      <w:r>
        <w:rPr>
          <w:sz w:val="24"/>
        </w:rPr>
        <w:t>Diseñar procesos más eficientes que minimicen la producción de residuos y requieran menos</w:t>
      </w:r>
      <w:r>
        <w:rPr>
          <w:spacing w:val="-8"/>
          <w:sz w:val="24"/>
        </w:rPr>
        <w:t> </w:t>
      </w:r>
      <w:r>
        <w:rPr>
          <w:sz w:val="24"/>
        </w:rPr>
        <w:t>energía.</w:t>
      </w:r>
    </w:p>
    <w:p>
      <w:pPr>
        <w:spacing w:after="0" w:line="360" w:lineRule="auto"/>
        <w:jc w:val="left"/>
        <w:rPr>
          <w:sz w:val="24"/>
        </w:rPr>
        <w:sectPr>
          <w:pgSz w:w="12240" w:h="15840"/>
          <w:pgMar w:header="0" w:footer="654" w:top="1500" w:bottom="1060" w:left="760" w:right="840"/>
        </w:sectPr>
      </w:pPr>
    </w:p>
    <w:p>
      <w:pPr>
        <w:pStyle w:val="ListParagraph"/>
        <w:numPr>
          <w:ilvl w:val="0"/>
          <w:numId w:val="3"/>
        </w:numPr>
        <w:tabs>
          <w:tab w:pos="844" w:val="left" w:leader="none"/>
        </w:tabs>
        <w:spacing w:line="360" w:lineRule="auto" w:before="51" w:after="0"/>
        <w:ind w:left="658" w:right="402" w:firstLine="0"/>
        <w:jc w:val="both"/>
        <w:rPr>
          <w:sz w:val="24"/>
        </w:rPr>
      </w:pPr>
      <w:r>
        <w:rPr>
          <w:sz w:val="24"/>
        </w:rPr>
        <w:t>Diseñar procesos más rentables basados en la reducción de costos de energía y de tratamiento de residuos [Gotor-Fernández, 2010; Garritz, 2009; Constable, et al., 2001; Mayoral, 2008; Melendez y Camacho,</w:t>
      </w:r>
      <w:r>
        <w:rPr>
          <w:spacing w:val="-12"/>
          <w:sz w:val="24"/>
        </w:rPr>
        <w:t> </w:t>
      </w:r>
      <w:r>
        <w:rPr>
          <w:sz w:val="24"/>
        </w:rPr>
        <w:t>2008].</w:t>
      </w:r>
    </w:p>
    <w:p>
      <w:pPr>
        <w:pStyle w:val="BodyText"/>
      </w:pPr>
    </w:p>
    <w:p>
      <w:pPr>
        <w:pStyle w:val="BodyText"/>
      </w:pPr>
    </w:p>
    <w:p>
      <w:pPr>
        <w:pStyle w:val="BodyText"/>
        <w:spacing w:before="3"/>
      </w:pPr>
    </w:p>
    <w:p>
      <w:pPr>
        <w:pStyle w:val="Heading5"/>
        <w:numPr>
          <w:ilvl w:val="1"/>
          <w:numId w:val="1"/>
        </w:numPr>
        <w:tabs>
          <w:tab w:pos="1504" w:val="left" w:leader="none"/>
        </w:tabs>
        <w:spacing w:line="240" w:lineRule="auto" w:before="0" w:after="0"/>
        <w:ind w:left="1503" w:right="0" w:hanging="485"/>
        <w:jc w:val="left"/>
      </w:pPr>
      <w:r>
        <w:rPr/>
        <w:t>PRINCIPIOS DE LA QUÍMICA</w:t>
      </w:r>
      <w:r>
        <w:rPr>
          <w:spacing w:val="-19"/>
        </w:rPr>
        <w:t> </w:t>
      </w:r>
      <w:r>
        <w:rPr/>
        <w:t>VERDE</w:t>
      </w:r>
    </w:p>
    <w:p>
      <w:pPr>
        <w:pStyle w:val="BodyText"/>
        <w:spacing w:before="5"/>
        <w:rPr>
          <w:sz w:val="38"/>
        </w:rPr>
      </w:pPr>
    </w:p>
    <w:p>
      <w:pPr>
        <w:pStyle w:val="BodyText"/>
        <w:spacing w:line="360" w:lineRule="auto"/>
        <w:ind w:left="658" w:right="402"/>
        <w:jc w:val="both"/>
      </w:pPr>
      <w:r>
        <w:rPr/>
        <w:t>Los</w:t>
      </w:r>
      <w:r>
        <w:rPr>
          <w:spacing w:val="-12"/>
        </w:rPr>
        <w:t> </w:t>
      </w:r>
      <w:r>
        <w:rPr/>
        <w:t>doce</w:t>
      </w:r>
      <w:r>
        <w:rPr>
          <w:spacing w:val="-11"/>
        </w:rPr>
        <w:t> </w:t>
      </w:r>
      <w:r>
        <w:rPr/>
        <w:t>principios</w:t>
      </w:r>
      <w:r>
        <w:rPr>
          <w:spacing w:val="-12"/>
        </w:rPr>
        <w:t> </w:t>
      </w:r>
      <w:r>
        <w:rPr/>
        <w:t>de</w:t>
      </w:r>
      <w:r>
        <w:rPr>
          <w:spacing w:val="-11"/>
        </w:rPr>
        <w:t> </w:t>
      </w:r>
      <w:r>
        <w:rPr/>
        <w:t>la</w:t>
      </w:r>
      <w:r>
        <w:rPr>
          <w:spacing w:val="-9"/>
        </w:rPr>
        <w:t> </w:t>
      </w:r>
      <w:r>
        <w:rPr/>
        <w:t>Química</w:t>
      </w:r>
      <w:r>
        <w:rPr>
          <w:spacing w:val="-11"/>
        </w:rPr>
        <w:t> </w:t>
      </w:r>
      <w:r>
        <w:rPr/>
        <w:t>Verde</w:t>
      </w:r>
      <w:r>
        <w:rPr>
          <w:spacing w:val="-7"/>
        </w:rPr>
        <w:t> </w:t>
      </w:r>
      <w:r>
        <w:rPr/>
        <w:t>[Anastas</w:t>
      </w:r>
      <w:r>
        <w:rPr>
          <w:spacing w:val="-9"/>
        </w:rPr>
        <w:t> </w:t>
      </w:r>
      <w:r>
        <w:rPr/>
        <w:t>and</w:t>
      </w:r>
      <w:r>
        <w:rPr>
          <w:spacing w:val="-15"/>
        </w:rPr>
        <w:t> </w:t>
      </w:r>
      <w:r>
        <w:rPr/>
        <w:t>Warner,</w:t>
      </w:r>
      <w:r>
        <w:rPr>
          <w:spacing w:val="-12"/>
        </w:rPr>
        <w:t> </w:t>
      </w:r>
      <w:r>
        <w:rPr/>
        <w:t>2000]</w:t>
      </w:r>
      <w:r>
        <w:rPr>
          <w:spacing w:val="-6"/>
        </w:rPr>
        <w:t> </w:t>
      </w:r>
      <w:r>
        <w:rPr/>
        <w:t>ayudan</w:t>
      </w:r>
      <w:r>
        <w:rPr>
          <w:spacing w:val="-11"/>
        </w:rPr>
        <w:t> </w:t>
      </w:r>
      <w:r>
        <w:rPr/>
        <w:t>a</w:t>
      </w:r>
      <w:r>
        <w:rPr>
          <w:spacing w:val="-8"/>
        </w:rPr>
        <w:t> </w:t>
      </w:r>
      <w:r>
        <w:rPr/>
        <w:t>valorar</w:t>
      </w:r>
      <w:r>
        <w:rPr>
          <w:spacing w:val="-10"/>
        </w:rPr>
        <w:t> </w:t>
      </w:r>
      <w:r>
        <w:rPr/>
        <w:t>qué tan verde puede ser un producto químico, una reacción o un</w:t>
      </w:r>
      <w:r>
        <w:rPr>
          <w:spacing w:val="-25"/>
        </w:rPr>
        <w:t> </w:t>
      </w:r>
      <w:r>
        <w:rPr/>
        <w:t>proceso.</w:t>
      </w:r>
    </w:p>
    <w:p>
      <w:pPr>
        <w:pStyle w:val="BodyText"/>
        <w:spacing w:before="8"/>
      </w:pPr>
    </w:p>
    <w:p>
      <w:pPr>
        <w:pStyle w:val="ListParagraph"/>
        <w:numPr>
          <w:ilvl w:val="0"/>
          <w:numId w:val="4"/>
        </w:numPr>
        <w:tabs>
          <w:tab w:pos="930" w:val="left" w:leader="none"/>
        </w:tabs>
        <w:spacing w:line="360" w:lineRule="auto" w:before="0" w:after="0"/>
        <w:ind w:left="658" w:right="412" w:firstLine="0"/>
        <w:jc w:val="both"/>
        <w:rPr>
          <w:sz w:val="24"/>
        </w:rPr>
      </w:pPr>
      <w:r>
        <w:rPr>
          <w:sz w:val="24"/>
        </w:rPr>
        <w:t>Es preferible evitar la producción de un residuo que tratar de removerlo una vez que se haya</w:t>
      </w:r>
      <w:r>
        <w:rPr>
          <w:spacing w:val="-8"/>
          <w:sz w:val="24"/>
        </w:rPr>
        <w:t> </w:t>
      </w:r>
      <w:r>
        <w:rPr>
          <w:sz w:val="24"/>
        </w:rPr>
        <w:t>formado.</w:t>
      </w:r>
    </w:p>
    <w:p>
      <w:pPr>
        <w:pStyle w:val="BodyText"/>
        <w:spacing w:before="7"/>
      </w:pPr>
    </w:p>
    <w:p>
      <w:pPr>
        <w:pStyle w:val="ListParagraph"/>
        <w:numPr>
          <w:ilvl w:val="0"/>
          <w:numId w:val="4"/>
        </w:numPr>
        <w:tabs>
          <w:tab w:pos="930" w:val="left" w:leader="none"/>
        </w:tabs>
        <w:spacing w:line="360" w:lineRule="auto" w:before="0" w:after="0"/>
        <w:ind w:left="658" w:right="399" w:firstLine="0"/>
        <w:jc w:val="both"/>
        <w:rPr>
          <w:sz w:val="24"/>
        </w:rPr>
      </w:pPr>
      <w:r>
        <w:rPr>
          <w:sz w:val="24"/>
        </w:rPr>
        <w:t>Los métodos de síntesis deberán diseñarse de manera que incorporen al máximo en el producto final a todos los materiales usados durante el</w:t>
      </w:r>
      <w:r>
        <w:rPr>
          <w:spacing w:val="-27"/>
          <w:sz w:val="24"/>
        </w:rPr>
        <w:t> </w:t>
      </w:r>
      <w:r>
        <w:rPr>
          <w:sz w:val="24"/>
        </w:rPr>
        <w:t>proceso.</w:t>
      </w:r>
    </w:p>
    <w:p>
      <w:pPr>
        <w:pStyle w:val="BodyText"/>
        <w:spacing w:before="7"/>
      </w:pPr>
    </w:p>
    <w:p>
      <w:pPr>
        <w:pStyle w:val="ListParagraph"/>
        <w:numPr>
          <w:ilvl w:val="0"/>
          <w:numId w:val="4"/>
        </w:numPr>
        <w:tabs>
          <w:tab w:pos="964" w:val="left" w:leader="none"/>
        </w:tabs>
        <w:spacing w:line="360" w:lineRule="auto" w:before="0" w:after="0"/>
        <w:ind w:left="658" w:right="400" w:firstLine="0"/>
        <w:jc w:val="both"/>
        <w:rPr>
          <w:sz w:val="24"/>
        </w:rPr>
      </w:pPr>
      <w:r>
        <w:rPr>
          <w:sz w:val="24"/>
        </w:rPr>
        <w:t>Siempre que sea posible, los métodos de síntesis deberán diseñarse para utilizar y generar sustancias que tengan poca o ninguna toxicidad, tanto para el ser humano como para el medio</w:t>
      </w:r>
      <w:r>
        <w:rPr>
          <w:spacing w:val="-8"/>
          <w:sz w:val="24"/>
        </w:rPr>
        <w:t> </w:t>
      </w:r>
      <w:r>
        <w:rPr>
          <w:sz w:val="24"/>
        </w:rPr>
        <w:t>ambiente.</w:t>
      </w:r>
    </w:p>
    <w:p>
      <w:pPr>
        <w:pStyle w:val="BodyText"/>
        <w:spacing w:before="8"/>
      </w:pPr>
    </w:p>
    <w:p>
      <w:pPr>
        <w:pStyle w:val="ListParagraph"/>
        <w:numPr>
          <w:ilvl w:val="0"/>
          <w:numId w:val="4"/>
        </w:numPr>
        <w:tabs>
          <w:tab w:pos="937" w:val="left" w:leader="none"/>
        </w:tabs>
        <w:spacing w:line="360" w:lineRule="auto" w:before="0" w:after="0"/>
        <w:ind w:left="658" w:right="411" w:firstLine="0"/>
        <w:jc w:val="both"/>
        <w:rPr>
          <w:sz w:val="24"/>
        </w:rPr>
      </w:pPr>
      <w:r>
        <w:rPr>
          <w:sz w:val="24"/>
        </w:rPr>
        <w:t>Los productos químicos deberán ser diseñados de manera que mantengan su eficacia a la vez que  reduzcan su</w:t>
      </w:r>
      <w:r>
        <w:rPr>
          <w:spacing w:val="-13"/>
          <w:sz w:val="24"/>
        </w:rPr>
        <w:t> </w:t>
      </w:r>
      <w:r>
        <w:rPr>
          <w:sz w:val="24"/>
        </w:rPr>
        <w:t>toxicidad.</w:t>
      </w:r>
    </w:p>
    <w:p>
      <w:pPr>
        <w:pStyle w:val="BodyText"/>
        <w:spacing w:before="7"/>
      </w:pPr>
    </w:p>
    <w:p>
      <w:pPr>
        <w:pStyle w:val="ListParagraph"/>
        <w:numPr>
          <w:ilvl w:val="0"/>
          <w:numId w:val="4"/>
        </w:numPr>
        <w:tabs>
          <w:tab w:pos="973" w:val="left" w:leader="none"/>
        </w:tabs>
        <w:spacing w:line="360" w:lineRule="auto" w:before="0" w:after="0"/>
        <w:ind w:left="658" w:right="410" w:firstLine="0"/>
        <w:jc w:val="both"/>
        <w:rPr>
          <w:sz w:val="24"/>
        </w:rPr>
      </w:pPr>
      <w:r>
        <w:rPr>
          <w:sz w:val="24"/>
        </w:rPr>
        <w:t>Se evitará, en lo posible, el uso de sustancias auxiliares (disolventes, reactivos de separación, etc.) y en el caso de que se utilicen que sean lo más inocuo</w:t>
      </w:r>
      <w:r>
        <w:rPr>
          <w:spacing w:val="-32"/>
          <w:sz w:val="24"/>
        </w:rPr>
        <w:t> </w:t>
      </w:r>
      <w:r>
        <w:rPr>
          <w:sz w:val="24"/>
        </w:rPr>
        <w:t>posible.</w:t>
      </w:r>
    </w:p>
    <w:p>
      <w:pPr>
        <w:pStyle w:val="BodyText"/>
        <w:spacing w:before="7"/>
      </w:pPr>
    </w:p>
    <w:p>
      <w:pPr>
        <w:pStyle w:val="ListParagraph"/>
        <w:numPr>
          <w:ilvl w:val="0"/>
          <w:numId w:val="4"/>
        </w:numPr>
        <w:tabs>
          <w:tab w:pos="961" w:val="left" w:leader="none"/>
        </w:tabs>
        <w:spacing w:line="360" w:lineRule="auto" w:before="0" w:after="0"/>
        <w:ind w:left="658" w:right="408" w:firstLine="0"/>
        <w:jc w:val="both"/>
        <w:rPr>
          <w:sz w:val="24"/>
        </w:rPr>
      </w:pPr>
      <w:r>
        <w:rPr>
          <w:sz w:val="24"/>
        </w:rPr>
        <w:t>Los requerimientos energéticos serán catalogados por su impacto medioambiental y económico,</w:t>
      </w:r>
      <w:r>
        <w:rPr>
          <w:spacing w:val="-18"/>
          <w:sz w:val="24"/>
        </w:rPr>
        <w:t> </w:t>
      </w:r>
      <w:r>
        <w:rPr>
          <w:sz w:val="24"/>
        </w:rPr>
        <w:t>reduciéndose</w:t>
      </w:r>
      <w:r>
        <w:rPr>
          <w:spacing w:val="-18"/>
          <w:sz w:val="24"/>
        </w:rPr>
        <w:t> </w:t>
      </w:r>
      <w:r>
        <w:rPr>
          <w:sz w:val="24"/>
        </w:rPr>
        <w:t>todo</w:t>
      </w:r>
      <w:r>
        <w:rPr>
          <w:spacing w:val="-18"/>
          <w:sz w:val="24"/>
        </w:rPr>
        <w:t> </w:t>
      </w:r>
      <w:r>
        <w:rPr>
          <w:sz w:val="24"/>
        </w:rPr>
        <w:t>lo</w:t>
      </w:r>
      <w:r>
        <w:rPr>
          <w:spacing w:val="-18"/>
          <w:sz w:val="24"/>
        </w:rPr>
        <w:t> </w:t>
      </w:r>
      <w:r>
        <w:rPr>
          <w:sz w:val="24"/>
        </w:rPr>
        <w:t>posible.</w:t>
      </w:r>
      <w:r>
        <w:rPr>
          <w:spacing w:val="-18"/>
          <w:sz w:val="24"/>
        </w:rPr>
        <w:t> </w:t>
      </w:r>
      <w:r>
        <w:rPr>
          <w:sz w:val="24"/>
        </w:rPr>
        <w:t>Se</w:t>
      </w:r>
      <w:r>
        <w:rPr>
          <w:spacing w:val="-20"/>
          <w:sz w:val="24"/>
        </w:rPr>
        <w:t> </w:t>
      </w:r>
      <w:r>
        <w:rPr>
          <w:sz w:val="24"/>
        </w:rPr>
        <w:t>intentará</w:t>
      </w:r>
      <w:r>
        <w:rPr>
          <w:spacing w:val="-19"/>
          <w:sz w:val="24"/>
        </w:rPr>
        <w:t> </w:t>
      </w:r>
      <w:r>
        <w:rPr>
          <w:sz w:val="24"/>
        </w:rPr>
        <w:t>llevar</w:t>
      </w:r>
      <w:r>
        <w:rPr>
          <w:spacing w:val="-19"/>
          <w:sz w:val="24"/>
        </w:rPr>
        <w:t> </w:t>
      </w:r>
      <w:r>
        <w:rPr>
          <w:sz w:val="24"/>
        </w:rPr>
        <w:t>a</w:t>
      </w:r>
      <w:r>
        <w:rPr>
          <w:spacing w:val="-18"/>
          <w:sz w:val="24"/>
        </w:rPr>
        <w:t> </w:t>
      </w:r>
      <w:r>
        <w:rPr>
          <w:sz w:val="24"/>
        </w:rPr>
        <w:t>cabo</w:t>
      </w:r>
      <w:r>
        <w:rPr>
          <w:spacing w:val="-18"/>
          <w:sz w:val="24"/>
        </w:rPr>
        <w:t> </w:t>
      </w:r>
      <w:r>
        <w:rPr>
          <w:sz w:val="24"/>
        </w:rPr>
        <w:t>los</w:t>
      </w:r>
      <w:r>
        <w:rPr>
          <w:spacing w:val="-18"/>
          <w:sz w:val="24"/>
        </w:rPr>
        <w:t> </w:t>
      </w:r>
      <w:r>
        <w:rPr>
          <w:sz w:val="24"/>
        </w:rPr>
        <w:t>métodos</w:t>
      </w:r>
      <w:r>
        <w:rPr>
          <w:spacing w:val="-19"/>
          <w:sz w:val="24"/>
        </w:rPr>
        <w:t> </w:t>
      </w:r>
      <w:r>
        <w:rPr>
          <w:sz w:val="24"/>
        </w:rPr>
        <w:t>de</w:t>
      </w:r>
      <w:r>
        <w:rPr>
          <w:spacing w:val="-18"/>
          <w:sz w:val="24"/>
        </w:rPr>
        <w:t> </w:t>
      </w:r>
      <w:r>
        <w:rPr>
          <w:sz w:val="24"/>
        </w:rPr>
        <w:t>síntesis a temperatura y presión</w:t>
      </w:r>
      <w:r>
        <w:rPr>
          <w:spacing w:val="-8"/>
          <w:sz w:val="24"/>
        </w:rPr>
        <w:t> </w:t>
      </w:r>
      <w:r>
        <w:rPr>
          <w:sz w:val="24"/>
        </w:rPr>
        <w:t>ambientes.</w:t>
      </w:r>
    </w:p>
    <w:p>
      <w:pPr>
        <w:pStyle w:val="BodyText"/>
        <w:spacing w:before="7"/>
      </w:pPr>
    </w:p>
    <w:p>
      <w:pPr>
        <w:pStyle w:val="ListParagraph"/>
        <w:numPr>
          <w:ilvl w:val="0"/>
          <w:numId w:val="4"/>
        </w:numPr>
        <w:tabs>
          <w:tab w:pos="930" w:val="left" w:leader="none"/>
        </w:tabs>
        <w:spacing w:line="360" w:lineRule="auto" w:before="0" w:after="0"/>
        <w:ind w:left="658" w:right="412" w:firstLine="0"/>
        <w:jc w:val="both"/>
        <w:rPr>
          <w:sz w:val="24"/>
        </w:rPr>
      </w:pPr>
      <w:r>
        <w:rPr>
          <w:sz w:val="24"/>
        </w:rPr>
        <w:t>La materia prima ha de ser preferiblemente renovable en vez de agotable, siempre que sea técnica y económicamente</w:t>
      </w:r>
      <w:r>
        <w:rPr>
          <w:spacing w:val="-14"/>
          <w:sz w:val="24"/>
        </w:rPr>
        <w:t> </w:t>
      </w:r>
      <w:r>
        <w:rPr>
          <w:sz w:val="24"/>
        </w:rPr>
        <w:t>viable.</w:t>
      </w:r>
    </w:p>
    <w:p>
      <w:pPr>
        <w:pStyle w:val="BodyText"/>
        <w:spacing w:before="7"/>
      </w:pPr>
    </w:p>
    <w:p>
      <w:pPr>
        <w:pStyle w:val="ListParagraph"/>
        <w:numPr>
          <w:ilvl w:val="0"/>
          <w:numId w:val="4"/>
        </w:numPr>
        <w:tabs>
          <w:tab w:pos="1041" w:val="left" w:leader="none"/>
        </w:tabs>
        <w:spacing w:line="360" w:lineRule="auto" w:before="0" w:after="0"/>
        <w:ind w:left="658" w:right="413" w:firstLine="0"/>
        <w:jc w:val="both"/>
        <w:rPr>
          <w:sz w:val="24"/>
        </w:rPr>
      </w:pPr>
      <w:r>
        <w:rPr>
          <w:sz w:val="24"/>
        </w:rPr>
        <w:t>Se evitará en lo posible la formación de derivados (grupos de bloqueo, de protección/desprotección, modificación temporal de procesos</w:t>
      </w:r>
      <w:r>
        <w:rPr>
          <w:spacing w:val="-23"/>
          <w:sz w:val="24"/>
        </w:rPr>
        <w:t> </w:t>
      </w:r>
      <w:r>
        <w:rPr>
          <w:sz w:val="24"/>
        </w:rPr>
        <w:t>físicos/químicos).</w:t>
      </w:r>
    </w:p>
    <w:p>
      <w:pPr>
        <w:spacing w:after="0" w:line="360" w:lineRule="auto"/>
        <w:jc w:val="both"/>
        <w:rPr>
          <w:sz w:val="24"/>
        </w:rPr>
        <w:sectPr>
          <w:pgSz w:w="12240" w:h="15840"/>
          <w:pgMar w:header="0" w:footer="654" w:top="1080" w:bottom="1060" w:left="760" w:right="840"/>
        </w:sectPr>
      </w:pPr>
    </w:p>
    <w:p>
      <w:pPr>
        <w:pStyle w:val="ListParagraph"/>
        <w:numPr>
          <w:ilvl w:val="0"/>
          <w:numId w:val="4"/>
        </w:numPr>
        <w:tabs>
          <w:tab w:pos="1048" w:val="left" w:leader="none"/>
        </w:tabs>
        <w:spacing w:line="362" w:lineRule="auto" w:before="51" w:after="0"/>
        <w:ind w:left="658" w:right="411" w:firstLine="0"/>
        <w:jc w:val="both"/>
        <w:rPr>
          <w:sz w:val="24"/>
        </w:rPr>
      </w:pPr>
      <w:r>
        <w:rPr>
          <w:sz w:val="24"/>
        </w:rPr>
        <w:t>Se emplearán catalizadores (lo más selectivos posible) en vez de reactivos estequiométricos.</w:t>
      </w:r>
    </w:p>
    <w:p>
      <w:pPr>
        <w:pStyle w:val="BodyText"/>
        <w:spacing w:before="4"/>
      </w:pPr>
    </w:p>
    <w:p>
      <w:pPr>
        <w:pStyle w:val="ListParagraph"/>
        <w:numPr>
          <w:ilvl w:val="0"/>
          <w:numId w:val="4"/>
        </w:numPr>
        <w:tabs>
          <w:tab w:pos="1101" w:val="left" w:leader="none"/>
        </w:tabs>
        <w:spacing w:line="360" w:lineRule="auto" w:before="1" w:after="0"/>
        <w:ind w:left="658" w:right="411" w:firstLine="0"/>
        <w:jc w:val="both"/>
        <w:rPr>
          <w:sz w:val="24"/>
        </w:rPr>
      </w:pPr>
      <w:r>
        <w:rPr>
          <w:sz w:val="24"/>
        </w:rPr>
        <w:t>Los productos químicos se diseñarán de tal manera que al finalizar su función no persistan en el medio ambiente sino que se transformen en productos de degradación inocuos.</w:t>
      </w:r>
    </w:p>
    <w:p>
      <w:pPr>
        <w:pStyle w:val="BodyText"/>
        <w:spacing w:before="7"/>
      </w:pPr>
    </w:p>
    <w:p>
      <w:pPr>
        <w:pStyle w:val="ListParagraph"/>
        <w:numPr>
          <w:ilvl w:val="0"/>
          <w:numId w:val="4"/>
        </w:numPr>
        <w:tabs>
          <w:tab w:pos="1095" w:val="left" w:leader="none"/>
        </w:tabs>
        <w:spacing w:line="360" w:lineRule="auto" w:before="0" w:after="0"/>
        <w:ind w:left="658" w:right="402" w:firstLine="0"/>
        <w:jc w:val="both"/>
        <w:rPr>
          <w:sz w:val="24"/>
        </w:rPr>
      </w:pPr>
      <w:r>
        <w:rPr>
          <w:sz w:val="24"/>
        </w:rPr>
        <w:t>Las metodologías analíticas serán desarrolladas para permitir una monitorización y control en tiempo real del proceso, previo a la formación de sustancias</w:t>
      </w:r>
      <w:r>
        <w:rPr>
          <w:spacing w:val="-34"/>
          <w:sz w:val="24"/>
        </w:rPr>
        <w:t> </w:t>
      </w:r>
      <w:r>
        <w:rPr>
          <w:sz w:val="24"/>
        </w:rPr>
        <w:t>peligrosas.</w:t>
      </w:r>
    </w:p>
    <w:p>
      <w:pPr>
        <w:pStyle w:val="BodyText"/>
        <w:spacing w:before="8"/>
      </w:pPr>
    </w:p>
    <w:p>
      <w:pPr>
        <w:pStyle w:val="ListParagraph"/>
        <w:numPr>
          <w:ilvl w:val="0"/>
          <w:numId w:val="4"/>
        </w:numPr>
        <w:tabs>
          <w:tab w:pos="1105" w:val="left" w:leader="none"/>
        </w:tabs>
        <w:spacing w:line="360" w:lineRule="auto" w:before="0" w:after="0"/>
        <w:ind w:left="658" w:right="400" w:firstLine="0"/>
        <w:jc w:val="both"/>
        <w:rPr>
          <w:sz w:val="24"/>
        </w:rPr>
      </w:pPr>
      <w:r>
        <w:rPr>
          <w:sz w:val="24"/>
        </w:rPr>
        <w:t>Se elegirán las sustancias empleadas en los procesos químicos de forma que se minimice el potencial de accidentes químicos, incluidas las emanaciones, explosiones e incendios [Ravelli, et al., 2009; Capello, et al., 2007; Melendez y Camacho, 2008; Vargas, et al., 2007; Anastas y Warner,</w:t>
      </w:r>
      <w:r>
        <w:rPr>
          <w:spacing w:val="-16"/>
          <w:sz w:val="24"/>
        </w:rPr>
        <w:t> </w:t>
      </w:r>
      <w:r>
        <w:rPr>
          <w:sz w:val="24"/>
        </w:rPr>
        <w:t>1998].</w:t>
      </w:r>
    </w:p>
    <w:p>
      <w:pPr>
        <w:pStyle w:val="BodyText"/>
      </w:pPr>
    </w:p>
    <w:p>
      <w:pPr>
        <w:pStyle w:val="BodyText"/>
      </w:pPr>
    </w:p>
    <w:p>
      <w:pPr>
        <w:pStyle w:val="BodyText"/>
        <w:spacing w:line="360" w:lineRule="auto" w:before="147"/>
        <w:ind w:left="658" w:right="401"/>
        <w:jc w:val="both"/>
      </w:pPr>
      <w:r>
        <w:rPr/>
        <w:t>En general se puede establecer que la química verde, más que ser una disciplina en sí misma,</w:t>
      </w:r>
      <w:r>
        <w:rPr>
          <w:spacing w:val="-10"/>
        </w:rPr>
        <w:t> </w:t>
      </w:r>
      <w:r>
        <w:rPr/>
        <w:t>es</w:t>
      </w:r>
      <w:r>
        <w:rPr>
          <w:spacing w:val="-8"/>
        </w:rPr>
        <w:t> </w:t>
      </w:r>
      <w:r>
        <w:rPr/>
        <w:t>una</w:t>
      </w:r>
      <w:r>
        <w:rPr>
          <w:spacing w:val="-9"/>
        </w:rPr>
        <w:t> </w:t>
      </w:r>
      <w:r>
        <w:rPr/>
        <w:t>combinación</w:t>
      </w:r>
      <w:r>
        <w:rPr>
          <w:spacing w:val="-9"/>
        </w:rPr>
        <w:t> </w:t>
      </w:r>
      <w:r>
        <w:rPr/>
        <w:t>de</w:t>
      </w:r>
      <w:r>
        <w:rPr>
          <w:spacing w:val="-9"/>
        </w:rPr>
        <w:t> </w:t>
      </w:r>
      <w:r>
        <w:rPr/>
        <w:t>diversas</w:t>
      </w:r>
      <w:r>
        <w:rPr>
          <w:spacing w:val="-8"/>
        </w:rPr>
        <w:t> </w:t>
      </w:r>
      <w:r>
        <w:rPr/>
        <w:t>disciplinas.</w:t>
      </w:r>
      <w:r>
        <w:rPr>
          <w:spacing w:val="-7"/>
        </w:rPr>
        <w:t> </w:t>
      </w:r>
      <w:r>
        <w:rPr/>
        <w:t>Dado</w:t>
      </w:r>
      <w:r>
        <w:rPr>
          <w:spacing w:val="-9"/>
        </w:rPr>
        <w:t> </w:t>
      </w:r>
      <w:r>
        <w:rPr/>
        <w:t>que</w:t>
      </w:r>
      <w:r>
        <w:rPr>
          <w:spacing w:val="-7"/>
        </w:rPr>
        <w:t> </w:t>
      </w:r>
      <w:r>
        <w:rPr/>
        <w:t>la</w:t>
      </w:r>
      <w:r>
        <w:rPr>
          <w:spacing w:val="-4"/>
        </w:rPr>
        <w:t> </w:t>
      </w:r>
      <w:r>
        <w:rPr/>
        <w:t>química</w:t>
      </w:r>
      <w:r>
        <w:rPr>
          <w:spacing w:val="-6"/>
        </w:rPr>
        <w:t> </w:t>
      </w:r>
      <w:r>
        <w:rPr/>
        <w:t>verde</w:t>
      </w:r>
      <w:r>
        <w:rPr>
          <w:spacing w:val="-9"/>
        </w:rPr>
        <w:t> </w:t>
      </w:r>
      <w:r>
        <w:rPr/>
        <w:t>tiene</w:t>
      </w:r>
      <w:r>
        <w:rPr>
          <w:spacing w:val="-9"/>
        </w:rPr>
        <w:t> </w:t>
      </w:r>
      <w:r>
        <w:rPr/>
        <w:t>entre sus metas u objetivos reducir la generación de residuos contaminantes, tiene relación con la ecología, las ciencias ambientales, la toxicología, la ingeniería y la química [Garritz, 2009; Horváth y Anastas, 2007; Melendez y Camacho,</w:t>
      </w:r>
      <w:r>
        <w:rPr>
          <w:spacing w:val="-22"/>
        </w:rPr>
        <w:t> </w:t>
      </w:r>
      <w:r>
        <w:rPr/>
        <w:t>2008].</w:t>
      </w:r>
    </w:p>
    <w:p>
      <w:pPr>
        <w:pStyle w:val="BodyText"/>
      </w:pPr>
    </w:p>
    <w:p>
      <w:pPr>
        <w:pStyle w:val="BodyText"/>
        <w:spacing w:line="360" w:lineRule="auto" w:before="142"/>
        <w:ind w:left="658" w:right="401"/>
        <w:jc w:val="both"/>
      </w:pPr>
      <w:r>
        <w:rPr/>
        <w:t>Los agentes oxidantes más amigables son aquellos que sustituyen a otros agentes oxidantes tóxicos en determinados procesos debido a que suelen ser menos tóxicos y contaminantes</w:t>
      </w:r>
      <w:r>
        <w:rPr>
          <w:spacing w:val="-9"/>
        </w:rPr>
        <w:t> </w:t>
      </w:r>
      <w:r>
        <w:rPr/>
        <w:t>tanto</w:t>
      </w:r>
      <w:r>
        <w:rPr>
          <w:spacing w:val="-10"/>
        </w:rPr>
        <w:t> </w:t>
      </w:r>
      <w:r>
        <w:rPr/>
        <w:t>para</w:t>
      </w:r>
      <w:r>
        <w:rPr>
          <w:spacing w:val="-9"/>
        </w:rPr>
        <w:t> </w:t>
      </w:r>
      <w:r>
        <w:rPr/>
        <w:t>el</w:t>
      </w:r>
      <w:r>
        <w:rPr>
          <w:spacing w:val="-12"/>
        </w:rPr>
        <w:t> </w:t>
      </w:r>
      <w:r>
        <w:rPr/>
        <w:t>medio</w:t>
      </w:r>
      <w:r>
        <w:rPr>
          <w:spacing w:val="-11"/>
        </w:rPr>
        <w:t> </w:t>
      </w:r>
      <w:r>
        <w:rPr/>
        <w:t>ambiente</w:t>
      </w:r>
      <w:r>
        <w:rPr>
          <w:spacing w:val="-10"/>
        </w:rPr>
        <w:t> </w:t>
      </w:r>
      <w:r>
        <w:rPr/>
        <w:t>como</w:t>
      </w:r>
      <w:r>
        <w:rPr>
          <w:spacing w:val="-11"/>
        </w:rPr>
        <w:t> </w:t>
      </w:r>
      <w:r>
        <w:rPr/>
        <w:t>para</w:t>
      </w:r>
      <w:r>
        <w:rPr>
          <w:spacing w:val="-11"/>
        </w:rPr>
        <w:t> </w:t>
      </w:r>
      <w:r>
        <w:rPr/>
        <w:t>el</w:t>
      </w:r>
      <w:r>
        <w:rPr>
          <w:spacing w:val="-10"/>
        </w:rPr>
        <w:t> </w:t>
      </w:r>
      <w:r>
        <w:rPr/>
        <w:t>ser</w:t>
      </w:r>
      <w:r>
        <w:rPr>
          <w:spacing w:val="-10"/>
        </w:rPr>
        <w:t> </w:t>
      </w:r>
      <w:r>
        <w:rPr/>
        <w:t>humano.</w:t>
      </w:r>
      <w:r>
        <w:rPr>
          <w:spacing w:val="-9"/>
        </w:rPr>
        <w:t> </w:t>
      </w:r>
      <w:r>
        <w:rPr/>
        <w:t>Esto</w:t>
      </w:r>
      <w:r>
        <w:rPr>
          <w:spacing w:val="-7"/>
        </w:rPr>
        <w:t> </w:t>
      </w:r>
      <w:r>
        <w:rPr/>
        <w:t>ayuda</w:t>
      </w:r>
      <w:r>
        <w:rPr>
          <w:spacing w:val="-8"/>
        </w:rPr>
        <w:t> </w:t>
      </w:r>
      <w:r>
        <w:rPr/>
        <w:t>a</w:t>
      </w:r>
      <w:r>
        <w:rPr>
          <w:spacing w:val="-8"/>
        </w:rPr>
        <w:t> </w:t>
      </w:r>
      <w:r>
        <w:rPr/>
        <w:t>crear una técnica más verde, mejorándola en diversos aspectos como tiempo de reacción, minimizando costos de energía, costos, entre otros factores positivos. Dentro de estos oxidantes se encuentra el peróxido de hidrógeno, por lo que se estudiará su toxicidad y daños al</w:t>
      </w:r>
      <w:r>
        <w:rPr>
          <w:spacing w:val="-6"/>
        </w:rPr>
        <w:t> </w:t>
      </w:r>
      <w:r>
        <w:rPr/>
        <w:t>ambiente.</w:t>
      </w:r>
    </w:p>
    <w:p>
      <w:pPr>
        <w:spacing w:after="0" w:line="360" w:lineRule="auto"/>
        <w:jc w:val="both"/>
        <w:sectPr>
          <w:pgSz w:w="12240" w:h="15840"/>
          <w:pgMar w:header="0" w:footer="654" w:top="1080" w:bottom="1060" w:left="760" w:right="840"/>
        </w:sectPr>
      </w:pPr>
    </w:p>
    <w:p>
      <w:pPr>
        <w:pStyle w:val="Heading3"/>
        <w:numPr>
          <w:ilvl w:val="1"/>
          <w:numId w:val="4"/>
        </w:numPr>
        <w:tabs>
          <w:tab w:pos="1379" w:val="left" w:leader="none"/>
        </w:tabs>
        <w:spacing w:line="240" w:lineRule="auto" w:before="48" w:after="0"/>
        <w:ind w:left="1378" w:right="0" w:hanging="360"/>
        <w:jc w:val="left"/>
      </w:pPr>
      <w:r>
        <w:rPr/>
        <w:t>PERÓXIDO DE HIDRÓGENO COMO AGENTE</w:t>
      </w:r>
      <w:r>
        <w:rPr>
          <w:spacing w:val="-20"/>
        </w:rPr>
        <w:t> </w:t>
      </w:r>
      <w:r>
        <w:rPr/>
        <w:t>OXIDANTE</w:t>
      </w:r>
    </w:p>
    <w:p>
      <w:pPr>
        <w:pStyle w:val="BodyText"/>
        <w:spacing w:before="9"/>
        <w:rPr>
          <w:b/>
          <w:sz w:val="33"/>
        </w:rPr>
      </w:pPr>
    </w:p>
    <w:p>
      <w:pPr>
        <w:pStyle w:val="BodyText"/>
        <w:spacing w:line="360" w:lineRule="auto"/>
        <w:ind w:left="658" w:right="402"/>
        <w:jc w:val="both"/>
      </w:pPr>
      <w:r>
        <w:rPr/>
        <w:t>El peróxido de hidrógeno (conocido también como agua oxigenada) es un líquido incoloro a temperatura ambiente con sabor amargo. El peróxido de hidrógeno es inestable y se descompone rápidamente a oxígeno y agua con liberación de calor. Aunque no es inflamable, es un agente oxidante potente que puede causar combustión espontánea cuando entra en contacto con materia orgánica.</w:t>
      </w:r>
    </w:p>
    <w:p>
      <w:pPr>
        <w:pStyle w:val="BodyText"/>
        <w:spacing w:line="357" w:lineRule="auto" w:before="151"/>
        <w:ind w:left="658" w:right="400"/>
        <w:jc w:val="both"/>
      </w:pPr>
      <w:r>
        <w:rPr/>
        <w:t>El peróxido de hidrógeno es capaz de actuar ya sea como agente oxidante (poderoso oxidante. E</w:t>
      </w:r>
      <w:r>
        <w:rPr>
          <w:position w:val="8"/>
          <w:sz w:val="16"/>
        </w:rPr>
        <w:t>o </w:t>
      </w:r>
      <w:r>
        <w:rPr/>
        <w:t>= 1.8 V) o como reductor. El radical hidroxilo generado del peróxido de hidrógeno es el segundo agente oxidante más fuerte después del flúor (</w:t>
      </w:r>
      <w:r>
        <w:rPr>
          <w:position w:val="8"/>
          <w:sz w:val="16"/>
        </w:rPr>
        <w:t>●</w:t>
      </w:r>
      <w:r>
        <w:rPr/>
        <w:t>OH</w:t>
      </w:r>
      <w:r>
        <w:rPr>
          <w:position w:val="8"/>
          <w:sz w:val="16"/>
        </w:rPr>
        <w:t>.</w:t>
      </w:r>
      <w:r>
        <w:rPr/>
        <w:t>, E</w:t>
      </w:r>
      <w:r>
        <w:rPr>
          <w:position w:val="8"/>
          <w:sz w:val="16"/>
        </w:rPr>
        <w:t>o </w:t>
      </w:r>
      <w:r>
        <w:rPr/>
        <w:t>= +2.8 V vs. flúor, E</w:t>
      </w:r>
      <w:r>
        <w:rPr>
          <w:position w:val="8"/>
          <w:sz w:val="16"/>
        </w:rPr>
        <w:t>o </w:t>
      </w:r>
      <w:r>
        <w:rPr/>
        <w:t>= +3.0 V), y es capaz de realizar oxidaciones no específicas de algunos compuestos orgánicos. Cuando se genera una concentración suficiente de radical libre hidroxilo y otros radicales, las reacciones de oxidación de los compuestos orgánicos pueden</w:t>
      </w:r>
      <w:r>
        <w:rPr>
          <w:spacing w:val="-14"/>
        </w:rPr>
        <w:t> </w:t>
      </w:r>
      <w:r>
        <w:rPr/>
        <w:t>llegar</w:t>
      </w:r>
      <w:r>
        <w:rPr>
          <w:spacing w:val="-15"/>
        </w:rPr>
        <w:t> </w:t>
      </w:r>
      <w:r>
        <w:rPr/>
        <w:t>hasta</w:t>
      </w:r>
      <w:r>
        <w:rPr>
          <w:spacing w:val="-14"/>
        </w:rPr>
        <w:t> </w:t>
      </w:r>
      <w:r>
        <w:rPr/>
        <w:t>una</w:t>
      </w:r>
      <w:r>
        <w:rPr>
          <w:spacing w:val="-14"/>
        </w:rPr>
        <w:t> </w:t>
      </w:r>
      <w:r>
        <w:rPr/>
        <w:t>total</w:t>
      </w:r>
      <w:r>
        <w:rPr>
          <w:spacing w:val="-14"/>
        </w:rPr>
        <w:t> </w:t>
      </w:r>
      <w:r>
        <w:rPr/>
        <w:t>mineralización</w:t>
      </w:r>
      <w:r>
        <w:rPr>
          <w:spacing w:val="-14"/>
        </w:rPr>
        <w:t> </w:t>
      </w:r>
      <w:r>
        <w:rPr/>
        <w:t>[Arroyave,</w:t>
      </w:r>
      <w:r>
        <w:rPr>
          <w:spacing w:val="-14"/>
        </w:rPr>
        <w:t> </w:t>
      </w:r>
      <w:r>
        <w:rPr/>
        <w:t>2009;</w:t>
      </w:r>
      <w:r>
        <w:rPr>
          <w:spacing w:val="-14"/>
        </w:rPr>
        <w:t> </w:t>
      </w:r>
      <w:r>
        <w:rPr/>
        <w:t>Sawyer</w:t>
      </w:r>
      <w:r>
        <w:rPr>
          <w:spacing w:val="-15"/>
        </w:rPr>
        <w:t> </w:t>
      </w:r>
      <w:r>
        <w:rPr/>
        <w:t>y</w:t>
      </w:r>
      <w:r>
        <w:rPr>
          <w:spacing w:val="-16"/>
        </w:rPr>
        <w:t> </w:t>
      </w:r>
      <w:r>
        <w:rPr/>
        <w:t>Carty,</w:t>
      </w:r>
      <w:r>
        <w:rPr>
          <w:spacing w:val="-14"/>
        </w:rPr>
        <w:t> </w:t>
      </w:r>
      <w:r>
        <w:rPr/>
        <w:t>1996;</w:t>
      </w:r>
      <w:r>
        <w:rPr>
          <w:spacing w:val="-16"/>
        </w:rPr>
        <w:t> </w:t>
      </w:r>
      <w:r>
        <w:rPr/>
        <w:t>Teran, 2016.].</w:t>
      </w:r>
      <w:r>
        <w:rPr>
          <w:spacing w:val="-4"/>
        </w:rPr>
        <w:t> </w:t>
      </w:r>
      <w:r>
        <w:rPr/>
        <w:t>Las</w:t>
      </w:r>
      <w:r>
        <w:rPr>
          <w:spacing w:val="-4"/>
        </w:rPr>
        <w:t> </w:t>
      </w:r>
      <w:r>
        <w:rPr/>
        <w:t>ecuaciones</w:t>
      </w:r>
      <w:r>
        <w:rPr>
          <w:spacing w:val="-4"/>
        </w:rPr>
        <w:t> </w:t>
      </w:r>
      <w:r>
        <w:rPr/>
        <w:t>que</w:t>
      </w:r>
      <w:r>
        <w:rPr>
          <w:spacing w:val="-4"/>
        </w:rPr>
        <w:t> </w:t>
      </w:r>
      <w:r>
        <w:rPr/>
        <w:t>se</w:t>
      </w:r>
      <w:r>
        <w:rPr>
          <w:spacing w:val="-4"/>
        </w:rPr>
        <w:t> </w:t>
      </w:r>
      <w:r>
        <w:rPr/>
        <w:t>muestran</w:t>
      </w:r>
      <w:r>
        <w:rPr>
          <w:spacing w:val="-6"/>
        </w:rPr>
        <w:t> </w:t>
      </w:r>
      <w:r>
        <w:rPr/>
        <w:t>a</w:t>
      </w:r>
      <w:r>
        <w:rPr>
          <w:spacing w:val="-4"/>
        </w:rPr>
        <w:t> </w:t>
      </w:r>
      <w:r>
        <w:rPr/>
        <w:t>continuación</w:t>
      </w:r>
      <w:r>
        <w:rPr>
          <w:spacing w:val="-6"/>
        </w:rPr>
        <w:t> </w:t>
      </w:r>
      <w:r>
        <w:rPr/>
        <w:t>presentan</w:t>
      </w:r>
      <w:r>
        <w:rPr>
          <w:spacing w:val="-4"/>
        </w:rPr>
        <w:t> </w:t>
      </w:r>
      <w:r>
        <w:rPr/>
        <w:t>las</w:t>
      </w:r>
      <w:r>
        <w:rPr>
          <w:spacing w:val="-4"/>
        </w:rPr>
        <w:t> </w:t>
      </w:r>
      <w:r>
        <w:rPr/>
        <w:t>semirreacciones</w:t>
      </w:r>
      <w:r>
        <w:rPr>
          <w:spacing w:val="-4"/>
        </w:rPr>
        <w:t> </w:t>
      </w:r>
      <w:r>
        <w:rPr/>
        <w:t>en medio</w:t>
      </w:r>
      <w:r>
        <w:rPr>
          <w:spacing w:val="-4"/>
        </w:rPr>
        <w:t> </w:t>
      </w:r>
      <w:r>
        <w:rPr/>
        <w:t>ácido:</w:t>
      </w:r>
    </w:p>
    <w:p>
      <w:pPr>
        <w:pStyle w:val="BodyText"/>
        <w:rPr>
          <w:sz w:val="20"/>
        </w:rPr>
      </w:pPr>
    </w:p>
    <w:p>
      <w:pPr>
        <w:pStyle w:val="BodyText"/>
        <w:rPr>
          <w:sz w:val="20"/>
        </w:rPr>
      </w:pPr>
    </w:p>
    <w:p>
      <w:pPr>
        <w:spacing w:after="0"/>
        <w:rPr>
          <w:sz w:val="20"/>
        </w:rPr>
        <w:sectPr>
          <w:pgSz w:w="12240" w:h="15840"/>
          <w:pgMar w:header="0" w:footer="654" w:top="1080" w:bottom="1060" w:left="760" w:right="840"/>
        </w:sectPr>
      </w:pPr>
    </w:p>
    <w:p>
      <w:pPr>
        <w:pStyle w:val="BodyText"/>
        <w:spacing w:before="4"/>
        <w:rPr>
          <w:sz w:val="17"/>
        </w:rPr>
      </w:pPr>
    </w:p>
    <w:p>
      <w:pPr>
        <w:spacing w:line="174" w:lineRule="exact" w:before="0"/>
        <w:ind w:left="59" w:right="0" w:firstLine="0"/>
        <w:jc w:val="center"/>
        <w:rPr>
          <w:rFonts w:ascii="Cambria Math"/>
          <w:sz w:val="17"/>
        </w:rPr>
      </w:pPr>
      <w:r>
        <w:rPr/>
        <w:pict>
          <v:shape style="position:absolute;margin-left:80.064003pt;margin-top:3.660077pt;width:59.15pt;height:12pt;mso-position-horizontal-relative:page;mso-position-vertical-relative:paragraph;z-index:-130744" type="#_x0000_t202" filled="false" stroked="false">
            <v:textbox inset="0,0,0,0">
              <w:txbxContent>
                <w:p>
                  <w:pPr>
                    <w:pStyle w:val="BodyText"/>
                    <w:tabs>
                      <w:tab w:pos="655" w:val="left" w:leader="none"/>
                    </w:tabs>
                    <w:spacing w:line="240" w:lineRule="exact"/>
                    <w:rPr>
                      <w:rFonts w:ascii="Cambria Math" w:eastAsia="Cambria Math"/>
                    </w:rPr>
                  </w:pPr>
                  <w:r>
                    <w:rPr>
                      <w:rFonts w:ascii="Cambria Math" w:eastAsia="Cambria Math"/>
                    </w:rPr>
                    <w:t>𝑯</w:t>
                    <w:tab/>
                    <w:t>+   𝑯</w:t>
                  </w:r>
                </w:p>
              </w:txbxContent>
            </v:textbox>
            <w10:wrap type="none"/>
          </v:shape>
        </w:pict>
      </w:r>
      <w:r>
        <w:rPr>
          <w:rFonts w:ascii="Cambria Math"/>
          <w:w w:val="97"/>
          <w:sz w:val="17"/>
        </w:rPr>
        <w:t>+</w:t>
      </w:r>
    </w:p>
    <w:p>
      <w:pPr>
        <w:tabs>
          <w:tab w:pos="2024" w:val="left" w:leader="none"/>
        </w:tabs>
        <w:spacing w:line="184" w:lineRule="exact" w:before="0"/>
        <w:ind w:left="1030" w:right="0" w:firstLine="0"/>
        <w:jc w:val="left"/>
        <w:rPr>
          <w:rFonts w:ascii="Cambria Math" w:eastAsia="Cambria Math"/>
          <w:sz w:val="17"/>
        </w:rPr>
      </w:pPr>
      <w:r>
        <w:rPr>
          <w:rFonts w:ascii="Cambria Math" w:eastAsia="Cambria Math"/>
          <w:sz w:val="17"/>
        </w:rPr>
        <w:t>(𝒂�)</w:t>
        <w:tab/>
        <w:t> </w:t>
      </w:r>
      <w:r>
        <w:rPr>
          <w:rFonts w:ascii="Cambria Math" w:eastAsia="Cambria Math"/>
          <w:position w:val="1"/>
          <w:sz w:val="17"/>
        </w:rPr>
        <w:t>�</w:t>
      </w:r>
    </w:p>
    <w:p>
      <w:pPr>
        <w:spacing w:before="229"/>
        <w:ind w:left="-32" w:right="-252" w:firstLine="0"/>
        <w:jc w:val="left"/>
        <w:rPr>
          <w:rFonts w:ascii="Cambria Math" w:eastAsia="Cambria Math"/>
          <w:sz w:val="17"/>
        </w:rPr>
      </w:pPr>
      <w:r>
        <w:rPr/>
        <w:br w:type="column"/>
      </w:r>
      <w:r>
        <w:rPr>
          <w:rFonts w:ascii="Cambria Math" w:eastAsia="Cambria Math"/>
          <w:spacing w:val="-1"/>
          <w:w w:val="99"/>
          <w:position w:val="5"/>
          <w:sz w:val="24"/>
        </w:rPr>
        <w:t>𝑶</w:t>
      </w:r>
      <w:r>
        <w:rPr>
          <w:rFonts w:ascii="Cambria Math" w:eastAsia="Cambria Math"/>
          <w:spacing w:val="-2"/>
          <w:w w:val="91"/>
          <w:sz w:val="17"/>
        </w:rPr>
        <w:t>�</w:t>
      </w:r>
      <w:r>
        <w:rPr>
          <w:rFonts w:ascii="Cambria Math" w:eastAsia="Cambria Math"/>
          <w:spacing w:val="1"/>
          <w:w w:val="100"/>
          <w:sz w:val="17"/>
        </w:rPr>
        <w:t>(</w:t>
      </w:r>
      <w:r>
        <w:rPr>
          <w:rFonts w:ascii="Cambria Math" w:eastAsia="Cambria Math"/>
          <w:spacing w:val="-1"/>
          <w:w w:val="100"/>
          <w:sz w:val="17"/>
        </w:rPr>
        <w:t>𝒂</w:t>
      </w:r>
      <w:r>
        <w:rPr>
          <w:rFonts w:ascii="Cambria Math" w:eastAsia="Cambria Math"/>
          <w:w w:val="92"/>
          <w:sz w:val="17"/>
        </w:rPr>
        <w:t>�</w:t>
      </w:r>
      <w:r>
        <w:rPr>
          <w:rFonts w:ascii="Cambria Math" w:eastAsia="Cambria Math"/>
          <w:w w:val="100"/>
          <w:sz w:val="17"/>
        </w:rPr>
        <w:t>)</w:t>
      </w:r>
    </w:p>
    <w:p>
      <w:pPr>
        <w:spacing w:before="208"/>
        <w:ind w:left="74" w:right="29" w:firstLine="0"/>
        <w:jc w:val="left"/>
        <w:rPr>
          <w:rFonts w:ascii="Cambria Math" w:hAnsi="Cambria Math" w:eastAsia="Cambria Math"/>
          <w:sz w:val="24"/>
        </w:rPr>
      </w:pPr>
      <w:r>
        <w:rPr/>
        <w:br w:type="column"/>
      </w:r>
      <w:r>
        <w:rPr>
          <w:rFonts w:ascii="Cambria Math" w:hAnsi="Cambria Math" w:eastAsia="Cambria Math"/>
          <w:sz w:val="24"/>
        </w:rPr>
        <w:t>+ �𝒆</w:t>
      </w:r>
      <w:r>
        <w:rPr>
          <w:rFonts w:ascii="Cambria Math" w:hAnsi="Cambria Math" w:eastAsia="Cambria Math"/>
          <w:position w:val="9"/>
          <w:sz w:val="17"/>
        </w:rPr>
        <w:t>− </w:t>
      </w:r>
      <w:r>
        <w:rPr>
          <w:rFonts w:ascii="Cambria Math" w:hAnsi="Cambria Math" w:eastAsia="Cambria Math"/>
          <w:sz w:val="24"/>
        </w:rPr>
        <w:t>→ </w:t>
      </w:r>
      <w:r>
        <w:rPr>
          <w:rFonts w:ascii="Times New Roman" w:hAnsi="Times New Roman" w:eastAsia="Times New Roman"/>
          <w:b/>
          <w:i/>
          <w:position w:val="9"/>
          <w:sz w:val="17"/>
        </w:rPr>
        <w:t>● </w:t>
      </w:r>
      <w:r>
        <w:rPr>
          <w:rFonts w:ascii="Cambria Math" w:hAnsi="Cambria Math" w:eastAsia="Cambria Math"/>
          <w:sz w:val="24"/>
        </w:rPr>
        <w:t>𝑶𝑯</w:t>
      </w:r>
    </w:p>
    <w:p>
      <w:pPr>
        <w:pStyle w:val="BodyText"/>
        <w:rPr>
          <w:rFonts w:ascii="Cambria Math"/>
          <w:sz w:val="16"/>
        </w:rPr>
      </w:pPr>
      <w:r>
        <w:rPr/>
        <w:br w:type="column"/>
      </w:r>
      <w:r>
        <w:rPr>
          <w:rFonts w:ascii="Cambria Math"/>
          <w:sz w:val="16"/>
        </w:rPr>
      </w:r>
    </w:p>
    <w:p>
      <w:pPr>
        <w:pStyle w:val="BodyText"/>
        <w:spacing w:before="6"/>
        <w:rPr>
          <w:rFonts w:ascii="Cambria Math"/>
          <w:sz w:val="13"/>
        </w:rPr>
      </w:pPr>
    </w:p>
    <w:p>
      <w:pPr>
        <w:spacing w:before="0"/>
        <w:ind w:left="-40" w:right="-136" w:firstLine="0"/>
        <w:jc w:val="left"/>
        <w:rPr>
          <w:rFonts w:ascii="Cambria Math" w:eastAsia="Cambria Math"/>
          <w:sz w:val="17"/>
        </w:rPr>
      </w:pPr>
      <w:r>
        <w:rPr>
          <w:rFonts w:ascii="Cambria Math" w:eastAsia="Cambria Math"/>
          <w:spacing w:val="-2"/>
          <w:w w:val="100"/>
          <w:sz w:val="17"/>
        </w:rPr>
        <w:t>(</w:t>
      </w:r>
      <w:r>
        <w:rPr>
          <w:rFonts w:ascii="Cambria Math" w:eastAsia="Cambria Math"/>
          <w:spacing w:val="-1"/>
          <w:w w:val="100"/>
          <w:sz w:val="17"/>
        </w:rPr>
        <w:t>𝒂</w:t>
      </w:r>
      <w:r>
        <w:rPr>
          <w:rFonts w:ascii="Cambria Math" w:eastAsia="Cambria Math"/>
          <w:w w:val="92"/>
          <w:sz w:val="17"/>
        </w:rPr>
        <w:t>�</w:t>
      </w:r>
      <w:r>
        <w:rPr>
          <w:rFonts w:ascii="Cambria Math" w:eastAsia="Cambria Math"/>
          <w:w w:val="100"/>
          <w:sz w:val="17"/>
        </w:rPr>
        <w:t>)</w:t>
      </w:r>
    </w:p>
    <w:p>
      <w:pPr>
        <w:spacing w:before="231"/>
        <w:ind w:left="23" w:right="-11" w:firstLine="0"/>
        <w:jc w:val="left"/>
        <w:rPr>
          <w:rFonts w:ascii="Cambria Math" w:eastAsia="Cambria Math"/>
          <w:sz w:val="17"/>
        </w:rPr>
      </w:pPr>
      <w:r>
        <w:rPr/>
        <w:br w:type="column"/>
      </w:r>
      <w:r>
        <w:rPr>
          <w:rFonts w:ascii="Cambria Math" w:eastAsia="Cambria Math"/>
          <w:sz w:val="24"/>
        </w:rPr>
        <w:t>+ </w:t>
      </w:r>
      <w:r>
        <w:rPr>
          <w:rFonts w:ascii="Cambria Math" w:eastAsia="Cambria Math"/>
          <w:w w:val="95"/>
          <w:sz w:val="24"/>
        </w:rPr>
        <w:t>𝑯</w:t>
      </w:r>
      <w:r>
        <w:rPr>
          <w:rFonts w:ascii="Cambria Math" w:eastAsia="Cambria Math"/>
          <w:w w:val="95"/>
          <w:position w:val="-4"/>
          <w:sz w:val="17"/>
        </w:rPr>
        <w:t>�</w:t>
      </w:r>
    </w:p>
    <w:p>
      <w:pPr>
        <w:spacing w:before="229"/>
        <w:ind w:left="-32" w:right="-200" w:firstLine="0"/>
        <w:jc w:val="left"/>
        <w:rPr>
          <w:rFonts w:ascii="Cambria Math" w:eastAsia="Cambria Math"/>
          <w:sz w:val="17"/>
        </w:rPr>
      </w:pPr>
      <w:r>
        <w:rPr/>
        <w:br w:type="column"/>
      </w:r>
      <w:r>
        <w:rPr>
          <w:rFonts w:ascii="Cambria Math" w:eastAsia="Cambria Math"/>
          <w:spacing w:val="-1"/>
          <w:w w:val="99"/>
          <w:position w:val="5"/>
          <w:sz w:val="24"/>
        </w:rPr>
        <w:t>𝑶</w:t>
      </w:r>
      <w:r>
        <w:rPr>
          <w:rFonts w:ascii="Cambria Math" w:eastAsia="Cambria Math"/>
          <w:spacing w:val="1"/>
          <w:w w:val="100"/>
          <w:sz w:val="17"/>
        </w:rPr>
        <w:t>(</w:t>
      </w:r>
      <w:r>
        <w:rPr>
          <w:rFonts w:ascii="Cambria Math" w:eastAsia="Cambria Math"/>
          <w:spacing w:val="-1"/>
          <w:w w:val="100"/>
          <w:sz w:val="17"/>
        </w:rPr>
        <w:t>𝒂</w:t>
      </w:r>
      <w:r>
        <w:rPr>
          <w:rFonts w:ascii="Cambria Math" w:eastAsia="Cambria Math"/>
          <w:w w:val="92"/>
          <w:sz w:val="17"/>
        </w:rPr>
        <w:t>�</w:t>
      </w:r>
      <w:r>
        <w:rPr>
          <w:rFonts w:ascii="Cambria Math" w:eastAsia="Cambria Math"/>
          <w:w w:val="100"/>
          <w:sz w:val="17"/>
        </w:rPr>
        <w:t>)</w:t>
      </w:r>
    </w:p>
    <w:p>
      <w:pPr>
        <w:pStyle w:val="BodyText"/>
        <w:tabs>
          <w:tab w:pos="3305" w:val="left" w:leader="none"/>
        </w:tabs>
        <w:spacing w:before="208"/>
        <w:ind w:left="707"/>
        <w:rPr>
          <w:rFonts w:ascii="Cambria Math" w:eastAsia="Cambria Math"/>
        </w:rPr>
      </w:pPr>
      <w:r>
        <w:rPr/>
        <w:br w:type="column"/>
      </w:r>
      <w:r>
        <w:rPr>
          <w:rFonts w:ascii="Cambria Math" w:eastAsia="Cambria Math"/>
          <w:w w:val="95"/>
        </w:rPr>
        <w:t>𝑬</w:t>
      </w:r>
      <w:r>
        <w:rPr>
          <w:rFonts w:ascii="Cambria Math" w:eastAsia="Cambria Math"/>
          <w:w w:val="95"/>
          <w:position w:val="9"/>
          <w:sz w:val="17"/>
        </w:rPr>
        <w:t>𝒐</w:t>
      </w:r>
      <w:r>
        <w:rPr>
          <w:rFonts w:ascii="Cambria Math" w:eastAsia="Cambria Math"/>
          <w:spacing w:val="6"/>
          <w:w w:val="95"/>
          <w:position w:val="9"/>
          <w:sz w:val="17"/>
        </w:rPr>
        <w:t> </w:t>
      </w:r>
      <w:r>
        <w:rPr>
          <w:rFonts w:ascii="Cambria Math" w:eastAsia="Cambria Math"/>
          <w:w w:val="95"/>
        </w:rPr>
        <w:t>=</w:t>
      </w:r>
      <w:r>
        <w:rPr>
          <w:rFonts w:ascii="Cambria Math" w:eastAsia="Cambria Math"/>
          <w:spacing w:val="-15"/>
          <w:w w:val="95"/>
        </w:rPr>
        <w:t> </w:t>
      </w:r>
      <w:r>
        <w:rPr>
          <w:rFonts w:ascii="Cambria Math" w:eastAsia="Cambria Math"/>
          <w:w w:val="95"/>
        </w:rPr>
        <w:t>+</w:t>
      </w:r>
      <w:r>
        <w:rPr>
          <w:rFonts w:ascii="Cambria Math" w:eastAsia="Cambria Math"/>
          <w:spacing w:val="-22"/>
          <w:w w:val="95"/>
        </w:rPr>
        <w:t> </w:t>
      </w:r>
      <w:r>
        <w:rPr>
          <w:rFonts w:ascii="Cambria Math" w:eastAsia="Cambria Math"/>
          <w:w w:val="95"/>
        </w:rPr>
        <w:t>�.</w:t>
      </w:r>
      <w:r>
        <w:rPr>
          <w:rFonts w:ascii="Cambria Math" w:eastAsia="Cambria Math"/>
          <w:spacing w:val="-30"/>
          <w:w w:val="95"/>
        </w:rPr>
        <w:t> </w:t>
      </w:r>
      <w:r>
        <w:rPr>
          <w:rFonts w:ascii="Cambria Math" w:eastAsia="Cambria Math"/>
          <w:w w:val="95"/>
        </w:rPr>
        <w:t>��</w:t>
      </w:r>
      <w:r>
        <w:rPr>
          <w:rFonts w:ascii="Cambria Math" w:eastAsia="Cambria Math"/>
          <w:spacing w:val="-22"/>
          <w:w w:val="95"/>
        </w:rPr>
        <w:t> </w:t>
      </w:r>
      <w:r>
        <w:rPr>
          <w:rFonts w:ascii="Cambria Math" w:eastAsia="Cambria Math"/>
          <w:w w:val="95"/>
        </w:rPr>
        <w:t>𝑽</w:t>
        <w:tab/>
      </w:r>
      <w:r>
        <w:rPr>
          <w:rFonts w:ascii="Cambria Math" w:eastAsia="Cambria Math"/>
          <w:spacing w:val="-77"/>
          <w:w w:val="95"/>
        </w:rPr>
        <w:t>𝑬𝒄.</w:t>
      </w:r>
      <w:r>
        <w:rPr>
          <w:rFonts w:ascii="Cambria Math" w:eastAsia="Cambria Math"/>
          <w:spacing w:val="8"/>
          <w:w w:val="95"/>
        </w:rPr>
        <w:t> </w:t>
      </w:r>
      <w:r>
        <w:rPr>
          <w:rFonts w:ascii="Cambria Math" w:eastAsia="Cambria Math"/>
          <w:spacing w:val="-76"/>
          <w:w w:val="95"/>
        </w:rPr>
        <w:t>�</w:t>
      </w:r>
    </w:p>
    <w:p>
      <w:pPr>
        <w:spacing w:after="0"/>
        <w:rPr>
          <w:rFonts w:ascii="Cambria Math" w:eastAsia="Cambria Math"/>
        </w:rPr>
        <w:sectPr>
          <w:type w:val="continuous"/>
          <w:pgSz w:w="12240" w:h="15840"/>
          <w:pgMar w:top="1500" w:bottom="840" w:left="760" w:right="840"/>
          <w:cols w:num="7" w:equalWidth="0">
            <w:col w:w="2127" w:space="40"/>
            <w:col w:w="597" w:space="40"/>
            <w:col w:w="1817" w:space="40"/>
            <w:col w:w="310" w:space="40"/>
            <w:col w:w="654" w:space="40"/>
            <w:col w:w="496" w:space="40"/>
            <w:col w:w="4399"/>
          </w:cols>
        </w:sectPr>
      </w:pPr>
    </w:p>
    <w:p>
      <w:pPr>
        <w:pStyle w:val="BodyText"/>
        <w:spacing w:before="6"/>
        <w:rPr>
          <w:rFonts w:ascii="Cambria Math"/>
          <w:sz w:val="13"/>
        </w:rPr>
      </w:pPr>
    </w:p>
    <w:p>
      <w:pPr>
        <w:spacing w:after="0"/>
        <w:rPr>
          <w:rFonts w:ascii="Cambria Math"/>
          <w:sz w:val="13"/>
        </w:rPr>
        <w:sectPr>
          <w:type w:val="continuous"/>
          <w:pgSz w:w="12240" w:h="15840"/>
          <w:pgMar w:top="1500" w:bottom="840" w:left="760" w:right="840"/>
        </w:sectPr>
      </w:pPr>
    </w:p>
    <w:p>
      <w:pPr>
        <w:tabs>
          <w:tab w:pos="2701" w:val="left" w:leader="none"/>
        </w:tabs>
        <w:spacing w:before="75"/>
        <w:ind w:left="913" w:right="0" w:firstLine="0"/>
        <w:jc w:val="left"/>
        <w:rPr>
          <w:rFonts w:ascii="Cambria Math" w:hAnsi="Cambria Math" w:eastAsia="Cambria Math"/>
          <w:sz w:val="17"/>
        </w:rPr>
      </w:pPr>
      <w:r>
        <w:rPr/>
        <w:pict>
          <v:shape style="position:absolute;margin-left:149.779999pt;margin-top:12.837689pt;width:17.5pt;height:9pt;mso-position-horizontal-relative:page;mso-position-vertical-relative:paragraph;z-index:-130720" type="#_x0000_t202" filled="false" stroked="false">
            <v:textbox inset="0,0,0,0">
              <w:txbxContent>
                <w:p>
                  <w:pPr>
                    <w:spacing w:line="180" w:lineRule="exact" w:before="0"/>
                    <w:ind w:left="0" w:right="-136" w:firstLine="0"/>
                    <w:jc w:val="left"/>
                    <w:rPr>
                      <w:rFonts w:ascii="Cambria Math" w:eastAsia="Cambria Math"/>
                      <w:sz w:val="17"/>
                    </w:rPr>
                  </w:pPr>
                  <w:r>
                    <w:rPr>
                      <w:rFonts w:ascii="Cambria Math" w:eastAsia="Cambria Math"/>
                      <w:spacing w:val="-2"/>
                      <w:w w:val="100"/>
                      <w:position w:val="1"/>
                      <w:sz w:val="17"/>
                    </w:rPr>
                    <w:t>(</w:t>
                  </w:r>
                  <w:r>
                    <w:rPr>
                      <w:rFonts w:ascii="Cambria Math" w:eastAsia="Cambria Math"/>
                      <w:spacing w:val="-1"/>
                      <w:w w:val="100"/>
                      <w:sz w:val="17"/>
                    </w:rPr>
                    <w:t>𝒂</w:t>
                  </w:r>
                  <w:r>
                    <w:rPr>
                      <w:rFonts w:ascii="Cambria Math" w:eastAsia="Cambria Math"/>
                      <w:w w:val="92"/>
                      <w:sz w:val="17"/>
                    </w:rPr>
                    <w:t>�</w:t>
                  </w:r>
                  <w:r>
                    <w:rPr>
                      <w:rFonts w:ascii="Cambria Math" w:eastAsia="Cambria Math"/>
                      <w:w w:val="100"/>
                      <w:position w:val="1"/>
                      <w:sz w:val="17"/>
                    </w:rPr>
                    <w:t>)</w:t>
                  </w:r>
                </w:p>
              </w:txbxContent>
            </v:textbox>
            <w10:wrap type="none"/>
          </v:shape>
        </w:pict>
      </w:r>
      <w:r>
        <w:rPr>
          <w:rFonts w:ascii="Cambria Math" w:hAnsi="Cambria Math" w:eastAsia="Cambria Math"/>
          <w:spacing w:val="-37"/>
          <w:w w:val="95"/>
          <w:sz w:val="24"/>
        </w:rPr>
        <w:t>𝑶</w:t>
      </w:r>
      <w:r>
        <w:rPr>
          <w:rFonts w:ascii="Cambria Math" w:hAnsi="Cambria Math" w:eastAsia="Cambria Math"/>
          <w:spacing w:val="-37"/>
          <w:w w:val="95"/>
          <w:position w:val="-4"/>
          <w:sz w:val="17"/>
        </w:rPr>
        <w:t>�</w:t>
      </w:r>
      <w:r>
        <w:rPr>
          <w:rFonts w:ascii="Cambria Math" w:hAnsi="Cambria Math" w:eastAsia="Cambria Math"/>
          <w:spacing w:val="-37"/>
          <w:w w:val="95"/>
          <w:position w:val="-3"/>
          <w:sz w:val="17"/>
        </w:rPr>
        <w:t>(</w:t>
      </w:r>
      <w:r>
        <w:rPr>
          <w:rFonts w:ascii="Cambria Math" w:hAnsi="Cambria Math" w:eastAsia="Cambria Math"/>
          <w:spacing w:val="-37"/>
          <w:w w:val="95"/>
          <w:position w:val="-4"/>
          <w:sz w:val="17"/>
        </w:rPr>
        <w:t>𝒈</w:t>
      </w:r>
      <w:r>
        <w:rPr>
          <w:rFonts w:ascii="Cambria Math" w:hAnsi="Cambria Math" w:eastAsia="Cambria Math"/>
          <w:spacing w:val="-37"/>
          <w:w w:val="95"/>
          <w:position w:val="-3"/>
          <w:sz w:val="17"/>
        </w:rPr>
        <w:t>)</w:t>
      </w:r>
      <w:r>
        <w:rPr>
          <w:rFonts w:ascii="Cambria Math" w:hAnsi="Cambria Math" w:eastAsia="Cambria Math"/>
          <w:spacing w:val="29"/>
          <w:w w:val="95"/>
          <w:position w:val="-3"/>
          <w:sz w:val="17"/>
        </w:rPr>
        <w:t> </w:t>
      </w:r>
      <w:r>
        <w:rPr>
          <w:rFonts w:ascii="Cambria Math" w:hAnsi="Cambria Math" w:eastAsia="Cambria Math"/>
          <w:spacing w:val="-37"/>
          <w:w w:val="95"/>
          <w:sz w:val="24"/>
        </w:rPr>
        <w:t>+     </w:t>
      </w:r>
      <w:r>
        <w:rPr>
          <w:rFonts w:ascii="Cambria Math" w:hAnsi="Cambria Math" w:eastAsia="Cambria Math"/>
          <w:spacing w:val="-28"/>
          <w:w w:val="95"/>
          <w:sz w:val="24"/>
        </w:rPr>
        <w:t> </w:t>
      </w:r>
      <w:r>
        <w:rPr>
          <w:rFonts w:ascii="Cambria Math" w:hAnsi="Cambria Math" w:eastAsia="Cambria Math"/>
          <w:spacing w:val="-37"/>
          <w:w w:val="95"/>
          <w:sz w:val="24"/>
        </w:rPr>
        <w:t>�𝑯</w:t>
      </w:r>
      <w:r>
        <w:rPr>
          <w:rFonts w:ascii="Cambria Math" w:hAnsi="Cambria Math" w:eastAsia="Cambria Math"/>
          <w:spacing w:val="-37"/>
          <w:w w:val="95"/>
          <w:position w:val="10"/>
          <w:sz w:val="17"/>
        </w:rPr>
        <w:t>+</w:t>
        <w:tab/>
      </w:r>
      <w:r>
        <w:rPr>
          <w:rFonts w:ascii="Cambria Math" w:hAnsi="Cambria Math" w:eastAsia="Cambria Math"/>
          <w:spacing w:val="-3"/>
          <w:w w:val="95"/>
          <w:sz w:val="24"/>
        </w:rPr>
        <w:t>+</w:t>
      </w:r>
      <w:r>
        <w:rPr>
          <w:rFonts w:ascii="Cambria Math" w:hAnsi="Cambria Math" w:eastAsia="Cambria Math"/>
          <w:spacing w:val="21"/>
          <w:w w:val="95"/>
          <w:sz w:val="24"/>
        </w:rPr>
        <w:t> </w:t>
      </w:r>
      <w:r>
        <w:rPr>
          <w:rFonts w:ascii="Cambria Math" w:hAnsi="Cambria Math" w:eastAsia="Cambria Math"/>
          <w:spacing w:val="-3"/>
          <w:w w:val="95"/>
          <w:sz w:val="24"/>
        </w:rPr>
        <w:t>�𝒆</w:t>
      </w:r>
      <w:r>
        <w:rPr>
          <w:rFonts w:ascii="Cambria Math" w:hAnsi="Cambria Math" w:eastAsia="Cambria Math"/>
          <w:spacing w:val="-3"/>
          <w:w w:val="95"/>
          <w:position w:val="9"/>
          <w:sz w:val="17"/>
        </w:rPr>
        <w:t>− </w:t>
      </w:r>
      <w:r>
        <w:rPr>
          <w:rFonts w:ascii="Cambria Math" w:hAnsi="Cambria Math" w:eastAsia="Cambria Math"/>
          <w:spacing w:val="12"/>
          <w:w w:val="95"/>
          <w:position w:val="9"/>
          <w:sz w:val="17"/>
        </w:rPr>
        <w:t> </w:t>
      </w:r>
      <w:r>
        <w:rPr>
          <w:rFonts w:ascii="Cambria Math" w:hAnsi="Cambria Math" w:eastAsia="Cambria Math"/>
          <w:spacing w:val="-2"/>
          <w:w w:val="95"/>
          <w:sz w:val="24"/>
        </w:rPr>
        <w:t>→</w:t>
      </w:r>
      <w:r>
        <w:rPr>
          <w:rFonts w:ascii="Cambria Math" w:hAnsi="Cambria Math" w:eastAsia="Cambria Math"/>
          <w:sz w:val="24"/>
        </w:rPr>
        <w:t> </w:t>
      </w:r>
      <w:r>
        <w:rPr>
          <w:rFonts w:ascii="Cambria Math" w:hAnsi="Cambria Math" w:eastAsia="Cambria Math"/>
          <w:spacing w:val="12"/>
          <w:sz w:val="24"/>
        </w:rPr>
        <w:t> </w:t>
      </w:r>
      <w:r>
        <w:rPr>
          <w:rFonts w:ascii="Cambria Math" w:hAnsi="Cambria Math" w:eastAsia="Cambria Math"/>
          <w:sz w:val="24"/>
        </w:rPr>
        <w:t>𝑯</w:t>
      </w:r>
      <w:r>
        <w:rPr>
          <w:rFonts w:ascii="Cambria Math" w:hAnsi="Cambria Math" w:eastAsia="Cambria Math"/>
          <w:position w:val="-4"/>
          <w:sz w:val="17"/>
        </w:rPr>
        <w:t>�</w:t>
      </w:r>
    </w:p>
    <w:p>
      <w:pPr>
        <w:spacing w:before="106"/>
        <w:ind w:left="-30" w:right="-251" w:firstLine="0"/>
        <w:jc w:val="left"/>
        <w:rPr>
          <w:rFonts w:ascii="Cambria Math" w:eastAsia="Cambria Math"/>
          <w:sz w:val="17"/>
        </w:rPr>
      </w:pPr>
      <w:r>
        <w:rPr/>
        <w:br w:type="column"/>
      </w:r>
      <w:r>
        <w:rPr>
          <w:rFonts w:ascii="Cambria Math" w:eastAsia="Cambria Math"/>
          <w:spacing w:val="-1"/>
          <w:w w:val="99"/>
          <w:position w:val="5"/>
          <w:sz w:val="24"/>
        </w:rPr>
        <w:t>𝑶</w:t>
      </w:r>
      <w:r>
        <w:rPr>
          <w:rFonts w:ascii="Cambria Math" w:eastAsia="Cambria Math"/>
          <w:spacing w:val="-2"/>
          <w:w w:val="91"/>
          <w:sz w:val="17"/>
        </w:rPr>
        <w:t>�</w:t>
      </w:r>
      <w:r>
        <w:rPr>
          <w:rFonts w:ascii="Cambria Math" w:eastAsia="Cambria Math"/>
          <w:spacing w:val="-2"/>
          <w:w w:val="100"/>
          <w:position w:val="1"/>
          <w:sz w:val="17"/>
        </w:rPr>
        <w:t>(</w:t>
      </w:r>
      <w:r>
        <w:rPr>
          <w:rFonts w:ascii="Cambria Math" w:eastAsia="Cambria Math"/>
          <w:spacing w:val="-1"/>
          <w:w w:val="100"/>
          <w:sz w:val="17"/>
        </w:rPr>
        <w:t>𝒂</w:t>
      </w:r>
      <w:r>
        <w:rPr>
          <w:rFonts w:ascii="Cambria Math" w:eastAsia="Cambria Math"/>
          <w:w w:val="92"/>
          <w:sz w:val="17"/>
        </w:rPr>
        <w:t>�</w:t>
      </w:r>
      <w:r>
        <w:rPr>
          <w:rFonts w:ascii="Cambria Math" w:eastAsia="Cambria Math"/>
          <w:w w:val="100"/>
          <w:position w:val="1"/>
          <w:sz w:val="17"/>
        </w:rPr>
        <w:t>)</w:t>
      </w:r>
    </w:p>
    <w:p>
      <w:pPr>
        <w:pStyle w:val="BodyText"/>
        <w:tabs>
          <w:tab w:pos="3599" w:val="left" w:leader="none"/>
        </w:tabs>
        <w:spacing w:before="85"/>
        <w:ind w:left="913"/>
        <w:rPr>
          <w:rFonts w:ascii="Cambria Math" w:eastAsia="Cambria Math"/>
        </w:rPr>
      </w:pPr>
      <w:r>
        <w:rPr/>
        <w:br w:type="column"/>
      </w:r>
      <w:r>
        <w:rPr>
          <w:rFonts w:ascii="Cambria Math" w:eastAsia="Cambria Math"/>
        </w:rPr>
        <w:t>𝑬</w:t>
      </w:r>
      <w:r>
        <w:rPr>
          <w:rFonts w:ascii="Cambria Math" w:eastAsia="Cambria Math"/>
          <w:position w:val="9"/>
          <w:sz w:val="17"/>
        </w:rPr>
        <w:t>𝒐</w:t>
      </w:r>
      <w:r>
        <w:rPr>
          <w:rFonts w:ascii="Cambria Math" w:eastAsia="Cambria Math"/>
          <w:spacing w:val="-12"/>
          <w:position w:val="9"/>
          <w:sz w:val="17"/>
        </w:rPr>
        <w:t> </w:t>
      </w:r>
      <w:r>
        <w:rPr>
          <w:rFonts w:ascii="Cambria Math" w:eastAsia="Cambria Math"/>
        </w:rPr>
        <w:t>=</w:t>
      </w:r>
      <w:r>
        <w:rPr>
          <w:rFonts w:ascii="Cambria Math" w:eastAsia="Cambria Math"/>
          <w:spacing w:val="-30"/>
        </w:rPr>
        <w:t> </w:t>
      </w:r>
      <w:r>
        <w:rPr>
          <w:rFonts w:ascii="Cambria Math" w:eastAsia="Cambria Math"/>
        </w:rPr>
        <w:t>+</w:t>
      </w:r>
      <w:r>
        <w:rPr>
          <w:rFonts w:ascii="Cambria Math" w:eastAsia="Cambria Math"/>
          <w:spacing w:val="-35"/>
        </w:rPr>
        <w:t> </w:t>
      </w:r>
      <w:r>
        <w:rPr>
          <w:rFonts w:ascii="Cambria Math" w:eastAsia="Cambria Math"/>
        </w:rPr>
        <w:t>�.</w:t>
      </w:r>
      <w:r>
        <w:rPr>
          <w:rFonts w:ascii="Cambria Math" w:eastAsia="Cambria Math"/>
          <w:spacing w:val="-41"/>
        </w:rPr>
        <w:t> </w:t>
      </w:r>
      <w:r>
        <w:rPr>
          <w:rFonts w:ascii="Cambria Math" w:eastAsia="Cambria Math"/>
        </w:rPr>
        <w:t>���</w:t>
      </w:r>
      <w:r>
        <w:rPr>
          <w:rFonts w:ascii="Cambria Math" w:eastAsia="Cambria Math"/>
          <w:spacing w:val="-17"/>
        </w:rPr>
        <w:t> </w:t>
      </w:r>
      <w:r>
        <w:rPr>
          <w:rFonts w:ascii="Cambria Math" w:eastAsia="Cambria Math"/>
        </w:rPr>
        <w:t>𝑽</w:t>
        <w:tab/>
      </w:r>
      <w:r>
        <w:rPr>
          <w:rFonts w:ascii="Cambria Math" w:eastAsia="Cambria Math"/>
          <w:spacing w:val="-77"/>
          <w:w w:val="95"/>
        </w:rPr>
        <w:t>𝑬𝒄.</w:t>
      </w:r>
      <w:r>
        <w:rPr>
          <w:rFonts w:ascii="Cambria Math" w:eastAsia="Cambria Math"/>
          <w:spacing w:val="8"/>
          <w:w w:val="95"/>
        </w:rPr>
        <w:t> </w:t>
      </w:r>
      <w:r>
        <w:rPr>
          <w:rFonts w:ascii="Cambria Math" w:eastAsia="Cambria Math"/>
          <w:spacing w:val="-76"/>
          <w:w w:val="95"/>
        </w:rPr>
        <w:t>�</w:t>
      </w:r>
    </w:p>
    <w:p>
      <w:pPr>
        <w:spacing w:after="0"/>
        <w:rPr>
          <w:rFonts w:ascii="Cambria Math" w:eastAsia="Cambria Math"/>
        </w:rPr>
        <w:sectPr>
          <w:type w:val="continuous"/>
          <w:pgSz w:w="12240" w:h="15840"/>
          <w:pgMar w:top="1500" w:bottom="840" w:left="760" w:right="840"/>
          <w:cols w:num="3" w:equalWidth="0">
            <w:col w:w="4232" w:space="40"/>
            <w:col w:w="597" w:space="1001"/>
            <w:col w:w="4770"/>
          </w:cols>
        </w:sectPr>
      </w:pPr>
    </w:p>
    <w:p>
      <w:pPr>
        <w:pStyle w:val="BodyText"/>
        <w:rPr>
          <w:rFonts w:ascii="Cambria Math"/>
          <w:sz w:val="20"/>
        </w:rPr>
      </w:pPr>
    </w:p>
    <w:p>
      <w:pPr>
        <w:pStyle w:val="BodyText"/>
        <w:rPr>
          <w:rFonts w:ascii="Cambria Math"/>
          <w:sz w:val="20"/>
        </w:rPr>
      </w:pPr>
    </w:p>
    <w:p>
      <w:pPr>
        <w:pStyle w:val="BodyText"/>
        <w:spacing w:before="9"/>
        <w:rPr>
          <w:rFonts w:ascii="Cambria Math"/>
          <w:sz w:val="22"/>
        </w:rPr>
      </w:pPr>
    </w:p>
    <w:p>
      <w:pPr>
        <w:pStyle w:val="BodyText"/>
        <w:spacing w:line="360" w:lineRule="auto" w:before="69"/>
        <w:ind w:left="658" w:right="408"/>
        <w:jc w:val="both"/>
      </w:pPr>
      <w:r>
        <w:rPr/>
        <w:t>Dentro de sus propiedades físicas y químicas están: punto de ebullición 106 ºC, punto de fusión -26 ºC, densidad 1.1 g/mL, punto de descomposición 120 ºC, soluble en agua y alcohol.</w:t>
      </w:r>
    </w:p>
    <w:p>
      <w:pPr>
        <w:pStyle w:val="BodyText"/>
        <w:spacing w:line="360" w:lineRule="auto" w:before="125"/>
        <w:ind w:left="658" w:right="403"/>
        <w:jc w:val="both"/>
      </w:pPr>
      <w:r>
        <w:rPr/>
        <w:t>Cuando</w:t>
      </w:r>
      <w:r>
        <w:rPr>
          <w:spacing w:val="-17"/>
        </w:rPr>
        <w:t> </w:t>
      </w:r>
      <w:r>
        <w:rPr/>
        <w:t>el</w:t>
      </w:r>
      <w:r>
        <w:rPr>
          <w:spacing w:val="-17"/>
        </w:rPr>
        <w:t> </w:t>
      </w:r>
      <w:r>
        <w:rPr/>
        <w:t>peróxido</w:t>
      </w:r>
      <w:r>
        <w:rPr>
          <w:spacing w:val="-16"/>
        </w:rPr>
        <w:t> </w:t>
      </w:r>
      <w:r>
        <w:rPr/>
        <w:t>de</w:t>
      </w:r>
      <w:r>
        <w:rPr>
          <w:spacing w:val="-19"/>
        </w:rPr>
        <w:t> </w:t>
      </w:r>
      <w:r>
        <w:rPr/>
        <w:t>hidrógeno</w:t>
      </w:r>
      <w:r>
        <w:rPr>
          <w:spacing w:val="-17"/>
        </w:rPr>
        <w:t> </w:t>
      </w:r>
      <w:r>
        <w:rPr/>
        <w:t>entra</w:t>
      </w:r>
      <w:r>
        <w:rPr>
          <w:spacing w:val="-17"/>
        </w:rPr>
        <w:t> </w:t>
      </w:r>
      <w:r>
        <w:rPr/>
        <w:t>en</w:t>
      </w:r>
      <w:r>
        <w:rPr>
          <w:spacing w:val="-17"/>
        </w:rPr>
        <w:t> </w:t>
      </w:r>
      <w:r>
        <w:rPr/>
        <w:t>contacto</w:t>
      </w:r>
      <w:r>
        <w:rPr>
          <w:spacing w:val="-16"/>
        </w:rPr>
        <w:t> </w:t>
      </w:r>
      <w:r>
        <w:rPr/>
        <w:t>con</w:t>
      </w:r>
      <w:r>
        <w:rPr>
          <w:spacing w:val="-17"/>
        </w:rPr>
        <w:t> </w:t>
      </w:r>
      <w:r>
        <w:rPr/>
        <w:t>el</w:t>
      </w:r>
      <w:r>
        <w:rPr>
          <w:spacing w:val="-18"/>
        </w:rPr>
        <w:t> </w:t>
      </w:r>
      <w:r>
        <w:rPr/>
        <w:t>ambiente</w:t>
      </w:r>
      <w:r>
        <w:rPr>
          <w:spacing w:val="-17"/>
        </w:rPr>
        <w:t> </w:t>
      </w:r>
      <w:r>
        <w:rPr/>
        <w:t>reacciona</w:t>
      </w:r>
      <w:r>
        <w:rPr>
          <w:spacing w:val="-17"/>
        </w:rPr>
        <w:t> </w:t>
      </w:r>
      <w:r>
        <w:rPr/>
        <w:t>rápidamente con otros compuestos que se encuentran en el aire, liberando agua y oxígeno; otra característica</w:t>
      </w:r>
      <w:r>
        <w:rPr>
          <w:spacing w:val="-7"/>
        </w:rPr>
        <w:t> </w:t>
      </w:r>
      <w:r>
        <w:rPr/>
        <w:t>del</w:t>
      </w:r>
      <w:r>
        <w:rPr>
          <w:spacing w:val="-8"/>
        </w:rPr>
        <w:t> </w:t>
      </w:r>
      <w:r>
        <w:rPr/>
        <w:t>peróxido</w:t>
      </w:r>
      <w:r>
        <w:rPr>
          <w:spacing w:val="-7"/>
        </w:rPr>
        <w:t> </w:t>
      </w:r>
      <w:r>
        <w:rPr/>
        <w:t>de</w:t>
      </w:r>
      <w:r>
        <w:rPr>
          <w:spacing w:val="-9"/>
        </w:rPr>
        <w:t> </w:t>
      </w:r>
      <w:r>
        <w:rPr/>
        <w:t>hidrógeno</w:t>
      </w:r>
      <w:r>
        <w:rPr>
          <w:spacing w:val="-9"/>
        </w:rPr>
        <w:t> </w:t>
      </w:r>
      <w:r>
        <w:rPr/>
        <w:t>es</w:t>
      </w:r>
      <w:r>
        <w:rPr>
          <w:spacing w:val="-8"/>
        </w:rPr>
        <w:t> </w:t>
      </w:r>
      <w:r>
        <w:rPr/>
        <w:t>que</w:t>
      </w:r>
      <w:r>
        <w:rPr>
          <w:spacing w:val="-7"/>
        </w:rPr>
        <w:t> </w:t>
      </w:r>
      <w:r>
        <w:rPr/>
        <w:t>se</w:t>
      </w:r>
      <w:r>
        <w:rPr>
          <w:spacing w:val="-9"/>
        </w:rPr>
        <w:t> </w:t>
      </w:r>
      <w:r>
        <w:rPr/>
        <w:t>degrada</w:t>
      </w:r>
      <w:r>
        <w:rPr>
          <w:spacing w:val="-9"/>
        </w:rPr>
        <w:t> </w:t>
      </w:r>
      <w:r>
        <w:rPr/>
        <w:t>rápidamente</w:t>
      </w:r>
      <w:r>
        <w:rPr>
          <w:spacing w:val="-9"/>
        </w:rPr>
        <w:t> </w:t>
      </w:r>
      <w:r>
        <w:rPr/>
        <w:t>en</w:t>
      </w:r>
      <w:r>
        <w:rPr>
          <w:spacing w:val="-9"/>
        </w:rPr>
        <w:t> </w:t>
      </w:r>
      <w:r>
        <w:rPr/>
        <w:t>el</w:t>
      </w:r>
      <w:r>
        <w:rPr>
          <w:spacing w:val="-8"/>
        </w:rPr>
        <w:t> </w:t>
      </w:r>
      <w:r>
        <w:rPr/>
        <w:t>agua</w:t>
      </w:r>
      <w:r>
        <w:rPr>
          <w:spacing w:val="-9"/>
        </w:rPr>
        <w:t> </w:t>
      </w:r>
      <w:r>
        <w:rPr/>
        <w:t>y</w:t>
      </w:r>
      <w:r>
        <w:rPr>
          <w:spacing w:val="-10"/>
        </w:rPr>
        <w:t> </w:t>
      </w:r>
      <w:r>
        <w:rPr/>
        <w:t>si</w:t>
      </w:r>
      <w:r>
        <w:rPr>
          <w:spacing w:val="-8"/>
        </w:rPr>
        <w:t> </w:t>
      </w:r>
      <w:r>
        <w:rPr/>
        <w:t>es liberado al suelo, el peróxido de hidrógeno se degradará al reaccionar con otros compuestos aunque cabe mencionar que no se acumula en la cadena alimentaria [Mesquita, et al.,</w:t>
      </w:r>
      <w:r>
        <w:rPr>
          <w:spacing w:val="-10"/>
        </w:rPr>
        <w:t> </w:t>
      </w:r>
      <w:r>
        <w:rPr/>
        <w:t>2010].</w:t>
      </w:r>
    </w:p>
    <w:p>
      <w:pPr>
        <w:spacing w:after="0" w:line="360" w:lineRule="auto"/>
        <w:jc w:val="both"/>
        <w:sectPr>
          <w:type w:val="continuous"/>
          <w:pgSz w:w="12240" w:h="15840"/>
          <w:pgMar w:top="1500" w:bottom="840" w:left="760" w:right="840"/>
        </w:sectPr>
      </w:pPr>
    </w:p>
    <w:p>
      <w:pPr>
        <w:pStyle w:val="BodyText"/>
        <w:spacing w:line="360" w:lineRule="auto" w:before="51"/>
        <w:ind w:left="658" w:right="400"/>
        <w:jc w:val="both"/>
      </w:pPr>
      <w:r>
        <w:rPr/>
        <w:t>El peróxido de hidrógeno puede ser tóxico si se ingiere, si se inhala, o por contacto con la piel o los ojos. Inhalar vapores de las soluciones concentradas (más del 10%) puede producir grave irritación pulmonar. No se sabe si la exposición al peróxido de hidrógeno puede afectar la reproducción en seres humanos. La </w:t>
      </w:r>
      <w:hyperlink r:id="rId17">
        <w:r>
          <w:rPr/>
          <w:t>Agencia Internacional</w:t>
        </w:r>
      </w:hyperlink>
      <w:r>
        <w:rPr/>
        <w:t> para la Investigación del Cáncer (</w:t>
      </w:r>
      <w:r>
        <w:rPr>
          <w:i/>
        </w:rPr>
        <w:t>IARC</w:t>
      </w:r>
      <w:r>
        <w:rPr/>
        <w:t>, por sus siglas en inglés) ha determinado que el peróxido de</w:t>
      </w:r>
      <w:r>
        <w:rPr>
          <w:spacing w:val="-18"/>
        </w:rPr>
        <w:t> </w:t>
      </w:r>
      <w:r>
        <w:rPr/>
        <w:t>hidrógeno</w:t>
      </w:r>
      <w:r>
        <w:rPr>
          <w:spacing w:val="-18"/>
        </w:rPr>
        <w:t> </w:t>
      </w:r>
      <w:r>
        <w:rPr/>
        <w:t>no</w:t>
      </w:r>
      <w:r>
        <w:rPr>
          <w:spacing w:val="-18"/>
        </w:rPr>
        <w:t> </w:t>
      </w:r>
      <w:r>
        <w:rPr/>
        <w:t>es</w:t>
      </w:r>
      <w:r>
        <w:rPr>
          <w:spacing w:val="-19"/>
        </w:rPr>
        <w:t> </w:t>
      </w:r>
      <w:r>
        <w:rPr/>
        <w:t>clasificable</w:t>
      </w:r>
      <w:r>
        <w:rPr>
          <w:spacing w:val="-18"/>
        </w:rPr>
        <w:t> </w:t>
      </w:r>
      <w:r>
        <w:rPr/>
        <w:t>en</w:t>
      </w:r>
      <w:r>
        <w:rPr>
          <w:spacing w:val="-18"/>
        </w:rPr>
        <w:t> </w:t>
      </w:r>
      <w:r>
        <w:rPr/>
        <w:t>cuanto</w:t>
      </w:r>
      <w:r>
        <w:rPr>
          <w:spacing w:val="-18"/>
        </w:rPr>
        <w:t> </w:t>
      </w:r>
      <w:r>
        <w:rPr/>
        <w:t>a</w:t>
      </w:r>
      <w:r>
        <w:rPr>
          <w:spacing w:val="-18"/>
        </w:rPr>
        <w:t> </w:t>
      </w:r>
      <w:r>
        <w:rPr/>
        <w:t>su</w:t>
      </w:r>
      <w:r>
        <w:rPr>
          <w:spacing w:val="-20"/>
        </w:rPr>
        <w:t> </w:t>
      </w:r>
      <w:r>
        <w:rPr/>
        <w:t>carcinogenicidad</w:t>
      </w:r>
      <w:r>
        <w:rPr>
          <w:spacing w:val="-18"/>
        </w:rPr>
        <w:t> </w:t>
      </w:r>
      <w:r>
        <w:rPr/>
        <w:t>en</w:t>
      </w:r>
      <w:r>
        <w:rPr>
          <w:spacing w:val="-18"/>
        </w:rPr>
        <w:t> </w:t>
      </w:r>
      <w:r>
        <w:rPr/>
        <w:t>seres</w:t>
      </w:r>
      <w:r>
        <w:rPr>
          <w:spacing w:val="-19"/>
        </w:rPr>
        <w:t> </w:t>
      </w:r>
      <w:r>
        <w:rPr/>
        <w:t>humanos</w:t>
      </w:r>
      <w:r>
        <w:rPr>
          <w:spacing w:val="-19"/>
        </w:rPr>
        <w:t> </w:t>
      </w:r>
      <w:r>
        <w:rPr/>
        <w:t>[Sawyer y Carty</w:t>
      </w:r>
      <w:r>
        <w:rPr>
          <w:spacing w:val="-5"/>
        </w:rPr>
        <w:t> </w:t>
      </w:r>
      <w:r>
        <w:rPr/>
        <w:t>1996].</w:t>
      </w:r>
    </w:p>
    <w:p>
      <w:pPr>
        <w:pStyle w:val="BodyText"/>
      </w:pPr>
    </w:p>
    <w:p>
      <w:pPr>
        <w:pStyle w:val="BodyText"/>
      </w:pPr>
    </w:p>
    <w:p>
      <w:pPr>
        <w:pStyle w:val="BodyText"/>
        <w:spacing w:before="4"/>
      </w:pPr>
    </w:p>
    <w:p>
      <w:pPr>
        <w:pStyle w:val="Heading5"/>
        <w:numPr>
          <w:ilvl w:val="2"/>
          <w:numId w:val="4"/>
        </w:numPr>
        <w:tabs>
          <w:tab w:pos="1504" w:val="left" w:leader="none"/>
          <w:tab w:pos="3869" w:val="left" w:leader="none"/>
          <w:tab w:pos="4713" w:val="left" w:leader="none"/>
          <w:tab w:pos="6489" w:val="left" w:leader="none"/>
          <w:tab w:pos="7177" w:val="left" w:leader="none"/>
          <w:tab w:pos="9205" w:val="left" w:leader="none"/>
          <w:tab w:pos="9894" w:val="left" w:leader="none"/>
        </w:tabs>
        <w:spacing w:line="360" w:lineRule="auto" w:before="0" w:after="0"/>
        <w:ind w:left="1424" w:right="400" w:hanging="406"/>
        <w:jc w:val="left"/>
      </w:pPr>
      <w:r>
        <w:rPr/>
        <w:t>APLICACIONES</w:t>
        <w:tab/>
        <w:t>DEL</w:t>
        <w:tab/>
        <w:t>PERÓXIDO</w:t>
        <w:tab/>
        <w:t>DE</w:t>
        <w:tab/>
        <w:t>HIDRÓGENO</w:t>
        <w:tab/>
        <w:t>EN</w:t>
        <w:tab/>
        <w:t>LA DETERMINACIÓN DE LA DEMANDA QUÍMICA DE</w:t>
      </w:r>
      <w:r>
        <w:rPr>
          <w:spacing w:val="-19"/>
        </w:rPr>
        <w:t> </w:t>
      </w:r>
      <w:r>
        <w:rPr/>
        <w:t>OXÍGENO</w:t>
      </w:r>
    </w:p>
    <w:p>
      <w:pPr>
        <w:pStyle w:val="BodyText"/>
        <w:spacing w:line="360" w:lineRule="auto" w:before="207"/>
        <w:ind w:left="658" w:right="399"/>
        <w:jc w:val="both"/>
      </w:pPr>
      <w:r>
        <w:rPr/>
        <w:t>De</w:t>
      </w:r>
      <w:r>
        <w:rPr>
          <w:spacing w:val="-7"/>
        </w:rPr>
        <w:t> </w:t>
      </w:r>
      <w:r>
        <w:rPr/>
        <w:t>acuerdo</w:t>
      </w:r>
      <w:r>
        <w:rPr>
          <w:spacing w:val="-9"/>
        </w:rPr>
        <w:t> </w:t>
      </w:r>
      <w:r>
        <w:rPr/>
        <w:t>a</w:t>
      </w:r>
      <w:r>
        <w:rPr>
          <w:spacing w:val="-9"/>
        </w:rPr>
        <w:t> </w:t>
      </w:r>
      <w:r>
        <w:rPr/>
        <w:t>la</w:t>
      </w:r>
      <w:r>
        <w:rPr>
          <w:spacing w:val="-7"/>
        </w:rPr>
        <w:t> </w:t>
      </w:r>
      <w:r>
        <w:rPr/>
        <w:t>literatura</w:t>
      </w:r>
      <w:r>
        <w:rPr>
          <w:spacing w:val="-8"/>
        </w:rPr>
        <w:t> </w:t>
      </w:r>
      <w:r>
        <w:rPr/>
        <w:t>consultada</w:t>
      </w:r>
      <w:r>
        <w:rPr>
          <w:spacing w:val="-7"/>
        </w:rPr>
        <w:t> </w:t>
      </w:r>
      <w:r>
        <w:rPr/>
        <w:t>se</w:t>
      </w:r>
      <w:r>
        <w:rPr>
          <w:spacing w:val="-9"/>
        </w:rPr>
        <w:t> </w:t>
      </w:r>
      <w:r>
        <w:rPr/>
        <w:t>han</w:t>
      </w:r>
      <w:r>
        <w:rPr>
          <w:spacing w:val="-9"/>
        </w:rPr>
        <w:t> </w:t>
      </w:r>
      <w:r>
        <w:rPr/>
        <w:t>encontrado</w:t>
      </w:r>
      <w:r>
        <w:rPr>
          <w:spacing w:val="-7"/>
        </w:rPr>
        <w:t> </w:t>
      </w:r>
      <w:r>
        <w:rPr/>
        <w:t>pocos</w:t>
      </w:r>
      <w:r>
        <w:rPr>
          <w:spacing w:val="-10"/>
        </w:rPr>
        <w:t> </w:t>
      </w:r>
      <w:r>
        <w:rPr/>
        <w:t>estudios</w:t>
      </w:r>
      <w:r>
        <w:rPr>
          <w:spacing w:val="-4"/>
        </w:rPr>
        <w:t> </w:t>
      </w:r>
      <w:r>
        <w:rPr/>
        <w:t>donde</w:t>
      </w:r>
      <w:r>
        <w:rPr>
          <w:spacing w:val="-9"/>
        </w:rPr>
        <w:t> </w:t>
      </w:r>
      <w:r>
        <w:rPr/>
        <w:t>es</w:t>
      </w:r>
      <w:r>
        <w:rPr>
          <w:spacing w:val="-10"/>
        </w:rPr>
        <w:t> </w:t>
      </w:r>
      <w:r>
        <w:rPr/>
        <w:t>utilizado el</w:t>
      </w:r>
      <w:r>
        <w:rPr>
          <w:spacing w:val="-6"/>
        </w:rPr>
        <w:t> </w:t>
      </w:r>
      <w:r>
        <w:rPr/>
        <w:t>peróxido</w:t>
      </w:r>
      <w:r>
        <w:rPr>
          <w:spacing w:val="-4"/>
        </w:rPr>
        <w:t> </w:t>
      </w:r>
      <w:r>
        <w:rPr/>
        <w:t>de</w:t>
      </w:r>
      <w:r>
        <w:rPr>
          <w:spacing w:val="-4"/>
        </w:rPr>
        <w:t> </w:t>
      </w:r>
      <w:r>
        <w:rPr/>
        <w:t>hidrógeno</w:t>
      </w:r>
      <w:r>
        <w:rPr>
          <w:spacing w:val="-3"/>
        </w:rPr>
        <w:t> </w:t>
      </w:r>
      <w:r>
        <w:rPr/>
        <w:t>acompañado</w:t>
      </w:r>
      <w:r>
        <w:rPr>
          <w:spacing w:val="-5"/>
        </w:rPr>
        <w:t> </w:t>
      </w:r>
      <w:r>
        <w:rPr/>
        <w:t>de</w:t>
      </w:r>
      <w:r>
        <w:rPr>
          <w:spacing w:val="-5"/>
        </w:rPr>
        <w:t> </w:t>
      </w:r>
      <w:r>
        <w:rPr/>
        <w:t>otras</w:t>
      </w:r>
      <w:r>
        <w:rPr>
          <w:spacing w:val="-3"/>
        </w:rPr>
        <w:t> </w:t>
      </w:r>
      <w:r>
        <w:rPr/>
        <w:t>especies</w:t>
      </w:r>
      <w:r>
        <w:rPr>
          <w:spacing w:val="-5"/>
        </w:rPr>
        <w:t> </w:t>
      </w:r>
      <w:r>
        <w:rPr/>
        <w:t>para</w:t>
      </w:r>
      <w:r>
        <w:rPr>
          <w:spacing w:val="-4"/>
        </w:rPr>
        <w:t> </w:t>
      </w:r>
      <w:r>
        <w:rPr/>
        <w:t>llevar</w:t>
      </w:r>
      <w:r>
        <w:rPr>
          <w:spacing w:val="-6"/>
        </w:rPr>
        <w:t> </w:t>
      </w:r>
      <w:r>
        <w:rPr/>
        <w:t>a</w:t>
      </w:r>
      <w:r>
        <w:rPr>
          <w:spacing w:val="-5"/>
        </w:rPr>
        <w:t> </w:t>
      </w:r>
      <w:r>
        <w:rPr/>
        <w:t>cabo</w:t>
      </w:r>
      <w:r>
        <w:rPr>
          <w:spacing w:val="-3"/>
        </w:rPr>
        <w:t> </w:t>
      </w:r>
      <w:r>
        <w:rPr/>
        <w:t>la</w:t>
      </w:r>
      <w:r>
        <w:rPr>
          <w:spacing w:val="-7"/>
        </w:rPr>
        <w:t> </w:t>
      </w:r>
      <w:r>
        <w:rPr/>
        <w:t>oxidación</w:t>
      </w:r>
      <w:r>
        <w:rPr>
          <w:spacing w:val="-3"/>
        </w:rPr>
        <w:t> </w:t>
      </w:r>
      <w:r>
        <w:rPr/>
        <w:t>la materia orgánica presente y así poder determinar la Demanda Química de Oxígeno [Nimura, et al, 1992; [Hu y Yang, 2004; Su, et al., 2007; Loaiza, 2015]. Destacan en el artículo de Nimura y colaboradores que la técnica que desarrollaron puede ser aplicable a cualquier muestra; sin embargo el tiempo de reacción y detección es muy tardado. En el caso de Hu y Yang, a pesar de ser una técnica que muestra resultados favorables, es un poco</w:t>
      </w:r>
      <w:r>
        <w:rPr>
          <w:spacing w:val="-18"/>
        </w:rPr>
        <w:t> </w:t>
      </w:r>
      <w:r>
        <w:rPr/>
        <w:t>más</w:t>
      </w:r>
      <w:r>
        <w:rPr>
          <w:spacing w:val="-16"/>
        </w:rPr>
        <w:t> </w:t>
      </w:r>
      <w:r>
        <w:rPr/>
        <w:t>costosa</w:t>
      </w:r>
      <w:r>
        <w:rPr>
          <w:spacing w:val="-18"/>
        </w:rPr>
        <w:t> </w:t>
      </w:r>
      <w:r>
        <w:rPr/>
        <w:t>por</w:t>
      </w:r>
      <w:r>
        <w:rPr>
          <w:spacing w:val="-19"/>
        </w:rPr>
        <w:t> </w:t>
      </w:r>
      <w:r>
        <w:rPr/>
        <w:t>el</w:t>
      </w:r>
      <w:r>
        <w:rPr>
          <w:spacing w:val="-17"/>
        </w:rPr>
        <w:t> </w:t>
      </w:r>
      <w:r>
        <w:rPr/>
        <w:t>equipo</w:t>
      </w:r>
      <w:r>
        <w:rPr>
          <w:spacing w:val="-17"/>
        </w:rPr>
        <w:t> </w:t>
      </w:r>
      <w:r>
        <w:rPr/>
        <w:t>que</w:t>
      </w:r>
      <w:r>
        <w:rPr>
          <w:spacing w:val="-18"/>
        </w:rPr>
        <w:t> </w:t>
      </w:r>
      <w:r>
        <w:rPr/>
        <w:t>se</w:t>
      </w:r>
      <w:r>
        <w:rPr>
          <w:spacing w:val="-18"/>
        </w:rPr>
        <w:t> </w:t>
      </w:r>
      <w:r>
        <w:rPr/>
        <w:t>tiene</w:t>
      </w:r>
      <w:r>
        <w:rPr>
          <w:spacing w:val="-20"/>
        </w:rPr>
        <w:t> </w:t>
      </w:r>
      <w:r>
        <w:rPr/>
        <w:t>que</w:t>
      </w:r>
      <w:r>
        <w:rPr>
          <w:spacing w:val="-16"/>
        </w:rPr>
        <w:t> </w:t>
      </w:r>
      <w:r>
        <w:rPr/>
        <w:t>desarrollar</w:t>
      </w:r>
      <w:r>
        <w:rPr>
          <w:spacing w:val="-17"/>
        </w:rPr>
        <w:t> </w:t>
      </w:r>
      <w:r>
        <w:rPr/>
        <w:t>para</w:t>
      </w:r>
      <w:r>
        <w:rPr>
          <w:spacing w:val="-14"/>
        </w:rPr>
        <w:t> </w:t>
      </w:r>
      <w:r>
        <w:rPr/>
        <w:t>poder</w:t>
      </w:r>
      <w:r>
        <w:rPr>
          <w:spacing w:val="-16"/>
        </w:rPr>
        <w:t> </w:t>
      </w:r>
      <w:r>
        <w:rPr/>
        <w:t>determinar</w:t>
      </w:r>
      <w:r>
        <w:rPr>
          <w:spacing w:val="-19"/>
        </w:rPr>
        <w:t> </w:t>
      </w:r>
      <w:r>
        <w:rPr/>
        <w:t>la</w:t>
      </w:r>
      <w:r>
        <w:rPr>
          <w:spacing w:val="-16"/>
        </w:rPr>
        <w:t> </w:t>
      </w:r>
      <w:r>
        <w:rPr/>
        <w:t>DQO, además de que sigue utilizándose la especie de Cr(VI) que es muy tóxica, y finalmente el caso del proyecto desarrollado por Su y colaboradores muestra que es una técnica bastante rápida y aplicable a cualquier muestra, marcando un límite de detección; sin embargo resulta un tanto costosa comparada con la técnica</w:t>
      </w:r>
      <w:r>
        <w:rPr>
          <w:spacing w:val="-29"/>
        </w:rPr>
        <w:t> </w:t>
      </w:r>
      <w:r>
        <w:rPr/>
        <w:t>estandarizada.</w:t>
      </w:r>
    </w:p>
    <w:p>
      <w:pPr>
        <w:pStyle w:val="BodyText"/>
      </w:pPr>
    </w:p>
    <w:p>
      <w:pPr>
        <w:pStyle w:val="BodyText"/>
      </w:pPr>
    </w:p>
    <w:p>
      <w:pPr>
        <w:pStyle w:val="BodyText"/>
        <w:spacing w:before="2"/>
        <w:rPr>
          <w:sz w:val="23"/>
        </w:rPr>
      </w:pPr>
    </w:p>
    <w:p>
      <w:pPr>
        <w:pStyle w:val="BodyText"/>
        <w:spacing w:line="360" w:lineRule="auto" w:before="1"/>
        <w:ind w:left="658" w:right="404"/>
        <w:jc w:val="both"/>
      </w:pPr>
      <w:r>
        <w:rPr/>
        <w:t>En</w:t>
      </w:r>
      <w:r>
        <w:rPr>
          <w:spacing w:val="-9"/>
        </w:rPr>
        <w:t> </w:t>
      </w:r>
      <w:r>
        <w:rPr/>
        <w:t>la</w:t>
      </w:r>
      <w:r>
        <w:rPr>
          <w:spacing w:val="-10"/>
        </w:rPr>
        <w:t> </w:t>
      </w:r>
      <w:r>
        <w:rPr/>
        <w:t>tabla</w:t>
      </w:r>
      <w:r>
        <w:rPr>
          <w:spacing w:val="-10"/>
        </w:rPr>
        <w:t> </w:t>
      </w:r>
      <w:r>
        <w:rPr/>
        <w:t>1</w:t>
      </w:r>
      <w:r>
        <w:rPr>
          <w:spacing w:val="-9"/>
        </w:rPr>
        <w:t> </w:t>
      </w:r>
      <w:r>
        <w:rPr/>
        <w:t>se</w:t>
      </w:r>
      <w:r>
        <w:rPr>
          <w:spacing w:val="-12"/>
        </w:rPr>
        <w:t> </w:t>
      </w:r>
      <w:r>
        <w:rPr/>
        <w:t>encuentran</w:t>
      </w:r>
      <w:r>
        <w:rPr>
          <w:spacing w:val="-7"/>
        </w:rPr>
        <w:t> </w:t>
      </w:r>
      <w:r>
        <w:rPr/>
        <w:t>algunas</w:t>
      </w:r>
      <w:r>
        <w:rPr>
          <w:spacing w:val="-10"/>
        </w:rPr>
        <w:t> </w:t>
      </w:r>
      <w:r>
        <w:rPr/>
        <w:t>de</w:t>
      </w:r>
      <w:r>
        <w:rPr>
          <w:spacing w:val="-9"/>
        </w:rPr>
        <w:t> </w:t>
      </w:r>
      <w:r>
        <w:rPr/>
        <w:t>las</w:t>
      </w:r>
      <w:r>
        <w:rPr>
          <w:spacing w:val="-10"/>
        </w:rPr>
        <w:t> </w:t>
      </w:r>
      <w:r>
        <w:rPr/>
        <w:t>investigaciones</w:t>
      </w:r>
      <w:r>
        <w:rPr>
          <w:spacing w:val="-10"/>
        </w:rPr>
        <w:t> </w:t>
      </w:r>
      <w:r>
        <w:rPr/>
        <w:t>consultadas,</w:t>
      </w:r>
      <w:r>
        <w:rPr>
          <w:spacing w:val="-10"/>
        </w:rPr>
        <w:t> </w:t>
      </w:r>
      <w:r>
        <w:rPr/>
        <w:t>donde</w:t>
      </w:r>
      <w:r>
        <w:rPr>
          <w:spacing w:val="-9"/>
        </w:rPr>
        <w:t> </w:t>
      </w:r>
      <w:r>
        <w:rPr/>
        <w:t>es</w:t>
      </w:r>
      <w:r>
        <w:rPr>
          <w:spacing w:val="-10"/>
        </w:rPr>
        <w:t> </w:t>
      </w:r>
      <w:r>
        <w:rPr/>
        <w:t>utilizado el peróxido de hidrógeno para determinar la</w:t>
      </w:r>
      <w:r>
        <w:rPr>
          <w:spacing w:val="-16"/>
        </w:rPr>
        <w:t> </w:t>
      </w:r>
      <w:r>
        <w:rPr/>
        <w:t>DQO.</w:t>
      </w:r>
    </w:p>
    <w:p>
      <w:pPr>
        <w:spacing w:after="0" w:line="360" w:lineRule="auto"/>
        <w:jc w:val="both"/>
        <w:sectPr>
          <w:pgSz w:w="12240" w:h="15840"/>
          <w:pgMar w:header="0" w:footer="654" w:top="1080" w:bottom="1060" w:left="760" w:right="840"/>
        </w:sectPr>
      </w:pPr>
    </w:p>
    <w:p>
      <w:pPr>
        <w:pStyle w:val="BodyText"/>
        <w:spacing w:line="362" w:lineRule="auto" w:before="51"/>
        <w:ind w:left="4060" w:right="286" w:hanging="2336"/>
      </w:pPr>
      <w:r>
        <w:rPr/>
        <w:t>Tabla 1: Artículos donde es utilizado el peróxido de hidrógeno para la determinación de la DQO</w:t>
      </w:r>
    </w:p>
    <w:tbl>
      <w:tblPr>
        <w:tblW w:w="0" w:type="auto"/>
        <w:jc w:val="left"/>
        <w:tblInd w:w="6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0"/>
        <w:gridCol w:w="2703"/>
        <w:gridCol w:w="4102"/>
      </w:tblGrid>
      <w:tr>
        <w:trPr>
          <w:trHeight w:val="665" w:hRule="exact"/>
        </w:trPr>
        <w:tc>
          <w:tcPr>
            <w:tcW w:w="2710" w:type="dxa"/>
          </w:tcPr>
          <w:p>
            <w:pPr>
              <w:pStyle w:val="TableParagraph"/>
              <w:spacing w:before="120"/>
              <w:ind w:left="256" w:right="216"/>
              <w:rPr>
                <w:b/>
                <w:sz w:val="24"/>
              </w:rPr>
            </w:pPr>
            <w:r>
              <w:rPr>
                <w:b/>
                <w:sz w:val="24"/>
              </w:rPr>
              <w:t>Nombre de artículo</w:t>
            </w:r>
          </w:p>
        </w:tc>
        <w:tc>
          <w:tcPr>
            <w:tcW w:w="2703" w:type="dxa"/>
          </w:tcPr>
          <w:p>
            <w:pPr>
              <w:pStyle w:val="TableParagraph"/>
              <w:spacing w:before="134"/>
              <w:ind w:left="346" w:right="346"/>
              <w:jc w:val="center"/>
              <w:rPr>
                <w:b/>
                <w:sz w:val="22"/>
              </w:rPr>
            </w:pPr>
            <w:r>
              <w:rPr>
                <w:b/>
                <w:color w:val="202020"/>
                <w:sz w:val="22"/>
              </w:rPr>
              <w:t>Autor de artículo</w:t>
            </w:r>
          </w:p>
        </w:tc>
        <w:tc>
          <w:tcPr>
            <w:tcW w:w="4102" w:type="dxa"/>
          </w:tcPr>
          <w:p>
            <w:pPr>
              <w:pStyle w:val="TableParagraph"/>
              <w:spacing w:before="134"/>
              <w:ind w:left="959"/>
              <w:rPr>
                <w:b/>
                <w:sz w:val="22"/>
              </w:rPr>
            </w:pPr>
            <w:r>
              <w:rPr>
                <w:b/>
                <w:color w:val="202020"/>
                <w:sz w:val="22"/>
              </w:rPr>
              <w:t>Resumen de artículo</w:t>
            </w:r>
          </w:p>
        </w:tc>
      </w:tr>
      <w:tr>
        <w:trPr>
          <w:trHeight w:val="11397" w:hRule="exact"/>
        </w:trPr>
        <w:tc>
          <w:tcPr>
            <w:tcW w:w="2710"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line="360" w:lineRule="auto" w:before="157"/>
              <w:ind w:left="103" w:right="216"/>
              <w:rPr>
                <w:sz w:val="24"/>
              </w:rPr>
            </w:pPr>
            <w:r>
              <w:rPr>
                <w:sz w:val="24"/>
              </w:rPr>
              <w:t>Colorimetric Determination of COD (Mn) Using Hydrogen Peroxide.</w:t>
            </w:r>
          </w:p>
        </w:tc>
        <w:tc>
          <w:tcPr>
            <w:tcW w:w="2703"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38"/>
              <w:ind w:left="346" w:right="346"/>
              <w:jc w:val="center"/>
              <w:rPr>
                <w:sz w:val="24"/>
              </w:rPr>
            </w:pPr>
            <w:r>
              <w:rPr>
                <w:sz w:val="24"/>
              </w:rPr>
              <w:t>Nimura et al, 1992</w:t>
            </w:r>
          </w:p>
        </w:tc>
        <w:tc>
          <w:tcPr>
            <w:tcW w:w="4102" w:type="dxa"/>
          </w:tcPr>
          <w:p>
            <w:pPr>
              <w:pStyle w:val="TableParagraph"/>
              <w:spacing w:line="360" w:lineRule="auto"/>
              <w:ind w:left="100" w:right="101"/>
              <w:jc w:val="both"/>
              <w:rPr>
                <w:sz w:val="22"/>
              </w:rPr>
            </w:pPr>
            <w:r>
              <w:rPr>
                <w:color w:val="202020"/>
                <w:sz w:val="22"/>
              </w:rPr>
              <w:t>Colorimetría yodométrica se aplica para la medición de la DQO (Mn), usando peróxido de hidrógeno como el mediador. Se ahorra tiempo, espacio, y sin presencia de otros productos químicos.</w:t>
            </w:r>
          </w:p>
          <w:p>
            <w:pPr>
              <w:pStyle w:val="TableParagraph"/>
              <w:rPr>
                <w:sz w:val="22"/>
              </w:rPr>
            </w:pPr>
          </w:p>
          <w:p>
            <w:pPr>
              <w:pStyle w:val="TableParagraph"/>
              <w:spacing w:line="360" w:lineRule="auto" w:before="130"/>
              <w:ind w:left="100" w:right="100"/>
              <w:jc w:val="both"/>
              <w:rPr>
                <w:sz w:val="22"/>
              </w:rPr>
            </w:pPr>
            <w:r>
              <w:rPr>
                <w:color w:val="202020"/>
                <w:sz w:val="22"/>
              </w:rPr>
              <w:t>El método se puede aplicar a cualquier método de digestión que utilice permanganato. El permanganato residual es reducido por el peróxido de hidrógeno a pH 1-2, donde el peróxido es estable. Si el ion de plata para enmascarar haluros permanece en la mezcla digerida, se hace asentarse en la solución por un exceso de cloruro de sodio. El sobrenadante de la mezcla digerida se transfiere a una solución</w:t>
            </w:r>
            <w:r>
              <w:rPr>
                <w:color w:val="202020"/>
                <w:spacing w:val="-23"/>
                <w:sz w:val="22"/>
              </w:rPr>
              <w:t> </w:t>
            </w:r>
            <w:r>
              <w:rPr>
                <w:color w:val="202020"/>
                <w:sz w:val="22"/>
              </w:rPr>
              <w:t>0.3 M de KI en el buffer de acetato (pH 5-6) que contiene molibdato</w:t>
            </w:r>
            <w:r>
              <w:rPr>
                <w:color w:val="202020"/>
                <w:spacing w:val="-11"/>
                <w:sz w:val="22"/>
              </w:rPr>
              <w:t> </w:t>
            </w:r>
            <w:r>
              <w:rPr>
                <w:color w:val="202020"/>
                <w:sz w:val="22"/>
              </w:rPr>
              <w:t>(catalizador).</w:t>
            </w:r>
          </w:p>
          <w:p>
            <w:pPr>
              <w:pStyle w:val="TableParagraph"/>
              <w:rPr>
                <w:sz w:val="22"/>
              </w:rPr>
            </w:pPr>
          </w:p>
          <w:p>
            <w:pPr>
              <w:pStyle w:val="TableParagraph"/>
              <w:spacing w:line="360" w:lineRule="auto" w:before="132"/>
              <w:ind w:left="100" w:right="101"/>
              <w:jc w:val="both"/>
              <w:rPr>
                <w:sz w:val="22"/>
              </w:rPr>
            </w:pPr>
            <w:r>
              <w:rPr>
                <w:color w:val="202020"/>
                <w:sz w:val="22"/>
              </w:rPr>
              <w:t>Como el peróxido oxida al yoduro en 2 min, el triyoduro formado se mide colorimétricamente a 353 nm, 2 h de reacción.</w:t>
            </w:r>
            <w:r>
              <w:rPr>
                <w:color w:val="202020"/>
                <w:spacing w:val="-6"/>
                <w:sz w:val="22"/>
              </w:rPr>
              <w:t> </w:t>
            </w:r>
            <w:r>
              <w:rPr>
                <w:color w:val="202020"/>
                <w:sz w:val="22"/>
              </w:rPr>
              <w:t>El</w:t>
            </w:r>
            <w:r>
              <w:rPr>
                <w:color w:val="202020"/>
                <w:spacing w:val="-9"/>
                <w:sz w:val="22"/>
              </w:rPr>
              <w:t> </w:t>
            </w:r>
            <w:r>
              <w:rPr>
                <w:color w:val="202020"/>
                <w:sz w:val="22"/>
              </w:rPr>
              <w:t>incremento</w:t>
            </w:r>
            <w:r>
              <w:rPr>
                <w:color w:val="202020"/>
                <w:spacing w:val="-10"/>
                <w:sz w:val="22"/>
              </w:rPr>
              <w:t> </w:t>
            </w:r>
            <w:r>
              <w:rPr>
                <w:color w:val="202020"/>
                <w:sz w:val="22"/>
              </w:rPr>
              <w:t>en</w:t>
            </w:r>
            <w:r>
              <w:rPr>
                <w:color w:val="202020"/>
                <w:spacing w:val="-7"/>
                <w:sz w:val="22"/>
              </w:rPr>
              <w:t> </w:t>
            </w:r>
            <w:r>
              <w:rPr>
                <w:color w:val="202020"/>
                <w:sz w:val="22"/>
              </w:rPr>
              <w:t>el</w:t>
            </w:r>
            <w:r>
              <w:rPr>
                <w:color w:val="202020"/>
                <w:spacing w:val="-8"/>
                <w:sz w:val="22"/>
              </w:rPr>
              <w:t> </w:t>
            </w:r>
            <w:r>
              <w:rPr>
                <w:color w:val="202020"/>
                <w:sz w:val="22"/>
              </w:rPr>
              <w:t>blanco</w:t>
            </w:r>
            <w:r>
              <w:rPr>
                <w:color w:val="202020"/>
                <w:spacing w:val="-8"/>
                <w:sz w:val="22"/>
              </w:rPr>
              <w:t> </w:t>
            </w:r>
            <w:r>
              <w:rPr>
                <w:color w:val="202020"/>
                <w:sz w:val="22"/>
              </w:rPr>
              <w:t>por oxidación al aire puede ser ignorado durante este tiempo. También se describe</w:t>
            </w:r>
            <w:r>
              <w:rPr>
                <w:color w:val="202020"/>
                <w:spacing w:val="-12"/>
                <w:sz w:val="22"/>
              </w:rPr>
              <w:t> </w:t>
            </w:r>
            <w:r>
              <w:rPr>
                <w:color w:val="202020"/>
                <w:sz w:val="22"/>
              </w:rPr>
              <w:t>el</w:t>
            </w:r>
            <w:r>
              <w:rPr>
                <w:color w:val="202020"/>
                <w:spacing w:val="-13"/>
                <w:sz w:val="22"/>
              </w:rPr>
              <w:t> </w:t>
            </w:r>
            <w:r>
              <w:rPr>
                <w:color w:val="202020"/>
                <w:sz w:val="22"/>
              </w:rPr>
              <w:t>método</w:t>
            </w:r>
            <w:r>
              <w:rPr>
                <w:color w:val="202020"/>
                <w:spacing w:val="-11"/>
                <w:sz w:val="22"/>
              </w:rPr>
              <w:t> </w:t>
            </w:r>
            <w:r>
              <w:rPr>
                <w:color w:val="202020"/>
                <w:sz w:val="22"/>
              </w:rPr>
              <w:t>de</w:t>
            </w:r>
            <w:r>
              <w:rPr>
                <w:color w:val="202020"/>
                <w:spacing w:val="-12"/>
                <w:sz w:val="22"/>
              </w:rPr>
              <w:t> </w:t>
            </w:r>
            <w:r>
              <w:rPr>
                <w:color w:val="202020"/>
                <w:sz w:val="22"/>
              </w:rPr>
              <w:t>controlar</w:t>
            </w:r>
            <w:r>
              <w:rPr>
                <w:color w:val="202020"/>
                <w:spacing w:val="-11"/>
                <w:sz w:val="22"/>
              </w:rPr>
              <w:t> </w:t>
            </w:r>
            <w:r>
              <w:rPr>
                <w:color w:val="202020"/>
                <w:sz w:val="22"/>
              </w:rPr>
              <w:t>el</w:t>
            </w:r>
            <w:r>
              <w:rPr>
                <w:color w:val="202020"/>
                <w:spacing w:val="-13"/>
                <w:sz w:val="22"/>
              </w:rPr>
              <w:t> </w:t>
            </w:r>
            <w:r>
              <w:rPr>
                <w:color w:val="202020"/>
                <w:sz w:val="22"/>
              </w:rPr>
              <w:t>pH</w:t>
            </w:r>
            <w:r>
              <w:rPr>
                <w:color w:val="202020"/>
                <w:spacing w:val="-13"/>
                <w:sz w:val="22"/>
              </w:rPr>
              <w:t> </w:t>
            </w:r>
            <w:r>
              <w:rPr>
                <w:color w:val="202020"/>
                <w:sz w:val="22"/>
              </w:rPr>
              <w:t>de la mezcla de</w:t>
            </w:r>
            <w:r>
              <w:rPr>
                <w:color w:val="202020"/>
                <w:spacing w:val="-7"/>
                <w:sz w:val="22"/>
              </w:rPr>
              <w:t> </w:t>
            </w:r>
            <w:r>
              <w:rPr>
                <w:color w:val="202020"/>
                <w:sz w:val="22"/>
              </w:rPr>
              <w:t>reacción.</w:t>
            </w:r>
          </w:p>
        </w:tc>
      </w:tr>
    </w:tbl>
    <w:p>
      <w:pPr>
        <w:spacing w:after="0" w:line="360" w:lineRule="auto"/>
        <w:jc w:val="both"/>
        <w:rPr>
          <w:sz w:val="22"/>
        </w:rPr>
        <w:sectPr>
          <w:pgSz w:w="12240" w:h="15840"/>
          <w:pgMar w:header="0" w:footer="654" w:top="1080" w:bottom="1060" w:left="760" w:right="840"/>
        </w:sectPr>
      </w:pPr>
    </w:p>
    <w:tbl>
      <w:tblPr>
        <w:tblW w:w="0" w:type="auto"/>
        <w:jc w:val="left"/>
        <w:tblInd w:w="6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0"/>
        <w:gridCol w:w="2703"/>
        <w:gridCol w:w="4102"/>
      </w:tblGrid>
      <w:tr>
        <w:trPr>
          <w:trHeight w:val="13296" w:hRule="exact"/>
        </w:trPr>
        <w:tc>
          <w:tcPr>
            <w:tcW w:w="2710"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line="360" w:lineRule="auto" w:before="213"/>
              <w:ind w:left="295" w:right="296" w:hanging="2"/>
              <w:jc w:val="center"/>
              <w:rPr>
                <w:sz w:val="24"/>
              </w:rPr>
            </w:pPr>
            <w:r>
              <w:rPr>
                <w:sz w:val="24"/>
              </w:rPr>
              <w:t>A simple chemiluminescence method for determination of chemical oxygen demand values in water</w:t>
            </w:r>
          </w:p>
        </w:tc>
        <w:tc>
          <w:tcPr>
            <w:tcW w:w="2703"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5"/>
              <w:rPr>
                <w:sz w:val="35"/>
              </w:rPr>
            </w:pPr>
          </w:p>
          <w:p>
            <w:pPr>
              <w:pStyle w:val="TableParagraph"/>
              <w:ind w:left="417"/>
              <w:rPr>
                <w:sz w:val="24"/>
              </w:rPr>
            </w:pPr>
            <w:r>
              <w:rPr>
                <w:sz w:val="24"/>
              </w:rPr>
              <w:t>Hu y Yang, 2004.</w:t>
            </w:r>
          </w:p>
        </w:tc>
        <w:tc>
          <w:tcPr>
            <w:tcW w:w="4102" w:type="dxa"/>
          </w:tcPr>
          <w:p>
            <w:pPr>
              <w:pStyle w:val="TableParagraph"/>
              <w:spacing w:line="360" w:lineRule="auto"/>
              <w:ind w:left="100" w:right="101"/>
              <w:jc w:val="both"/>
              <w:rPr>
                <w:sz w:val="22"/>
              </w:rPr>
            </w:pPr>
            <w:r>
              <w:rPr>
                <w:color w:val="333333"/>
                <w:sz w:val="22"/>
              </w:rPr>
              <w:t>En este trabajo se usó un detector de quimioluminiscencia de bajo costo con un fotodiodo en lugar de tubo Foto multiplicador (PMT). Fue desarrollado para</w:t>
            </w:r>
            <w:r>
              <w:rPr>
                <w:color w:val="333333"/>
                <w:spacing w:val="-13"/>
                <w:sz w:val="22"/>
              </w:rPr>
              <w:t> </w:t>
            </w:r>
            <w:r>
              <w:rPr>
                <w:color w:val="333333"/>
                <w:sz w:val="22"/>
              </w:rPr>
              <w:t>el</w:t>
            </w:r>
            <w:r>
              <w:rPr>
                <w:color w:val="333333"/>
                <w:spacing w:val="-17"/>
                <w:sz w:val="22"/>
              </w:rPr>
              <w:t> </w:t>
            </w:r>
            <w:r>
              <w:rPr>
                <w:color w:val="333333"/>
                <w:sz w:val="22"/>
              </w:rPr>
              <w:t>monitoreo</w:t>
            </w:r>
            <w:r>
              <w:rPr>
                <w:color w:val="333333"/>
                <w:spacing w:val="-16"/>
                <w:sz w:val="22"/>
              </w:rPr>
              <w:t> </w:t>
            </w:r>
            <w:r>
              <w:rPr>
                <w:color w:val="333333"/>
                <w:sz w:val="22"/>
              </w:rPr>
              <w:t>de</w:t>
            </w:r>
            <w:r>
              <w:rPr>
                <w:color w:val="333333"/>
                <w:spacing w:val="-16"/>
                <w:sz w:val="22"/>
              </w:rPr>
              <w:t> </w:t>
            </w:r>
            <w:r>
              <w:rPr>
                <w:color w:val="333333"/>
                <w:sz w:val="22"/>
              </w:rPr>
              <w:t>la</w:t>
            </w:r>
            <w:r>
              <w:rPr>
                <w:color w:val="333333"/>
                <w:spacing w:val="-13"/>
                <w:sz w:val="22"/>
              </w:rPr>
              <w:t> </w:t>
            </w:r>
            <w:r>
              <w:rPr>
                <w:color w:val="333333"/>
                <w:sz w:val="22"/>
              </w:rPr>
              <w:t>calidad</w:t>
            </w:r>
            <w:r>
              <w:rPr>
                <w:color w:val="333333"/>
                <w:spacing w:val="-13"/>
                <w:sz w:val="22"/>
              </w:rPr>
              <w:t> </w:t>
            </w:r>
            <w:r>
              <w:rPr>
                <w:color w:val="333333"/>
                <w:sz w:val="22"/>
              </w:rPr>
              <w:t>del</w:t>
            </w:r>
            <w:r>
              <w:rPr>
                <w:color w:val="333333"/>
                <w:spacing w:val="-14"/>
                <w:sz w:val="22"/>
              </w:rPr>
              <w:t> </w:t>
            </w:r>
            <w:r>
              <w:rPr>
                <w:color w:val="333333"/>
                <w:sz w:val="22"/>
              </w:rPr>
              <w:t>agua.</w:t>
            </w:r>
          </w:p>
          <w:p>
            <w:pPr>
              <w:pStyle w:val="TableParagraph"/>
              <w:rPr>
                <w:sz w:val="22"/>
              </w:rPr>
            </w:pPr>
          </w:p>
          <w:p>
            <w:pPr>
              <w:pStyle w:val="TableParagraph"/>
              <w:spacing w:line="357" w:lineRule="auto" w:before="129"/>
              <w:ind w:left="100" w:right="100"/>
              <w:jc w:val="both"/>
              <w:rPr>
                <w:sz w:val="22"/>
              </w:rPr>
            </w:pPr>
            <w:r>
              <w:rPr>
                <w:color w:val="202020"/>
                <w:sz w:val="22"/>
              </w:rPr>
              <w:t>Sobre la base de la reacción quimioluminiscente del sistema </w:t>
            </w:r>
            <w:r>
              <w:rPr>
                <w:color w:val="333333"/>
                <w:spacing w:val="-3"/>
                <w:sz w:val="22"/>
              </w:rPr>
              <w:t>de </w:t>
            </w:r>
            <w:r>
              <w:rPr>
                <w:color w:val="333333"/>
                <w:position w:val="2"/>
                <w:sz w:val="22"/>
              </w:rPr>
              <w:t>luminol–H</w:t>
            </w:r>
            <w:r>
              <w:rPr>
                <w:color w:val="333333"/>
                <w:sz w:val="14"/>
              </w:rPr>
              <w:t>2</w:t>
            </w:r>
            <w:r>
              <w:rPr>
                <w:color w:val="333333"/>
                <w:position w:val="2"/>
                <w:sz w:val="22"/>
              </w:rPr>
              <w:t>O</w:t>
            </w:r>
            <w:r>
              <w:rPr>
                <w:color w:val="333333"/>
                <w:sz w:val="14"/>
              </w:rPr>
              <w:t>2</w:t>
            </w:r>
            <w:r>
              <w:rPr>
                <w:color w:val="333333"/>
                <w:position w:val="2"/>
                <w:sz w:val="22"/>
              </w:rPr>
              <w:t>–Cr</w:t>
            </w:r>
            <w:r>
              <w:rPr>
                <w:color w:val="333333"/>
                <w:position w:val="10"/>
                <w:sz w:val="14"/>
              </w:rPr>
              <w:t>3+</w:t>
            </w:r>
            <w:r>
              <w:rPr>
                <w:color w:val="333333"/>
                <w:position w:val="2"/>
                <w:sz w:val="22"/>
              </w:rPr>
              <w:t>, la emisión de luz </w:t>
            </w:r>
            <w:r>
              <w:rPr>
                <w:color w:val="333333"/>
                <w:sz w:val="22"/>
              </w:rPr>
              <w:t>causada por el sistema de luminol- </w:t>
            </w:r>
            <w:r>
              <w:rPr>
                <w:color w:val="333333"/>
                <w:position w:val="2"/>
                <w:sz w:val="22"/>
              </w:rPr>
              <w:t>H</w:t>
            </w:r>
            <w:r>
              <w:rPr>
                <w:color w:val="333333"/>
                <w:sz w:val="14"/>
              </w:rPr>
              <w:t>2</w:t>
            </w:r>
            <w:r>
              <w:rPr>
                <w:color w:val="333333"/>
                <w:position w:val="2"/>
                <w:sz w:val="22"/>
              </w:rPr>
              <w:t>O</w:t>
            </w:r>
            <w:r>
              <w:rPr>
                <w:color w:val="333333"/>
                <w:sz w:val="14"/>
              </w:rPr>
              <w:t>2</w:t>
            </w:r>
            <w:r>
              <w:rPr>
                <w:color w:val="333333"/>
                <w:position w:val="2"/>
                <w:sz w:val="22"/>
              </w:rPr>
              <w:t>-Cr</w:t>
            </w:r>
            <w:r>
              <w:rPr>
                <w:color w:val="333333"/>
                <w:position w:val="10"/>
                <w:sz w:val="14"/>
              </w:rPr>
              <w:t>3+</w:t>
            </w:r>
            <w:r>
              <w:rPr>
                <w:color w:val="333333"/>
                <w:position w:val="2"/>
                <w:sz w:val="22"/>
              </w:rPr>
              <w:t>, fue detectada por el </w:t>
            </w:r>
            <w:r>
              <w:rPr>
                <w:color w:val="333333"/>
                <w:sz w:val="22"/>
              </w:rPr>
              <w:t>fotodiodo</w:t>
            </w:r>
            <w:r>
              <w:rPr>
                <w:color w:val="333333"/>
                <w:spacing w:val="-10"/>
                <w:sz w:val="22"/>
              </w:rPr>
              <w:t> </w:t>
            </w:r>
            <w:r>
              <w:rPr>
                <w:color w:val="202020"/>
                <w:sz w:val="22"/>
              </w:rPr>
              <w:t>y</w:t>
            </w:r>
            <w:r>
              <w:rPr>
                <w:color w:val="202020"/>
                <w:spacing w:val="-12"/>
                <w:sz w:val="22"/>
              </w:rPr>
              <w:t> </w:t>
            </w:r>
            <w:r>
              <w:rPr>
                <w:color w:val="202020"/>
                <w:sz w:val="22"/>
              </w:rPr>
              <w:t>su</w:t>
            </w:r>
            <w:r>
              <w:rPr>
                <w:color w:val="202020"/>
                <w:spacing w:val="-10"/>
                <w:sz w:val="22"/>
              </w:rPr>
              <w:t> </w:t>
            </w:r>
            <w:r>
              <w:rPr>
                <w:color w:val="202020"/>
                <w:sz w:val="22"/>
              </w:rPr>
              <w:t>intensidad</w:t>
            </w:r>
            <w:r>
              <w:rPr>
                <w:color w:val="202020"/>
                <w:spacing w:val="-12"/>
                <w:sz w:val="22"/>
              </w:rPr>
              <w:t> </w:t>
            </w:r>
            <w:r>
              <w:rPr>
                <w:color w:val="202020"/>
                <w:sz w:val="22"/>
              </w:rPr>
              <w:t>causada</w:t>
            </w:r>
            <w:r>
              <w:rPr>
                <w:color w:val="202020"/>
                <w:spacing w:val="-10"/>
                <w:sz w:val="22"/>
              </w:rPr>
              <w:t> </w:t>
            </w:r>
            <w:r>
              <w:rPr>
                <w:color w:val="202020"/>
                <w:sz w:val="22"/>
              </w:rPr>
              <w:t>por</w:t>
            </w:r>
            <w:r>
              <w:rPr>
                <w:color w:val="202020"/>
                <w:spacing w:val="-9"/>
                <w:sz w:val="22"/>
              </w:rPr>
              <w:t> </w:t>
            </w:r>
            <w:r>
              <w:rPr>
                <w:color w:val="202020"/>
                <w:sz w:val="22"/>
              </w:rPr>
              <w:t>la aparición de Cr</w:t>
            </w:r>
            <w:r>
              <w:rPr>
                <w:color w:val="202020"/>
                <w:position w:val="8"/>
                <w:sz w:val="14"/>
              </w:rPr>
              <w:t>3+ </w:t>
            </w:r>
            <w:r>
              <w:rPr>
                <w:color w:val="202020"/>
                <w:sz w:val="22"/>
              </w:rPr>
              <w:t>después de la digestión de las muestras fue proporcional a la demanda química de oxígeno</w:t>
            </w:r>
            <w:r>
              <w:rPr>
                <w:color w:val="202020"/>
                <w:spacing w:val="-5"/>
                <w:sz w:val="22"/>
              </w:rPr>
              <w:t> </w:t>
            </w:r>
            <w:r>
              <w:rPr>
                <w:color w:val="202020"/>
                <w:sz w:val="22"/>
              </w:rPr>
              <w:t>(DQO).</w:t>
            </w:r>
          </w:p>
          <w:p>
            <w:pPr>
              <w:pStyle w:val="TableParagraph"/>
              <w:rPr>
                <w:sz w:val="22"/>
              </w:rPr>
            </w:pPr>
          </w:p>
          <w:p>
            <w:pPr>
              <w:pStyle w:val="TableParagraph"/>
              <w:spacing w:before="134"/>
              <w:ind w:left="100"/>
              <w:jc w:val="both"/>
              <w:rPr>
                <w:sz w:val="22"/>
              </w:rPr>
            </w:pPr>
            <w:r>
              <w:rPr>
                <w:color w:val="202020"/>
                <w:sz w:val="22"/>
              </w:rPr>
              <w:t>Trabajando en un rango de pH de   2.5-</w:t>
            </w:r>
          </w:p>
          <w:p>
            <w:pPr>
              <w:pStyle w:val="TableParagraph"/>
              <w:spacing w:line="360" w:lineRule="auto" w:before="126"/>
              <w:ind w:left="100" w:right="102"/>
              <w:jc w:val="both"/>
              <w:rPr>
                <w:sz w:val="22"/>
              </w:rPr>
            </w:pPr>
            <w:r>
              <w:rPr>
                <w:color w:val="202020"/>
                <w:sz w:val="22"/>
              </w:rPr>
              <w:t>4.5 este método se puede utilizar para la determinación de la DQO de aguas residuales. El método muestra resultados prometedores, debido a que el procedimiento de detección puede ser realizado en unos pocos segundos, tiene una precisión aceptable y exactitud, y tiene una sensibilidad relativamente alta.</w:t>
            </w:r>
          </w:p>
          <w:p>
            <w:pPr>
              <w:pStyle w:val="TableParagraph"/>
              <w:rPr>
                <w:sz w:val="22"/>
              </w:rPr>
            </w:pPr>
          </w:p>
          <w:p>
            <w:pPr>
              <w:pStyle w:val="TableParagraph"/>
              <w:spacing w:line="360" w:lineRule="auto" w:before="129"/>
              <w:ind w:left="100" w:right="101"/>
              <w:jc w:val="both"/>
              <w:rPr>
                <w:sz w:val="22"/>
              </w:rPr>
            </w:pPr>
            <w:r>
              <w:rPr>
                <w:color w:val="202020"/>
                <w:sz w:val="22"/>
              </w:rPr>
              <w:t>Muestra resultados con buenos rendimientos para muestras de agua real que fueron bien correlacionadas con valores de DQO determinados usando el método de titulación convencional.</w:t>
            </w:r>
          </w:p>
        </w:tc>
      </w:tr>
    </w:tbl>
    <w:p>
      <w:pPr>
        <w:spacing w:after="0" w:line="360" w:lineRule="auto"/>
        <w:jc w:val="both"/>
        <w:rPr>
          <w:sz w:val="22"/>
        </w:rPr>
        <w:sectPr>
          <w:pgSz w:w="12240" w:h="15840"/>
          <w:pgMar w:header="0" w:footer="654" w:top="1140" w:bottom="840" w:left="760" w:right="840"/>
        </w:sectPr>
      </w:pPr>
    </w:p>
    <w:tbl>
      <w:tblPr>
        <w:tblW w:w="0" w:type="auto"/>
        <w:jc w:val="left"/>
        <w:tblInd w:w="6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0"/>
        <w:gridCol w:w="2703"/>
        <w:gridCol w:w="4102"/>
      </w:tblGrid>
      <w:tr>
        <w:trPr>
          <w:trHeight w:val="2703" w:hRule="exact"/>
        </w:trPr>
        <w:tc>
          <w:tcPr>
            <w:tcW w:w="2710" w:type="dxa"/>
          </w:tcPr>
          <w:p>
            <w:pPr/>
          </w:p>
        </w:tc>
        <w:tc>
          <w:tcPr>
            <w:tcW w:w="2703" w:type="dxa"/>
          </w:tcPr>
          <w:p>
            <w:pPr/>
          </w:p>
        </w:tc>
        <w:tc>
          <w:tcPr>
            <w:tcW w:w="4102" w:type="dxa"/>
          </w:tcPr>
          <w:p>
            <w:pPr>
              <w:pStyle w:val="TableParagraph"/>
              <w:spacing w:line="360" w:lineRule="auto"/>
              <w:ind w:left="100" w:right="101"/>
              <w:jc w:val="both"/>
              <w:rPr>
                <w:sz w:val="22"/>
              </w:rPr>
            </w:pPr>
            <w:r>
              <w:rPr>
                <w:color w:val="202020"/>
                <w:sz w:val="22"/>
              </w:rPr>
              <w:t>Se puede concluir que este sistema tiene</w:t>
            </w:r>
            <w:r>
              <w:rPr>
                <w:color w:val="202020"/>
                <w:spacing w:val="-12"/>
                <w:sz w:val="22"/>
              </w:rPr>
              <w:t> </w:t>
            </w:r>
            <w:r>
              <w:rPr>
                <w:color w:val="202020"/>
                <w:sz w:val="22"/>
              </w:rPr>
              <w:t>ventajas</w:t>
            </w:r>
            <w:r>
              <w:rPr>
                <w:color w:val="202020"/>
                <w:spacing w:val="-12"/>
                <w:sz w:val="22"/>
              </w:rPr>
              <w:t> </w:t>
            </w:r>
            <w:r>
              <w:rPr>
                <w:color w:val="202020"/>
                <w:sz w:val="22"/>
              </w:rPr>
              <w:t>de</w:t>
            </w:r>
            <w:r>
              <w:rPr>
                <w:color w:val="202020"/>
                <w:spacing w:val="-17"/>
                <w:sz w:val="22"/>
              </w:rPr>
              <w:t> </w:t>
            </w:r>
            <w:r>
              <w:rPr>
                <w:color w:val="202020"/>
                <w:sz w:val="22"/>
              </w:rPr>
              <w:t>simplicidad,</w:t>
            </w:r>
            <w:r>
              <w:rPr>
                <w:color w:val="202020"/>
                <w:spacing w:val="-11"/>
                <w:sz w:val="22"/>
              </w:rPr>
              <w:t> </w:t>
            </w:r>
            <w:r>
              <w:rPr>
                <w:color w:val="202020"/>
                <w:sz w:val="22"/>
              </w:rPr>
              <w:t>bajo</w:t>
            </w:r>
            <w:r>
              <w:rPr>
                <w:color w:val="202020"/>
                <w:spacing w:val="-15"/>
                <w:sz w:val="22"/>
              </w:rPr>
              <w:t> </w:t>
            </w:r>
            <w:r>
              <w:rPr>
                <w:color w:val="202020"/>
                <w:sz w:val="22"/>
              </w:rPr>
              <w:t>costo y alta sensibilidad. La precisión y la exactitud se pueden mejorar aún más por conjunción con un sistema de auto- inyección.</w:t>
            </w:r>
          </w:p>
        </w:tc>
      </w:tr>
      <w:tr>
        <w:trPr>
          <w:trHeight w:val="10257" w:hRule="exact"/>
        </w:trPr>
        <w:tc>
          <w:tcPr>
            <w:tcW w:w="2710"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line="360" w:lineRule="auto" w:before="176"/>
              <w:ind w:left="103" w:right="313"/>
              <w:rPr>
                <w:sz w:val="24"/>
              </w:rPr>
            </w:pPr>
            <w:r>
              <w:rPr>
                <w:sz w:val="24"/>
              </w:rPr>
              <w:t>Rapid, sensitive and on-line measurement of chemical oxygen demand by novel optical method based on UV photolysis and chemiluminiscence.</w:t>
            </w:r>
          </w:p>
        </w:tc>
        <w:tc>
          <w:tcPr>
            <w:tcW w:w="2703"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537"/>
              <w:rPr>
                <w:sz w:val="24"/>
              </w:rPr>
            </w:pPr>
            <w:r>
              <w:rPr>
                <w:sz w:val="24"/>
              </w:rPr>
              <w:t>Su, et al., 2007</w:t>
            </w:r>
          </w:p>
        </w:tc>
        <w:tc>
          <w:tcPr>
            <w:tcW w:w="4102" w:type="dxa"/>
          </w:tcPr>
          <w:p>
            <w:pPr>
              <w:pStyle w:val="TableParagraph"/>
              <w:tabs>
                <w:tab w:pos="2674" w:val="left" w:leader="none"/>
                <w:tab w:pos="3816" w:val="left" w:leader="none"/>
              </w:tabs>
              <w:spacing w:line="360" w:lineRule="auto"/>
              <w:ind w:left="100" w:right="103"/>
              <w:jc w:val="both"/>
              <w:rPr>
                <w:sz w:val="22"/>
              </w:rPr>
            </w:pPr>
            <w:r>
              <w:rPr>
                <w:color w:val="202020"/>
                <w:sz w:val="22"/>
              </w:rPr>
              <w:t>Se estableció un método novedoso basado en la combinación de la</w:t>
            </w:r>
            <w:r>
              <w:rPr>
                <w:color w:val="202020"/>
                <w:spacing w:val="-14"/>
                <w:sz w:val="22"/>
              </w:rPr>
              <w:t> </w:t>
            </w:r>
            <w:r>
              <w:rPr>
                <w:color w:val="202020"/>
                <w:sz w:val="22"/>
              </w:rPr>
              <w:t>fotólisis UV y la quimioluminiscencia y validado experimentalmente</w:t>
              <w:tab/>
              <w:t>para</w:t>
              <w:tab/>
              <w:t>la determinación de la demanda química de oxígeno</w:t>
            </w:r>
            <w:r>
              <w:rPr>
                <w:color w:val="202020"/>
                <w:spacing w:val="-6"/>
                <w:sz w:val="22"/>
              </w:rPr>
              <w:t> </w:t>
            </w:r>
            <w:r>
              <w:rPr>
                <w:color w:val="202020"/>
                <w:sz w:val="22"/>
              </w:rPr>
              <w:t>(DQO).</w:t>
            </w:r>
          </w:p>
          <w:p>
            <w:pPr>
              <w:pStyle w:val="TableParagraph"/>
              <w:rPr>
                <w:sz w:val="22"/>
              </w:rPr>
            </w:pPr>
          </w:p>
          <w:p>
            <w:pPr>
              <w:pStyle w:val="TableParagraph"/>
              <w:spacing w:line="360" w:lineRule="auto" w:before="129"/>
              <w:ind w:left="100" w:right="101"/>
              <w:jc w:val="both"/>
              <w:rPr>
                <w:sz w:val="22"/>
              </w:rPr>
            </w:pPr>
            <w:r>
              <w:rPr>
                <w:color w:val="202020"/>
                <w:sz w:val="22"/>
              </w:rPr>
              <w:t>Una cantidad cuantitativa de los radicales libres puede ser producidos por analitos en el proceso de</w:t>
            </w:r>
            <w:r>
              <w:rPr>
                <w:color w:val="202020"/>
                <w:spacing w:val="-22"/>
                <w:sz w:val="22"/>
              </w:rPr>
              <w:t> </w:t>
            </w:r>
            <w:r>
              <w:rPr>
                <w:color w:val="202020"/>
                <w:sz w:val="22"/>
              </w:rPr>
              <w:t>irradiación UV.</w:t>
            </w:r>
          </w:p>
          <w:p>
            <w:pPr>
              <w:pStyle w:val="TableParagraph"/>
              <w:rPr>
                <w:sz w:val="22"/>
              </w:rPr>
            </w:pPr>
          </w:p>
          <w:p>
            <w:pPr>
              <w:pStyle w:val="TableParagraph"/>
              <w:spacing w:line="360" w:lineRule="auto" w:before="130"/>
              <w:ind w:left="100" w:right="102"/>
              <w:jc w:val="both"/>
              <w:rPr>
                <w:sz w:val="22"/>
              </w:rPr>
            </w:pPr>
            <w:r>
              <w:rPr>
                <w:color w:val="202020"/>
                <w:sz w:val="22"/>
              </w:rPr>
              <w:t>Mediante la utilización del luminol que puede ser oxidado por los radicales libres para producir luminiscencia, pudo determinarse la DQO indirectamente.</w:t>
            </w:r>
          </w:p>
          <w:p>
            <w:pPr>
              <w:pStyle w:val="TableParagraph"/>
              <w:rPr>
                <w:sz w:val="22"/>
              </w:rPr>
            </w:pPr>
          </w:p>
          <w:p>
            <w:pPr>
              <w:pStyle w:val="TableParagraph"/>
              <w:tabs>
                <w:tab w:pos="1569" w:val="left" w:leader="none"/>
                <w:tab w:pos="3743" w:val="left" w:leader="none"/>
              </w:tabs>
              <w:spacing w:line="360" w:lineRule="auto" w:before="129"/>
              <w:ind w:left="100" w:right="101"/>
              <w:jc w:val="both"/>
              <w:rPr>
                <w:sz w:val="22"/>
              </w:rPr>
            </w:pPr>
            <w:r>
              <w:rPr>
                <w:color w:val="202020"/>
                <w:sz w:val="22"/>
              </w:rPr>
              <w:t>Este nuevo enfoque supera muchos de los problemas asociados con las técnicas</w:t>
              <w:tab/>
              <w:t>convencionales</w:t>
              <w:tab/>
              <w:t>de determinación de la DQO como largo tiempo de análisis, operaciones tediosas, el consumo de reactivos costosos y tóxicos, la producción de residuos tóxicos secundarios y mala reproducibilidad.</w:t>
            </w:r>
          </w:p>
        </w:tc>
      </w:tr>
    </w:tbl>
    <w:p>
      <w:pPr>
        <w:spacing w:after="0" w:line="360" w:lineRule="auto"/>
        <w:jc w:val="both"/>
        <w:rPr>
          <w:sz w:val="22"/>
        </w:rPr>
        <w:sectPr>
          <w:pgSz w:w="12240" w:h="15840"/>
          <w:pgMar w:header="0" w:footer="654" w:top="1140" w:bottom="840" w:left="760" w:right="840"/>
        </w:sectPr>
      </w:pPr>
    </w:p>
    <w:tbl>
      <w:tblPr>
        <w:tblW w:w="0" w:type="auto"/>
        <w:jc w:val="left"/>
        <w:tblInd w:w="6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0"/>
        <w:gridCol w:w="2703"/>
        <w:gridCol w:w="4102"/>
      </w:tblGrid>
      <w:tr>
        <w:trPr>
          <w:trHeight w:val="10259" w:hRule="exact"/>
        </w:trPr>
        <w:tc>
          <w:tcPr>
            <w:tcW w:w="2710" w:type="dxa"/>
          </w:tcPr>
          <w:p>
            <w:pPr/>
          </w:p>
        </w:tc>
        <w:tc>
          <w:tcPr>
            <w:tcW w:w="2703" w:type="dxa"/>
          </w:tcPr>
          <w:p>
            <w:pPr/>
          </w:p>
        </w:tc>
        <w:tc>
          <w:tcPr>
            <w:tcW w:w="4102" w:type="dxa"/>
          </w:tcPr>
          <w:p>
            <w:pPr>
              <w:pStyle w:val="TableParagraph"/>
              <w:tabs>
                <w:tab w:pos="1631" w:val="left" w:leader="none"/>
                <w:tab w:pos="2824" w:val="left" w:leader="none"/>
              </w:tabs>
              <w:spacing w:line="360" w:lineRule="auto"/>
              <w:ind w:left="100" w:right="100"/>
              <w:jc w:val="both"/>
              <w:rPr>
                <w:sz w:val="22"/>
              </w:rPr>
            </w:pPr>
            <w:r>
              <w:rPr>
                <w:color w:val="202020"/>
                <w:sz w:val="22"/>
              </w:rPr>
              <w:t>El método fue aplicado con éxito para</w:t>
            </w:r>
            <w:r>
              <w:rPr>
                <w:color w:val="202020"/>
                <w:spacing w:val="-40"/>
                <w:sz w:val="22"/>
              </w:rPr>
              <w:t> </w:t>
            </w:r>
            <w:r>
              <w:rPr>
                <w:color w:val="202020"/>
                <w:sz w:val="22"/>
              </w:rPr>
              <w:t>la determinación de </w:t>
            </w:r>
            <w:r>
              <w:rPr>
                <w:color w:val="202020"/>
                <w:spacing w:val="-2"/>
                <w:sz w:val="22"/>
              </w:rPr>
              <w:t>DQO </w:t>
            </w:r>
            <w:r>
              <w:rPr>
                <w:color w:val="202020"/>
                <w:sz w:val="22"/>
              </w:rPr>
              <w:t>en muestras sintéticas, muestras de referencia certificadas y muestras reales de agua de los ríos y agua del lago. Un límite de detección de 0.08 mg/L de DQO con un rango dinámico lineal de 0.2-20 mg/L</w:t>
            </w:r>
            <w:r>
              <w:rPr>
                <w:color w:val="202020"/>
                <w:spacing w:val="-38"/>
                <w:sz w:val="22"/>
              </w:rPr>
              <w:t> </w:t>
            </w:r>
            <w:r>
              <w:rPr>
                <w:color w:val="202020"/>
                <w:sz w:val="22"/>
              </w:rPr>
              <w:t>se alcanzó</w:t>
              <w:tab/>
              <w:t>bajo</w:t>
              <w:tab/>
            </w:r>
            <w:r>
              <w:rPr>
                <w:color w:val="202020"/>
                <w:spacing w:val="-1"/>
                <w:sz w:val="22"/>
              </w:rPr>
              <w:t>condiciones </w:t>
            </w:r>
            <w:r>
              <w:rPr>
                <w:color w:val="202020"/>
                <w:sz w:val="22"/>
              </w:rPr>
              <w:t>experimentales</w:t>
            </w:r>
            <w:r>
              <w:rPr>
                <w:color w:val="202020"/>
                <w:spacing w:val="-5"/>
                <w:sz w:val="22"/>
              </w:rPr>
              <w:t> </w:t>
            </w:r>
            <w:r>
              <w:rPr>
                <w:color w:val="202020"/>
                <w:sz w:val="22"/>
              </w:rPr>
              <w:t>óptimas.</w:t>
            </w:r>
          </w:p>
          <w:p>
            <w:pPr>
              <w:pStyle w:val="TableParagraph"/>
              <w:rPr>
                <w:sz w:val="22"/>
              </w:rPr>
            </w:pPr>
          </w:p>
          <w:p>
            <w:pPr>
              <w:pStyle w:val="TableParagraph"/>
              <w:spacing w:line="360" w:lineRule="auto" w:before="130"/>
              <w:ind w:left="100" w:right="101"/>
              <w:jc w:val="both"/>
              <w:rPr>
                <w:sz w:val="22"/>
              </w:rPr>
            </w:pPr>
            <w:r>
              <w:rPr>
                <w:color w:val="202020"/>
                <w:sz w:val="22"/>
              </w:rPr>
              <w:t>El método propuesto es un método único que es amigable con el medio ambiente (sin utilizar ningún reactivo oxidante tóxico ni catalizadores tales como dióxido de titanio), rápido (con sólo 5-10 min requeridos para cada muestra), sensible (con el límite más bajo de detección para la DQO hasta esa fecha), simple (principalmente con un foto-reactor y un detector de quimioluminiscencia) y automatizado (utilizando un sistema de flujo intermitente).</w:t>
            </w:r>
          </w:p>
          <w:p>
            <w:pPr>
              <w:pStyle w:val="TableParagraph"/>
              <w:rPr>
                <w:sz w:val="22"/>
              </w:rPr>
            </w:pPr>
          </w:p>
          <w:p>
            <w:pPr>
              <w:pStyle w:val="TableParagraph"/>
              <w:spacing w:line="360" w:lineRule="auto" w:before="129"/>
              <w:ind w:left="100" w:right="103"/>
              <w:jc w:val="both"/>
              <w:rPr>
                <w:sz w:val="22"/>
              </w:rPr>
            </w:pPr>
            <w:r>
              <w:rPr>
                <w:color w:val="202020"/>
                <w:sz w:val="22"/>
              </w:rPr>
              <w:t>Mediante</w:t>
            </w:r>
            <w:r>
              <w:rPr>
                <w:color w:val="202020"/>
                <w:spacing w:val="-8"/>
                <w:sz w:val="22"/>
              </w:rPr>
              <w:t> </w:t>
            </w:r>
            <w:r>
              <w:rPr>
                <w:color w:val="202020"/>
                <w:sz w:val="22"/>
              </w:rPr>
              <w:t>este</w:t>
            </w:r>
            <w:r>
              <w:rPr>
                <w:color w:val="202020"/>
                <w:spacing w:val="-13"/>
                <w:sz w:val="22"/>
              </w:rPr>
              <w:t> </w:t>
            </w:r>
            <w:r>
              <w:rPr>
                <w:color w:val="202020"/>
                <w:sz w:val="22"/>
              </w:rPr>
              <w:t>método</w:t>
            </w:r>
            <w:r>
              <w:rPr>
                <w:color w:val="202020"/>
                <w:spacing w:val="-10"/>
                <w:sz w:val="22"/>
              </w:rPr>
              <w:t> </w:t>
            </w:r>
            <w:r>
              <w:rPr>
                <w:color w:val="202020"/>
                <w:sz w:val="22"/>
              </w:rPr>
              <w:t>se</w:t>
            </w:r>
            <w:r>
              <w:rPr>
                <w:color w:val="202020"/>
                <w:spacing w:val="-9"/>
                <w:sz w:val="22"/>
              </w:rPr>
              <w:t> </w:t>
            </w:r>
            <w:r>
              <w:rPr>
                <w:color w:val="202020"/>
                <w:sz w:val="22"/>
              </w:rPr>
              <w:t>pueden</w:t>
            </w:r>
            <w:r>
              <w:rPr>
                <w:color w:val="202020"/>
                <w:spacing w:val="-10"/>
                <w:sz w:val="22"/>
              </w:rPr>
              <w:t> </w:t>
            </w:r>
            <w:r>
              <w:rPr>
                <w:color w:val="202020"/>
                <w:sz w:val="22"/>
              </w:rPr>
              <w:t>oxidar totalmente un amplio espectro de compuestos</w:t>
            </w:r>
            <w:r>
              <w:rPr>
                <w:color w:val="202020"/>
                <w:spacing w:val="-4"/>
                <w:sz w:val="22"/>
              </w:rPr>
              <w:t> </w:t>
            </w:r>
            <w:r>
              <w:rPr>
                <w:color w:val="202020"/>
                <w:sz w:val="22"/>
              </w:rPr>
              <w:t>orgánicos.</w:t>
            </w:r>
          </w:p>
        </w:tc>
      </w:tr>
    </w:tbl>
    <w:p>
      <w:pPr>
        <w:pStyle w:val="BodyText"/>
        <w:rPr>
          <w:sz w:val="20"/>
        </w:rPr>
      </w:pPr>
    </w:p>
    <w:p>
      <w:pPr>
        <w:pStyle w:val="BodyText"/>
        <w:spacing w:before="7"/>
        <w:rPr>
          <w:sz w:val="26"/>
        </w:rPr>
      </w:pPr>
    </w:p>
    <w:p>
      <w:pPr>
        <w:pStyle w:val="BodyText"/>
        <w:spacing w:line="360" w:lineRule="auto" w:before="70"/>
        <w:ind w:left="658" w:right="403"/>
        <w:jc w:val="both"/>
      </w:pPr>
      <w:r>
        <w:rPr/>
        <w:t>De acuerdo a los artículos consultados y mencionados anteriormente se analiza que el aplicar luz UV al proceso de oxidación con peróxido de hidrógeno mejora en gran medida el proceso, es por ello que se estudiará detalladamente el proceso de oxidación con peróxido de hidrógeno y luz ultravioleta.</w:t>
      </w:r>
    </w:p>
    <w:p>
      <w:pPr>
        <w:spacing w:after="0" w:line="360" w:lineRule="auto"/>
        <w:jc w:val="both"/>
        <w:sectPr>
          <w:pgSz w:w="12240" w:h="15840"/>
          <w:pgMar w:header="0" w:footer="654" w:top="1140" w:bottom="840" w:left="760" w:right="840"/>
        </w:sectPr>
      </w:pPr>
    </w:p>
    <w:p>
      <w:pPr>
        <w:pStyle w:val="Heading5"/>
        <w:numPr>
          <w:ilvl w:val="2"/>
          <w:numId w:val="4"/>
        </w:numPr>
        <w:tabs>
          <w:tab w:pos="1504" w:val="left" w:leader="none"/>
        </w:tabs>
        <w:spacing w:line="240" w:lineRule="auto" w:before="49" w:after="0"/>
        <w:ind w:left="1503" w:right="0" w:hanging="485"/>
        <w:jc w:val="left"/>
      </w:pPr>
      <w:r>
        <w:rPr/>
        <w:t>PERÓXIDO DE HIDRÓGENO Y LA LUZ</w:t>
      </w:r>
      <w:r>
        <w:rPr>
          <w:spacing w:val="-13"/>
        </w:rPr>
        <w:t> </w:t>
      </w:r>
      <w:r>
        <w:rPr/>
        <w:t>UV</w:t>
      </w:r>
    </w:p>
    <w:p>
      <w:pPr>
        <w:pStyle w:val="BodyText"/>
        <w:spacing w:before="7"/>
        <w:rPr>
          <w:sz w:val="31"/>
        </w:rPr>
      </w:pPr>
    </w:p>
    <w:p>
      <w:pPr>
        <w:pStyle w:val="BodyText"/>
        <w:spacing w:line="360" w:lineRule="auto"/>
        <w:ind w:left="658" w:right="399"/>
        <w:jc w:val="both"/>
      </w:pPr>
      <w:r>
        <w:rPr/>
        <w:t>La oxidación de contaminantes orgánicos en el agua se produce a mayor velocidad combinando la radiación ultravioleta con un oxidante (peróxido de hidrógeno, ozono, etc.) de lo que es de esperar basándose en los tratamientos por separado. El sistema UV/oxidante involucra una excitación directa del sustrato debida a la radiación con la subsiguiente reacción oxidante. Pese a ello, se observa un efecto sinérgico que provoca que el resultado sea superior al del efecto aditivo. La magnitud de esta sinergia es muy variable, ya que el sistema puede tener interferencias importantes, debidas a los intermedios de reacción y demás sustancias que puedan estar presentes en el agua [Rodríguez, et al., 2009; Wang, et al., 2010; García y Martínez, 2009; Chen, et al., 2016].</w:t>
      </w:r>
    </w:p>
    <w:p>
      <w:pPr>
        <w:pStyle w:val="BodyText"/>
      </w:pPr>
    </w:p>
    <w:p>
      <w:pPr>
        <w:pStyle w:val="BodyText"/>
        <w:spacing w:line="360" w:lineRule="auto" w:before="142"/>
        <w:ind w:left="658" w:right="399"/>
        <w:jc w:val="both"/>
      </w:pPr>
      <w:r>
        <w:rPr/>
        <w:t>La capacidad de los sistemas UV/oxidante de oxidar un mayor número de compuestos refractarios</w:t>
      </w:r>
      <w:r>
        <w:rPr>
          <w:spacing w:val="-14"/>
        </w:rPr>
        <w:t> </w:t>
      </w:r>
      <w:r>
        <w:rPr/>
        <w:t>con</w:t>
      </w:r>
      <w:r>
        <w:rPr>
          <w:spacing w:val="-13"/>
        </w:rPr>
        <w:t> </w:t>
      </w:r>
      <w:r>
        <w:rPr/>
        <w:t>una</w:t>
      </w:r>
      <w:r>
        <w:rPr>
          <w:spacing w:val="-13"/>
        </w:rPr>
        <w:t> </w:t>
      </w:r>
      <w:r>
        <w:rPr/>
        <w:t>cinética</w:t>
      </w:r>
      <w:r>
        <w:rPr>
          <w:spacing w:val="-16"/>
        </w:rPr>
        <w:t> </w:t>
      </w:r>
      <w:r>
        <w:rPr/>
        <w:t>más</w:t>
      </w:r>
      <w:r>
        <w:rPr>
          <w:spacing w:val="-14"/>
        </w:rPr>
        <w:t> </w:t>
      </w:r>
      <w:r>
        <w:rPr/>
        <w:t>rápida,</w:t>
      </w:r>
      <w:r>
        <w:rPr>
          <w:spacing w:val="-13"/>
        </w:rPr>
        <w:t> </w:t>
      </w:r>
      <w:r>
        <w:rPr/>
        <w:t>se</w:t>
      </w:r>
      <w:r>
        <w:rPr>
          <w:spacing w:val="-16"/>
        </w:rPr>
        <w:t> </w:t>
      </w:r>
      <w:r>
        <w:rPr/>
        <w:t>debe</w:t>
      </w:r>
      <w:r>
        <w:rPr>
          <w:spacing w:val="-16"/>
        </w:rPr>
        <w:t> </w:t>
      </w:r>
      <w:r>
        <w:rPr/>
        <w:t>a</w:t>
      </w:r>
      <w:r>
        <w:rPr>
          <w:spacing w:val="-13"/>
        </w:rPr>
        <w:t> </w:t>
      </w:r>
      <w:r>
        <w:rPr/>
        <w:t>que</w:t>
      </w:r>
      <w:r>
        <w:rPr>
          <w:spacing w:val="-13"/>
        </w:rPr>
        <w:t> </w:t>
      </w:r>
      <w:r>
        <w:rPr/>
        <w:t>se</w:t>
      </w:r>
      <w:r>
        <w:rPr>
          <w:spacing w:val="-18"/>
        </w:rPr>
        <w:t> </w:t>
      </w:r>
      <w:r>
        <w:rPr/>
        <w:t>favorece</w:t>
      </w:r>
      <w:r>
        <w:rPr>
          <w:spacing w:val="-13"/>
        </w:rPr>
        <w:t> </w:t>
      </w:r>
      <w:r>
        <w:rPr/>
        <w:t>la</w:t>
      </w:r>
      <w:r>
        <w:rPr>
          <w:spacing w:val="-16"/>
        </w:rPr>
        <w:t> </w:t>
      </w:r>
      <w:r>
        <w:rPr/>
        <w:t>formación</w:t>
      </w:r>
      <w:r>
        <w:rPr>
          <w:spacing w:val="-15"/>
        </w:rPr>
        <w:t> </w:t>
      </w:r>
      <w:r>
        <w:rPr>
          <w:spacing w:val="3"/>
        </w:rPr>
        <w:t>del</w:t>
      </w:r>
      <w:r>
        <w:rPr>
          <w:spacing w:val="-14"/>
        </w:rPr>
        <w:t> </w:t>
      </w:r>
      <w:r>
        <w:rPr/>
        <w:t>radical</w:t>
      </w:r>
    </w:p>
    <w:p>
      <w:pPr>
        <w:pStyle w:val="BodyText"/>
        <w:spacing w:line="360" w:lineRule="auto"/>
        <w:ind w:left="658" w:right="399"/>
        <w:jc w:val="both"/>
      </w:pPr>
      <w:r>
        <w:rPr>
          <w:position w:val="8"/>
          <w:sz w:val="16"/>
        </w:rPr>
        <w:t>●</w:t>
      </w:r>
      <w:r>
        <w:rPr/>
        <w:t>OH, el más importante en todos los tratamientos de oxidación avanzada, puede verse en la ec. 8 [Rodríguez, et al., 2009; Isarain-Chávez, et al., 2010, Ribeiro, et al., 2015, Rosero R. J. C. 2015; Terán, 2016].</w:t>
      </w:r>
    </w:p>
    <w:p>
      <w:pPr>
        <w:pStyle w:val="BodyText"/>
        <w:rPr>
          <w:sz w:val="20"/>
        </w:rPr>
      </w:pPr>
    </w:p>
    <w:p>
      <w:pPr>
        <w:pStyle w:val="BodyText"/>
        <w:rPr>
          <w:sz w:val="18"/>
        </w:rPr>
      </w:pPr>
    </w:p>
    <w:p>
      <w:pPr>
        <w:spacing w:after="0"/>
        <w:rPr>
          <w:sz w:val="18"/>
        </w:rPr>
        <w:sectPr>
          <w:pgSz w:w="12240" w:h="15840"/>
          <w:pgMar w:header="0" w:footer="654" w:top="1080" w:bottom="1060" w:left="760" w:right="840"/>
        </w:sectPr>
      </w:pPr>
    </w:p>
    <w:p>
      <w:pPr>
        <w:spacing w:line="177" w:lineRule="exact" w:before="71"/>
        <w:ind w:left="654" w:right="0" w:firstLine="0"/>
        <w:jc w:val="center"/>
        <w:rPr>
          <w:rFonts w:ascii="Cambria Math"/>
          <w:sz w:val="17"/>
        </w:rPr>
      </w:pPr>
      <w:r>
        <w:rPr/>
        <w:pict>
          <v:shape style="position:absolute;margin-left:104.540001pt;margin-top:7.450078pt;width:53.9pt;height:12pt;mso-position-horizontal-relative:page;mso-position-vertical-relative:paragraph;z-index:-130696" type="#_x0000_t202" filled="false" stroked="false">
            <v:textbox inset="0,0,0,0">
              <w:txbxContent>
                <w:p>
                  <w:pPr>
                    <w:pStyle w:val="BodyText"/>
                    <w:tabs>
                      <w:tab w:pos="602" w:val="left" w:leader="none"/>
                    </w:tabs>
                    <w:spacing w:line="240" w:lineRule="exact"/>
                    <w:rPr>
                      <w:rFonts w:ascii="Cambria Math" w:eastAsia="Cambria Math"/>
                    </w:rPr>
                  </w:pPr>
                  <w:r>
                    <w:rPr>
                      <w:rFonts w:ascii="Cambria Math" w:eastAsia="Cambria Math"/>
                    </w:rPr>
                    <w:t>𝑯</w:t>
                    <w:tab/>
                    <w:t>+  𝑯</w:t>
                  </w:r>
                </w:p>
              </w:txbxContent>
            </v:textbox>
            <w10:wrap type="none"/>
          </v:shape>
        </w:pict>
      </w:r>
      <w:r>
        <w:rPr>
          <w:rFonts w:ascii="Cambria Math"/>
          <w:w w:val="97"/>
          <w:sz w:val="17"/>
        </w:rPr>
        <w:t>+</w:t>
      </w:r>
    </w:p>
    <w:p>
      <w:pPr>
        <w:tabs>
          <w:tab w:pos="2408" w:val="left" w:leader="none"/>
        </w:tabs>
        <w:spacing w:line="187" w:lineRule="exact" w:before="0"/>
        <w:ind w:left="1520" w:right="0" w:firstLine="0"/>
        <w:jc w:val="left"/>
        <w:rPr>
          <w:rFonts w:ascii="Cambria Math" w:eastAsia="Cambria Math"/>
          <w:sz w:val="17"/>
        </w:rPr>
      </w:pPr>
      <w:r>
        <w:rPr>
          <w:rFonts w:ascii="Cambria Math" w:eastAsia="Cambria Math"/>
          <w:position w:val="1"/>
          <w:sz w:val="17"/>
        </w:rPr>
        <w:t>(</w:t>
      </w:r>
      <w:r>
        <w:rPr>
          <w:rFonts w:ascii="Cambria Math" w:eastAsia="Cambria Math"/>
          <w:sz w:val="17"/>
        </w:rPr>
        <w:t>𝒂�</w:t>
      </w:r>
      <w:r>
        <w:rPr>
          <w:rFonts w:ascii="Cambria Math" w:eastAsia="Cambria Math"/>
          <w:position w:val="1"/>
          <w:sz w:val="17"/>
        </w:rPr>
        <w:t>)</w:t>
        <w:tab/>
        <w:t> �</w:t>
      </w:r>
    </w:p>
    <w:p>
      <w:pPr>
        <w:spacing w:before="106"/>
        <w:ind w:left="-32" w:right="0" w:firstLine="0"/>
        <w:jc w:val="left"/>
        <w:rPr>
          <w:rFonts w:ascii="Cambria Math" w:eastAsia="Cambria Math"/>
          <w:sz w:val="17"/>
        </w:rPr>
      </w:pPr>
      <w:r>
        <w:rPr/>
        <w:br w:type="column"/>
      </w:r>
      <w:r>
        <w:rPr>
          <w:rFonts w:ascii="Cambria Math" w:eastAsia="Cambria Math"/>
          <w:w w:val="95"/>
          <w:position w:val="5"/>
          <w:sz w:val="24"/>
        </w:rPr>
        <w:t>𝑶</w:t>
      </w:r>
      <w:r>
        <w:rPr>
          <w:rFonts w:ascii="Cambria Math" w:eastAsia="Cambria Math"/>
          <w:w w:val="95"/>
          <w:sz w:val="17"/>
        </w:rPr>
        <w:t>� </w:t>
      </w:r>
      <w:r>
        <w:rPr>
          <w:rFonts w:ascii="Cambria Math" w:eastAsia="Cambria Math"/>
          <w:sz w:val="17"/>
        </w:rPr>
        <w:t>(𝒂�)</w:t>
      </w:r>
    </w:p>
    <w:p>
      <w:pPr>
        <w:spacing w:before="84"/>
        <w:ind w:left="24" w:right="0" w:firstLine="0"/>
        <w:jc w:val="left"/>
        <w:rPr>
          <w:rFonts w:ascii="Cambria Math" w:hAnsi="Cambria Math" w:eastAsia="Cambria Math"/>
          <w:sz w:val="24"/>
        </w:rPr>
      </w:pPr>
      <w:r>
        <w:rPr/>
        <w:br w:type="column"/>
      </w:r>
      <w:r>
        <w:rPr>
          <w:rFonts w:ascii="Cambria Math" w:hAnsi="Cambria Math" w:eastAsia="Cambria Math"/>
          <w:sz w:val="24"/>
        </w:rPr>
        <w:t>+ 𝒆</w:t>
      </w:r>
      <w:r>
        <w:rPr>
          <w:rFonts w:ascii="Cambria Math" w:hAnsi="Cambria Math" w:eastAsia="Cambria Math"/>
          <w:position w:val="9"/>
          <w:sz w:val="17"/>
        </w:rPr>
        <w:t>− </w:t>
      </w:r>
      <w:r>
        <w:rPr>
          <w:rFonts w:ascii="Cambria Math" w:hAnsi="Cambria Math" w:eastAsia="Cambria Math"/>
          <w:sz w:val="24"/>
        </w:rPr>
        <w:t>→ </w:t>
      </w:r>
      <w:r>
        <w:rPr>
          <w:rFonts w:ascii="Cambria Math" w:hAnsi="Cambria Math" w:eastAsia="Cambria Math"/>
          <w:position w:val="9"/>
          <w:sz w:val="17"/>
        </w:rPr>
        <w:t>.</w:t>
      </w:r>
      <w:r>
        <w:rPr>
          <w:rFonts w:ascii="Cambria Math" w:hAnsi="Cambria Math" w:eastAsia="Cambria Math"/>
          <w:sz w:val="24"/>
        </w:rPr>
        <w:t>𝑶𝑯</w:t>
      </w:r>
    </w:p>
    <w:p>
      <w:pPr>
        <w:pStyle w:val="BodyText"/>
        <w:spacing w:before="11"/>
        <w:rPr>
          <w:rFonts w:ascii="Cambria Math"/>
          <w:sz w:val="18"/>
        </w:rPr>
      </w:pPr>
      <w:r>
        <w:rPr/>
        <w:br w:type="column"/>
      </w:r>
      <w:r>
        <w:rPr>
          <w:rFonts w:ascii="Cambria Math"/>
          <w:sz w:val="18"/>
        </w:rPr>
      </w:r>
    </w:p>
    <w:p>
      <w:pPr>
        <w:spacing w:before="0"/>
        <w:ind w:left="-40" w:right="-136" w:firstLine="0"/>
        <w:jc w:val="left"/>
        <w:rPr>
          <w:rFonts w:ascii="Cambria Math" w:eastAsia="Cambria Math"/>
          <w:sz w:val="17"/>
        </w:rPr>
      </w:pPr>
      <w:r>
        <w:rPr>
          <w:rFonts w:ascii="Cambria Math" w:eastAsia="Cambria Math"/>
          <w:spacing w:val="-2"/>
          <w:w w:val="100"/>
          <w:sz w:val="17"/>
        </w:rPr>
        <w:t>(</w:t>
      </w:r>
      <w:r>
        <w:rPr>
          <w:rFonts w:ascii="Cambria Math" w:eastAsia="Cambria Math"/>
          <w:spacing w:val="-1"/>
          <w:w w:val="100"/>
          <w:sz w:val="17"/>
        </w:rPr>
        <w:t>𝒂</w:t>
      </w:r>
      <w:r>
        <w:rPr>
          <w:rFonts w:ascii="Cambria Math" w:eastAsia="Cambria Math"/>
          <w:w w:val="92"/>
          <w:sz w:val="17"/>
        </w:rPr>
        <w:t>�</w:t>
      </w:r>
      <w:r>
        <w:rPr>
          <w:rFonts w:ascii="Cambria Math" w:eastAsia="Cambria Math"/>
          <w:w w:val="100"/>
          <w:sz w:val="17"/>
        </w:rPr>
        <w:t>)</w:t>
      </w:r>
    </w:p>
    <w:p>
      <w:pPr>
        <w:spacing w:before="108"/>
        <w:ind w:left="21" w:right="-11" w:firstLine="0"/>
        <w:jc w:val="left"/>
        <w:rPr>
          <w:rFonts w:ascii="Cambria Math" w:eastAsia="Cambria Math"/>
          <w:sz w:val="17"/>
        </w:rPr>
      </w:pPr>
      <w:r>
        <w:rPr/>
        <w:br w:type="column"/>
      </w:r>
      <w:r>
        <w:rPr>
          <w:rFonts w:ascii="Cambria Math" w:eastAsia="Cambria Math"/>
          <w:sz w:val="24"/>
        </w:rPr>
        <w:t>+ </w:t>
      </w:r>
      <w:r>
        <w:rPr>
          <w:rFonts w:ascii="Cambria Math" w:eastAsia="Cambria Math"/>
          <w:w w:val="95"/>
          <w:sz w:val="24"/>
        </w:rPr>
        <w:t>𝑯</w:t>
      </w:r>
      <w:r>
        <w:rPr>
          <w:rFonts w:ascii="Cambria Math" w:eastAsia="Cambria Math"/>
          <w:w w:val="95"/>
          <w:position w:val="-4"/>
          <w:sz w:val="17"/>
        </w:rPr>
        <w:t>�</w:t>
      </w:r>
    </w:p>
    <w:p>
      <w:pPr>
        <w:spacing w:before="106"/>
        <w:ind w:left="-29" w:right="-189" w:firstLine="0"/>
        <w:jc w:val="left"/>
        <w:rPr>
          <w:rFonts w:ascii="Cambria Math" w:eastAsia="Cambria Math"/>
          <w:sz w:val="17"/>
        </w:rPr>
      </w:pPr>
      <w:r>
        <w:rPr/>
        <w:br w:type="column"/>
      </w:r>
      <w:r>
        <w:rPr>
          <w:rFonts w:ascii="Cambria Math" w:eastAsia="Cambria Math"/>
          <w:spacing w:val="-1"/>
          <w:w w:val="99"/>
          <w:position w:val="5"/>
          <w:sz w:val="24"/>
        </w:rPr>
        <w:t>𝑶</w:t>
      </w:r>
      <w:r>
        <w:rPr>
          <w:rFonts w:ascii="Cambria Math" w:eastAsia="Cambria Math"/>
          <w:spacing w:val="-2"/>
          <w:w w:val="100"/>
          <w:sz w:val="17"/>
        </w:rPr>
        <w:t>(</w:t>
      </w:r>
      <w:r>
        <w:rPr>
          <w:rFonts w:ascii="Cambria Math" w:eastAsia="Cambria Math"/>
          <w:spacing w:val="-1"/>
          <w:w w:val="100"/>
          <w:sz w:val="17"/>
        </w:rPr>
        <w:t>𝒍</w:t>
      </w:r>
      <w:r>
        <w:rPr>
          <w:rFonts w:ascii="Cambria Math" w:eastAsia="Cambria Math"/>
          <w:w w:val="100"/>
          <w:sz w:val="17"/>
        </w:rPr>
        <w:t>)</w:t>
      </w:r>
    </w:p>
    <w:p>
      <w:pPr>
        <w:pStyle w:val="BodyText"/>
        <w:spacing w:before="108"/>
        <w:ind w:left="1307" w:right="1055"/>
        <w:jc w:val="center"/>
        <w:rPr>
          <w:rFonts w:ascii="Cambria Math" w:eastAsia="Cambria Math"/>
        </w:rPr>
      </w:pPr>
      <w:r>
        <w:rPr/>
        <w:br w:type="column"/>
      </w:r>
      <w:r>
        <w:rPr>
          <w:rFonts w:ascii="Cambria Math" w:eastAsia="Cambria Math"/>
          <w:spacing w:val="-77"/>
          <w:w w:val="95"/>
        </w:rPr>
        <w:t>𝑬𝒄.</w:t>
      </w:r>
      <w:r>
        <w:rPr>
          <w:rFonts w:ascii="Cambria Math" w:eastAsia="Cambria Math"/>
          <w:spacing w:val="8"/>
          <w:w w:val="95"/>
        </w:rPr>
        <w:t> </w:t>
      </w:r>
      <w:r>
        <w:rPr>
          <w:rFonts w:ascii="Cambria Math" w:eastAsia="Cambria Math"/>
          <w:spacing w:val="-76"/>
          <w:w w:val="95"/>
        </w:rPr>
        <w:t>�</w:t>
      </w:r>
    </w:p>
    <w:p>
      <w:pPr>
        <w:spacing w:after="0"/>
        <w:jc w:val="center"/>
        <w:rPr>
          <w:rFonts w:ascii="Cambria Math" w:eastAsia="Cambria Math"/>
        </w:rPr>
        <w:sectPr>
          <w:type w:val="continuous"/>
          <w:pgSz w:w="12240" w:h="15840"/>
          <w:pgMar w:top="1500" w:bottom="840" w:left="760" w:right="840"/>
          <w:cols w:num="7" w:equalWidth="0">
            <w:col w:w="2511" w:space="40"/>
            <w:col w:w="635" w:space="40"/>
            <w:col w:w="1532" w:space="40"/>
            <w:col w:w="310" w:space="40"/>
            <w:col w:w="652" w:space="40"/>
            <w:col w:w="350" w:space="1534"/>
            <w:col w:w="2916"/>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11"/>
        <w:rPr>
          <w:rFonts w:ascii="Cambria Math"/>
          <w:sz w:val="26"/>
        </w:rPr>
      </w:pPr>
    </w:p>
    <w:p>
      <w:pPr>
        <w:pStyle w:val="Heading5"/>
        <w:numPr>
          <w:ilvl w:val="3"/>
          <w:numId w:val="4"/>
        </w:numPr>
        <w:tabs>
          <w:tab w:pos="1739" w:val="left" w:leader="none"/>
        </w:tabs>
        <w:spacing w:line="240" w:lineRule="auto" w:before="64" w:after="0"/>
        <w:ind w:left="1738" w:right="0" w:hanging="720"/>
        <w:jc w:val="left"/>
      </w:pPr>
      <w:r>
        <w:rPr>
          <w:position w:val="2"/>
        </w:rPr>
        <w:t>PROCESO</w:t>
      </w:r>
      <w:r>
        <w:rPr>
          <w:spacing w:val="-7"/>
          <w:position w:val="2"/>
        </w:rPr>
        <w:t> </w:t>
      </w:r>
      <w:r>
        <w:rPr>
          <w:position w:val="2"/>
        </w:rPr>
        <w:t>UV/H</w:t>
      </w:r>
      <w:r>
        <w:rPr>
          <w:sz w:val="18"/>
        </w:rPr>
        <w:t>2</w:t>
      </w:r>
      <w:r>
        <w:rPr>
          <w:position w:val="2"/>
        </w:rPr>
        <w:t>O</w:t>
      </w:r>
      <w:r>
        <w:rPr>
          <w:sz w:val="18"/>
        </w:rPr>
        <w:t>2</w:t>
      </w:r>
    </w:p>
    <w:p>
      <w:pPr>
        <w:pStyle w:val="BodyText"/>
        <w:spacing w:line="360" w:lineRule="auto" w:before="165"/>
        <w:ind w:left="658" w:right="405"/>
        <w:jc w:val="both"/>
      </w:pPr>
      <w:r>
        <w:rPr/>
        <w:t>La combinación de radiación ultravioleta y peróxido de hidrógeno es especialmente interesante cuando se desea obtener un agua con alto grado de pureza.</w:t>
      </w:r>
    </w:p>
    <w:p>
      <w:pPr>
        <w:pStyle w:val="BodyText"/>
      </w:pPr>
    </w:p>
    <w:p>
      <w:pPr>
        <w:pStyle w:val="BodyText"/>
        <w:spacing w:line="360" w:lineRule="auto" w:before="142"/>
        <w:ind w:left="658" w:right="399"/>
        <w:jc w:val="both"/>
      </w:pPr>
      <w:r>
        <w:rPr/>
        <w:t>El</w:t>
      </w:r>
      <w:r>
        <w:rPr>
          <w:spacing w:val="-6"/>
        </w:rPr>
        <w:t> </w:t>
      </w:r>
      <w:r>
        <w:rPr/>
        <w:t>mecanismo</w:t>
      </w:r>
      <w:r>
        <w:rPr>
          <w:spacing w:val="-9"/>
        </w:rPr>
        <w:t> </w:t>
      </w:r>
      <w:r>
        <w:rPr/>
        <w:t>más</w:t>
      </w:r>
      <w:r>
        <w:rPr>
          <w:spacing w:val="-8"/>
        </w:rPr>
        <w:t> </w:t>
      </w:r>
      <w:r>
        <w:rPr/>
        <w:t>comúnmente</w:t>
      </w:r>
      <w:r>
        <w:rPr>
          <w:spacing w:val="-5"/>
        </w:rPr>
        <w:t> </w:t>
      </w:r>
      <w:r>
        <w:rPr/>
        <w:t>aceptado</w:t>
      </w:r>
      <w:r>
        <w:rPr>
          <w:spacing w:val="-7"/>
        </w:rPr>
        <w:t> </w:t>
      </w:r>
      <w:r>
        <w:rPr/>
        <w:t>para</w:t>
      </w:r>
      <w:r>
        <w:rPr>
          <w:spacing w:val="-5"/>
        </w:rPr>
        <w:t> </w:t>
      </w:r>
      <w:r>
        <w:rPr/>
        <w:t>la</w:t>
      </w:r>
      <w:r>
        <w:rPr>
          <w:spacing w:val="-10"/>
        </w:rPr>
        <w:t> </w:t>
      </w:r>
      <w:r>
        <w:rPr/>
        <w:t>fotólisis</w:t>
      </w:r>
      <w:r>
        <w:rPr>
          <w:spacing w:val="-6"/>
        </w:rPr>
        <w:t> </w:t>
      </w:r>
      <w:r>
        <w:rPr/>
        <w:t>del</w:t>
      </w:r>
      <w:r>
        <w:rPr>
          <w:spacing w:val="-8"/>
        </w:rPr>
        <w:t> </w:t>
      </w:r>
      <w:r>
        <w:rPr/>
        <w:t>peróxido</w:t>
      </w:r>
      <w:r>
        <w:rPr>
          <w:spacing w:val="-4"/>
        </w:rPr>
        <w:t> </w:t>
      </w:r>
      <w:r>
        <w:rPr/>
        <w:t>de</w:t>
      </w:r>
      <w:r>
        <w:rPr>
          <w:spacing w:val="-7"/>
        </w:rPr>
        <w:t> </w:t>
      </w:r>
      <w:r>
        <w:rPr/>
        <w:t>hidrógeno</w:t>
      </w:r>
      <w:r>
        <w:rPr>
          <w:spacing w:val="-7"/>
        </w:rPr>
        <w:t> </w:t>
      </w:r>
      <w:r>
        <w:rPr/>
        <w:t>es</w:t>
      </w:r>
      <w:r>
        <w:rPr>
          <w:spacing w:val="-5"/>
        </w:rPr>
        <w:t> </w:t>
      </w:r>
      <w:r>
        <w:rPr/>
        <w:t>la ruptura homolitica del enlace entre oxígenos por la acción de la radiación ultravioleta para formar</w:t>
      </w:r>
      <w:r>
        <w:rPr>
          <w:spacing w:val="-15"/>
        </w:rPr>
        <w:t> </w:t>
      </w:r>
      <w:r>
        <w:rPr/>
        <w:t>dos</w:t>
      </w:r>
      <w:r>
        <w:rPr>
          <w:spacing w:val="-15"/>
        </w:rPr>
        <w:t> </w:t>
      </w:r>
      <w:r>
        <w:rPr/>
        <w:t>radicales</w:t>
      </w:r>
      <w:r>
        <w:rPr>
          <w:spacing w:val="-15"/>
        </w:rPr>
        <w:t> </w:t>
      </w:r>
      <w:r>
        <w:rPr/>
        <w:t>hidroxilo</w:t>
      </w:r>
      <w:r>
        <w:rPr>
          <w:spacing w:val="-12"/>
        </w:rPr>
        <w:t> </w:t>
      </w:r>
      <w:r>
        <w:rPr/>
        <w:t>[García</w:t>
      </w:r>
      <w:r>
        <w:rPr>
          <w:spacing w:val="-14"/>
        </w:rPr>
        <w:t> </w:t>
      </w:r>
      <w:r>
        <w:rPr/>
        <w:t>y</w:t>
      </w:r>
      <w:r>
        <w:rPr>
          <w:spacing w:val="-15"/>
        </w:rPr>
        <w:t> </w:t>
      </w:r>
      <w:r>
        <w:rPr/>
        <w:t>Martínez,</w:t>
      </w:r>
      <w:r>
        <w:rPr>
          <w:spacing w:val="-13"/>
        </w:rPr>
        <w:t> </w:t>
      </w:r>
      <w:r>
        <w:rPr/>
        <w:t>2009;</w:t>
      </w:r>
      <w:r>
        <w:rPr>
          <w:spacing w:val="-14"/>
        </w:rPr>
        <w:t> </w:t>
      </w:r>
      <w:r>
        <w:rPr/>
        <w:t>Litter,</w:t>
      </w:r>
      <w:r>
        <w:rPr>
          <w:spacing w:val="-15"/>
        </w:rPr>
        <w:t> </w:t>
      </w:r>
      <w:r>
        <w:rPr/>
        <w:t>2001;</w:t>
      </w:r>
      <w:r>
        <w:rPr>
          <w:spacing w:val="-16"/>
        </w:rPr>
        <w:t> </w:t>
      </w:r>
      <w:r>
        <w:rPr/>
        <w:t>Arroyave,</w:t>
      </w:r>
      <w:r>
        <w:rPr>
          <w:spacing w:val="-14"/>
        </w:rPr>
        <w:t> </w:t>
      </w:r>
      <w:r>
        <w:rPr/>
        <w:t>et</w:t>
      </w:r>
      <w:r>
        <w:rPr>
          <w:spacing w:val="-14"/>
        </w:rPr>
        <w:t> </w:t>
      </w:r>
      <w:r>
        <w:rPr/>
        <w:t>al.,</w:t>
      </w:r>
      <w:r>
        <w:rPr>
          <w:spacing w:val="-16"/>
        </w:rPr>
        <w:t> </w:t>
      </w:r>
      <w:r>
        <w:rPr/>
        <w:t>2009].</w:t>
      </w:r>
    </w:p>
    <w:p>
      <w:pPr>
        <w:pStyle w:val="BodyText"/>
        <w:spacing w:before="10"/>
        <w:rPr>
          <w:sz w:val="35"/>
        </w:rPr>
      </w:pPr>
    </w:p>
    <w:p>
      <w:pPr>
        <w:pStyle w:val="Heading6"/>
        <w:tabs>
          <w:tab w:pos="3210" w:val="left" w:leader="none"/>
          <w:tab w:pos="8707" w:val="left" w:leader="none"/>
        </w:tabs>
        <w:ind w:left="1626" w:right="286"/>
        <w:jc w:val="left"/>
      </w:pPr>
      <w:r>
        <w:rPr>
          <w:position w:val="1"/>
        </w:rPr>
        <w:t>H</w:t>
      </w:r>
      <w:r>
        <w:rPr>
          <w:sz w:val="16"/>
        </w:rPr>
        <w:t>2</w:t>
      </w:r>
      <w:r>
        <w:rPr>
          <w:position w:val="1"/>
        </w:rPr>
        <w:t>O</w:t>
      </w:r>
      <w:r>
        <w:rPr>
          <w:sz w:val="16"/>
        </w:rPr>
        <w:t>2 </w:t>
      </w:r>
      <w:r>
        <w:rPr>
          <w:position w:val="1"/>
        </w:rPr>
        <w:t>+</w:t>
      </w:r>
      <w:r>
        <w:rPr>
          <w:spacing w:val="20"/>
          <w:position w:val="1"/>
        </w:rPr>
        <w:t> </w:t>
      </w:r>
      <w:r>
        <w:rPr>
          <w:position w:val="1"/>
        </w:rPr>
        <w:t>λv</w:t>
      </w:r>
      <w:r>
        <w:rPr>
          <w:spacing w:val="-5"/>
          <w:position w:val="1"/>
        </w:rPr>
        <w:t> </w:t>
      </w:r>
      <w:r>
        <w:rPr>
          <w:position w:val="1"/>
        </w:rPr>
        <w:t>→</w:t>
        <w:tab/>
        <w:t>2</w:t>
      </w:r>
      <w:r>
        <w:rPr>
          <w:position w:val="9"/>
          <w:sz w:val="16"/>
        </w:rPr>
        <w:t>●</w:t>
      </w:r>
      <w:r>
        <w:rPr>
          <w:position w:val="1"/>
        </w:rPr>
        <w:t>OH</w:t>
        <w:tab/>
        <w:t>Ec.</w:t>
      </w:r>
      <w:r>
        <w:rPr>
          <w:spacing w:val="-1"/>
          <w:position w:val="1"/>
        </w:rPr>
        <w:t> </w:t>
      </w:r>
      <w:r>
        <w:rPr>
          <w:position w:val="1"/>
        </w:rPr>
        <w:t>9</w:t>
      </w:r>
    </w:p>
    <w:p>
      <w:pPr>
        <w:spacing w:after="0"/>
        <w:jc w:val="left"/>
        <w:sectPr>
          <w:type w:val="continuous"/>
          <w:pgSz w:w="12240" w:h="15840"/>
          <w:pgMar w:top="1500" w:bottom="840" w:left="760" w:right="840"/>
        </w:sectPr>
      </w:pPr>
    </w:p>
    <w:p>
      <w:pPr>
        <w:pStyle w:val="BodyText"/>
        <w:spacing w:line="360" w:lineRule="auto" w:before="51"/>
        <w:ind w:left="658" w:right="400"/>
        <w:jc w:val="both"/>
      </w:pPr>
      <w:r>
        <w:rPr/>
        <w:t>Al utilizar la radiación UV combinada con el peróxido de hidrógeno se observa un efecto sinérgico</w:t>
      </w:r>
      <w:r>
        <w:rPr>
          <w:spacing w:val="-6"/>
        </w:rPr>
        <w:t> </w:t>
      </w:r>
      <w:r>
        <w:rPr/>
        <w:t>entre</w:t>
      </w:r>
      <w:r>
        <w:rPr>
          <w:spacing w:val="-9"/>
        </w:rPr>
        <w:t> </w:t>
      </w:r>
      <w:r>
        <w:rPr/>
        <w:t>ambos,</w:t>
      </w:r>
      <w:r>
        <w:rPr>
          <w:spacing w:val="-9"/>
        </w:rPr>
        <w:t> </w:t>
      </w:r>
      <w:r>
        <w:rPr/>
        <w:t>es</w:t>
      </w:r>
      <w:r>
        <w:rPr>
          <w:spacing w:val="-7"/>
        </w:rPr>
        <w:t> </w:t>
      </w:r>
      <w:r>
        <w:rPr/>
        <w:t>decir,</w:t>
      </w:r>
      <w:r>
        <w:rPr>
          <w:spacing w:val="-9"/>
        </w:rPr>
        <w:t> </w:t>
      </w:r>
      <w:r>
        <w:rPr/>
        <w:t>el</w:t>
      </w:r>
      <w:r>
        <w:rPr>
          <w:spacing w:val="-7"/>
        </w:rPr>
        <w:t> </w:t>
      </w:r>
      <w:r>
        <w:rPr/>
        <w:t>rendimiento</w:t>
      </w:r>
      <w:r>
        <w:rPr>
          <w:spacing w:val="-6"/>
        </w:rPr>
        <w:t> </w:t>
      </w:r>
      <w:r>
        <w:rPr/>
        <w:t>que</w:t>
      </w:r>
      <w:r>
        <w:rPr>
          <w:spacing w:val="-6"/>
        </w:rPr>
        <w:t> </w:t>
      </w:r>
      <w:r>
        <w:rPr/>
        <w:t>se</w:t>
      </w:r>
      <w:r>
        <w:rPr>
          <w:spacing w:val="-8"/>
        </w:rPr>
        <w:t> </w:t>
      </w:r>
      <w:r>
        <w:rPr/>
        <w:t>obtiene</w:t>
      </w:r>
      <w:r>
        <w:rPr>
          <w:spacing w:val="-8"/>
        </w:rPr>
        <w:t> </w:t>
      </w:r>
      <w:r>
        <w:rPr/>
        <w:t>es</w:t>
      </w:r>
      <w:r>
        <w:rPr>
          <w:spacing w:val="-9"/>
        </w:rPr>
        <w:t> </w:t>
      </w:r>
      <w:r>
        <w:rPr/>
        <w:t>mayor</w:t>
      </w:r>
      <w:r>
        <w:rPr>
          <w:spacing w:val="-7"/>
        </w:rPr>
        <w:t> </w:t>
      </w:r>
      <w:r>
        <w:rPr/>
        <w:t>que</w:t>
      </w:r>
      <w:r>
        <w:rPr>
          <w:spacing w:val="-6"/>
        </w:rPr>
        <w:t> </w:t>
      </w:r>
      <w:r>
        <w:rPr/>
        <w:t>si</w:t>
      </w:r>
      <w:r>
        <w:rPr>
          <w:spacing w:val="-7"/>
        </w:rPr>
        <w:t> </w:t>
      </w:r>
      <w:r>
        <w:rPr/>
        <w:t>se</w:t>
      </w:r>
      <w:r>
        <w:rPr>
          <w:spacing w:val="-6"/>
        </w:rPr>
        <w:t> </w:t>
      </w:r>
      <w:r>
        <w:rPr/>
        <w:t>irradiara primero el agua a tratar y, posteriormente se tratara con peróxido de hidrógeno. Este tratamiento ha sido aplicado en muchos estudios para la eliminación de contaminantes orgánicos como por ejemplo la oxidación de la atrazina o la eliminación de bencenos monosustituidos</w:t>
      </w:r>
      <w:r>
        <w:rPr>
          <w:spacing w:val="-14"/>
        </w:rPr>
        <w:t> </w:t>
      </w:r>
      <w:r>
        <w:rPr/>
        <w:t>[Litter,</w:t>
      </w:r>
      <w:r>
        <w:rPr>
          <w:spacing w:val="-14"/>
        </w:rPr>
        <w:t> </w:t>
      </w:r>
      <w:r>
        <w:rPr/>
        <w:t>2001;</w:t>
      </w:r>
      <w:r>
        <w:rPr>
          <w:spacing w:val="-14"/>
        </w:rPr>
        <w:t> </w:t>
      </w:r>
      <w:r>
        <w:rPr/>
        <w:t>Rodríguez,</w:t>
      </w:r>
      <w:r>
        <w:rPr>
          <w:spacing w:val="-14"/>
        </w:rPr>
        <w:t> </w:t>
      </w:r>
      <w:r>
        <w:rPr/>
        <w:t>et</w:t>
      </w:r>
      <w:r>
        <w:rPr>
          <w:spacing w:val="-14"/>
        </w:rPr>
        <w:t> </w:t>
      </w:r>
      <w:r>
        <w:rPr/>
        <w:t>al.,</w:t>
      </w:r>
      <w:r>
        <w:rPr>
          <w:spacing w:val="-14"/>
        </w:rPr>
        <w:t> </w:t>
      </w:r>
      <w:r>
        <w:rPr/>
        <w:t>2009;</w:t>
      </w:r>
      <w:r>
        <w:rPr>
          <w:spacing w:val="-14"/>
        </w:rPr>
        <w:t> </w:t>
      </w:r>
      <w:r>
        <w:rPr/>
        <w:t>Elmorsi,</w:t>
      </w:r>
      <w:r>
        <w:rPr>
          <w:spacing w:val="-14"/>
        </w:rPr>
        <w:t> </w:t>
      </w:r>
      <w:r>
        <w:rPr/>
        <w:t>et</w:t>
      </w:r>
      <w:r>
        <w:rPr>
          <w:spacing w:val="-17"/>
        </w:rPr>
        <w:t> </w:t>
      </w:r>
      <w:r>
        <w:rPr/>
        <w:t>al.,</w:t>
      </w:r>
      <w:r>
        <w:rPr>
          <w:spacing w:val="-17"/>
        </w:rPr>
        <w:t> </w:t>
      </w:r>
      <w:r>
        <w:rPr/>
        <w:t>2009;</w:t>
      </w:r>
      <w:r>
        <w:rPr>
          <w:spacing w:val="-14"/>
        </w:rPr>
        <w:t> </w:t>
      </w:r>
      <w:r>
        <w:rPr/>
        <w:t>Isarain-Chávez, et al., 2010; Loaiza, 2015; Zapata, et al.,</w:t>
      </w:r>
      <w:r>
        <w:rPr>
          <w:spacing w:val="-19"/>
        </w:rPr>
        <w:t> </w:t>
      </w:r>
      <w:r>
        <w:rPr/>
        <w:t>2016].</w:t>
      </w:r>
    </w:p>
    <w:p>
      <w:pPr>
        <w:pStyle w:val="BodyText"/>
      </w:pPr>
    </w:p>
    <w:p>
      <w:pPr>
        <w:pStyle w:val="BodyText"/>
      </w:pPr>
    </w:p>
    <w:p>
      <w:pPr>
        <w:pStyle w:val="BodyText"/>
        <w:spacing w:before="2"/>
      </w:pPr>
    </w:p>
    <w:p>
      <w:pPr>
        <w:pStyle w:val="Heading3"/>
        <w:numPr>
          <w:ilvl w:val="1"/>
          <w:numId w:val="4"/>
        </w:numPr>
        <w:tabs>
          <w:tab w:pos="1379" w:val="left" w:leader="none"/>
        </w:tabs>
        <w:spacing w:line="240" w:lineRule="auto" w:before="0" w:after="0"/>
        <w:ind w:left="1378" w:right="0" w:hanging="360"/>
        <w:jc w:val="left"/>
      </w:pPr>
      <w:r>
        <w:rPr/>
        <w:t>TRATAMIENTO DE RESIDUOS</w:t>
      </w:r>
      <w:r>
        <w:rPr>
          <w:spacing w:val="-20"/>
        </w:rPr>
        <w:t> </w:t>
      </w:r>
      <w:r>
        <w:rPr/>
        <w:t>GENERADOS</w:t>
      </w:r>
    </w:p>
    <w:p>
      <w:pPr>
        <w:pStyle w:val="BodyText"/>
        <w:spacing w:before="6"/>
        <w:rPr>
          <w:b/>
          <w:sz w:val="33"/>
        </w:rPr>
      </w:pPr>
    </w:p>
    <w:p>
      <w:pPr>
        <w:pStyle w:val="BodyText"/>
        <w:spacing w:line="360" w:lineRule="auto" w:before="1"/>
        <w:ind w:left="658" w:right="399"/>
        <w:jc w:val="both"/>
      </w:pPr>
      <w:r>
        <w:rPr/>
        <w:t>Como se ha mencionado, debido al inadecuado tratamiento del agua y de los residuos generados ha habido un incremento en la contaminación del agua, lo que produce </w:t>
      </w:r>
      <w:r>
        <w:rPr>
          <w:spacing w:val="-2"/>
        </w:rPr>
        <w:t>una </w:t>
      </w:r>
      <w:r>
        <w:rPr/>
        <w:t>alteración significativa en el medio ambiente. Por ello es que el proyecto se ha basado en la</w:t>
      </w:r>
      <w:r>
        <w:rPr>
          <w:spacing w:val="-4"/>
        </w:rPr>
        <w:t> </w:t>
      </w:r>
      <w:r>
        <w:rPr/>
        <w:t>Química</w:t>
      </w:r>
      <w:r>
        <w:rPr>
          <w:spacing w:val="-6"/>
        </w:rPr>
        <w:t> </w:t>
      </w:r>
      <w:r>
        <w:rPr/>
        <w:t>Verde</w:t>
      </w:r>
      <w:r>
        <w:rPr>
          <w:spacing w:val="-3"/>
        </w:rPr>
        <w:t> </w:t>
      </w:r>
      <w:r>
        <w:rPr/>
        <w:t>y</w:t>
      </w:r>
      <w:r>
        <w:rPr>
          <w:spacing w:val="-7"/>
        </w:rPr>
        <w:t> </w:t>
      </w:r>
      <w:r>
        <w:rPr/>
        <w:t>sus</w:t>
      </w:r>
      <w:r>
        <w:rPr>
          <w:spacing w:val="-4"/>
        </w:rPr>
        <w:t> </w:t>
      </w:r>
      <w:r>
        <w:rPr/>
        <w:t>principios,</w:t>
      </w:r>
      <w:r>
        <w:rPr>
          <w:spacing w:val="-6"/>
        </w:rPr>
        <w:t> </w:t>
      </w:r>
      <w:r>
        <w:rPr/>
        <w:t>para</w:t>
      </w:r>
      <w:r>
        <w:rPr>
          <w:spacing w:val="-9"/>
        </w:rPr>
        <w:t> </w:t>
      </w:r>
      <w:r>
        <w:rPr/>
        <w:t>mejorar</w:t>
      </w:r>
      <w:r>
        <w:rPr>
          <w:spacing w:val="-5"/>
        </w:rPr>
        <w:t> </w:t>
      </w:r>
      <w:r>
        <w:rPr/>
        <w:t>aún</w:t>
      </w:r>
      <w:r>
        <w:rPr>
          <w:spacing w:val="-6"/>
        </w:rPr>
        <w:t> </w:t>
      </w:r>
      <w:r>
        <w:rPr/>
        <w:t>más</w:t>
      </w:r>
      <w:r>
        <w:rPr>
          <w:spacing w:val="-4"/>
        </w:rPr>
        <w:t> </w:t>
      </w:r>
      <w:r>
        <w:rPr/>
        <w:t>la</w:t>
      </w:r>
      <w:r>
        <w:rPr>
          <w:spacing w:val="-6"/>
        </w:rPr>
        <w:t> </w:t>
      </w:r>
      <w:r>
        <w:rPr/>
        <w:t>técnica</w:t>
      </w:r>
      <w:r>
        <w:rPr>
          <w:spacing w:val="-6"/>
        </w:rPr>
        <w:t> </w:t>
      </w:r>
      <w:r>
        <w:rPr/>
        <w:t>de</w:t>
      </w:r>
      <w:r>
        <w:rPr>
          <w:spacing w:val="-4"/>
        </w:rPr>
        <w:t> </w:t>
      </w:r>
      <w:r>
        <w:rPr/>
        <w:t>la</w:t>
      </w:r>
      <w:r>
        <w:rPr>
          <w:spacing w:val="-6"/>
        </w:rPr>
        <w:t> </w:t>
      </w:r>
      <w:r>
        <w:rPr/>
        <w:t>determinación</w:t>
      </w:r>
      <w:r>
        <w:rPr>
          <w:spacing w:val="-4"/>
        </w:rPr>
        <w:t> </w:t>
      </w:r>
      <w:r>
        <w:rPr/>
        <w:t>de la demanda química de oxígeno, tratando los residuos generados de la misma para poder así</w:t>
      </w:r>
      <w:r>
        <w:rPr>
          <w:spacing w:val="-11"/>
        </w:rPr>
        <w:t> </w:t>
      </w:r>
      <w:r>
        <w:rPr/>
        <w:t>recuperar</w:t>
      </w:r>
      <w:r>
        <w:rPr>
          <w:spacing w:val="-10"/>
        </w:rPr>
        <w:t> </w:t>
      </w:r>
      <w:r>
        <w:rPr/>
        <w:t>la</w:t>
      </w:r>
      <w:r>
        <w:rPr>
          <w:spacing w:val="-11"/>
        </w:rPr>
        <w:t> </w:t>
      </w:r>
      <w:r>
        <w:rPr/>
        <w:t>plata</w:t>
      </w:r>
      <w:r>
        <w:rPr>
          <w:spacing w:val="-8"/>
        </w:rPr>
        <w:t> </w:t>
      </w:r>
      <w:r>
        <w:rPr/>
        <w:t>y</w:t>
      </w:r>
      <w:r>
        <w:rPr>
          <w:spacing w:val="-12"/>
        </w:rPr>
        <w:t> </w:t>
      </w:r>
      <w:r>
        <w:rPr/>
        <w:t>el</w:t>
      </w:r>
      <w:r>
        <w:rPr>
          <w:spacing w:val="-10"/>
        </w:rPr>
        <w:t> </w:t>
      </w:r>
      <w:r>
        <w:rPr/>
        <w:t>mercurio</w:t>
      </w:r>
      <w:r>
        <w:rPr>
          <w:spacing w:val="-6"/>
        </w:rPr>
        <w:t> </w:t>
      </w:r>
      <w:r>
        <w:rPr/>
        <w:t>utilizados.</w:t>
      </w:r>
      <w:r>
        <w:rPr>
          <w:spacing w:val="-11"/>
        </w:rPr>
        <w:t> </w:t>
      </w:r>
      <w:r>
        <w:rPr/>
        <w:t>Debido</w:t>
      </w:r>
      <w:r>
        <w:rPr>
          <w:spacing w:val="-9"/>
        </w:rPr>
        <w:t> </w:t>
      </w:r>
      <w:r>
        <w:rPr/>
        <w:t>al</w:t>
      </w:r>
      <w:r>
        <w:rPr>
          <w:spacing w:val="-10"/>
        </w:rPr>
        <w:t> </w:t>
      </w:r>
      <w:r>
        <w:rPr/>
        <w:t>valor</w:t>
      </w:r>
      <w:r>
        <w:rPr>
          <w:spacing w:val="-9"/>
        </w:rPr>
        <w:t> </w:t>
      </w:r>
      <w:r>
        <w:rPr/>
        <w:t>económico</w:t>
      </w:r>
      <w:r>
        <w:rPr>
          <w:spacing w:val="-9"/>
        </w:rPr>
        <w:t> </w:t>
      </w:r>
      <w:r>
        <w:rPr/>
        <w:t>que</w:t>
      </w:r>
      <w:r>
        <w:rPr>
          <w:spacing w:val="-11"/>
        </w:rPr>
        <w:t> </w:t>
      </w:r>
      <w:r>
        <w:rPr/>
        <w:t>tiene</w:t>
      </w:r>
      <w:r>
        <w:rPr>
          <w:spacing w:val="-8"/>
        </w:rPr>
        <w:t> </w:t>
      </w:r>
      <w:r>
        <w:rPr/>
        <w:t>la</w:t>
      </w:r>
      <w:r>
        <w:rPr>
          <w:spacing w:val="-11"/>
        </w:rPr>
        <w:t> </w:t>
      </w:r>
      <w:r>
        <w:rPr/>
        <w:t>plata, y</w:t>
      </w:r>
      <w:r>
        <w:rPr>
          <w:spacing w:val="-13"/>
        </w:rPr>
        <w:t> </w:t>
      </w:r>
      <w:r>
        <w:rPr/>
        <w:t>a</w:t>
      </w:r>
      <w:r>
        <w:rPr>
          <w:spacing w:val="-9"/>
        </w:rPr>
        <w:t> </w:t>
      </w:r>
      <w:r>
        <w:rPr/>
        <w:t>los</w:t>
      </w:r>
      <w:r>
        <w:rPr>
          <w:spacing w:val="-10"/>
        </w:rPr>
        <w:t> </w:t>
      </w:r>
      <w:r>
        <w:rPr/>
        <w:t>problemas</w:t>
      </w:r>
      <w:r>
        <w:rPr>
          <w:spacing w:val="-10"/>
        </w:rPr>
        <w:t> </w:t>
      </w:r>
      <w:r>
        <w:rPr/>
        <w:t>ambientales</w:t>
      </w:r>
      <w:r>
        <w:rPr>
          <w:spacing w:val="-10"/>
        </w:rPr>
        <w:t> </w:t>
      </w:r>
      <w:r>
        <w:rPr/>
        <w:t>que</w:t>
      </w:r>
      <w:r>
        <w:rPr>
          <w:spacing w:val="-9"/>
        </w:rPr>
        <w:t> </w:t>
      </w:r>
      <w:r>
        <w:rPr/>
        <w:t>el</w:t>
      </w:r>
      <w:r>
        <w:rPr>
          <w:spacing w:val="-13"/>
        </w:rPr>
        <w:t> </w:t>
      </w:r>
      <w:r>
        <w:rPr/>
        <w:t>mercurio</w:t>
      </w:r>
      <w:r>
        <w:rPr>
          <w:spacing w:val="-9"/>
        </w:rPr>
        <w:t> </w:t>
      </w:r>
      <w:r>
        <w:rPr/>
        <w:t>causa.</w:t>
      </w:r>
      <w:r>
        <w:rPr>
          <w:spacing w:val="-6"/>
        </w:rPr>
        <w:t> </w:t>
      </w:r>
      <w:r>
        <w:rPr/>
        <w:t>Se</w:t>
      </w:r>
      <w:r>
        <w:rPr>
          <w:spacing w:val="-9"/>
        </w:rPr>
        <w:t> </w:t>
      </w:r>
      <w:r>
        <w:rPr/>
        <w:t>pretende</w:t>
      </w:r>
      <w:r>
        <w:rPr>
          <w:spacing w:val="-9"/>
        </w:rPr>
        <w:t> </w:t>
      </w:r>
      <w:r>
        <w:rPr/>
        <w:t>separar</w:t>
      </w:r>
      <w:r>
        <w:rPr>
          <w:spacing w:val="-11"/>
        </w:rPr>
        <w:t> </w:t>
      </w:r>
      <w:r>
        <w:rPr/>
        <w:t>selectivamente a los metales provenientes de dicho proceso [López-Galán,</w:t>
      </w:r>
      <w:r>
        <w:rPr>
          <w:spacing w:val="-18"/>
        </w:rPr>
        <w:t> </w:t>
      </w:r>
      <w:r>
        <w:rPr/>
        <w:t>2006].</w:t>
      </w:r>
    </w:p>
    <w:p>
      <w:pPr>
        <w:pStyle w:val="BodyText"/>
      </w:pPr>
    </w:p>
    <w:p>
      <w:pPr>
        <w:pStyle w:val="BodyText"/>
        <w:spacing w:line="360" w:lineRule="auto" w:before="142"/>
        <w:ind w:left="658" w:right="400"/>
        <w:jc w:val="both"/>
      </w:pPr>
      <w:r>
        <w:rPr/>
        <w:t>En el método utilizado en este proyecto como ya se mencionó anteriormente se sustituirá el cromo (VI) por el peróxido de hidrógeno para oxidar la materia orgánica; igualmente </w:t>
      </w:r>
      <w:r>
        <w:rPr>
          <w:position w:val="1"/>
        </w:rPr>
        <w:t>llevándola en una solución acuosa muy ácida utilizando H</w:t>
      </w:r>
      <w:r>
        <w:rPr>
          <w:sz w:val="16"/>
        </w:rPr>
        <w:t>2</w:t>
      </w:r>
      <w:r>
        <w:rPr>
          <w:position w:val="1"/>
        </w:rPr>
        <w:t>SO</w:t>
      </w:r>
      <w:r>
        <w:rPr>
          <w:sz w:val="16"/>
        </w:rPr>
        <w:t>4</w:t>
      </w:r>
      <w:r>
        <w:rPr>
          <w:position w:val="1"/>
        </w:rPr>
        <w:t>, sulfato de plata (Ag</w:t>
      </w:r>
      <w:r>
        <w:rPr>
          <w:sz w:val="16"/>
        </w:rPr>
        <w:t>2</w:t>
      </w:r>
      <w:r>
        <w:rPr>
          <w:position w:val="1"/>
        </w:rPr>
        <w:t>SO</w:t>
      </w:r>
      <w:r>
        <w:rPr>
          <w:sz w:val="16"/>
        </w:rPr>
        <w:t>4</w:t>
      </w:r>
      <w:r>
        <w:rPr>
          <w:position w:val="1"/>
        </w:rPr>
        <w:t>) como catalizador de hidrocarburos lineales y sulfato de mercurio (HgSO</w:t>
      </w:r>
      <w:r>
        <w:rPr>
          <w:sz w:val="16"/>
        </w:rPr>
        <w:t>4</w:t>
      </w:r>
      <w:r>
        <w:rPr>
          <w:position w:val="1"/>
        </w:rPr>
        <w:t>), el cual forma </w:t>
      </w:r>
      <w:r>
        <w:rPr/>
        <w:t>con los cloruros un compuesto muy estable de difícil ionización.</w:t>
      </w:r>
    </w:p>
    <w:p>
      <w:pPr>
        <w:pStyle w:val="BodyText"/>
        <w:spacing w:line="360" w:lineRule="auto" w:before="204"/>
        <w:ind w:left="658" w:right="401"/>
        <w:jc w:val="both"/>
      </w:pPr>
      <w:r>
        <w:rPr/>
        <w:t>Una</w:t>
      </w:r>
      <w:r>
        <w:rPr>
          <w:spacing w:val="-10"/>
        </w:rPr>
        <w:t> </w:t>
      </w:r>
      <w:r>
        <w:rPr/>
        <w:t>vez</w:t>
      </w:r>
      <w:r>
        <w:rPr>
          <w:spacing w:val="-14"/>
        </w:rPr>
        <w:t> </w:t>
      </w:r>
      <w:r>
        <w:rPr/>
        <w:t>finalizado</w:t>
      </w:r>
      <w:r>
        <w:rPr>
          <w:spacing w:val="-11"/>
        </w:rPr>
        <w:t> </w:t>
      </w:r>
      <w:r>
        <w:rPr/>
        <w:t>el</w:t>
      </w:r>
      <w:r>
        <w:rPr>
          <w:spacing w:val="-14"/>
        </w:rPr>
        <w:t> </w:t>
      </w:r>
      <w:r>
        <w:rPr/>
        <w:t>análisis,</w:t>
      </w:r>
      <w:r>
        <w:rPr>
          <w:spacing w:val="-12"/>
        </w:rPr>
        <w:t> </w:t>
      </w:r>
      <w:r>
        <w:rPr/>
        <w:t>se</w:t>
      </w:r>
      <w:r>
        <w:rPr>
          <w:spacing w:val="-13"/>
        </w:rPr>
        <w:t> </w:t>
      </w:r>
      <w:r>
        <w:rPr/>
        <w:t>considera</w:t>
      </w:r>
      <w:r>
        <w:rPr>
          <w:spacing w:val="-14"/>
        </w:rPr>
        <w:t> </w:t>
      </w:r>
      <w:r>
        <w:rPr/>
        <w:t>que</w:t>
      </w:r>
      <w:r>
        <w:rPr>
          <w:spacing w:val="-13"/>
        </w:rPr>
        <w:t> </w:t>
      </w:r>
      <w:r>
        <w:rPr/>
        <w:t>por</w:t>
      </w:r>
      <w:r>
        <w:rPr>
          <w:spacing w:val="-12"/>
        </w:rPr>
        <w:t> </w:t>
      </w:r>
      <w:r>
        <w:rPr/>
        <w:t>lo</w:t>
      </w:r>
      <w:r>
        <w:rPr>
          <w:spacing w:val="-16"/>
        </w:rPr>
        <w:t> </w:t>
      </w:r>
      <w:r>
        <w:rPr/>
        <w:t>menos</w:t>
      </w:r>
      <w:r>
        <w:rPr>
          <w:spacing w:val="-14"/>
        </w:rPr>
        <w:t> </w:t>
      </w:r>
      <w:r>
        <w:rPr/>
        <w:t>el</w:t>
      </w:r>
      <w:r>
        <w:rPr>
          <w:spacing w:val="-12"/>
        </w:rPr>
        <w:t> </w:t>
      </w:r>
      <w:r>
        <w:rPr/>
        <w:t>95%</w:t>
      </w:r>
      <w:r>
        <w:rPr>
          <w:spacing w:val="-11"/>
        </w:rPr>
        <w:t> </w:t>
      </w:r>
      <w:r>
        <w:rPr/>
        <w:t>de</w:t>
      </w:r>
      <w:r>
        <w:rPr>
          <w:spacing w:val="-13"/>
        </w:rPr>
        <w:t> </w:t>
      </w:r>
      <w:r>
        <w:rPr/>
        <w:t>la</w:t>
      </w:r>
      <w:r>
        <w:rPr>
          <w:spacing w:val="-13"/>
        </w:rPr>
        <w:t> </w:t>
      </w:r>
      <w:r>
        <w:rPr/>
        <w:t>materia</w:t>
      </w:r>
      <w:r>
        <w:rPr>
          <w:spacing w:val="-13"/>
        </w:rPr>
        <w:t> </w:t>
      </w:r>
      <w:r>
        <w:rPr/>
        <w:t>orgánica </w:t>
      </w:r>
      <w:r>
        <w:rPr>
          <w:position w:val="1"/>
        </w:rPr>
        <w:t>se oxida y como productos finales se tienen principalmente: dióxido de carbono (CO</w:t>
      </w:r>
      <w:r>
        <w:rPr>
          <w:sz w:val="16"/>
        </w:rPr>
        <w:t>2</w:t>
      </w:r>
      <w:r>
        <w:rPr>
          <w:position w:val="1"/>
        </w:rPr>
        <w:t>) (la </w:t>
      </w:r>
      <w:r>
        <w:rPr/>
        <w:t>mayor parte se difunde en el aire del medio ambiente), residuos de la materia orgánica oxidada (eventualmente puede quedar una pequeña parte sin oxidarse) y la solución acuosa, principalmente con especies de plata y en menor proporción de mercurio (el cual se precipita en su mayoría) [Zhu, et al, 2066; López-Galán, 2006; Vyrides and Stuckey, 2009; Arboleda, Herrera,</w:t>
      </w:r>
      <w:r>
        <w:rPr>
          <w:spacing w:val="-12"/>
        </w:rPr>
        <w:t> </w:t>
      </w:r>
      <w:r>
        <w:rPr/>
        <w:t>2015].</w:t>
      </w:r>
    </w:p>
    <w:p>
      <w:pPr>
        <w:spacing w:after="0" w:line="360" w:lineRule="auto"/>
        <w:jc w:val="both"/>
        <w:sectPr>
          <w:pgSz w:w="12240" w:h="15840"/>
          <w:pgMar w:header="0" w:footer="654" w:top="1080" w:bottom="1060" w:left="760" w:right="840"/>
        </w:sectPr>
      </w:pPr>
    </w:p>
    <w:p>
      <w:pPr>
        <w:pStyle w:val="BodyText"/>
        <w:spacing w:line="360" w:lineRule="auto" w:before="51"/>
        <w:ind w:left="658" w:right="400"/>
        <w:jc w:val="both"/>
      </w:pPr>
      <w:r>
        <w:rPr/>
        <w:t>En</w:t>
      </w:r>
      <w:r>
        <w:rPr>
          <w:spacing w:val="-14"/>
        </w:rPr>
        <w:t> </w:t>
      </w:r>
      <w:r>
        <w:rPr/>
        <w:t>el</w:t>
      </w:r>
      <w:r>
        <w:rPr>
          <w:spacing w:val="-15"/>
        </w:rPr>
        <w:t> </w:t>
      </w:r>
      <w:r>
        <w:rPr/>
        <w:t>líquido</w:t>
      </w:r>
      <w:r>
        <w:rPr>
          <w:spacing w:val="-14"/>
        </w:rPr>
        <w:t> </w:t>
      </w:r>
      <w:r>
        <w:rPr/>
        <w:t>también</w:t>
      </w:r>
      <w:r>
        <w:rPr>
          <w:spacing w:val="-14"/>
        </w:rPr>
        <w:t> </w:t>
      </w:r>
      <w:r>
        <w:rPr/>
        <w:t>se</w:t>
      </w:r>
      <w:r>
        <w:rPr>
          <w:spacing w:val="-14"/>
        </w:rPr>
        <w:t> </w:t>
      </w:r>
      <w:r>
        <w:rPr/>
        <w:t>presentan</w:t>
      </w:r>
      <w:r>
        <w:rPr>
          <w:spacing w:val="-17"/>
        </w:rPr>
        <w:t> </w:t>
      </w:r>
      <w:r>
        <w:rPr/>
        <w:t>algunos</w:t>
      </w:r>
      <w:r>
        <w:rPr>
          <w:spacing w:val="-15"/>
        </w:rPr>
        <w:t> </w:t>
      </w:r>
      <w:r>
        <w:rPr/>
        <w:t>precipitados,</w:t>
      </w:r>
      <w:r>
        <w:rPr>
          <w:spacing w:val="-14"/>
        </w:rPr>
        <w:t> </w:t>
      </w:r>
      <w:r>
        <w:rPr/>
        <w:t>principalmente</w:t>
      </w:r>
      <w:r>
        <w:rPr>
          <w:spacing w:val="-14"/>
        </w:rPr>
        <w:t> </w:t>
      </w:r>
      <w:r>
        <w:rPr/>
        <w:t>cuando</w:t>
      </w:r>
      <w:r>
        <w:rPr>
          <w:spacing w:val="-14"/>
        </w:rPr>
        <w:t> </w:t>
      </w:r>
      <w:r>
        <w:rPr/>
        <w:t>la</w:t>
      </w:r>
      <w:r>
        <w:rPr>
          <w:spacing w:val="-14"/>
        </w:rPr>
        <w:t> </w:t>
      </w:r>
      <w:r>
        <w:rPr/>
        <w:t>muestra tiene cloruros (especialmente por la acción de la plata y mercurio con ellos), además de compuestos</w:t>
      </w:r>
      <w:r>
        <w:rPr>
          <w:spacing w:val="-14"/>
        </w:rPr>
        <w:t> </w:t>
      </w:r>
      <w:r>
        <w:rPr/>
        <w:t>químicamente</w:t>
      </w:r>
      <w:r>
        <w:rPr>
          <w:spacing w:val="-15"/>
        </w:rPr>
        <w:t> </w:t>
      </w:r>
      <w:r>
        <w:rPr/>
        <w:t>estables</w:t>
      </w:r>
      <w:r>
        <w:rPr>
          <w:spacing w:val="-16"/>
        </w:rPr>
        <w:t> </w:t>
      </w:r>
      <w:r>
        <w:rPr/>
        <w:t>que</w:t>
      </w:r>
      <w:r>
        <w:rPr>
          <w:spacing w:val="-13"/>
        </w:rPr>
        <w:t> </w:t>
      </w:r>
      <w:r>
        <w:rPr/>
        <w:t>se</w:t>
      </w:r>
      <w:r>
        <w:rPr>
          <w:spacing w:val="-18"/>
        </w:rPr>
        <w:t> </w:t>
      </w:r>
      <w:r>
        <w:rPr/>
        <w:t>forman</w:t>
      </w:r>
      <w:r>
        <w:rPr>
          <w:spacing w:val="-15"/>
        </w:rPr>
        <w:t> </w:t>
      </w:r>
      <w:r>
        <w:rPr/>
        <w:t>debido</w:t>
      </w:r>
      <w:r>
        <w:rPr>
          <w:spacing w:val="-15"/>
        </w:rPr>
        <w:t> </w:t>
      </w:r>
      <w:r>
        <w:rPr/>
        <w:t>a</w:t>
      </w:r>
      <w:r>
        <w:rPr>
          <w:spacing w:val="-13"/>
        </w:rPr>
        <w:t> </w:t>
      </w:r>
      <w:r>
        <w:rPr/>
        <w:t>los</w:t>
      </w:r>
      <w:r>
        <w:rPr>
          <w:spacing w:val="-16"/>
        </w:rPr>
        <w:t> </w:t>
      </w:r>
      <w:r>
        <w:rPr/>
        <w:t>enlaces</w:t>
      </w:r>
      <w:r>
        <w:rPr>
          <w:spacing w:val="-14"/>
        </w:rPr>
        <w:t> </w:t>
      </w:r>
      <w:r>
        <w:rPr/>
        <w:t>carbono-mercurio.</w:t>
      </w:r>
    </w:p>
    <w:p>
      <w:pPr>
        <w:pStyle w:val="BodyText"/>
        <w:spacing w:line="360" w:lineRule="auto" w:before="204"/>
        <w:ind w:left="658" w:right="402"/>
        <w:jc w:val="both"/>
      </w:pPr>
      <w:r>
        <w:rPr/>
        <w:t>Dadas las concentraciones con las que quedan la plata y el mercurio en los residuos de los análisis de DQO (un máximo del orden de 3.27 g/L y 7.52 g/L respectivamente) estos no se pueden eliminar al drenaje, especialmente por el poder contaminante del mercurio, ya que su valor está muy por encima de lo que recomienda la Organización Mundial de la Salud; los valores deben estar por debajo de 2 μg/L y 25 μg/L, respectivamente [López- Galán, 2006]. La norma que se debe cumplir en México es la NOM-052-ECOL-1993.</w:t>
      </w:r>
    </w:p>
    <w:p>
      <w:pPr>
        <w:pStyle w:val="BodyText"/>
        <w:spacing w:before="8"/>
      </w:pPr>
    </w:p>
    <w:p>
      <w:pPr>
        <w:pStyle w:val="BodyText"/>
        <w:spacing w:line="360" w:lineRule="auto"/>
        <w:ind w:left="658" w:right="400"/>
        <w:jc w:val="both"/>
      </w:pPr>
      <w:r>
        <w:rPr/>
        <w:t>La electroquímica aporta herramientas para estudiar, controlar, mitigar, o tratar residuos industriales, al contribuir con la aplicación y mejora de tecnologías existentes, así como la investigación, desarrollo e implementación de nuevas tecnologías [Janssen et al., 2002]. Su estudio y control están relacionados con las posibilidades que brinda la electroquímica al emplear técnicas que permiten reducir, transformar o incluso eliminar residuos tóxicos. Así mismo, se procura lograr la purificación de una solución de líquidos de proceso de metales pesados, como ocurre en las aguas residuales, donde es posible recuperar metales pesados en su forma más valiosa, debido a que muchos de los compuestos que conforman estas aguas son electroactivos, presentando la posibilidad de ser tratados a través de un proceso electroquímico [Carreño Aguilera G, 2014].</w:t>
      </w:r>
    </w:p>
    <w:p>
      <w:pPr>
        <w:spacing w:after="0" w:line="360" w:lineRule="auto"/>
        <w:jc w:val="both"/>
        <w:sectPr>
          <w:pgSz w:w="12240" w:h="15840"/>
          <w:pgMar w:header="0" w:footer="654" w:top="1080" w:bottom="1060" w:left="76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57"/>
        <w:ind w:left="2379"/>
      </w:pPr>
      <w:r>
        <w:rPr/>
        <w:t>JUSTIFICACIÓN</w:t>
      </w:r>
    </w:p>
    <w:p>
      <w:pPr>
        <w:spacing w:after="0"/>
        <w:sectPr>
          <w:pgSz w:w="12240" w:h="15840"/>
          <w:pgMar w:header="0" w:footer="654" w:top="1500" w:bottom="1060" w:left="760" w:right="840"/>
        </w:sectPr>
      </w:pPr>
    </w:p>
    <w:p>
      <w:pPr>
        <w:pStyle w:val="BodyText"/>
        <w:rPr>
          <w:b/>
          <w:sz w:val="11"/>
        </w:rPr>
      </w:pPr>
    </w:p>
    <w:p>
      <w:pPr>
        <w:pStyle w:val="Heading2"/>
        <w:numPr>
          <w:ilvl w:val="1"/>
          <w:numId w:val="4"/>
        </w:numPr>
        <w:tabs>
          <w:tab w:pos="1379" w:val="left" w:leader="none"/>
        </w:tabs>
        <w:spacing w:line="240" w:lineRule="auto" w:before="54" w:after="0"/>
        <w:ind w:left="1378" w:right="0" w:hanging="360"/>
        <w:jc w:val="left"/>
      </w:pPr>
      <w:r>
        <w:rPr/>
        <w:t>JUSTIFICACIÓN</w:t>
      </w:r>
    </w:p>
    <w:p>
      <w:pPr>
        <w:pStyle w:val="BodyText"/>
        <w:spacing w:before="8"/>
        <w:rPr>
          <w:b/>
          <w:sz w:val="35"/>
        </w:rPr>
      </w:pPr>
    </w:p>
    <w:p>
      <w:pPr>
        <w:pStyle w:val="BodyText"/>
        <w:spacing w:line="360" w:lineRule="auto" w:before="1"/>
        <w:ind w:left="658" w:right="400"/>
        <w:jc w:val="both"/>
      </w:pPr>
      <w:r>
        <w:rPr/>
        <w:t>En la actualidad la problemática que se tiene con la contaminación ha ido en incremento, especialmente si se habla de la contaminación del agua y la importancia que ésta tiene, esto es debido en gran parte a las actividades antropógenicas pero así mismo al tratamiento inadecuado que se le da a la misma.</w:t>
      </w:r>
    </w:p>
    <w:p>
      <w:pPr>
        <w:pStyle w:val="BodyText"/>
      </w:pPr>
    </w:p>
    <w:p>
      <w:pPr>
        <w:pStyle w:val="BodyText"/>
        <w:spacing w:line="360" w:lineRule="auto" w:before="142"/>
        <w:ind w:left="658" w:right="401"/>
        <w:jc w:val="both"/>
      </w:pPr>
      <w:r>
        <w:rPr/>
        <w:t>Existen diversos parámetros para determinar la calidad del agua, los cuales también generan</w:t>
      </w:r>
      <w:r>
        <w:rPr>
          <w:spacing w:val="-11"/>
        </w:rPr>
        <w:t> </w:t>
      </w:r>
      <w:r>
        <w:rPr/>
        <w:t>un</w:t>
      </w:r>
      <w:r>
        <w:rPr>
          <w:spacing w:val="-12"/>
        </w:rPr>
        <w:t> </w:t>
      </w:r>
      <w:r>
        <w:rPr/>
        <w:t>problema</w:t>
      </w:r>
      <w:r>
        <w:rPr>
          <w:spacing w:val="-14"/>
        </w:rPr>
        <w:t> </w:t>
      </w:r>
      <w:r>
        <w:rPr/>
        <w:t>de</w:t>
      </w:r>
      <w:r>
        <w:rPr>
          <w:spacing w:val="-9"/>
        </w:rPr>
        <w:t> </w:t>
      </w:r>
      <w:r>
        <w:rPr/>
        <w:t>contaminación,</w:t>
      </w:r>
      <w:r>
        <w:rPr>
          <w:spacing w:val="-8"/>
        </w:rPr>
        <w:t> </w:t>
      </w:r>
      <w:r>
        <w:rPr/>
        <w:t>porque</w:t>
      </w:r>
      <w:r>
        <w:rPr>
          <w:spacing w:val="-9"/>
        </w:rPr>
        <w:t> </w:t>
      </w:r>
      <w:r>
        <w:rPr/>
        <w:t>al</w:t>
      </w:r>
      <w:r>
        <w:rPr>
          <w:spacing w:val="-13"/>
        </w:rPr>
        <w:t> </w:t>
      </w:r>
      <w:r>
        <w:rPr/>
        <w:t>querer</w:t>
      </w:r>
      <w:r>
        <w:rPr>
          <w:spacing w:val="-11"/>
        </w:rPr>
        <w:t> </w:t>
      </w:r>
      <w:r>
        <w:rPr/>
        <w:t>contribuir</w:t>
      </w:r>
      <w:r>
        <w:rPr>
          <w:spacing w:val="-14"/>
        </w:rPr>
        <w:t> </w:t>
      </w:r>
      <w:r>
        <w:rPr/>
        <w:t>en</w:t>
      </w:r>
      <w:r>
        <w:rPr>
          <w:spacing w:val="-12"/>
        </w:rPr>
        <w:t> </w:t>
      </w:r>
      <w:r>
        <w:rPr/>
        <w:t>la</w:t>
      </w:r>
      <w:r>
        <w:rPr>
          <w:spacing w:val="-12"/>
        </w:rPr>
        <w:t> </w:t>
      </w:r>
      <w:r>
        <w:rPr/>
        <w:t>determinación</w:t>
      </w:r>
      <w:r>
        <w:rPr>
          <w:spacing w:val="-12"/>
        </w:rPr>
        <w:t> </w:t>
      </w:r>
      <w:r>
        <w:rPr/>
        <w:t>de la viabilidad de la misma para reúso o descarga, están contribuyendo en la generación de contaminantes</w:t>
      </w:r>
      <w:r>
        <w:rPr>
          <w:spacing w:val="-7"/>
        </w:rPr>
        <w:t> </w:t>
      </w:r>
      <w:r>
        <w:rPr/>
        <w:t>debido</w:t>
      </w:r>
      <w:r>
        <w:rPr>
          <w:spacing w:val="-8"/>
        </w:rPr>
        <w:t> </w:t>
      </w:r>
      <w:r>
        <w:rPr/>
        <w:t>a</w:t>
      </w:r>
      <w:r>
        <w:rPr>
          <w:spacing w:val="-6"/>
        </w:rPr>
        <w:t> </w:t>
      </w:r>
      <w:r>
        <w:rPr/>
        <w:t>las</w:t>
      </w:r>
      <w:r>
        <w:rPr>
          <w:spacing w:val="-6"/>
        </w:rPr>
        <w:t> </w:t>
      </w:r>
      <w:r>
        <w:rPr/>
        <w:t>sustancias</w:t>
      </w:r>
      <w:r>
        <w:rPr>
          <w:spacing w:val="-7"/>
        </w:rPr>
        <w:t> </w:t>
      </w:r>
      <w:r>
        <w:rPr/>
        <w:t>químicas</w:t>
      </w:r>
      <w:r>
        <w:rPr>
          <w:spacing w:val="-6"/>
        </w:rPr>
        <w:t> </w:t>
      </w:r>
      <w:r>
        <w:rPr/>
        <w:t>que</w:t>
      </w:r>
      <w:r>
        <w:rPr>
          <w:spacing w:val="-6"/>
        </w:rPr>
        <w:t> </w:t>
      </w:r>
      <w:r>
        <w:rPr/>
        <w:t>se</w:t>
      </w:r>
      <w:r>
        <w:rPr>
          <w:spacing w:val="-6"/>
        </w:rPr>
        <w:t> </w:t>
      </w:r>
      <w:r>
        <w:rPr/>
        <w:t>emplean</w:t>
      </w:r>
      <w:r>
        <w:rPr>
          <w:spacing w:val="-8"/>
        </w:rPr>
        <w:t> </w:t>
      </w:r>
      <w:r>
        <w:rPr/>
        <w:t>en los</w:t>
      </w:r>
      <w:r>
        <w:rPr>
          <w:spacing w:val="-6"/>
        </w:rPr>
        <w:t> </w:t>
      </w:r>
      <w:r>
        <w:rPr/>
        <w:t>diferentes</w:t>
      </w:r>
      <w:r>
        <w:rPr>
          <w:spacing w:val="-7"/>
        </w:rPr>
        <w:t> </w:t>
      </w:r>
      <w:r>
        <w:rPr/>
        <w:t>análisis para la determinación de la calidad del</w:t>
      </w:r>
      <w:r>
        <w:rPr>
          <w:spacing w:val="-14"/>
        </w:rPr>
        <w:t> </w:t>
      </w:r>
      <w:r>
        <w:rPr/>
        <w:t>agua.</w:t>
      </w:r>
    </w:p>
    <w:p>
      <w:pPr>
        <w:pStyle w:val="BodyText"/>
      </w:pPr>
    </w:p>
    <w:p>
      <w:pPr>
        <w:pStyle w:val="BodyText"/>
        <w:spacing w:line="360" w:lineRule="auto" w:before="142"/>
        <w:ind w:left="658" w:right="400"/>
        <w:jc w:val="both"/>
      </w:pPr>
      <w:r>
        <w:rPr/>
        <w:t>Tal es el caso de una de las técnicas más utilizadas e importantes en el análisis del agua, la</w:t>
      </w:r>
      <w:r>
        <w:rPr>
          <w:spacing w:val="-8"/>
        </w:rPr>
        <w:t> </w:t>
      </w:r>
      <w:r>
        <w:rPr/>
        <w:t>determinación</w:t>
      </w:r>
      <w:r>
        <w:rPr>
          <w:spacing w:val="-7"/>
        </w:rPr>
        <w:t> </w:t>
      </w:r>
      <w:r>
        <w:rPr/>
        <w:t>de</w:t>
      </w:r>
      <w:r>
        <w:rPr>
          <w:spacing w:val="-7"/>
        </w:rPr>
        <w:t> </w:t>
      </w:r>
      <w:r>
        <w:rPr/>
        <w:t>la</w:t>
      </w:r>
      <w:r>
        <w:rPr>
          <w:spacing w:val="-8"/>
        </w:rPr>
        <w:t> </w:t>
      </w:r>
      <w:r>
        <w:rPr/>
        <w:t>DQO.</w:t>
      </w:r>
      <w:r>
        <w:rPr>
          <w:spacing w:val="-7"/>
        </w:rPr>
        <w:t> </w:t>
      </w:r>
      <w:r>
        <w:rPr/>
        <w:t>En</w:t>
      </w:r>
      <w:r>
        <w:rPr>
          <w:spacing w:val="-7"/>
        </w:rPr>
        <w:t> </w:t>
      </w:r>
      <w:r>
        <w:rPr/>
        <w:t>dicha</w:t>
      </w:r>
      <w:r>
        <w:rPr>
          <w:spacing w:val="-7"/>
        </w:rPr>
        <w:t> </w:t>
      </w:r>
      <w:r>
        <w:rPr/>
        <w:t>prueba</w:t>
      </w:r>
      <w:r>
        <w:rPr>
          <w:spacing w:val="-10"/>
        </w:rPr>
        <w:t> </w:t>
      </w:r>
      <w:r>
        <w:rPr/>
        <w:t>el</w:t>
      </w:r>
      <w:r>
        <w:rPr>
          <w:spacing w:val="-9"/>
        </w:rPr>
        <w:t> </w:t>
      </w:r>
      <w:r>
        <w:rPr/>
        <w:t>principal</w:t>
      </w:r>
      <w:r>
        <w:rPr>
          <w:spacing w:val="-9"/>
        </w:rPr>
        <w:t> </w:t>
      </w:r>
      <w:r>
        <w:rPr/>
        <w:t>reactivo</w:t>
      </w:r>
      <w:r>
        <w:rPr>
          <w:spacing w:val="-7"/>
        </w:rPr>
        <w:t> </w:t>
      </w:r>
      <w:r>
        <w:rPr/>
        <w:t>es</w:t>
      </w:r>
      <w:r>
        <w:rPr>
          <w:spacing w:val="-8"/>
        </w:rPr>
        <w:t> </w:t>
      </w:r>
      <w:r>
        <w:rPr/>
        <w:t>el</w:t>
      </w:r>
      <w:r>
        <w:rPr>
          <w:spacing w:val="-9"/>
        </w:rPr>
        <w:t> </w:t>
      </w:r>
      <w:r>
        <w:rPr/>
        <w:t>cromo(VI)</w:t>
      </w:r>
      <w:r>
        <w:rPr>
          <w:spacing w:val="-8"/>
        </w:rPr>
        <w:t> </w:t>
      </w:r>
      <w:r>
        <w:rPr/>
        <w:t>en</w:t>
      </w:r>
      <w:r>
        <w:rPr>
          <w:spacing w:val="-10"/>
        </w:rPr>
        <w:t> </w:t>
      </w:r>
      <w:r>
        <w:rPr/>
        <w:t>forma de</w:t>
      </w:r>
      <w:r>
        <w:rPr>
          <w:spacing w:val="-5"/>
        </w:rPr>
        <w:t> </w:t>
      </w:r>
      <w:r>
        <w:rPr/>
        <w:t>sal</w:t>
      </w:r>
      <w:r>
        <w:rPr>
          <w:spacing w:val="-8"/>
        </w:rPr>
        <w:t> </w:t>
      </w:r>
      <w:r>
        <w:rPr/>
        <w:t>utilizado</w:t>
      </w:r>
      <w:r>
        <w:rPr>
          <w:spacing w:val="-5"/>
        </w:rPr>
        <w:t> </w:t>
      </w:r>
      <w:r>
        <w:rPr/>
        <w:t>como</w:t>
      </w:r>
      <w:r>
        <w:rPr>
          <w:spacing w:val="-5"/>
        </w:rPr>
        <w:t> </w:t>
      </w:r>
      <w:r>
        <w:rPr/>
        <w:t>agente</w:t>
      </w:r>
      <w:r>
        <w:rPr>
          <w:spacing w:val="-4"/>
        </w:rPr>
        <w:t> </w:t>
      </w:r>
      <w:r>
        <w:rPr/>
        <w:t>oxidante</w:t>
      </w:r>
      <w:r>
        <w:rPr>
          <w:spacing w:val="-5"/>
        </w:rPr>
        <w:t> </w:t>
      </w:r>
      <w:r>
        <w:rPr/>
        <w:t>en</w:t>
      </w:r>
      <w:r>
        <w:rPr>
          <w:spacing w:val="-5"/>
        </w:rPr>
        <w:t> </w:t>
      </w:r>
      <w:r>
        <w:rPr/>
        <w:t>el</w:t>
      </w:r>
      <w:r>
        <w:rPr>
          <w:spacing w:val="-6"/>
        </w:rPr>
        <w:t> </w:t>
      </w:r>
      <w:r>
        <w:rPr/>
        <w:t>proceso,</w:t>
      </w:r>
      <w:r>
        <w:rPr>
          <w:spacing w:val="-7"/>
        </w:rPr>
        <w:t> </w:t>
      </w:r>
      <w:r>
        <w:rPr/>
        <w:t>pero</w:t>
      </w:r>
      <w:r>
        <w:rPr>
          <w:spacing w:val="-8"/>
        </w:rPr>
        <w:t> </w:t>
      </w:r>
      <w:r>
        <w:rPr/>
        <w:t>tiene</w:t>
      </w:r>
      <w:r>
        <w:rPr>
          <w:spacing w:val="-5"/>
        </w:rPr>
        <w:t> </w:t>
      </w:r>
      <w:r>
        <w:rPr/>
        <w:t>la</w:t>
      </w:r>
      <w:r>
        <w:rPr>
          <w:spacing w:val="-5"/>
        </w:rPr>
        <w:t> </w:t>
      </w:r>
      <w:r>
        <w:rPr/>
        <w:t>característica</w:t>
      </w:r>
      <w:r>
        <w:rPr>
          <w:spacing w:val="-5"/>
        </w:rPr>
        <w:t> </w:t>
      </w:r>
      <w:r>
        <w:rPr/>
        <w:t>de</w:t>
      </w:r>
      <w:r>
        <w:rPr>
          <w:spacing w:val="-5"/>
        </w:rPr>
        <w:t> </w:t>
      </w:r>
      <w:r>
        <w:rPr/>
        <w:t>poseer una alta solubilidad y movilidad en los suelos y en los acuíferos, además de ser altamente tóxico por su acción cancerígena en el ser humano. Al mismo tiempo se usa una especie que contiene mercurio y una de plata, los cuales son tóxicos en especial el mercurio, además de generar una gran cantidad de residuos igualmente tóxicos por muestra analizada.</w:t>
      </w:r>
    </w:p>
    <w:p>
      <w:pPr>
        <w:pStyle w:val="BodyText"/>
      </w:pPr>
    </w:p>
    <w:p>
      <w:pPr>
        <w:pStyle w:val="BodyText"/>
        <w:spacing w:line="360" w:lineRule="auto" w:before="142"/>
        <w:ind w:left="658" w:right="402"/>
        <w:jc w:val="both"/>
      </w:pPr>
      <w:r>
        <w:rPr/>
        <w:t>Dicha técnica es muy utilizada en laboratorios de análisis de agua, llegando a producir decenas de litros de residuos al mes, según datos tomados de una encuesta realizada en el laboratorio de ciencias ambientales del CCIQS entre 2013 y 2014, y en muchos de los casos, estos residuos ni siquiera son tratados en el mismo laboratorio, sino que son entregados</w:t>
      </w:r>
      <w:r>
        <w:rPr>
          <w:spacing w:val="-8"/>
        </w:rPr>
        <w:t> </w:t>
      </w:r>
      <w:r>
        <w:rPr/>
        <w:t>a</w:t>
      </w:r>
      <w:r>
        <w:rPr>
          <w:spacing w:val="-7"/>
        </w:rPr>
        <w:t> </w:t>
      </w:r>
      <w:r>
        <w:rPr/>
        <w:t>empresas</w:t>
      </w:r>
      <w:r>
        <w:rPr>
          <w:spacing w:val="-5"/>
        </w:rPr>
        <w:t> </w:t>
      </w:r>
      <w:r>
        <w:rPr/>
        <w:t>externas</w:t>
      </w:r>
      <w:r>
        <w:rPr>
          <w:spacing w:val="-8"/>
        </w:rPr>
        <w:t> </w:t>
      </w:r>
      <w:r>
        <w:rPr/>
        <w:t>para</w:t>
      </w:r>
      <w:r>
        <w:rPr>
          <w:spacing w:val="-5"/>
        </w:rPr>
        <w:t> </w:t>
      </w:r>
      <w:r>
        <w:rPr/>
        <w:t>su</w:t>
      </w:r>
      <w:r>
        <w:rPr>
          <w:spacing w:val="-5"/>
        </w:rPr>
        <w:t> </w:t>
      </w:r>
      <w:r>
        <w:rPr/>
        <w:t>tratamiento,</w:t>
      </w:r>
      <w:r>
        <w:rPr>
          <w:spacing w:val="-7"/>
        </w:rPr>
        <w:t> </w:t>
      </w:r>
      <w:r>
        <w:rPr/>
        <w:t>generando</w:t>
      </w:r>
      <w:r>
        <w:rPr>
          <w:spacing w:val="-7"/>
        </w:rPr>
        <w:t> </w:t>
      </w:r>
      <w:r>
        <w:rPr/>
        <w:t>más</w:t>
      </w:r>
      <w:r>
        <w:rPr>
          <w:spacing w:val="-5"/>
        </w:rPr>
        <w:t> </w:t>
      </w:r>
      <w:r>
        <w:rPr/>
        <w:t>gastos,</w:t>
      </w:r>
      <w:r>
        <w:rPr>
          <w:spacing w:val="-7"/>
        </w:rPr>
        <w:t> </w:t>
      </w:r>
      <w:r>
        <w:rPr/>
        <w:t>o</w:t>
      </w:r>
      <w:r>
        <w:rPr>
          <w:spacing w:val="-7"/>
        </w:rPr>
        <w:t> </w:t>
      </w:r>
      <w:r>
        <w:rPr/>
        <w:t>en</w:t>
      </w:r>
      <w:r>
        <w:rPr>
          <w:spacing w:val="-7"/>
        </w:rPr>
        <w:t> </w:t>
      </w:r>
      <w:r>
        <w:rPr/>
        <w:t>el</w:t>
      </w:r>
      <w:r>
        <w:rPr>
          <w:spacing w:val="-8"/>
        </w:rPr>
        <w:t> </w:t>
      </w:r>
      <w:r>
        <w:rPr/>
        <w:t>peor de los casos, son desechados sin darles un</w:t>
      </w:r>
      <w:r>
        <w:rPr>
          <w:spacing w:val="-22"/>
        </w:rPr>
        <w:t> </w:t>
      </w:r>
      <w:r>
        <w:rPr/>
        <w:t>tratamiento.</w:t>
      </w:r>
    </w:p>
    <w:p>
      <w:pPr>
        <w:pStyle w:val="BodyText"/>
      </w:pPr>
    </w:p>
    <w:p>
      <w:pPr>
        <w:pStyle w:val="BodyText"/>
        <w:spacing w:line="360" w:lineRule="auto" w:before="142"/>
        <w:ind w:left="658" w:right="411"/>
        <w:jc w:val="both"/>
      </w:pPr>
      <w:r>
        <w:rPr/>
        <w:t>Es de vital importancia buscar técnicas alternativas donde se disminuya la generación de residuos y se sustituyan las sustancias contaminantes por otras más amigables para el</w:t>
      </w:r>
    </w:p>
    <w:p>
      <w:pPr>
        <w:spacing w:after="0" w:line="360" w:lineRule="auto"/>
        <w:jc w:val="both"/>
        <w:sectPr>
          <w:pgSz w:w="12240" w:h="15840"/>
          <w:pgMar w:header="0" w:footer="654" w:top="1500" w:bottom="1060" w:left="760" w:right="840"/>
        </w:sectPr>
      </w:pPr>
    </w:p>
    <w:p>
      <w:pPr>
        <w:pStyle w:val="BodyText"/>
        <w:spacing w:line="360" w:lineRule="auto" w:before="51"/>
        <w:ind w:left="658" w:right="399"/>
        <w:jc w:val="both"/>
      </w:pPr>
      <w:r>
        <w:rPr/>
        <w:t>ambiente, así como se realice el tratamiento de residuos para lograr recuperar algunos elementos</w:t>
      </w:r>
      <w:r>
        <w:rPr>
          <w:spacing w:val="-12"/>
        </w:rPr>
        <w:t> </w:t>
      </w:r>
      <w:r>
        <w:rPr/>
        <w:t>utilizados</w:t>
      </w:r>
      <w:r>
        <w:rPr>
          <w:spacing w:val="-12"/>
        </w:rPr>
        <w:t> </w:t>
      </w:r>
      <w:r>
        <w:rPr/>
        <w:t>y</w:t>
      </w:r>
      <w:r>
        <w:rPr>
          <w:spacing w:val="-12"/>
        </w:rPr>
        <w:t> </w:t>
      </w:r>
      <w:r>
        <w:rPr/>
        <w:t>poderles</w:t>
      </w:r>
      <w:r>
        <w:rPr>
          <w:spacing w:val="-12"/>
        </w:rPr>
        <w:t> </w:t>
      </w:r>
      <w:r>
        <w:rPr/>
        <w:t>dar</w:t>
      </w:r>
      <w:r>
        <w:rPr>
          <w:spacing w:val="-12"/>
        </w:rPr>
        <w:t> </w:t>
      </w:r>
      <w:r>
        <w:rPr/>
        <w:t>otro</w:t>
      </w:r>
      <w:r>
        <w:rPr>
          <w:spacing w:val="-13"/>
        </w:rPr>
        <w:t> </w:t>
      </w:r>
      <w:r>
        <w:rPr/>
        <w:t>uso.</w:t>
      </w:r>
      <w:r>
        <w:rPr>
          <w:spacing w:val="-13"/>
        </w:rPr>
        <w:t> </w:t>
      </w:r>
      <w:r>
        <w:rPr/>
        <w:t>Por</w:t>
      </w:r>
      <w:r>
        <w:rPr>
          <w:spacing w:val="-12"/>
        </w:rPr>
        <w:t> </w:t>
      </w:r>
      <w:r>
        <w:rPr/>
        <w:t>ello</w:t>
      </w:r>
      <w:r>
        <w:rPr>
          <w:spacing w:val="-10"/>
        </w:rPr>
        <w:t> </w:t>
      </w:r>
      <w:r>
        <w:rPr/>
        <w:t>la</w:t>
      </w:r>
      <w:r>
        <w:rPr>
          <w:spacing w:val="-11"/>
        </w:rPr>
        <w:t> </w:t>
      </w:r>
      <w:r>
        <w:rPr/>
        <w:t>importancia</w:t>
      </w:r>
      <w:r>
        <w:rPr>
          <w:spacing w:val="-13"/>
        </w:rPr>
        <w:t> </w:t>
      </w:r>
      <w:r>
        <w:rPr/>
        <w:t>de</w:t>
      </w:r>
      <w:r>
        <w:rPr>
          <w:spacing w:val="-11"/>
        </w:rPr>
        <w:t> </w:t>
      </w:r>
      <w:r>
        <w:rPr/>
        <w:t>la</w:t>
      </w:r>
      <w:r>
        <w:rPr>
          <w:spacing w:val="-11"/>
        </w:rPr>
        <w:t> </w:t>
      </w:r>
      <w:r>
        <w:rPr/>
        <w:t>actual</w:t>
      </w:r>
      <w:r>
        <w:rPr>
          <w:spacing w:val="-12"/>
        </w:rPr>
        <w:t> </w:t>
      </w:r>
      <w:r>
        <w:rPr/>
        <w:t>propuesta, ya que representa una alternativa para determinar la DQO, donde se sustituirá el reactivo </w:t>
      </w:r>
      <w:r>
        <w:rPr>
          <w:position w:val="1"/>
        </w:rPr>
        <w:t>cancerígeno Cr(VI) por un agente ambientalmente amigable como lo es el H</w:t>
      </w:r>
      <w:r>
        <w:rPr>
          <w:sz w:val="16"/>
        </w:rPr>
        <w:t>2</w:t>
      </w:r>
      <w:r>
        <w:rPr>
          <w:position w:val="1"/>
        </w:rPr>
        <w:t>O</w:t>
      </w:r>
      <w:r>
        <w:rPr>
          <w:sz w:val="16"/>
        </w:rPr>
        <w:t>2 </w:t>
      </w:r>
      <w:r>
        <w:rPr>
          <w:position w:val="1"/>
        </w:rPr>
        <w:t>el cual es </w:t>
      </w:r>
      <w:r>
        <w:rPr/>
        <w:t>menos</w:t>
      </w:r>
      <w:r>
        <w:rPr>
          <w:spacing w:val="-20"/>
        </w:rPr>
        <w:t> </w:t>
      </w:r>
      <w:r>
        <w:rPr/>
        <w:t>tóxico,</w:t>
      </w:r>
      <w:r>
        <w:rPr>
          <w:spacing w:val="-18"/>
        </w:rPr>
        <w:t> </w:t>
      </w:r>
      <w:r>
        <w:rPr/>
        <w:t>se</w:t>
      </w:r>
      <w:r>
        <w:rPr>
          <w:spacing w:val="-19"/>
        </w:rPr>
        <w:t> </w:t>
      </w:r>
      <w:r>
        <w:rPr/>
        <w:t>disminuirán</w:t>
      </w:r>
      <w:r>
        <w:rPr>
          <w:spacing w:val="-17"/>
        </w:rPr>
        <w:t> </w:t>
      </w:r>
      <w:r>
        <w:rPr/>
        <w:t>las</w:t>
      </w:r>
      <w:r>
        <w:rPr>
          <w:spacing w:val="-20"/>
        </w:rPr>
        <w:t> </w:t>
      </w:r>
      <w:r>
        <w:rPr/>
        <w:t>cantidades</w:t>
      </w:r>
      <w:r>
        <w:rPr>
          <w:spacing w:val="-20"/>
        </w:rPr>
        <w:t> </w:t>
      </w:r>
      <w:r>
        <w:rPr/>
        <w:t>utilizadas</w:t>
      </w:r>
      <w:r>
        <w:rPr>
          <w:spacing w:val="-20"/>
        </w:rPr>
        <w:t> </w:t>
      </w:r>
      <w:r>
        <w:rPr/>
        <w:t>de</w:t>
      </w:r>
      <w:r>
        <w:rPr>
          <w:spacing w:val="-19"/>
        </w:rPr>
        <w:t> </w:t>
      </w:r>
      <w:r>
        <w:rPr/>
        <w:t>los</w:t>
      </w:r>
      <w:r>
        <w:rPr>
          <w:spacing w:val="-19"/>
        </w:rPr>
        <w:t> </w:t>
      </w:r>
      <w:r>
        <w:rPr/>
        <w:t>complejos</w:t>
      </w:r>
      <w:r>
        <w:rPr>
          <w:spacing w:val="-20"/>
        </w:rPr>
        <w:t> </w:t>
      </w:r>
      <w:r>
        <w:rPr/>
        <w:t>de</w:t>
      </w:r>
      <w:r>
        <w:rPr>
          <w:spacing w:val="-21"/>
        </w:rPr>
        <w:t> </w:t>
      </w:r>
      <w:r>
        <w:rPr/>
        <w:t>plata</w:t>
      </w:r>
      <w:r>
        <w:rPr>
          <w:spacing w:val="-19"/>
        </w:rPr>
        <w:t> </w:t>
      </w:r>
      <w:r>
        <w:rPr/>
        <w:t>y</w:t>
      </w:r>
      <w:r>
        <w:rPr>
          <w:spacing w:val="-22"/>
        </w:rPr>
        <w:t> </w:t>
      </w:r>
      <w:r>
        <w:rPr/>
        <w:t>mercurio, y finalmente se tratarán los residuos generados para la recuperación de la plata y el mercurio, ayudando así a la disminución de la contaminación del agua, aplicando</w:t>
      </w:r>
      <w:r>
        <w:rPr>
          <w:spacing w:val="-45"/>
        </w:rPr>
        <w:t> </w:t>
      </w:r>
      <w:r>
        <w:rPr/>
        <w:t>técnicas basadas en la química verde ayudando en el cuidado del medio</w:t>
      </w:r>
      <w:r>
        <w:rPr>
          <w:spacing w:val="-21"/>
        </w:rPr>
        <w:t> </w:t>
      </w:r>
      <w:r>
        <w:rPr/>
        <w:t>ambiente.</w:t>
      </w:r>
    </w:p>
    <w:p>
      <w:pPr>
        <w:spacing w:after="0" w:line="360" w:lineRule="auto"/>
        <w:jc w:val="both"/>
        <w:sectPr>
          <w:pgSz w:w="12240" w:h="15840"/>
          <w:pgMar w:header="0" w:footer="654" w:top="1080" w:bottom="1060" w:left="76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60" w:lineRule="auto" w:before="173"/>
        <w:ind w:left="3157" w:right="2663" w:hanging="224"/>
      </w:pPr>
      <w:r>
        <w:rPr/>
        <w:t>HIPÓTESIS Y OBJETIVOS</w:t>
      </w:r>
    </w:p>
    <w:p>
      <w:pPr>
        <w:spacing w:after="0" w:line="360" w:lineRule="auto"/>
        <w:sectPr>
          <w:pgSz w:w="12240" w:h="15840"/>
          <w:pgMar w:header="0" w:footer="654" w:top="1500" w:bottom="1060" w:left="760" w:right="840"/>
        </w:sectPr>
      </w:pPr>
    </w:p>
    <w:p>
      <w:pPr>
        <w:pStyle w:val="Heading2"/>
        <w:numPr>
          <w:ilvl w:val="1"/>
          <w:numId w:val="4"/>
        </w:numPr>
        <w:tabs>
          <w:tab w:pos="1379" w:val="left" w:leader="none"/>
        </w:tabs>
        <w:spacing w:line="240" w:lineRule="auto" w:before="28" w:after="0"/>
        <w:ind w:left="1378" w:right="0" w:hanging="360"/>
        <w:jc w:val="left"/>
      </w:pPr>
      <w:r>
        <w:rPr/>
        <w:t>HIPÓTESIS</w:t>
      </w:r>
    </w:p>
    <w:p>
      <w:pPr>
        <w:pStyle w:val="BodyText"/>
        <w:spacing w:before="9"/>
        <w:rPr>
          <w:b/>
          <w:sz w:val="35"/>
        </w:rPr>
      </w:pPr>
    </w:p>
    <w:p>
      <w:pPr>
        <w:pStyle w:val="BodyText"/>
        <w:spacing w:line="360" w:lineRule="auto"/>
        <w:ind w:left="658" w:right="400"/>
        <w:jc w:val="both"/>
      </w:pPr>
      <w:r>
        <w:rPr/>
        <w:t>El cambio de agente oxidante en la determinación de la Demanda Química de Oxígeno (DQO) permitirá que este análisis se pueda llevar de manera confiable y sustentable, disminuyendo la cantidad de residuos tóxicos que se genera con el uso de la técnica.</w:t>
      </w:r>
    </w:p>
    <w:p>
      <w:pPr>
        <w:pStyle w:val="BodyText"/>
      </w:pPr>
    </w:p>
    <w:p>
      <w:pPr>
        <w:pStyle w:val="BodyText"/>
      </w:pPr>
    </w:p>
    <w:p>
      <w:pPr>
        <w:pStyle w:val="BodyText"/>
      </w:pPr>
    </w:p>
    <w:p>
      <w:pPr>
        <w:pStyle w:val="BodyText"/>
      </w:pPr>
    </w:p>
    <w:p>
      <w:pPr>
        <w:pStyle w:val="BodyText"/>
        <w:spacing w:before="5"/>
        <w:rPr>
          <w:sz w:val="29"/>
        </w:rPr>
      </w:pPr>
    </w:p>
    <w:p>
      <w:pPr>
        <w:pStyle w:val="Heading2"/>
        <w:numPr>
          <w:ilvl w:val="1"/>
          <w:numId w:val="4"/>
        </w:numPr>
        <w:tabs>
          <w:tab w:pos="1379" w:val="left" w:leader="none"/>
        </w:tabs>
        <w:spacing w:line="240" w:lineRule="auto" w:before="0" w:after="0"/>
        <w:ind w:left="1378" w:right="0" w:hanging="360"/>
        <w:jc w:val="left"/>
      </w:pPr>
      <w:r>
        <w:rPr/>
        <w:t>OBJETIVO</w:t>
      </w:r>
      <w:r>
        <w:rPr>
          <w:spacing w:val="-8"/>
        </w:rPr>
        <w:t> </w:t>
      </w:r>
      <w:r>
        <w:rPr/>
        <w:t>GENERAL</w:t>
      </w:r>
    </w:p>
    <w:p>
      <w:pPr>
        <w:pStyle w:val="BodyText"/>
        <w:spacing w:before="6"/>
        <w:rPr>
          <w:b/>
          <w:sz w:val="35"/>
        </w:rPr>
      </w:pPr>
    </w:p>
    <w:p>
      <w:pPr>
        <w:pStyle w:val="BodyText"/>
        <w:spacing w:line="360" w:lineRule="auto"/>
        <w:ind w:left="658" w:right="401"/>
        <w:jc w:val="both"/>
      </w:pPr>
      <w:r>
        <w:rPr>
          <w:position w:val="1"/>
        </w:rPr>
        <w:t>Demostrar que el cambio de dicromato de potasio (K</w:t>
      </w:r>
      <w:r>
        <w:rPr>
          <w:sz w:val="16"/>
        </w:rPr>
        <w:t>2</w:t>
      </w:r>
      <w:r>
        <w:rPr>
          <w:position w:val="1"/>
        </w:rPr>
        <w:t>Cr</w:t>
      </w:r>
      <w:r>
        <w:rPr>
          <w:sz w:val="16"/>
        </w:rPr>
        <w:t>2</w:t>
      </w:r>
      <w:r>
        <w:rPr>
          <w:position w:val="1"/>
        </w:rPr>
        <w:t>O</w:t>
      </w:r>
      <w:r>
        <w:rPr>
          <w:sz w:val="16"/>
        </w:rPr>
        <w:t>7</w:t>
      </w:r>
      <w:r>
        <w:rPr>
          <w:position w:val="1"/>
        </w:rPr>
        <w:t>) por peróxido de hidrógeno (H</w:t>
      </w:r>
      <w:r>
        <w:rPr>
          <w:sz w:val="16"/>
        </w:rPr>
        <w:t>2</w:t>
      </w:r>
      <w:r>
        <w:rPr>
          <w:position w:val="1"/>
        </w:rPr>
        <w:t>O</w:t>
      </w:r>
      <w:r>
        <w:rPr>
          <w:sz w:val="16"/>
        </w:rPr>
        <w:t>2</w:t>
      </w:r>
      <w:r>
        <w:rPr>
          <w:position w:val="1"/>
        </w:rPr>
        <w:t>) tiene los mismos resultados confiables y que puede emplearse como método </w:t>
      </w:r>
      <w:r>
        <w:rPr/>
        <w:t>alternativo para la determinación de la demanda química de oxígeno (DQO).</w:t>
      </w:r>
    </w:p>
    <w:p>
      <w:pPr>
        <w:pStyle w:val="BodyText"/>
      </w:pPr>
    </w:p>
    <w:p>
      <w:pPr>
        <w:pStyle w:val="BodyText"/>
      </w:pPr>
    </w:p>
    <w:p>
      <w:pPr>
        <w:pStyle w:val="BodyText"/>
      </w:pPr>
    </w:p>
    <w:p>
      <w:pPr>
        <w:pStyle w:val="BodyText"/>
      </w:pPr>
    </w:p>
    <w:p>
      <w:pPr>
        <w:pStyle w:val="BodyText"/>
        <w:rPr>
          <w:sz w:val="28"/>
        </w:rPr>
      </w:pPr>
    </w:p>
    <w:p>
      <w:pPr>
        <w:pStyle w:val="Heading2"/>
        <w:numPr>
          <w:ilvl w:val="2"/>
          <w:numId w:val="4"/>
        </w:numPr>
        <w:tabs>
          <w:tab w:pos="2074" w:val="left" w:leader="none"/>
          <w:tab w:pos="2075" w:val="left" w:leader="none"/>
        </w:tabs>
        <w:spacing w:line="240" w:lineRule="auto" w:before="0" w:after="0"/>
        <w:ind w:left="2074" w:right="0" w:hanging="1056"/>
        <w:jc w:val="left"/>
      </w:pPr>
      <w:r>
        <w:rPr/>
        <w:t>OBJETIVOS</w:t>
      </w:r>
      <w:r>
        <w:rPr>
          <w:spacing w:val="-6"/>
        </w:rPr>
        <w:t> </w:t>
      </w:r>
      <w:r>
        <w:rPr/>
        <w:t>PARTICULARES</w:t>
      </w:r>
    </w:p>
    <w:p>
      <w:pPr>
        <w:pStyle w:val="ListParagraph"/>
        <w:numPr>
          <w:ilvl w:val="0"/>
          <w:numId w:val="5"/>
        </w:numPr>
        <w:tabs>
          <w:tab w:pos="1379" w:val="left" w:leader="none"/>
        </w:tabs>
        <w:spacing w:line="355" w:lineRule="auto" w:before="213" w:after="0"/>
        <w:ind w:left="1378" w:right="403" w:hanging="360"/>
        <w:jc w:val="both"/>
        <w:rPr>
          <w:sz w:val="24"/>
        </w:rPr>
      </w:pPr>
      <w:r>
        <w:rPr>
          <w:sz w:val="24"/>
        </w:rPr>
        <w:t>Disminuir la cantidad de sulfato de plata y mercurio utilizados en la técnica, obteniendo resultados comparables estadísticamente con la técnica</w:t>
      </w:r>
      <w:r>
        <w:rPr>
          <w:spacing w:val="-34"/>
          <w:sz w:val="24"/>
        </w:rPr>
        <w:t> </w:t>
      </w:r>
      <w:r>
        <w:rPr>
          <w:sz w:val="24"/>
        </w:rPr>
        <w:t>estandarizada, disminuyendo el costo de la</w:t>
      </w:r>
      <w:r>
        <w:rPr>
          <w:spacing w:val="-13"/>
          <w:sz w:val="24"/>
        </w:rPr>
        <w:t> </w:t>
      </w:r>
      <w:r>
        <w:rPr>
          <w:sz w:val="24"/>
        </w:rPr>
        <w:t>misma.</w:t>
      </w:r>
    </w:p>
    <w:p>
      <w:pPr>
        <w:pStyle w:val="ListParagraph"/>
        <w:numPr>
          <w:ilvl w:val="0"/>
          <w:numId w:val="5"/>
        </w:numPr>
        <w:tabs>
          <w:tab w:pos="1378" w:val="left" w:leader="none"/>
          <w:tab w:pos="1379" w:val="left" w:leader="none"/>
        </w:tabs>
        <w:spacing w:line="240" w:lineRule="auto" w:before="8" w:after="0"/>
        <w:ind w:left="1378" w:right="0" w:hanging="360"/>
        <w:jc w:val="left"/>
        <w:rPr>
          <w:sz w:val="24"/>
        </w:rPr>
      </w:pPr>
      <w:r>
        <w:rPr>
          <w:sz w:val="24"/>
        </w:rPr>
        <w:t>Utilizar la técnica de la determinación de la DQO aplicando luz</w:t>
      </w:r>
      <w:r>
        <w:rPr>
          <w:spacing w:val="-19"/>
          <w:sz w:val="24"/>
        </w:rPr>
        <w:t> </w:t>
      </w:r>
      <w:r>
        <w:rPr>
          <w:sz w:val="24"/>
        </w:rPr>
        <w:t>ultravioleta.</w:t>
      </w:r>
    </w:p>
    <w:p>
      <w:pPr>
        <w:pStyle w:val="ListParagraph"/>
        <w:numPr>
          <w:ilvl w:val="0"/>
          <w:numId w:val="5"/>
        </w:numPr>
        <w:tabs>
          <w:tab w:pos="1379" w:val="left" w:leader="none"/>
        </w:tabs>
        <w:spacing w:line="355" w:lineRule="auto" w:before="135" w:after="0"/>
        <w:ind w:left="1378" w:right="402" w:hanging="360"/>
        <w:jc w:val="both"/>
        <w:rPr>
          <w:sz w:val="24"/>
        </w:rPr>
      </w:pPr>
      <w:r>
        <w:rPr>
          <w:sz w:val="24"/>
        </w:rPr>
        <w:t>Recuperar el mercurio y la plata utilizados en la determinación de la DQO, y de ser posible otros metales que se encuentren en el medio, mediante el tratamiento de residuos por medios químicos y</w:t>
      </w:r>
      <w:r>
        <w:rPr>
          <w:spacing w:val="-10"/>
          <w:sz w:val="24"/>
        </w:rPr>
        <w:t> </w:t>
      </w:r>
      <w:r>
        <w:rPr>
          <w:sz w:val="24"/>
        </w:rPr>
        <w:t>electroquímicos.</w:t>
      </w:r>
    </w:p>
    <w:p>
      <w:pPr>
        <w:spacing w:after="0" w:line="355" w:lineRule="auto"/>
        <w:jc w:val="both"/>
        <w:rPr>
          <w:sz w:val="24"/>
        </w:rPr>
        <w:sectPr>
          <w:pgSz w:w="12240" w:h="15840"/>
          <w:pgMar w:header="0" w:footer="654" w:top="1100" w:bottom="1060" w:left="76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60" w:lineRule="auto" w:before="154"/>
        <w:ind w:left="3111" w:right="418" w:hanging="2422"/>
      </w:pPr>
      <w:r>
        <w:rPr/>
        <w:t>MATERIALES, EQUIPO Y REACTIVOS</w:t>
      </w:r>
    </w:p>
    <w:p>
      <w:pPr>
        <w:spacing w:after="0" w:line="360" w:lineRule="auto"/>
        <w:sectPr>
          <w:pgSz w:w="12240" w:h="15840"/>
          <w:pgMar w:header="0" w:footer="654" w:top="1500" w:bottom="1060" w:left="760" w:right="840"/>
        </w:sectPr>
      </w:pPr>
    </w:p>
    <w:p>
      <w:pPr>
        <w:pStyle w:val="BodyText"/>
        <w:spacing w:before="5"/>
        <w:rPr>
          <w:b/>
          <w:sz w:val="16"/>
        </w:rPr>
      </w:pPr>
    </w:p>
    <w:p>
      <w:pPr>
        <w:pStyle w:val="Heading2"/>
        <w:numPr>
          <w:ilvl w:val="1"/>
          <w:numId w:val="4"/>
        </w:numPr>
        <w:tabs>
          <w:tab w:pos="1480" w:val="left" w:leader="none"/>
        </w:tabs>
        <w:spacing w:line="240" w:lineRule="auto" w:before="54" w:after="0"/>
        <w:ind w:left="1479" w:right="0" w:hanging="461"/>
        <w:jc w:val="left"/>
      </w:pPr>
      <w:r>
        <w:rPr/>
        <w:t>MATERIALES Y</w:t>
      </w:r>
      <w:r>
        <w:rPr>
          <w:spacing w:val="-3"/>
        </w:rPr>
        <w:t> </w:t>
      </w:r>
      <w:r>
        <w:rPr/>
        <w:t>EQUIPO</w:t>
      </w:r>
    </w:p>
    <w:p>
      <w:pPr>
        <w:pStyle w:val="BodyText"/>
        <w:spacing w:before="6"/>
        <w:rPr>
          <w:b/>
          <w:sz w:val="35"/>
        </w:rPr>
      </w:pPr>
    </w:p>
    <w:p>
      <w:pPr>
        <w:pStyle w:val="BodyText"/>
        <w:spacing w:line="360" w:lineRule="auto"/>
        <w:ind w:left="658" w:right="663"/>
      </w:pPr>
      <w:r>
        <w:rPr/>
        <w:t>La siguiente tabla muestra los reactivos, materiales y equipos de laboratorio que fueron utilizados para el desarrollo de las diferentes técnicas de determinación de la DQO.</w:t>
      </w:r>
    </w:p>
    <w:p>
      <w:pPr>
        <w:pStyle w:val="BodyText"/>
        <w:spacing w:before="10"/>
        <w:rPr>
          <w:sz w:val="17"/>
        </w:rPr>
      </w:pPr>
    </w:p>
    <w:tbl>
      <w:tblPr>
        <w:tblW w:w="0" w:type="auto"/>
        <w:jc w:val="left"/>
        <w:tblInd w:w="6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83"/>
        <w:gridCol w:w="3180"/>
        <w:gridCol w:w="3183"/>
      </w:tblGrid>
      <w:tr>
        <w:trPr>
          <w:trHeight w:val="422" w:hRule="exact"/>
        </w:trPr>
        <w:tc>
          <w:tcPr>
            <w:tcW w:w="3183" w:type="dxa"/>
          </w:tcPr>
          <w:p>
            <w:pPr>
              <w:pStyle w:val="TableParagraph"/>
              <w:spacing w:line="274" w:lineRule="exact"/>
              <w:ind w:left="103"/>
              <w:rPr>
                <w:b/>
                <w:sz w:val="24"/>
              </w:rPr>
            </w:pPr>
            <w:r>
              <w:rPr>
                <w:b/>
                <w:sz w:val="24"/>
              </w:rPr>
              <w:t>REACTIVOS</w:t>
            </w:r>
          </w:p>
        </w:tc>
        <w:tc>
          <w:tcPr>
            <w:tcW w:w="3180" w:type="dxa"/>
          </w:tcPr>
          <w:p>
            <w:pPr>
              <w:pStyle w:val="TableParagraph"/>
              <w:spacing w:line="274" w:lineRule="exact"/>
              <w:ind w:left="100"/>
              <w:rPr>
                <w:b/>
                <w:sz w:val="24"/>
              </w:rPr>
            </w:pPr>
            <w:r>
              <w:rPr>
                <w:b/>
                <w:sz w:val="24"/>
              </w:rPr>
              <w:t>MATERIAL</w:t>
            </w:r>
          </w:p>
        </w:tc>
        <w:tc>
          <w:tcPr>
            <w:tcW w:w="3183" w:type="dxa"/>
          </w:tcPr>
          <w:p>
            <w:pPr>
              <w:pStyle w:val="TableParagraph"/>
              <w:spacing w:line="274" w:lineRule="exact"/>
              <w:ind w:left="103"/>
              <w:rPr>
                <w:b/>
                <w:sz w:val="24"/>
              </w:rPr>
            </w:pPr>
            <w:r>
              <w:rPr>
                <w:b/>
                <w:sz w:val="24"/>
              </w:rPr>
              <w:t>EQUIPO</w:t>
            </w:r>
          </w:p>
        </w:tc>
      </w:tr>
      <w:tr>
        <w:trPr>
          <w:trHeight w:val="838" w:hRule="exact"/>
        </w:trPr>
        <w:tc>
          <w:tcPr>
            <w:tcW w:w="3183" w:type="dxa"/>
          </w:tcPr>
          <w:p>
            <w:pPr>
              <w:pStyle w:val="TableParagraph"/>
              <w:ind w:left="103"/>
              <w:rPr>
                <w:sz w:val="20"/>
              </w:rPr>
            </w:pPr>
            <w:r>
              <w:rPr>
                <w:position w:val="1"/>
                <w:sz w:val="24"/>
              </w:rPr>
              <w:t>H</w:t>
            </w:r>
            <w:r>
              <w:rPr>
                <w:sz w:val="16"/>
              </w:rPr>
              <w:t>2</w:t>
            </w:r>
            <w:r>
              <w:rPr>
                <w:position w:val="1"/>
                <w:sz w:val="24"/>
              </w:rPr>
              <w:t>SO</w:t>
            </w:r>
            <w:r>
              <w:rPr>
                <w:sz w:val="16"/>
              </w:rPr>
              <w:t>4</w:t>
            </w:r>
            <w:r>
              <w:rPr>
                <w:position w:val="1"/>
                <w:sz w:val="20"/>
              </w:rPr>
              <w:t>(Fermont, 96.08%)</w:t>
            </w:r>
          </w:p>
        </w:tc>
        <w:tc>
          <w:tcPr>
            <w:tcW w:w="3180" w:type="dxa"/>
          </w:tcPr>
          <w:p>
            <w:pPr>
              <w:pStyle w:val="TableParagraph"/>
              <w:ind w:left="100"/>
              <w:rPr>
                <w:sz w:val="24"/>
              </w:rPr>
            </w:pPr>
            <w:r>
              <w:rPr>
                <w:sz w:val="24"/>
              </w:rPr>
              <w:t>Micropipeta de 100 a  1000</w:t>
            </w:r>
          </w:p>
          <w:p>
            <w:pPr>
              <w:pStyle w:val="TableParagraph"/>
              <w:spacing w:before="137"/>
              <w:ind w:left="100"/>
              <w:rPr>
                <w:sz w:val="24"/>
              </w:rPr>
            </w:pPr>
            <w:r>
              <w:rPr>
                <w:sz w:val="24"/>
              </w:rPr>
              <w:t>µL</w:t>
            </w:r>
          </w:p>
        </w:tc>
        <w:tc>
          <w:tcPr>
            <w:tcW w:w="3183" w:type="dxa"/>
          </w:tcPr>
          <w:p>
            <w:pPr>
              <w:pStyle w:val="TableParagraph"/>
              <w:tabs>
                <w:tab w:pos="2323" w:val="left" w:leader="none"/>
              </w:tabs>
              <w:ind w:left="103"/>
              <w:rPr>
                <w:sz w:val="24"/>
              </w:rPr>
            </w:pPr>
            <w:r>
              <w:rPr>
                <w:sz w:val="24"/>
              </w:rPr>
              <w:t>Espectrofotómetro</w:t>
              <w:tab/>
              <w:t>UV-Vis</w:t>
            </w:r>
          </w:p>
          <w:p>
            <w:pPr>
              <w:pStyle w:val="TableParagraph"/>
              <w:spacing w:before="136"/>
              <w:ind w:left="103"/>
              <w:rPr>
                <w:sz w:val="20"/>
              </w:rPr>
            </w:pPr>
            <w:r>
              <w:rPr>
                <w:sz w:val="20"/>
              </w:rPr>
              <w:t>(Perkin Elmer, Lamda 25)</w:t>
            </w:r>
          </w:p>
        </w:tc>
      </w:tr>
      <w:tr>
        <w:trPr>
          <w:trHeight w:val="1117" w:hRule="exact"/>
        </w:trPr>
        <w:tc>
          <w:tcPr>
            <w:tcW w:w="3183" w:type="dxa"/>
          </w:tcPr>
          <w:p>
            <w:pPr>
              <w:pStyle w:val="TableParagraph"/>
              <w:ind w:left="103"/>
              <w:rPr>
                <w:sz w:val="20"/>
              </w:rPr>
            </w:pPr>
            <w:r>
              <w:rPr>
                <w:position w:val="1"/>
                <w:sz w:val="24"/>
              </w:rPr>
              <w:t>K</w:t>
            </w:r>
            <w:r>
              <w:rPr>
                <w:sz w:val="16"/>
              </w:rPr>
              <w:t>2</w:t>
            </w:r>
            <w:r>
              <w:rPr>
                <w:position w:val="1"/>
                <w:sz w:val="24"/>
              </w:rPr>
              <w:t>Cr</w:t>
            </w:r>
            <w:r>
              <w:rPr>
                <w:sz w:val="16"/>
              </w:rPr>
              <w:t>2</w:t>
            </w:r>
            <w:r>
              <w:rPr>
                <w:position w:val="1"/>
                <w:sz w:val="24"/>
              </w:rPr>
              <w:t>O</w:t>
            </w:r>
            <w:r>
              <w:rPr>
                <w:sz w:val="16"/>
              </w:rPr>
              <w:t>7</w:t>
            </w:r>
            <w:r>
              <w:rPr>
                <w:position w:val="1"/>
                <w:sz w:val="24"/>
              </w:rPr>
              <w:t>(</w:t>
            </w:r>
            <w:r>
              <w:rPr>
                <w:position w:val="1"/>
                <w:sz w:val="20"/>
              </w:rPr>
              <w:t>Reasol, 99.95%)</w:t>
            </w:r>
          </w:p>
        </w:tc>
        <w:tc>
          <w:tcPr>
            <w:tcW w:w="3180" w:type="dxa"/>
          </w:tcPr>
          <w:p>
            <w:pPr>
              <w:pStyle w:val="TableParagraph"/>
              <w:spacing w:before="1"/>
              <w:ind w:left="100"/>
              <w:rPr>
                <w:sz w:val="24"/>
              </w:rPr>
            </w:pPr>
            <w:r>
              <w:rPr>
                <w:sz w:val="24"/>
              </w:rPr>
              <w:t>Matraz aforado de 1000 mL</w:t>
            </w:r>
          </w:p>
        </w:tc>
        <w:tc>
          <w:tcPr>
            <w:tcW w:w="3183" w:type="dxa"/>
          </w:tcPr>
          <w:p>
            <w:pPr>
              <w:pStyle w:val="TableParagraph"/>
              <w:spacing w:line="360" w:lineRule="auto" w:before="1"/>
              <w:ind w:left="103" w:right="103"/>
              <w:jc w:val="both"/>
              <w:rPr>
                <w:sz w:val="20"/>
              </w:rPr>
            </w:pPr>
            <w:r>
              <w:rPr>
                <w:sz w:val="24"/>
              </w:rPr>
              <w:t>Lámpara de UV </w:t>
            </w:r>
            <w:r>
              <w:rPr>
                <w:sz w:val="20"/>
              </w:rPr>
              <w:t>(Mineral light camp, model UVGL-58, multiband UV-254/266 nm,</w:t>
            </w:r>
            <w:r>
              <w:rPr>
                <w:spacing w:val="-7"/>
                <w:sz w:val="20"/>
              </w:rPr>
              <w:t> </w:t>
            </w:r>
            <w:r>
              <w:rPr>
                <w:sz w:val="20"/>
              </w:rPr>
              <w:t>18W)</w:t>
            </w:r>
          </w:p>
        </w:tc>
      </w:tr>
      <w:tr>
        <w:trPr>
          <w:trHeight w:val="422" w:hRule="exact"/>
        </w:trPr>
        <w:tc>
          <w:tcPr>
            <w:tcW w:w="3183" w:type="dxa"/>
          </w:tcPr>
          <w:p>
            <w:pPr>
              <w:pStyle w:val="TableParagraph"/>
              <w:spacing w:line="274" w:lineRule="exact"/>
              <w:ind w:left="103"/>
              <w:rPr>
                <w:sz w:val="20"/>
              </w:rPr>
            </w:pPr>
            <w:r>
              <w:rPr>
                <w:position w:val="1"/>
                <w:sz w:val="24"/>
              </w:rPr>
              <w:t>Ag</w:t>
            </w:r>
            <w:r>
              <w:rPr>
                <w:sz w:val="16"/>
              </w:rPr>
              <w:t>2</w:t>
            </w:r>
            <w:r>
              <w:rPr>
                <w:position w:val="1"/>
                <w:sz w:val="24"/>
              </w:rPr>
              <w:t>SO</w:t>
            </w:r>
            <w:r>
              <w:rPr>
                <w:sz w:val="16"/>
              </w:rPr>
              <w:t>4</w:t>
            </w:r>
            <w:r>
              <w:rPr>
                <w:position w:val="1"/>
                <w:sz w:val="20"/>
              </w:rPr>
              <w:t>(Fermont, 98.4%)</w:t>
            </w:r>
          </w:p>
        </w:tc>
        <w:tc>
          <w:tcPr>
            <w:tcW w:w="3180" w:type="dxa"/>
          </w:tcPr>
          <w:p>
            <w:pPr>
              <w:pStyle w:val="TableParagraph"/>
              <w:spacing w:line="274" w:lineRule="exact"/>
              <w:ind w:left="100"/>
              <w:rPr>
                <w:sz w:val="24"/>
              </w:rPr>
            </w:pPr>
            <w:r>
              <w:rPr>
                <w:sz w:val="24"/>
              </w:rPr>
              <w:t>Celdas de cuarzo 1cm</w:t>
            </w:r>
          </w:p>
        </w:tc>
        <w:tc>
          <w:tcPr>
            <w:tcW w:w="3183" w:type="dxa"/>
          </w:tcPr>
          <w:p>
            <w:pPr>
              <w:pStyle w:val="TableParagraph"/>
              <w:spacing w:line="274" w:lineRule="exact"/>
              <w:ind w:left="103"/>
              <w:rPr>
                <w:sz w:val="24"/>
              </w:rPr>
            </w:pPr>
            <w:r>
              <w:rPr>
                <w:sz w:val="24"/>
              </w:rPr>
              <w:t>Balanza analítica</w:t>
            </w:r>
          </w:p>
        </w:tc>
      </w:tr>
      <w:tr>
        <w:trPr>
          <w:trHeight w:val="425" w:hRule="exact"/>
        </w:trPr>
        <w:tc>
          <w:tcPr>
            <w:tcW w:w="3183" w:type="dxa"/>
          </w:tcPr>
          <w:p>
            <w:pPr>
              <w:pStyle w:val="TableParagraph"/>
              <w:spacing w:line="274" w:lineRule="exact"/>
              <w:ind w:left="103"/>
              <w:rPr>
                <w:sz w:val="20"/>
              </w:rPr>
            </w:pPr>
            <w:r>
              <w:rPr>
                <w:position w:val="1"/>
                <w:sz w:val="24"/>
              </w:rPr>
              <w:t>HgSO</w:t>
            </w:r>
            <w:r>
              <w:rPr>
                <w:sz w:val="16"/>
              </w:rPr>
              <w:t>4</w:t>
            </w:r>
            <w:r>
              <w:rPr>
                <w:position w:val="1"/>
                <w:sz w:val="20"/>
              </w:rPr>
              <w:t>(Fermont, 98.4%)</w:t>
            </w:r>
          </w:p>
        </w:tc>
        <w:tc>
          <w:tcPr>
            <w:tcW w:w="3180" w:type="dxa"/>
          </w:tcPr>
          <w:p>
            <w:pPr>
              <w:pStyle w:val="TableParagraph"/>
              <w:spacing w:line="274" w:lineRule="exact"/>
              <w:ind w:left="100"/>
              <w:rPr>
                <w:sz w:val="24"/>
              </w:rPr>
            </w:pPr>
            <w:r>
              <w:rPr>
                <w:sz w:val="24"/>
              </w:rPr>
              <w:t>Espátula</w:t>
            </w:r>
          </w:p>
        </w:tc>
        <w:tc>
          <w:tcPr>
            <w:tcW w:w="3183" w:type="dxa"/>
          </w:tcPr>
          <w:p>
            <w:pPr>
              <w:pStyle w:val="TableParagraph"/>
              <w:spacing w:line="274" w:lineRule="exact"/>
              <w:ind w:left="103"/>
              <w:rPr>
                <w:sz w:val="24"/>
              </w:rPr>
            </w:pPr>
            <w:r>
              <w:rPr>
                <w:sz w:val="24"/>
              </w:rPr>
              <w:t>Potenciostato</w:t>
            </w:r>
          </w:p>
        </w:tc>
      </w:tr>
      <w:tr>
        <w:trPr>
          <w:trHeight w:val="425" w:hRule="exact"/>
        </w:trPr>
        <w:tc>
          <w:tcPr>
            <w:tcW w:w="3183" w:type="dxa"/>
          </w:tcPr>
          <w:p>
            <w:pPr>
              <w:pStyle w:val="TableParagraph"/>
              <w:spacing w:line="274" w:lineRule="exact"/>
              <w:ind w:left="103"/>
              <w:rPr>
                <w:sz w:val="20"/>
              </w:rPr>
            </w:pPr>
            <w:r>
              <w:rPr>
                <w:position w:val="1"/>
                <w:sz w:val="24"/>
              </w:rPr>
              <w:t>H</w:t>
            </w:r>
            <w:r>
              <w:rPr>
                <w:sz w:val="16"/>
              </w:rPr>
              <w:t>2</w:t>
            </w:r>
            <w:r>
              <w:rPr>
                <w:position w:val="1"/>
                <w:sz w:val="24"/>
              </w:rPr>
              <w:t>O</w:t>
            </w:r>
            <w:r>
              <w:rPr>
                <w:sz w:val="16"/>
              </w:rPr>
              <w:t>2</w:t>
            </w:r>
            <w:r>
              <w:rPr>
                <w:position w:val="1"/>
                <w:sz w:val="20"/>
              </w:rPr>
              <w:t>(J.T. Baker, 30%)</w:t>
            </w:r>
          </w:p>
        </w:tc>
        <w:tc>
          <w:tcPr>
            <w:tcW w:w="3180" w:type="dxa"/>
          </w:tcPr>
          <w:p>
            <w:pPr>
              <w:pStyle w:val="TableParagraph"/>
              <w:spacing w:line="274" w:lineRule="exact"/>
              <w:ind w:left="100"/>
              <w:rPr>
                <w:sz w:val="24"/>
              </w:rPr>
            </w:pPr>
            <w:r>
              <w:rPr>
                <w:sz w:val="24"/>
              </w:rPr>
              <w:t>Frascos ámbar de 1 L</w:t>
            </w:r>
          </w:p>
        </w:tc>
        <w:tc>
          <w:tcPr>
            <w:tcW w:w="3183" w:type="dxa"/>
          </w:tcPr>
          <w:p>
            <w:pPr>
              <w:pStyle w:val="TableParagraph"/>
              <w:spacing w:line="274" w:lineRule="exact"/>
              <w:ind w:left="103"/>
              <w:rPr>
                <w:sz w:val="24"/>
              </w:rPr>
            </w:pPr>
            <w:r>
              <w:rPr>
                <w:sz w:val="24"/>
              </w:rPr>
              <w:t>Fuente de poder</w:t>
            </w:r>
          </w:p>
        </w:tc>
      </w:tr>
      <w:tr>
        <w:trPr>
          <w:trHeight w:val="768" w:hRule="exact"/>
        </w:trPr>
        <w:tc>
          <w:tcPr>
            <w:tcW w:w="3183" w:type="dxa"/>
          </w:tcPr>
          <w:p>
            <w:pPr>
              <w:pStyle w:val="TableParagraph"/>
              <w:spacing w:line="274" w:lineRule="exact"/>
              <w:ind w:left="103"/>
              <w:rPr>
                <w:sz w:val="24"/>
              </w:rPr>
            </w:pPr>
            <w:r>
              <w:rPr>
                <w:sz w:val="24"/>
              </w:rPr>
              <w:t>Agua destilada</w:t>
            </w:r>
          </w:p>
        </w:tc>
        <w:tc>
          <w:tcPr>
            <w:tcW w:w="3180" w:type="dxa"/>
          </w:tcPr>
          <w:p>
            <w:pPr>
              <w:pStyle w:val="TableParagraph"/>
              <w:spacing w:line="274" w:lineRule="exact"/>
              <w:ind w:left="100"/>
              <w:rPr>
                <w:sz w:val="24"/>
              </w:rPr>
            </w:pPr>
            <w:r>
              <w:rPr>
                <w:sz w:val="24"/>
              </w:rPr>
              <w:t>Frascos de vidrio de 1 L</w:t>
            </w:r>
          </w:p>
        </w:tc>
        <w:tc>
          <w:tcPr>
            <w:tcW w:w="3183" w:type="dxa"/>
          </w:tcPr>
          <w:p>
            <w:pPr>
              <w:pStyle w:val="TableParagraph"/>
              <w:spacing w:line="357" w:lineRule="auto"/>
              <w:ind w:left="103"/>
              <w:rPr>
                <w:sz w:val="20"/>
              </w:rPr>
            </w:pPr>
            <w:r>
              <w:rPr>
                <w:sz w:val="24"/>
              </w:rPr>
              <w:t>Multímetro </w:t>
            </w:r>
            <w:r>
              <w:rPr>
                <w:sz w:val="20"/>
              </w:rPr>
              <w:t>(STEREN, MULT - 010)</w:t>
            </w:r>
          </w:p>
        </w:tc>
      </w:tr>
      <w:tr>
        <w:trPr>
          <w:trHeight w:val="425" w:hRule="exact"/>
        </w:trPr>
        <w:tc>
          <w:tcPr>
            <w:tcW w:w="3183" w:type="dxa"/>
          </w:tcPr>
          <w:p>
            <w:pPr>
              <w:pStyle w:val="TableParagraph"/>
              <w:spacing w:line="274" w:lineRule="exact"/>
              <w:ind w:left="103"/>
              <w:rPr>
                <w:sz w:val="20"/>
              </w:rPr>
            </w:pPr>
            <w:r>
              <w:rPr>
                <w:position w:val="1"/>
                <w:sz w:val="24"/>
              </w:rPr>
              <w:t>KC</w:t>
            </w:r>
            <w:r>
              <w:rPr>
                <w:sz w:val="16"/>
              </w:rPr>
              <w:t>8</w:t>
            </w:r>
            <w:r>
              <w:rPr>
                <w:position w:val="1"/>
                <w:sz w:val="24"/>
              </w:rPr>
              <w:t>H</w:t>
            </w:r>
            <w:r>
              <w:rPr>
                <w:sz w:val="16"/>
              </w:rPr>
              <w:t>5</w:t>
            </w:r>
            <w:r>
              <w:rPr>
                <w:position w:val="1"/>
                <w:sz w:val="24"/>
              </w:rPr>
              <w:t>O</w:t>
            </w:r>
            <w:r>
              <w:rPr>
                <w:sz w:val="16"/>
              </w:rPr>
              <w:t>4</w:t>
            </w:r>
            <w:r>
              <w:rPr>
                <w:position w:val="1"/>
                <w:sz w:val="20"/>
              </w:rPr>
              <w:t>(J.T. Baker, 100.03%)</w:t>
            </w:r>
          </w:p>
        </w:tc>
        <w:tc>
          <w:tcPr>
            <w:tcW w:w="3180" w:type="dxa"/>
          </w:tcPr>
          <w:p>
            <w:pPr>
              <w:pStyle w:val="TableParagraph"/>
              <w:spacing w:line="274" w:lineRule="exact"/>
              <w:ind w:left="100"/>
              <w:rPr>
                <w:sz w:val="24"/>
              </w:rPr>
            </w:pPr>
            <w:r>
              <w:rPr>
                <w:sz w:val="24"/>
              </w:rPr>
              <w:t>Tubos de vidrio con tapa</w:t>
            </w:r>
          </w:p>
        </w:tc>
        <w:tc>
          <w:tcPr>
            <w:tcW w:w="3183" w:type="dxa"/>
          </w:tcPr>
          <w:p>
            <w:pPr/>
          </w:p>
        </w:tc>
      </w:tr>
      <w:tr>
        <w:trPr>
          <w:trHeight w:val="423" w:hRule="exact"/>
        </w:trPr>
        <w:tc>
          <w:tcPr>
            <w:tcW w:w="3183" w:type="dxa"/>
          </w:tcPr>
          <w:p>
            <w:pPr>
              <w:pStyle w:val="TableParagraph"/>
              <w:spacing w:line="274" w:lineRule="exact"/>
              <w:ind w:left="103"/>
              <w:rPr>
                <w:sz w:val="20"/>
              </w:rPr>
            </w:pPr>
            <w:r>
              <w:rPr>
                <w:position w:val="1"/>
                <w:sz w:val="24"/>
              </w:rPr>
              <w:t>HgCl</w:t>
            </w:r>
            <w:r>
              <w:rPr>
                <w:sz w:val="16"/>
              </w:rPr>
              <w:t>2 </w:t>
            </w:r>
            <w:r>
              <w:rPr>
                <w:position w:val="1"/>
                <w:sz w:val="20"/>
              </w:rPr>
              <w:t>(Sigma, 95.5%)</w:t>
            </w:r>
          </w:p>
        </w:tc>
        <w:tc>
          <w:tcPr>
            <w:tcW w:w="3180" w:type="dxa"/>
          </w:tcPr>
          <w:p>
            <w:pPr>
              <w:pStyle w:val="TableParagraph"/>
              <w:spacing w:line="274" w:lineRule="exact"/>
              <w:ind w:left="100"/>
              <w:rPr>
                <w:sz w:val="24"/>
              </w:rPr>
            </w:pPr>
            <w:r>
              <w:rPr>
                <w:sz w:val="24"/>
              </w:rPr>
              <w:t>Celda para potenciostato</w:t>
            </w:r>
          </w:p>
        </w:tc>
        <w:tc>
          <w:tcPr>
            <w:tcW w:w="3183" w:type="dxa"/>
          </w:tcPr>
          <w:p>
            <w:pPr/>
          </w:p>
        </w:tc>
      </w:tr>
      <w:tr>
        <w:trPr>
          <w:trHeight w:val="425" w:hRule="exact"/>
        </w:trPr>
        <w:tc>
          <w:tcPr>
            <w:tcW w:w="3183" w:type="dxa"/>
          </w:tcPr>
          <w:p>
            <w:pPr>
              <w:pStyle w:val="TableParagraph"/>
              <w:spacing w:line="274" w:lineRule="exact"/>
              <w:ind w:left="103"/>
              <w:rPr>
                <w:sz w:val="20"/>
              </w:rPr>
            </w:pPr>
            <w:r>
              <w:rPr>
                <w:position w:val="1"/>
                <w:sz w:val="24"/>
              </w:rPr>
              <w:t>HClO</w:t>
            </w:r>
            <w:r>
              <w:rPr>
                <w:sz w:val="16"/>
              </w:rPr>
              <w:t>4 </w:t>
            </w:r>
            <w:r>
              <w:rPr>
                <w:position w:val="1"/>
                <w:sz w:val="20"/>
              </w:rPr>
              <w:t>(Merk, 70-72%)</w:t>
            </w:r>
          </w:p>
        </w:tc>
        <w:tc>
          <w:tcPr>
            <w:tcW w:w="3180" w:type="dxa"/>
          </w:tcPr>
          <w:p>
            <w:pPr>
              <w:pStyle w:val="TableParagraph"/>
              <w:spacing w:line="274" w:lineRule="exact"/>
              <w:ind w:left="100"/>
              <w:rPr>
                <w:sz w:val="24"/>
              </w:rPr>
            </w:pPr>
            <w:r>
              <w:rPr>
                <w:sz w:val="24"/>
              </w:rPr>
              <w:t>Electrodo de carbón pasta</w:t>
            </w:r>
          </w:p>
        </w:tc>
        <w:tc>
          <w:tcPr>
            <w:tcW w:w="3183" w:type="dxa"/>
          </w:tcPr>
          <w:p>
            <w:pPr/>
          </w:p>
        </w:tc>
      </w:tr>
      <w:tr>
        <w:trPr>
          <w:trHeight w:val="425" w:hRule="exact"/>
        </w:trPr>
        <w:tc>
          <w:tcPr>
            <w:tcW w:w="3183" w:type="dxa"/>
          </w:tcPr>
          <w:p>
            <w:pPr>
              <w:pStyle w:val="TableParagraph"/>
              <w:spacing w:line="274" w:lineRule="exact"/>
              <w:ind w:left="103"/>
              <w:rPr>
                <w:sz w:val="20"/>
              </w:rPr>
            </w:pPr>
            <w:r>
              <w:rPr>
                <w:position w:val="1"/>
                <w:sz w:val="24"/>
              </w:rPr>
              <w:t>Na</w:t>
            </w:r>
            <w:r>
              <w:rPr>
                <w:sz w:val="16"/>
              </w:rPr>
              <w:t>2</w:t>
            </w:r>
            <w:r>
              <w:rPr>
                <w:position w:val="1"/>
                <w:sz w:val="24"/>
              </w:rPr>
              <w:t>SO</w:t>
            </w:r>
            <w:r>
              <w:rPr>
                <w:sz w:val="16"/>
              </w:rPr>
              <w:t>4 </w:t>
            </w:r>
            <w:r>
              <w:rPr>
                <w:position w:val="1"/>
                <w:sz w:val="20"/>
              </w:rPr>
              <w:t>(J.T. Baker,)</w:t>
            </w:r>
          </w:p>
        </w:tc>
        <w:tc>
          <w:tcPr>
            <w:tcW w:w="3180" w:type="dxa"/>
          </w:tcPr>
          <w:p>
            <w:pPr>
              <w:pStyle w:val="TableParagraph"/>
              <w:spacing w:line="274" w:lineRule="exact"/>
              <w:ind w:left="100"/>
              <w:rPr>
                <w:sz w:val="24"/>
              </w:rPr>
            </w:pPr>
            <w:r>
              <w:rPr>
                <w:sz w:val="24"/>
              </w:rPr>
              <w:t>Electrodos de titanio</w:t>
            </w:r>
          </w:p>
        </w:tc>
        <w:tc>
          <w:tcPr>
            <w:tcW w:w="3183" w:type="dxa"/>
          </w:tcPr>
          <w:p>
            <w:pPr/>
          </w:p>
        </w:tc>
      </w:tr>
      <w:tr>
        <w:trPr>
          <w:trHeight w:val="422" w:hRule="exact"/>
        </w:trPr>
        <w:tc>
          <w:tcPr>
            <w:tcW w:w="3183" w:type="dxa"/>
          </w:tcPr>
          <w:p>
            <w:pPr>
              <w:pStyle w:val="TableParagraph"/>
              <w:spacing w:line="274" w:lineRule="exact"/>
              <w:ind w:left="103"/>
              <w:rPr>
                <w:sz w:val="20"/>
              </w:rPr>
            </w:pPr>
            <w:r>
              <w:rPr>
                <w:position w:val="1"/>
                <w:sz w:val="24"/>
              </w:rPr>
              <w:t>HNO</w:t>
            </w:r>
            <w:r>
              <w:rPr>
                <w:sz w:val="16"/>
              </w:rPr>
              <w:t>3 </w:t>
            </w:r>
            <w:r>
              <w:rPr>
                <w:position w:val="1"/>
                <w:sz w:val="20"/>
              </w:rPr>
              <w:t>(Fermont, 70.0%)</w:t>
            </w:r>
          </w:p>
        </w:tc>
        <w:tc>
          <w:tcPr>
            <w:tcW w:w="3180" w:type="dxa"/>
          </w:tcPr>
          <w:p>
            <w:pPr>
              <w:pStyle w:val="TableParagraph"/>
              <w:spacing w:line="274" w:lineRule="exact"/>
              <w:ind w:left="100"/>
              <w:rPr>
                <w:sz w:val="24"/>
              </w:rPr>
            </w:pPr>
            <w:r>
              <w:rPr>
                <w:sz w:val="24"/>
              </w:rPr>
              <w:t>Vaso de 500 mL</w:t>
            </w:r>
          </w:p>
        </w:tc>
        <w:tc>
          <w:tcPr>
            <w:tcW w:w="3183" w:type="dxa"/>
          </w:tcPr>
          <w:p>
            <w:pPr/>
          </w:p>
        </w:tc>
      </w:tr>
      <w:tr>
        <w:trPr>
          <w:trHeight w:val="425" w:hRule="exact"/>
        </w:trPr>
        <w:tc>
          <w:tcPr>
            <w:tcW w:w="3183" w:type="dxa"/>
          </w:tcPr>
          <w:p>
            <w:pPr>
              <w:pStyle w:val="TableParagraph"/>
              <w:spacing w:line="274" w:lineRule="exact"/>
              <w:ind w:left="103"/>
              <w:rPr>
                <w:sz w:val="20"/>
              </w:rPr>
            </w:pPr>
            <w:r>
              <w:rPr>
                <w:sz w:val="24"/>
              </w:rPr>
              <w:t>Carbon activado </w:t>
            </w:r>
            <w:r>
              <w:rPr>
                <w:sz w:val="20"/>
              </w:rPr>
              <w:t>(Sigma)</w:t>
            </w:r>
          </w:p>
        </w:tc>
        <w:tc>
          <w:tcPr>
            <w:tcW w:w="3180" w:type="dxa"/>
          </w:tcPr>
          <w:p>
            <w:pPr>
              <w:pStyle w:val="TableParagraph"/>
              <w:spacing w:line="274" w:lineRule="exact"/>
              <w:ind w:left="100"/>
              <w:rPr>
                <w:sz w:val="24"/>
              </w:rPr>
            </w:pPr>
            <w:r>
              <w:rPr>
                <w:sz w:val="24"/>
              </w:rPr>
              <w:t>Electrodo de referencia</w:t>
            </w:r>
          </w:p>
        </w:tc>
        <w:tc>
          <w:tcPr>
            <w:tcW w:w="3183" w:type="dxa"/>
          </w:tcPr>
          <w:p>
            <w:pPr/>
          </w:p>
        </w:tc>
      </w:tr>
      <w:tr>
        <w:trPr>
          <w:trHeight w:val="425" w:hRule="exact"/>
        </w:trPr>
        <w:tc>
          <w:tcPr>
            <w:tcW w:w="3183" w:type="dxa"/>
          </w:tcPr>
          <w:p>
            <w:pPr>
              <w:pStyle w:val="TableParagraph"/>
              <w:spacing w:line="274" w:lineRule="exact"/>
              <w:ind w:left="103"/>
              <w:rPr>
                <w:sz w:val="24"/>
              </w:rPr>
            </w:pPr>
            <w:r>
              <w:rPr>
                <w:sz w:val="24"/>
              </w:rPr>
              <w:t>Lugol</w:t>
            </w:r>
          </w:p>
        </w:tc>
        <w:tc>
          <w:tcPr>
            <w:tcW w:w="3180" w:type="dxa"/>
          </w:tcPr>
          <w:p>
            <w:pPr>
              <w:pStyle w:val="TableParagraph"/>
              <w:spacing w:line="274" w:lineRule="exact"/>
              <w:ind w:left="100"/>
              <w:rPr>
                <w:sz w:val="24"/>
              </w:rPr>
            </w:pPr>
            <w:r>
              <w:rPr>
                <w:sz w:val="24"/>
              </w:rPr>
              <w:t>Electrodo de grafito</w:t>
            </w:r>
          </w:p>
        </w:tc>
        <w:tc>
          <w:tcPr>
            <w:tcW w:w="3183" w:type="dxa"/>
          </w:tcPr>
          <w:p>
            <w:pPr/>
          </w:p>
        </w:tc>
      </w:tr>
      <w:tr>
        <w:trPr>
          <w:trHeight w:val="422" w:hRule="exact"/>
        </w:trPr>
        <w:tc>
          <w:tcPr>
            <w:tcW w:w="3183" w:type="dxa"/>
          </w:tcPr>
          <w:p>
            <w:pPr/>
          </w:p>
        </w:tc>
        <w:tc>
          <w:tcPr>
            <w:tcW w:w="3180" w:type="dxa"/>
          </w:tcPr>
          <w:p>
            <w:pPr>
              <w:pStyle w:val="TableParagraph"/>
              <w:spacing w:line="274" w:lineRule="exact"/>
              <w:ind w:left="100"/>
              <w:rPr>
                <w:sz w:val="24"/>
              </w:rPr>
            </w:pPr>
            <w:r>
              <w:rPr>
                <w:sz w:val="24"/>
              </w:rPr>
              <w:t>Parrilla de agitación</w:t>
            </w:r>
          </w:p>
        </w:tc>
        <w:tc>
          <w:tcPr>
            <w:tcW w:w="3183" w:type="dxa"/>
          </w:tcPr>
          <w:p>
            <w:pPr/>
          </w:p>
        </w:tc>
      </w:tr>
      <w:tr>
        <w:trPr>
          <w:trHeight w:val="425" w:hRule="exact"/>
        </w:trPr>
        <w:tc>
          <w:tcPr>
            <w:tcW w:w="3183" w:type="dxa"/>
          </w:tcPr>
          <w:p>
            <w:pPr/>
          </w:p>
        </w:tc>
        <w:tc>
          <w:tcPr>
            <w:tcW w:w="3180" w:type="dxa"/>
          </w:tcPr>
          <w:p>
            <w:pPr>
              <w:pStyle w:val="TableParagraph"/>
              <w:spacing w:line="274" w:lineRule="exact"/>
              <w:ind w:left="100"/>
              <w:rPr>
                <w:sz w:val="24"/>
              </w:rPr>
            </w:pPr>
            <w:r>
              <w:rPr>
                <w:sz w:val="24"/>
              </w:rPr>
              <w:t>Agitador magnético</w:t>
            </w:r>
          </w:p>
        </w:tc>
        <w:tc>
          <w:tcPr>
            <w:tcW w:w="3183" w:type="dxa"/>
          </w:tcPr>
          <w:p>
            <w:pPr/>
          </w:p>
        </w:tc>
      </w:tr>
      <w:tr>
        <w:trPr>
          <w:trHeight w:val="423" w:hRule="exact"/>
        </w:trPr>
        <w:tc>
          <w:tcPr>
            <w:tcW w:w="3183" w:type="dxa"/>
          </w:tcPr>
          <w:p>
            <w:pPr/>
          </w:p>
        </w:tc>
        <w:tc>
          <w:tcPr>
            <w:tcW w:w="3180" w:type="dxa"/>
          </w:tcPr>
          <w:p>
            <w:pPr>
              <w:pStyle w:val="TableParagraph"/>
              <w:spacing w:line="275" w:lineRule="exact"/>
              <w:ind w:left="100"/>
              <w:rPr>
                <w:sz w:val="24"/>
              </w:rPr>
            </w:pPr>
            <w:r>
              <w:rPr>
                <w:sz w:val="24"/>
              </w:rPr>
              <w:t>Cables de corriente</w:t>
            </w:r>
          </w:p>
        </w:tc>
        <w:tc>
          <w:tcPr>
            <w:tcW w:w="3183" w:type="dxa"/>
          </w:tcPr>
          <w:p>
            <w:pPr/>
          </w:p>
        </w:tc>
      </w:tr>
      <w:tr>
        <w:trPr>
          <w:trHeight w:val="425" w:hRule="exact"/>
        </w:trPr>
        <w:tc>
          <w:tcPr>
            <w:tcW w:w="3183" w:type="dxa"/>
          </w:tcPr>
          <w:p>
            <w:pPr/>
          </w:p>
        </w:tc>
        <w:tc>
          <w:tcPr>
            <w:tcW w:w="3180" w:type="dxa"/>
          </w:tcPr>
          <w:p>
            <w:pPr>
              <w:pStyle w:val="TableParagraph"/>
              <w:ind w:left="100"/>
              <w:rPr>
                <w:sz w:val="24"/>
              </w:rPr>
            </w:pPr>
            <w:r>
              <w:rPr>
                <w:sz w:val="24"/>
              </w:rPr>
              <w:t>Gradilla</w:t>
            </w:r>
          </w:p>
        </w:tc>
        <w:tc>
          <w:tcPr>
            <w:tcW w:w="3183" w:type="dxa"/>
          </w:tcPr>
          <w:p>
            <w:pPr/>
          </w:p>
        </w:tc>
      </w:tr>
      <w:tr>
        <w:trPr>
          <w:trHeight w:val="838" w:hRule="exact"/>
        </w:trPr>
        <w:tc>
          <w:tcPr>
            <w:tcW w:w="3183" w:type="dxa"/>
          </w:tcPr>
          <w:p>
            <w:pPr/>
          </w:p>
        </w:tc>
        <w:tc>
          <w:tcPr>
            <w:tcW w:w="3180" w:type="dxa"/>
          </w:tcPr>
          <w:p>
            <w:pPr>
              <w:pStyle w:val="TableParagraph"/>
              <w:spacing w:line="360" w:lineRule="auto"/>
              <w:ind w:left="100" w:right="102"/>
              <w:rPr>
                <w:sz w:val="24"/>
              </w:rPr>
            </w:pPr>
            <w:r>
              <w:rPr>
                <w:sz w:val="24"/>
              </w:rPr>
              <w:t>Matraces aforados de 10 mL</w:t>
            </w:r>
          </w:p>
        </w:tc>
        <w:tc>
          <w:tcPr>
            <w:tcW w:w="3183" w:type="dxa"/>
          </w:tcPr>
          <w:p>
            <w:pPr/>
          </w:p>
        </w:tc>
      </w:tr>
    </w:tbl>
    <w:p>
      <w:pPr>
        <w:spacing w:after="0"/>
        <w:sectPr>
          <w:pgSz w:w="12240" w:h="15840"/>
          <w:pgMar w:header="0" w:footer="654" w:top="1500" w:bottom="1060" w:left="76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38"/>
        <w:ind w:left="2782"/>
      </w:pPr>
      <w:r>
        <w:rPr/>
        <w:t>METODOLOGÍA</w:t>
      </w:r>
    </w:p>
    <w:p>
      <w:pPr>
        <w:spacing w:after="0"/>
        <w:sectPr>
          <w:pgSz w:w="12240" w:h="15840"/>
          <w:pgMar w:header="0" w:footer="654" w:top="1500" w:bottom="1060" w:left="760" w:right="840"/>
        </w:sectPr>
      </w:pPr>
    </w:p>
    <w:p>
      <w:pPr>
        <w:pStyle w:val="ListParagraph"/>
        <w:numPr>
          <w:ilvl w:val="1"/>
          <w:numId w:val="4"/>
        </w:numPr>
        <w:tabs>
          <w:tab w:pos="2074" w:val="left" w:leader="none"/>
          <w:tab w:pos="2075" w:val="left" w:leader="none"/>
        </w:tabs>
        <w:spacing w:line="240" w:lineRule="auto" w:before="26" w:after="0"/>
        <w:ind w:left="2074" w:right="0" w:hanging="1056"/>
        <w:jc w:val="left"/>
        <w:rPr>
          <w:b/>
          <w:sz w:val="36"/>
        </w:rPr>
      </w:pPr>
      <w:r>
        <w:rPr>
          <w:b/>
          <w:sz w:val="36"/>
        </w:rPr>
        <w:t>METODOLOGÍA: </w:t>
      </w:r>
      <w:r>
        <w:rPr>
          <w:b/>
          <w:sz w:val="32"/>
        </w:rPr>
        <w:t>PREPARACIÓN DE</w:t>
      </w:r>
      <w:r>
        <w:rPr>
          <w:b/>
          <w:spacing w:val="-16"/>
          <w:sz w:val="32"/>
        </w:rPr>
        <w:t> </w:t>
      </w:r>
      <w:r>
        <w:rPr>
          <w:b/>
          <w:sz w:val="32"/>
        </w:rPr>
        <w:t>SOLUCIONES</w:t>
      </w:r>
    </w:p>
    <w:p>
      <w:pPr>
        <w:pStyle w:val="BodyText"/>
        <w:spacing w:before="3"/>
        <w:rPr>
          <w:b/>
          <w:sz w:val="51"/>
        </w:rPr>
      </w:pPr>
    </w:p>
    <w:p>
      <w:pPr>
        <w:pStyle w:val="Heading4"/>
        <w:numPr>
          <w:ilvl w:val="2"/>
          <w:numId w:val="4"/>
        </w:numPr>
        <w:tabs>
          <w:tab w:pos="2074" w:val="left" w:leader="none"/>
          <w:tab w:pos="2075" w:val="left" w:leader="none"/>
        </w:tabs>
        <w:spacing w:line="240" w:lineRule="auto" w:before="1" w:after="0"/>
        <w:ind w:left="1424" w:right="0" w:hanging="406"/>
        <w:jc w:val="left"/>
      </w:pPr>
      <w:r>
        <w:rPr/>
        <w:t>Técnica de DQO estandarizada [APHA,</w:t>
      </w:r>
      <w:r>
        <w:rPr>
          <w:spacing w:val="-15"/>
        </w:rPr>
        <w:t> </w:t>
      </w:r>
      <w:r>
        <w:rPr/>
        <w:t>1998].</w:t>
      </w:r>
    </w:p>
    <w:p>
      <w:pPr>
        <w:pStyle w:val="BodyText"/>
        <w:spacing w:before="7"/>
        <w:rPr>
          <w:b/>
        </w:rPr>
      </w:pPr>
    </w:p>
    <w:p>
      <w:pPr>
        <w:pStyle w:val="BodyText"/>
        <w:spacing w:line="360" w:lineRule="auto" w:before="1"/>
        <w:ind w:left="658" w:right="400"/>
        <w:jc w:val="both"/>
      </w:pPr>
      <w:r>
        <w:rPr>
          <w:position w:val="1"/>
        </w:rPr>
        <w:t>Se preparó una </w:t>
      </w:r>
      <w:r>
        <w:rPr>
          <w:position w:val="1"/>
          <w:u w:val="single"/>
        </w:rPr>
        <w:t>solución catalizadora: </w:t>
      </w:r>
      <w:r>
        <w:rPr>
          <w:position w:val="1"/>
        </w:rPr>
        <w:t>Se pesó 15.02 g (0.0481 moles) de Ag</w:t>
      </w:r>
      <w:r>
        <w:rPr>
          <w:sz w:val="16"/>
        </w:rPr>
        <w:t>2</w:t>
      </w:r>
      <w:r>
        <w:rPr>
          <w:position w:val="1"/>
        </w:rPr>
        <w:t>SO</w:t>
      </w:r>
      <w:r>
        <w:rPr>
          <w:sz w:val="16"/>
        </w:rPr>
        <w:t>4 </w:t>
      </w:r>
      <w:r>
        <w:rPr>
          <w:position w:val="1"/>
        </w:rPr>
        <w:t>grado reactivo, y se disolvió en H</w:t>
      </w:r>
      <w:r>
        <w:rPr>
          <w:sz w:val="16"/>
        </w:rPr>
        <w:t>2</w:t>
      </w:r>
      <w:r>
        <w:rPr>
          <w:position w:val="1"/>
        </w:rPr>
        <w:t>SO</w:t>
      </w:r>
      <w:r>
        <w:rPr>
          <w:sz w:val="16"/>
        </w:rPr>
        <w:t>4 </w:t>
      </w:r>
      <w:r>
        <w:rPr>
          <w:position w:val="1"/>
        </w:rPr>
        <w:t>concentrado al 98% para llegar a un volumen total de 1 L </w:t>
      </w:r>
      <w:r>
        <w:rPr/>
        <w:t>(la solución tardó aproximadamente 2 días para disolución completa). Una vez hecha se mantuvo en un recipiente opaco para evitar su descomposición.</w:t>
      </w:r>
    </w:p>
    <w:p>
      <w:pPr>
        <w:pStyle w:val="BodyText"/>
        <w:spacing w:line="360" w:lineRule="auto" w:before="125"/>
        <w:ind w:left="658" w:right="402"/>
        <w:jc w:val="both"/>
      </w:pPr>
      <w:r>
        <w:rPr/>
        <w:t>La </w:t>
      </w:r>
      <w:r>
        <w:rPr>
          <w:u w:val="single"/>
        </w:rPr>
        <w:t>solución de digestión </w:t>
      </w:r>
      <w:r>
        <w:rPr/>
        <w:t>fue prepara de la siguiente manera: se pesaron 10.216 g (0.0347 </w:t>
      </w:r>
      <w:r>
        <w:rPr>
          <w:position w:val="1"/>
        </w:rPr>
        <w:t>moles) de K</w:t>
      </w:r>
      <w:r>
        <w:rPr>
          <w:sz w:val="16"/>
        </w:rPr>
        <w:t>2</w:t>
      </w:r>
      <w:r>
        <w:rPr>
          <w:position w:val="1"/>
        </w:rPr>
        <w:t>Cr</w:t>
      </w:r>
      <w:r>
        <w:rPr>
          <w:sz w:val="16"/>
        </w:rPr>
        <w:t>2</w:t>
      </w:r>
      <w:r>
        <w:rPr>
          <w:position w:val="1"/>
        </w:rPr>
        <w:t>O</w:t>
      </w:r>
      <w:r>
        <w:rPr>
          <w:sz w:val="16"/>
        </w:rPr>
        <w:t>7 </w:t>
      </w:r>
      <w:r>
        <w:rPr>
          <w:position w:val="1"/>
        </w:rPr>
        <w:t>secado previamente a 103 ºC por 2 h, se añadieron a 500 mL de agua desionizada, adicionando enseguida 167 mL de H</w:t>
      </w:r>
      <w:r>
        <w:rPr>
          <w:sz w:val="16"/>
        </w:rPr>
        <w:t>2</w:t>
      </w:r>
      <w:r>
        <w:rPr>
          <w:position w:val="1"/>
        </w:rPr>
        <w:t>SO</w:t>
      </w:r>
      <w:r>
        <w:rPr>
          <w:sz w:val="16"/>
        </w:rPr>
        <w:t>4 </w:t>
      </w:r>
      <w:r>
        <w:rPr>
          <w:position w:val="1"/>
        </w:rPr>
        <w:t>concentrado, finalmente se pesó y adicionó a la solución 33.31 g (0.112 moles) de HgSO</w:t>
      </w:r>
      <w:r>
        <w:rPr>
          <w:sz w:val="16"/>
        </w:rPr>
        <w:t>4</w:t>
      </w:r>
      <w:r>
        <w:rPr>
          <w:position w:val="1"/>
        </w:rPr>
        <w:t>; disolviendo bien y enfriando a </w:t>
      </w:r>
      <w:r>
        <w:rPr/>
        <w:t>temperatura ambiente. Aforando a 1 L con agua desionizada.</w:t>
      </w:r>
    </w:p>
    <w:p>
      <w:pPr>
        <w:pStyle w:val="BodyText"/>
      </w:pPr>
    </w:p>
    <w:p>
      <w:pPr>
        <w:pStyle w:val="Heading4"/>
        <w:numPr>
          <w:ilvl w:val="2"/>
          <w:numId w:val="4"/>
        </w:numPr>
        <w:tabs>
          <w:tab w:pos="2074" w:val="left" w:leader="none"/>
          <w:tab w:pos="2075" w:val="left" w:leader="none"/>
        </w:tabs>
        <w:spacing w:line="240" w:lineRule="auto" w:before="192" w:after="0"/>
        <w:ind w:left="2074" w:right="0" w:hanging="1056"/>
        <w:jc w:val="left"/>
      </w:pPr>
      <w:r>
        <w:rPr>
          <w:position w:val="2"/>
        </w:rPr>
        <w:t>Técnica de DQO con</w:t>
      </w:r>
      <w:r>
        <w:rPr>
          <w:spacing w:val="-7"/>
          <w:position w:val="2"/>
        </w:rPr>
        <w:t> </w:t>
      </w:r>
      <w:r>
        <w:rPr>
          <w:position w:val="2"/>
        </w:rPr>
        <w:t>H</w:t>
      </w:r>
      <w:r>
        <w:rPr>
          <w:sz w:val="18"/>
        </w:rPr>
        <w:t>2</w:t>
      </w:r>
      <w:r>
        <w:rPr>
          <w:position w:val="2"/>
        </w:rPr>
        <w:t>O</w:t>
      </w:r>
      <w:r>
        <w:rPr>
          <w:sz w:val="18"/>
        </w:rPr>
        <w:t>2</w:t>
      </w:r>
    </w:p>
    <w:p>
      <w:pPr>
        <w:pStyle w:val="BodyText"/>
        <w:spacing w:before="6"/>
        <w:rPr>
          <w:b/>
        </w:rPr>
      </w:pPr>
    </w:p>
    <w:p>
      <w:pPr>
        <w:pStyle w:val="BodyText"/>
        <w:spacing w:line="360" w:lineRule="auto"/>
        <w:ind w:left="658" w:right="398"/>
        <w:jc w:val="both"/>
      </w:pPr>
      <w:r>
        <w:rPr/>
        <w:t>Se continuó trabajando con las mismas cantidades de reactivos que en la técnica estandarizada, con la finalidad de observar su comportamiento conservando estas condiciones. De igual forma se sigue utilizando el sulfato de plata, como catalizador de cadenas alifáticas lineales y el sulfato de mercurio para inhibir los haluros para que el agente oxidante el peróxido de hidrógeno pueda reaccionar con toda la materia orgánica existente en el medio (anexo 3). Esto es porque </w:t>
      </w:r>
      <w:r>
        <w:rPr>
          <w:spacing w:val="3"/>
        </w:rPr>
        <w:t>si </w:t>
      </w:r>
      <w:r>
        <w:rPr/>
        <w:t>en el medio se encuentran cadenas alifáticas</w:t>
      </w:r>
      <w:r>
        <w:rPr>
          <w:spacing w:val="-4"/>
        </w:rPr>
        <w:t> </w:t>
      </w:r>
      <w:r>
        <w:rPr/>
        <w:t>lineales</w:t>
      </w:r>
      <w:r>
        <w:rPr>
          <w:spacing w:val="-6"/>
        </w:rPr>
        <w:t> </w:t>
      </w:r>
      <w:r>
        <w:rPr/>
        <w:t>y</w:t>
      </w:r>
      <w:r>
        <w:rPr>
          <w:spacing w:val="-7"/>
        </w:rPr>
        <w:t> </w:t>
      </w:r>
      <w:r>
        <w:rPr/>
        <w:t>no</w:t>
      </w:r>
      <w:r>
        <w:rPr>
          <w:spacing w:val="-6"/>
        </w:rPr>
        <w:t> </w:t>
      </w:r>
      <w:r>
        <w:rPr/>
        <w:t>hay</w:t>
      </w:r>
      <w:r>
        <w:rPr>
          <w:spacing w:val="-7"/>
        </w:rPr>
        <w:t> </w:t>
      </w:r>
      <w:r>
        <w:rPr/>
        <w:t>suficiente</w:t>
      </w:r>
      <w:r>
        <w:rPr>
          <w:spacing w:val="-4"/>
        </w:rPr>
        <w:t> </w:t>
      </w:r>
      <w:r>
        <w:rPr/>
        <w:t>cantidad</w:t>
      </w:r>
      <w:r>
        <w:rPr>
          <w:spacing w:val="-1"/>
        </w:rPr>
        <w:t> </w:t>
      </w:r>
      <w:r>
        <w:rPr/>
        <w:t>de</w:t>
      </w:r>
      <w:r>
        <w:rPr>
          <w:spacing w:val="-5"/>
        </w:rPr>
        <w:t> </w:t>
      </w:r>
      <w:r>
        <w:rPr/>
        <w:t>sulfato</w:t>
      </w:r>
      <w:r>
        <w:rPr>
          <w:spacing w:val="-6"/>
        </w:rPr>
        <w:t> </w:t>
      </w:r>
      <w:r>
        <w:rPr/>
        <w:t>de</w:t>
      </w:r>
      <w:r>
        <w:rPr>
          <w:spacing w:val="-5"/>
        </w:rPr>
        <w:t> </w:t>
      </w:r>
      <w:r>
        <w:rPr/>
        <w:t>plata</w:t>
      </w:r>
      <w:r>
        <w:rPr>
          <w:spacing w:val="-6"/>
        </w:rPr>
        <w:t> </w:t>
      </w:r>
      <w:r>
        <w:rPr/>
        <w:t>para</w:t>
      </w:r>
      <w:r>
        <w:rPr>
          <w:spacing w:val="-4"/>
        </w:rPr>
        <w:t> </w:t>
      </w:r>
      <w:r>
        <w:rPr/>
        <w:t>catalizarla,</w:t>
      </w:r>
      <w:r>
        <w:rPr>
          <w:spacing w:val="-4"/>
        </w:rPr>
        <w:t> </w:t>
      </w:r>
      <w:r>
        <w:rPr/>
        <w:t>no</w:t>
      </w:r>
      <w:r>
        <w:rPr>
          <w:spacing w:val="-4"/>
        </w:rPr>
        <w:t> </w:t>
      </w:r>
      <w:r>
        <w:rPr/>
        <w:t>van</w:t>
      </w:r>
      <w:r>
        <w:rPr>
          <w:spacing w:val="-6"/>
        </w:rPr>
        <w:t> </w:t>
      </w:r>
      <w:r>
        <w:rPr/>
        <w:t>a poder reaccionar con el agente oxidante. Por dicho motivo se continúan adicionando el sulfato de plata y la funcionalidad del sulfato de mercurio es como inhibidor de haluros, de lo contrario los haluros reaccionarían primero con la plata formando un</w:t>
      </w:r>
      <w:r>
        <w:rPr>
          <w:spacing w:val="-23"/>
        </w:rPr>
        <w:t> </w:t>
      </w:r>
      <w:r>
        <w:rPr/>
        <w:t>precipitado.</w:t>
      </w:r>
    </w:p>
    <w:p>
      <w:pPr>
        <w:pStyle w:val="BodyText"/>
      </w:pPr>
    </w:p>
    <w:p>
      <w:pPr>
        <w:pStyle w:val="BodyText"/>
        <w:spacing w:before="9"/>
        <w:rPr>
          <w:sz w:val="19"/>
        </w:rPr>
      </w:pPr>
    </w:p>
    <w:p>
      <w:pPr>
        <w:pStyle w:val="Heading4"/>
        <w:numPr>
          <w:ilvl w:val="3"/>
          <w:numId w:val="4"/>
        </w:numPr>
        <w:tabs>
          <w:tab w:pos="2074" w:val="left" w:leader="none"/>
          <w:tab w:pos="2075" w:val="left" w:leader="none"/>
        </w:tabs>
        <w:spacing w:line="240" w:lineRule="auto" w:before="0" w:after="0"/>
        <w:ind w:left="2074" w:right="0" w:hanging="1056"/>
        <w:jc w:val="left"/>
      </w:pPr>
      <w:r>
        <w:rPr/>
        <w:t>Cantidad de reactivos y</w:t>
      </w:r>
      <w:r>
        <w:rPr>
          <w:spacing w:val="-18"/>
        </w:rPr>
        <w:t> </w:t>
      </w:r>
      <w:r>
        <w:rPr/>
        <w:t>soluciones</w:t>
      </w:r>
    </w:p>
    <w:p>
      <w:pPr>
        <w:pStyle w:val="BodyText"/>
        <w:spacing w:before="5"/>
        <w:rPr>
          <w:b/>
        </w:rPr>
      </w:pPr>
    </w:p>
    <w:p>
      <w:pPr>
        <w:pStyle w:val="BodyText"/>
        <w:spacing w:line="360" w:lineRule="auto"/>
        <w:ind w:left="658" w:right="400"/>
        <w:jc w:val="both"/>
      </w:pPr>
      <w:r>
        <w:rPr>
          <w:position w:val="1"/>
        </w:rPr>
        <w:t>Preparación de la </w:t>
      </w:r>
      <w:r>
        <w:rPr>
          <w:position w:val="1"/>
          <w:u w:val="single"/>
        </w:rPr>
        <w:t>solución catalizadora: </w:t>
      </w:r>
      <w:r>
        <w:rPr>
          <w:position w:val="1"/>
        </w:rPr>
        <w:t>se pesó 15.01 g (0.0481 moles) de Ag</w:t>
      </w:r>
      <w:r>
        <w:rPr>
          <w:sz w:val="16"/>
        </w:rPr>
        <w:t>2</w:t>
      </w:r>
      <w:r>
        <w:rPr>
          <w:position w:val="1"/>
        </w:rPr>
        <w:t>SO</w:t>
      </w:r>
      <w:r>
        <w:rPr>
          <w:sz w:val="16"/>
        </w:rPr>
        <w:t>4 </w:t>
      </w:r>
      <w:r>
        <w:rPr>
          <w:position w:val="1"/>
        </w:rPr>
        <w:t>grado reactivo, y se disolvió en H</w:t>
      </w:r>
      <w:r>
        <w:rPr>
          <w:sz w:val="16"/>
        </w:rPr>
        <w:t>2</w:t>
      </w:r>
      <w:r>
        <w:rPr>
          <w:position w:val="1"/>
        </w:rPr>
        <w:t>SO</w:t>
      </w:r>
      <w:r>
        <w:rPr>
          <w:sz w:val="16"/>
        </w:rPr>
        <w:t>4 </w:t>
      </w:r>
      <w:r>
        <w:rPr>
          <w:position w:val="1"/>
        </w:rPr>
        <w:t>concentrado al 98% para llegar a un volumen de 1 L (la </w:t>
      </w:r>
      <w:r>
        <w:rPr/>
        <w:t>solución tardó aproximadamente 2 días para disolución completa). Una vez hecha se mantuvo la solución en un recipiente opaco para evitar su descomposición.</w:t>
      </w:r>
    </w:p>
    <w:p>
      <w:pPr>
        <w:spacing w:after="0" w:line="360" w:lineRule="auto"/>
        <w:jc w:val="both"/>
        <w:sectPr>
          <w:pgSz w:w="12240" w:h="15840"/>
          <w:pgMar w:header="0" w:footer="654" w:top="1100" w:bottom="1060" w:left="760" w:right="840"/>
        </w:sectPr>
      </w:pPr>
    </w:p>
    <w:p>
      <w:pPr>
        <w:pStyle w:val="BodyText"/>
        <w:spacing w:line="360" w:lineRule="auto" w:before="50"/>
        <w:ind w:left="658" w:right="403"/>
        <w:jc w:val="both"/>
      </w:pPr>
      <w:r>
        <w:rPr>
          <w:position w:val="1"/>
        </w:rPr>
        <w:t>Para la </w:t>
      </w:r>
      <w:r>
        <w:rPr>
          <w:position w:val="1"/>
          <w:u w:val="single"/>
        </w:rPr>
        <w:t>solución de digestión</w:t>
      </w:r>
      <w:r>
        <w:rPr>
          <w:position w:val="1"/>
        </w:rPr>
        <w:t>: se adicionaron 5.16 mL de H</w:t>
      </w:r>
      <w:r>
        <w:rPr>
          <w:sz w:val="16"/>
        </w:rPr>
        <w:t>2</w:t>
      </w:r>
      <w:r>
        <w:rPr>
          <w:position w:val="1"/>
        </w:rPr>
        <w:t>O</w:t>
      </w:r>
      <w:r>
        <w:rPr>
          <w:sz w:val="16"/>
        </w:rPr>
        <w:t>2 </w:t>
      </w:r>
      <w:r>
        <w:rPr>
          <w:position w:val="1"/>
        </w:rPr>
        <w:t>a 500 mL de agua desionizada. Enseguida se agregaron 167 mL de H</w:t>
      </w:r>
      <w:r>
        <w:rPr>
          <w:sz w:val="16"/>
        </w:rPr>
        <w:t>2</w:t>
      </w:r>
      <w:r>
        <w:rPr>
          <w:position w:val="1"/>
        </w:rPr>
        <w:t>SO</w:t>
      </w:r>
      <w:r>
        <w:rPr>
          <w:sz w:val="16"/>
        </w:rPr>
        <w:t>4 </w:t>
      </w:r>
      <w:r>
        <w:rPr>
          <w:position w:val="1"/>
        </w:rPr>
        <w:t>concentrado al 98%, finalmente se</w:t>
      </w:r>
      <w:r>
        <w:rPr>
          <w:spacing w:val="-15"/>
          <w:position w:val="1"/>
        </w:rPr>
        <w:t> </w:t>
      </w:r>
      <w:r>
        <w:rPr>
          <w:position w:val="1"/>
        </w:rPr>
        <w:t>pesaron</w:t>
      </w:r>
      <w:r>
        <w:rPr>
          <w:spacing w:val="-15"/>
          <w:position w:val="1"/>
        </w:rPr>
        <w:t> </w:t>
      </w:r>
      <w:r>
        <w:rPr>
          <w:position w:val="1"/>
        </w:rPr>
        <w:t>y</w:t>
      </w:r>
      <w:r>
        <w:rPr>
          <w:spacing w:val="-19"/>
          <w:position w:val="1"/>
        </w:rPr>
        <w:t> </w:t>
      </w:r>
      <w:r>
        <w:rPr>
          <w:position w:val="1"/>
        </w:rPr>
        <w:t>adicionaron</w:t>
      </w:r>
      <w:r>
        <w:rPr>
          <w:spacing w:val="-15"/>
          <w:position w:val="1"/>
        </w:rPr>
        <w:t> </w:t>
      </w:r>
      <w:r>
        <w:rPr>
          <w:position w:val="1"/>
        </w:rPr>
        <w:t>33.30</w:t>
      </w:r>
      <w:r>
        <w:rPr>
          <w:spacing w:val="-15"/>
          <w:position w:val="1"/>
        </w:rPr>
        <w:t> </w:t>
      </w:r>
      <w:r>
        <w:rPr>
          <w:position w:val="1"/>
        </w:rPr>
        <w:t>g</w:t>
      </w:r>
      <w:r>
        <w:rPr>
          <w:spacing w:val="-18"/>
          <w:position w:val="1"/>
        </w:rPr>
        <w:t> </w:t>
      </w:r>
      <w:r>
        <w:rPr>
          <w:position w:val="1"/>
        </w:rPr>
        <w:t>(0.112</w:t>
      </w:r>
      <w:r>
        <w:rPr>
          <w:spacing w:val="-16"/>
          <w:position w:val="1"/>
        </w:rPr>
        <w:t> </w:t>
      </w:r>
      <w:r>
        <w:rPr>
          <w:position w:val="1"/>
        </w:rPr>
        <w:t>moles)</w:t>
      </w:r>
      <w:r>
        <w:rPr>
          <w:spacing w:val="-16"/>
          <w:position w:val="1"/>
        </w:rPr>
        <w:t> </w:t>
      </w:r>
      <w:r>
        <w:rPr>
          <w:position w:val="1"/>
        </w:rPr>
        <w:t>de</w:t>
      </w:r>
      <w:r>
        <w:rPr>
          <w:spacing w:val="-16"/>
          <w:position w:val="1"/>
        </w:rPr>
        <w:t> </w:t>
      </w:r>
      <w:r>
        <w:rPr>
          <w:position w:val="1"/>
        </w:rPr>
        <w:t>HgSO</w:t>
      </w:r>
      <w:r>
        <w:rPr>
          <w:sz w:val="16"/>
        </w:rPr>
        <w:t>4</w:t>
      </w:r>
      <w:r>
        <w:rPr>
          <w:position w:val="1"/>
        </w:rPr>
        <w:t>;</w:t>
      </w:r>
      <w:r>
        <w:rPr>
          <w:spacing w:val="-16"/>
          <w:position w:val="1"/>
        </w:rPr>
        <w:t> </w:t>
      </w:r>
      <w:r>
        <w:rPr>
          <w:position w:val="1"/>
        </w:rPr>
        <w:t>y</w:t>
      </w:r>
      <w:r>
        <w:rPr>
          <w:spacing w:val="-19"/>
          <w:position w:val="1"/>
        </w:rPr>
        <w:t> </w:t>
      </w:r>
      <w:r>
        <w:rPr>
          <w:position w:val="1"/>
        </w:rPr>
        <w:t>se</w:t>
      </w:r>
      <w:r>
        <w:rPr>
          <w:spacing w:val="-15"/>
          <w:position w:val="1"/>
        </w:rPr>
        <w:t> </w:t>
      </w:r>
      <w:r>
        <w:rPr>
          <w:position w:val="1"/>
        </w:rPr>
        <w:t>disolvió</w:t>
      </w:r>
      <w:r>
        <w:rPr>
          <w:spacing w:val="-16"/>
          <w:position w:val="1"/>
        </w:rPr>
        <w:t> </w:t>
      </w:r>
      <w:r>
        <w:rPr>
          <w:position w:val="1"/>
        </w:rPr>
        <w:t>en</w:t>
      </w:r>
      <w:r>
        <w:rPr>
          <w:spacing w:val="-16"/>
          <w:position w:val="1"/>
        </w:rPr>
        <w:t> </w:t>
      </w:r>
      <w:r>
        <w:rPr>
          <w:position w:val="1"/>
        </w:rPr>
        <w:t>agua</w:t>
      </w:r>
      <w:r>
        <w:rPr>
          <w:spacing w:val="-16"/>
          <w:position w:val="1"/>
        </w:rPr>
        <w:t> </w:t>
      </w:r>
      <w:r>
        <w:rPr>
          <w:position w:val="1"/>
        </w:rPr>
        <w:t>para</w:t>
      </w:r>
      <w:r>
        <w:rPr>
          <w:spacing w:val="-16"/>
          <w:position w:val="1"/>
        </w:rPr>
        <w:t> </w:t>
      </w:r>
      <w:r>
        <w:rPr>
          <w:position w:val="1"/>
        </w:rPr>
        <w:t>llegar </w:t>
      </w:r>
      <w:r>
        <w:rPr/>
        <w:t>a un volumen de 1 L, dejándose enfriar a temperatura</w:t>
      </w:r>
      <w:r>
        <w:rPr>
          <w:spacing w:val="-22"/>
        </w:rPr>
        <w:t> </w:t>
      </w:r>
      <w:r>
        <w:rPr/>
        <w:t>ambiente.</w:t>
      </w:r>
    </w:p>
    <w:p>
      <w:pPr>
        <w:pStyle w:val="BodyText"/>
      </w:pPr>
    </w:p>
    <w:p>
      <w:pPr>
        <w:pStyle w:val="BodyText"/>
        <w:spacing w:before="1"/>
        <w:rPr>
          <w:sz w:val="33"/>
        </w:rPr>
      </w:pPr>
    </w:p>
    <w:p>
      <w:pPr>
        <w:pStyle w:val="Heading4"/>
        <w:numPr>
          <w:ilvl w:val="2"/>
          <w:numId w:val="4"/>
        </w:numPr>
        <w:tabs>
          <w:tab w:pos="2074" w:val="left" w:leader="none"/>
          <w:tab w:pos="2075" w:val="left" w:leader="none"/>
        </w:tabs>
        <w:spacing w:line="240" w:lineRule="auto" w:before="0" w:after="0"/>
        <w:ind w:left="2074" w:right="0" w:hanging="1056"/>
        <w:jc w:val="left"/>
      </w:pPr>
      <w:r>
        <w:rPr/>
        <w:t>Cambios de concentración de sulfato de mercurio y</w:t>
      </w:r>
      <w:r>
        <w:rPr>
          <w:spacing w:val="-27"/>
        </w:rPr>
        <w:t> </w:t>
      </w:r>
      <w:r>
        <w:rPr/>
        <w:t>plata.</w:t>
      </w:r>
    </w:p>
    <w:p>
      <w:pPr>
        <w:pStyle w:val="BodyText"/>
        <w:spacing w:before="4"/>
        <w:rPr>
          <w:b/>
          <w:sz w:val="31"/>
        </w:rPr>
      </w:pPr>
    </w:p>
    <w:p>
      <w:pPr>
        <w:pStyle w:val="BodyText"/>
        <w:spacing w:line="360" w:lineRule="auto"/>
        <w:ind w:left="658" w:right="398"/>
        <w:jc w:val="both"/>
      </w:pPr>
      <w:r>
        <w:rPr/>
        <w:t>Se realizaron cambios en la concentración de los agentes de plata y mercurio con la finalidad de poder adicionar menor cantidad de los mismos; primero se disminuyó un </w:t>
      </w:r>
      <w:r>
        <w:rPr>
          <w:spacing w:val="-2"/>
        </w:rPr>
        <w:t>75% </w:t>
      </w:r>
      <w:r>
        <w:rPr/>
        <w:t>de</w:t>
      </w:r>
      <w:r>
        <w:rPr>
          <w:spacing w:val="-6"/>
        </w:rPr>
        <w:t> </w:t>
      </w:r>
      <w:r>
        <w:rPr/>
        <w:t>cada</w:t>
      </w:r>
      <w:r>
        <w:rPr>
          <w:spacing w:val="-6"/>
        </w:rPr>
        <w:t> </w:t>
      </w:r>
      <w:r>
        <w:rPr/>
        <w:t>uno</w:t>
      </w:r>
      <w:r>
        <w:rPr>
          <w:spacing w:val="-5"/>
        </w:rPr>
        <w:t> </w:t>
      </w:r>
      <w:r>
        <w:rPr/>
        <w:t>sin</w:t>
      </w:r>
      <w:r>
        <w:rPr>
          <w:spacing w:val="-9"/>
        </w:rPr>
        <w:t> </w:t>
      </w:r>
      <w:r>
        <w:rPr/>
        <w:t>dar</w:t>
      </w:r>
      <w:r>
        <w:rPr>
          <w:spacing w:val="-7"/>
        </w:rPr>
        <w:t> </w:t>
      </w:r>
      <w:r>
        <w:rPr/>
        <w:t>resultados</w:t>
      </w:r>
      <w:r>
        <w:rPr>
          <w:spacing w:val="-9"/>
        </w:rPr>
        <w:t> </w:t>
      </w:r>
      <w:r>
        <w:rPr/>
        <w:t>favorables,</w:t>
      </w:r>
      <w:r>
        <w:rPr>
          <w:spacing w:val="-8"/>
        </w:rPr>
        <w:t> </w:t>
      </w:r>
      <w:r>
        <w:rPr/>
        <w:t>por</w:t>
      </w:r>
      <w:r>
        <w:rPr>
          <w:spacing w:val="-7"/>
        </w:rPr>
        <w:t> </w:t>
      </w:r>
      <w:r>
        <w:rPr/>
        <w:t>lo</w:t>
      </w:r>
      <w:r>
        <w:rPr>
          <w:spacing w:val="-6"/>
        </w:rPr>
        <w:t> </w:t>
      </w:r>
      <w:r>
        <w:rPr/>
        <w:t>que</w:t>
      </w:r>
      <w:r>
        <w:rPr>
          <w:spacing w:val="-6"/>
        </w:rPr>
        <w:t> </w:t>
      </w:r>
      <w:r>
        <w:rPr/>
        <w:t>se</w:t>
      </w:r>
      <w:r>
        <w:rPr>
          <w:spacing w:val="-6"/>
        </w:rPr>
        <w:t> </w:t>
      </w:r>
      <w:r>
        <w:rPr/>
        <w:t>realizaron</w:t>
      </w:r>
      <w:r>
        <w:rPr>
          <w:spacing w:val="-8"/>
        </w:rPr>
        <w:t> </w:t>
      </w:r>
      <w:r>
        <w:rPr/>
        <w:t>estudios</w:t>
      </w:r>
      <w:r>
        <w:rPr>
          <w:spacing w:val="-7"/>
        </w:rPr>
        <w:t> </w:t>
      </w:r>
      <w:r>
        <w:rPr/>
        <w:t>con</w:t>
      </w:r>
      <w:r>
        <w:rPr>
          <w:spacing w:val="-8"/>
        </w:rPr>
        <w:t> </w:t>
      </w:r>
      <w:r>
        <w:rPr/>
        <w:t>el</w:t>
      </w:r>
      <w:r>
        <w:rPr>
          <w:spacing w:val="-7"/>
        </w:rPr>
        <w:t> </w:t>
      </w:r>
      <w:r>
        <w:rPr/>
        <w:t>50%</w:t>
      </w:r>
      <w:r>
        <w:rPr>
          <w:spacing w:val="-9"/>
        </w:rPr>
        <w:t> </w:t>
      </w:r>
      <w:r>
        <w:rPr/>
        <w:t>de concentración de cada una de ellas con base en la técnica estandarizada. </w:t>
      </w:r>
      <w:r>
        <w:rPr>
          <w:spacing w:val="3"/>
        </w:rPr>
        <w:t>Las </w:t>
      </w:r>
      <w:r>
        <w:rPr/>
        <w:t>reacciones fueron</w:t>
      </w:r>
      <w:r>
        <w:rPr>
          <w:spacing w:val="-11"/>
        </w:rPr>
        <w:t> </w:t>
      </w:r>
      <w:r>
        <w:rPr/>
        <w:t>monitoreadas</w:t>
      </w:r>
      <w:r>
        <w:rPr>
          <w:spacing w:val="-9"/>
        </w:rPr>
        <w:t> </w:t>
      </w:r>
      <w:r>
        <w:rPr/>
        <w:t>después</w:t>
      </w:r>
      <w:r>
        <w:rPr>
          <w:spacing w:val="-9"/>
        </w:rPr>
        <w:t> </w:t>
      </w:r>
      <w:r>
        <w:rPr/>
        <w:t>de</w:t>
      </w:r>
      <w:r>
        <w:rPr>
          <w:spacing w:val="-8"/>
        </w:rPr>
        <w:t> </w:t>
      </w:r>
      <w:r>
        <w:rPr/>
        <w:t>cada</w:t>
      </w:r>
      <w:r>
        <w:rPr>
          <w:spacing w:val="-11"/>
        </w:rPr>
        <w:t> </w:t>
      </w:r>
      <w:r>
        <w:rPr/>
        <w:t>adición,</w:t>
      </w:r>
      <w:r>
        <w:rPr>
          <w:spacing w:val="-9"/>
        </w:rPr>
        <w:t> </w:t>
      </w:r>
      <w:r>
        <w:rPr/>
        <w:t>con</w:t>
      </w:r>
      <w:r>
        <w:rPr>
          <w:spacing w:val="-8"/>
        </w:rPr>
        <w:t> </w:t>
      </w:r>
      <w:r>
        <w:rPr/>
        <w:t>la</w:t>
      </w:r>
      <w:r>
        <w:rPr>
          <w:spacing w:val="-11"/>
        </w:rPr>
        <w:t> </w:t>
      </w:r>
      <w:r>
        <w:rPr/>
        <w:t>finalidad</w:t>
      </w:r>
      <w:r>
        <w:rPr>
          <w:spacing w:val="-8"/>
        </w:rPr>
        <w:t> </w:t>
      </w:r>
      <w:r>
        <w:rPr/>
        <w:t>de</w:t>
      </w:r>
      <w:r>
        <w:rPr>
          <w:spacing w:val="-11"/>
        </w:rPr>
        <w:t> </w:t>
      </w:r>
      <w:r>
        <w:rPr/>
        <w:t>observar</w:t>
      </w:r>
      <w:r>
        <w:rPr>
          <w:spacing w:val="-10"/>
        </w:rPr>
        <w:t> </w:t>
      </w:r>
      <w:r>
        <w:rPr/>
        <w:t>los</w:t>
      </w:r>
      <w:r>
        <w:rPr>
          <w:spacing w:val="-9"/>
        </w:rPr>
        <w:t> </w:t>
      </w:r>
      <w:r>
        <w:rPr/>
        <w:t>cambios</w:t>
      </w:r>
      <w:r>
        <w:rPr>
          <w:spacing w:val="-9"/>
        </w:rPr>
        <w:t> </w:t>
      </w:r>
      <w:r>
        <w:rPr/>
        <w:t>en la reacción, tomando la lectura en el espectrofotómetro</w:t>
      </w:r>
      <w:r>
        <w:rPr>
          <w:spacing w:val="-15"/>
        </w:rPr>
        <w:t> </w:t>
      </w:r>
      <w:r>
        <w:rPr/>
        <w:t>UV-Vis.</w:t>
      </w:r>
    </w:p>
    <w:p>
      <w:pPr>
        <w:pStyle w:val="BodyText"/>
      </w:pPr>
    </w:p>
    <w:p>
      <w:pPr>
        <w:pStyle w:val="BodyText"/>
        <w:spacing w:before="3"/>
        <w:rPr>
          <w:sz w:val="29"/>
        </w:rPr>
      </w:pPr>
    </w:p>
    <w:p>
      <w:pPr>
        <w:pStyle w:val="ListParagraph"/>
        <w:numPr>
          <w:ilvl w:val="2"/>
          <w:numId w:val="4"/>
        </w:numPr>
        <w:tabs>
          <w:tab w:pos="2074" w:val="left" w:leader="none"/>
          <w:tab w:pos="2075" w:val="left" w:leader="none"/>
        </w:tabs>
        <w:spacing w:line="240" w:lineRule="auto" w:before="1" w:after="0"/>
        <w:ind w:left="2074" w:right="0" w:hanging="1056"/>
        <w:jc w:val="left"/>
        <w:rPr>
          <w:b/>
          <w:sz w:val="32"/>
        </w:rPr>
      </w:pPr>
      <w:r>
        <w:rPr>
          <w:b/>
          <w:position w:val="2"/>
          <w:sz w:val="32"/>
        </w:rPr>
        <w:t>Determinación de la DQO con H</w:t>
      </w:r>
      <w:r>
        <w:rPr>
          <w:b/>
          <w:sz w:val="21"/>
        </w:rPr>
        <w:t>2</w:t>
      </w:r>
      <w:r>
        <w:rPr>
          <w:b/>
          <w:position w:val="2"/>
          <w:sz w:val="32"/>
        </w:rPr>
        <w:t>O</w:t>
      </w:r>
      <w:r>
        <w:rPr>
          <w:b/>
          <w:sz w:val="21"/>
        </w:rPr>
        <w:t>2  </w:t>
      </w:r>
      <w:r>
        <w:rPr>
          <w:b/>
          <w:position w:val="2"/>
          <w:sz w:val="32"/>
        </w:rPr>
        <w:t>y luz</w:t>
      </w:r>
      <w:r>
        <w:rPr>
          <w:b/>
          <w:spacing w:val="-43"/>
          <w:position w:val="2"/>
          <w:sz w:val="32"/>
        </w:rPr>
        <w:t> </w:t>
      </w:r>
      <w:r>
        <w:rPr>
          <w:b/>
          <w:position w:val="2"/>
          <w:sz w:val="32"/>
        </w:rPr>
        <w:t>UV</w:t>
      </w:r>
    </w:p>
    <w:p>
      <w:pPr>
        <w:pStyle w:val="BodyText"/>
        <w:spacing w:before="10"/>
        <w:rPr>
          <w:b/>
          <w:sz w:val="33"/>
        </w:rPr>
      </w:pPr>
    </w:p>
    <w:p>
      <w:pPr>
        <w:pStyle w:val="BodyText"/>
        <w:spacing w:line="360" w:lineRule="auto"/>
        <w:ind w:left="658" w:right="404"/>
        <w:jc w:val="both"/>
      </w:pPr>
      <w:r>
        <w:rPr/>
        <w:t>Una vez encontradas las mejores condiciones para la determinación de la DQO con peróxido de hidrógeno y los sulfatos, se les aplicó a los tubos luz UV como catalizador, monitoreando la reacción para obtener el mejor tiempo de reacción de exposición a la luz, haciendo una comparación estadística (comparación de dos medias, coeficiente de variación) con los resultados obtenidos con la técnica estandarizada.</w:t>
      </w:r>
    </w:p>
    <w:p>
      <w:pPr>
        <w:pStyle w:val="BodyText"/>
      </w:pPr>
    </w:p>
    <w:p>
      <w:pPr>
        <w:pStyle w:val="BodyText"/>
        <w:spacing w:line="360" w:lineRule="auto" w:before="142"/>
        <w:ind w:left="658" w:right="407"/>
        <w:jc w:val="both"/>
      </w:pPr>
      <w:r>
        <w:rPr/>
        <w:t>Después se realizaron pruebas con agua residual industrial para determinar la DQO; de igual manera se realizó una comparación estadística con los resultados obtenidos con la técnica estandariza, para verificar si el método arrojaba resultados confiables.</w:t>
      </w:r>
    </w:p>
    <w:p>
      <w:pPr>
        <w:spacing w:after="0" w:line="360" w:lineRule="auto"/>
        <w:jc w:val="both"/>
        <w:sectPr>
          <w:pgSz w:w="12240" w:h="15840"/>
          <w:pgMar w:header="0" w:footer="654" w:top="1080" w:bottom="1060" w:left="760" w:right="840"/>
        </w:sectPr>
      </w:pPr>
    </w:p>
    <w:p>
      <w:pPr>
        <w:pStyle w:val="Heading4"/>
        <w:numPr>
          <w:ilvl w:val="2"/>
          <w:numId w:val="4"/>
        </w:numPr>
        <w:tabs>
          <w:tab w:pos="2074" w:val="left" w:leader="none"/>
          <w:tab w:pos="2075" w:val="left" w:leader="none"/>
        </w:tabs>
        <w:spacing w:line="362" w:lineRule="auto" w:before="49" w:after="0"/>
        <w:ind w:left="1424" w:right="404" w:hanging="406"/>
        <w:jc w:val="left"/>
      </w:pPr>
      <w:r>
        <w:rPr/>
        <w:t>Pruebas</w:t>
      </w:r>
      <w:r>
        <w:rPr>
          <w:spacing w:val="-8"/>
        </w:rPr>
        <w:t> </w:t>
      </w:r>
      <w:r>
        <w:rPr/>
        <w:t>de</w:t>
      </w:r>
      <w:r>
        <w:rPr>
          <w:spacing w:val="-8"/>
        </w:rPr>
        <w:t> </w:t>
      </w:r>
      <w:r>
        <w:rPr/>
        <w:t>DQO</w:t>
      </w:r>
      <w:r>
        <w:rPr>
          <w:spacing w:val="-11"/>
        </w:rPr>
        <w:t> </w:t>
      </w:r>
      <w:r>
        <w:rPr/>
        <w:t>en</w:t>
      </w:r>
      <w:r>
        <w:rPr>
          <w:spacing w:val="-10"/>
        </w:rPr>
        <w:t> </w:t>
      </w:r>
      <w:r>
        <w:rPr/>
        <w:t>muestras</w:t>
      </w:r>
      <w:r>
        <w:rPr>
          <w:spacing w:val="-11"/>
        </w:rPr>
        <w:t> </w:t>
      </w:r>
      <w:r>
        <w:rPr/>
        <w:t>de</w:t>
      </w:r>
      <w:r>
        <w:rPr>
          <w:spacing w:val="-8"/>
        </w:rPr>
        <w:t> </w:t>
      </w:r>
      <w:r>
        <w:rPr/>
        <w:t>agua</w:t>
      </w:r>
      <w:r>
        <w:rPr>
          <w:spacing w:val="-6"/>
        </w:rPr>
        <w:t> </w:t>
      </w:r>
      <w:r>
        <w:rPr/>
        <w:t>y</w:t>
      </w:r>
      <w:r>
        <w:rPr>
          <w:spacing w:val="-15"/>
        </w:rPr>
        <w:t> </w:t>
      </w:r>
      <w:r>
        <w:rPr/>
        <w:t>análisis</w:t>
      </w:r>
      <w:r>
        <w:rPr>
          <w:spacing w:val="-8"/>
        </w:rPr>
        <w:t> </w:t>
      </w:r>
      <w:r>
        <w:rPr/>
        <w:t>de</w:t>
      </w:r>
      <w:r>
        <w:rPr>
          <w:spacing w:val="-8"/>
        </w:rPr>
        <w:t> </w:t>
      </w:r>
      <w:r>
        <w:rPr/>
        <w:t>tiempo</w:t>
      </w:r>
      <w:r>
        <w:rPr>
          <w:spacing w:val="-10"/>
        </w:rPr>
        <w:t> </w:t>
      </w:r>
      <w:r>
        <w:rPr/>
        <w:t>de reacción.</w:t>
      </w:r>
    </w:p>
    <w:p>
      <w:pPr>
        <w:pStyle w:val="BodyText"/>
        <w:spacing w:line="360" w:lineRule="auto" w:before="122"/>
        <w:ind w:left="658" w:right="401"/>
        <w:jc w:val="both"/>
      </w:pPr>
      <w:r>
        <w:rPr/>
        <w:t>Para</w:t>
      </w:r>
      <w:r>
        <w:rPr>
          <w:spacing w:val="-9"/>
        </w:rPr>
        <w:t> </w:t>
      </w:r>
      <w:r>
        <w:rPr/>
        <w:t>la</w:t>
      </w:r>
      <w:r>
        <w:rPr>
          <w:spacing w:val="-9"/>
        </w:rPr>
        <w:t> </w:t>
      </w:r>
      <w:r>
        <w:rPr/>
        <w:t>determinación</w:t>
      </w:r>
      <w:r>
        <w:rPr>
          <w:spacing w:val="-10"/>
        </w:rPr>
        <w:t> </w:t>
      </w:r>
      <w:r>
        <w:rPr/>
        <w:t>de</w:t>
      </w:r>
      <w:r>
        <w:rPr>
          <w:spacing w:val="-6"/>
        </w:rPr>
        <w:t> </w:t>
      </w:r>
      <w:r>
        <w:rPr/>
        <w:t>la</w:t>
      </w:r>
      <w:r>
        <w:rPr>
          <w:spacing w:val="-9"/>
        </w:rPr>
        <w:t> </w:t>
      </w:r>
      <w:r>
        <w:rPr/>
        <w:t>DQO</w:t>
      </w:r>
      <w:r>
        <w:rPr>
          <w:spacing w:val="-9"/>
        </w:rPr>
        <w:t> </w:t>
      </w:r>
      <w:r>
        <w:rPr/>
        <w:t>a</w:t>
      </w:r>
      <w:r>
        <w:rPr>
          <w:spacing w:val="-8"/>
        </w:rPr>
        <w:t> </w:t>
      </w:r>
      <w:r>
        <w:rPr/>
        <w:t>la</w:t>
      </w:r>
      <w:r>
        <w:rPr>
          <w:spacing w:val="-9"/>
        </w:rPr>
        <w:t> </w:t>
      </w:r>
      <w:r>
        <w:rPr/>
        <w:t>muestra</w:t>
      </w:r>
      <w:r>
        <w:rPr>
          <w:spacing w:val="-8"/>
        </w:rPr>
        <w:t> </w:t>
      </w:r>
      <w:r>
        <w:rPr/>
        <w:t>de</w:t>
      </w:r>
      <w:r>
        <w:rPr>
          <w:spacing w:val="-8"/>
        </w:rPr>
        <w:t> </w:t>
      </w:r>
      <w:r>
        <w:rPr/>
        <w:t>agua</w:t>
      </w:r>
      <w:r>
        <w:rPr>
          <w:spacing w:val="-8"/>
        </w:rPr>
        <w:t> </w:t>
      </w:r>
      <w:r>
        <w:rPr/>
        <w:t>se</w:t>
      </w:r>
      <w:r>
        <w:rPr>
          <w:spacing w:val="-6"/>
        </w:rPr>
        <w:t> </w:t>
      </w:r>
      <w:r>
        <w:rPr/>
        <w:t>conservó</w:t>
      </w:r>
      <w:r>
        <w:rPr>
          <w:spacing w:val="-7"/>
        </w:rPr>
        <w:t> </w:t>
      </w:r>
      <w:r>
        <w:rPr/>
        <w:t>en</w:t>
      </w:r>
      <w:r>
        <w:rPr>
          <w:spacing w:val="-8"/>
        </w:rPr>
        <w:t> </w:t>
      </w:r>
      <w:r>
        <w:rPr/>
        <w:t>refrigeración</w:t>
      </w:r>
      <w:r>
        <w:rPr>
          <w:spacing w:val="-8"/>
        </w:rPr>
        <w:t> </w:t>
      </w:r>
      <w:r>
        <w:rPr/>
        <w:t>a</w:t>
      </w:r>
      <w:r>
        <w:rPr>
          <w:spacing w:val="-8"/>
        </w:rPr>
        <w:t> </w:t>
      </w:r>
      <w:r>
        <w:rPr/>
        <w:t>4</w:t>
      </w:r>
      <w:r>
        <w:rPr>
          <w:spacing w:val="-8"/>
        </w:rPr>
        <w:t> </w:t>
      </w:r>
      <w:r>
        <w:rPr/>
        <w:t>ºC </w:t>
      </w:r>
      <w:r>
        <w:rPr>
          <w:position w:val="1"/>
        </w:rPr>
        <w:t>con adición de H</w:t>
      </w:r>
      <w:r>
        <w:rPr>
          <w:sz w:val="16"/>
        </w:rPr>
        <w:t>2</w:t>
      </w:r>
      <w:r>
        <w:rPr>
          <w:position w:val="1"/>
        </w:rPr>
        <w:t>SO</w:t>
      </w:r>
      <w:r>
        <w:rPr>
          <w:sz w:val="16"/>
        </w:rPr>
        <w:t>4 </w:t>
      </w:r>
      <w:r>
        <w:rPr>
          <w:position w:val="1"/>
        </w:rPr>
        <w:t>hasta obtener un valor de pH menor a 2; así la muestra puede ser </w:t>
      </w:r>
      <w:r>
        <w:rPr/>
        <w:t>conservada hasta 28</w:t>
      </w:r>
      <w:r>
        <w:rPr>
          <w:spacing w:val="-11"/>
        </w:rPr>
        <w:t> </w:t>
      </w:r>
      <w:r>
        <w:rPr/>
        <w:t>días.</w:t>
      </w:r>
    </w:p>
    <w:p>
      <w:pPr>
        <w:pStyle w:val="BodyText"/>
        <w:spacing w:before="122"/>
        <w:ind w:left="658"/>
        <w:jc w:val="both"/>
      </w:pPr>
      <w:r>
        <w:rPr/>
        <w:t>Se precalentó a 150 ºC el digestor de DQO.</w:t>
      </w:r>
    </w:p>
    <w:p>
      <w:pPr>
        <w:pStyle w:val="BodyText"/>
        <w:spacing w:before="6"/>
        <w:rPr>
          <w:sz w:val="22"/>
        </w:rPr>
      </w:pPr>
    </w:p>
    <w:p>
      <w:pPr>
        <w:pStyle w:val="BodyText"/>
        <w:spacing w:line="360" w:lineRule="auto"/>
        <w:ind w:left="658" w:right="400"/>
        <w:jc w:val="both"/>
      </w:pPr>
      <w:r>
        <w:rPr/>
        <w:t>Para la preparación de los tubos se adicionaron las siguientes cantidades: 1.5 mL de solución</w:t>
      </w:r>
      <w:r>
        <w:rPr>
          <w:spacing w:val="-11"/>
        </w:rPr>
        <w:t> </w:t>
      </w:r>
      <w:r>
        <w:rPr/>
        <w:t>de</w:t>
      </w:r>
      <w:r>
        <w:rPr>
          <w:spacing w:val="-11"/>
        </w:rPr>
        <w:t> </w:t>
      </w:r>
      <w:r>
        <w:rPr/>
        <w:t>digestión,</w:t>
      </w:r>
      <w:r>
        <w:rPr>
          <w:spacing w:val="-13"/>
        </w:rPr>
        <w:t> </w:t>
      </w:r>
      <w:r>
        <w:rPr/>
        <w:t>2.5</w:t>
      </w:r>
      <w:r>
        <w:rPr>
          <w:spacing w:val="-10"/>
        </w:rPr>
        <w:t> </w:t>
      </w:r>
      <w:r>
        <w:rPr/>
        <w:t>mL</w:t>
      </w:r>
      <w:r>
        <w:rPr>
          <w:spacing w:val="-11"/>
        </w:rPr>
        <w:t> </w:t>
      </w:r>
      <w:r>
        <w:rPr/>
        <w:t>de</w:t>
      </w:r>
      <w:r>
        <w:rPr>
          <w:spacing w:val="-13"/>
        </w:rPr>
        <w:t> </w:t>
      </w:r>
      <w:r>
        <w:rPr/>
        <w:t>muestra</w:t>
      </w:r>
      <w:r>
        <w:rPr>
          <w:spacing w:val="-7"/>
        </w:rPr>
        <w:t> </w:t>
      </w:r>
      <w:r>
        <w:rPr/>
        <w:t>lo</w:t>
      </w:r>
      <w:r>
        <w:rPr>
          <w:spacing w:val="-13"/>
        </w:rPr>
        <w:t> </w:t>
      </w:r>
      <w:r>
        <w:rPr/>
        <w:t>más</w:t>
      </w:r>
      <w:r>
        <w:rPr>
          <w:spacing w:val="-11"/>
        </w:rPr>
        <w:t> </w:t>
      </w:r>
      <w:r>
        <w:rPr/>
        <w:t>homogenizada</w:t>
      </w:r>
      <w:r>
        <w:rPr>
          <w:spacing w:val="-10"/>
        </w:rPr>
        <w:t> </w:t>
      </w:r>
      <w:r>
        <w:rPr/>
        <w:t>posible</w:t>
      </w:r>
      <w:r>
        <w:rPr>
          <w:spacing w:val="-11"/>
        </w:rPr>
        <w:t> </w:t>
      </w:r>
      <w:r>
        <w:rPr/>
        <w:t>(por</w:t>
      </w:r>
      <w:r>
        <w:rPr>
          <w:spacing w:val="-12"/>
        </w:rPr>
        <w:t> </w:t>
      </w:r>
      <w:r>
        <w:rPr/>
        <w:t>agitación),</w:t>
      </w:r>
      <w:r>
        <w:rPr>
          <w:spacing w:val="-11"/>
        </w:rPr>
        <w:t> </w:t>
      </w:r>
      <w:r>
        <w:rPr/>
        <w:t>3.5 mL</w:t>
      </w:r>
      <w:r>
        <w:rPr>
          <w:spacing w:val="-13"/>
        </w:rPr>
        <w:t> </w:t>
      </w:r>
      <w:r>
        <w:rPr/>
        <w:t>de</w:t>
      </w:r>
      <w:r>
        <w:rPr>
          <w:spacing w:val="-11"/>
        </w:rPr>
        <w:t> </w:t>
      </w:r>
      <w:r>
        <w:rPr/>
        <w:t>solución</w:t>
      </w:r>
      <w:r>
        <w:rPr>
          <w:spacing w:val="-11"/>
        </w:rPr>
        <w:t> </w:t>
      </w:r>
      <w:r>
        <w:rPr/>
        <w:t>ácida,</w:t>
      </w:r>
      <w:r>
        <w:rPr>
          <w:spacing w:val="-13"/>
        </w:rPr>
        <w:t> </w:t>
      </w:r>
      <w:r>
        <w:rPr/>
        <w:t>preparando</w:t>
      </w:r>
      <w:r>
        <w:rPr>
          <w:spacing w:val="-13"/>
        </w:rPr>
        <w:t> </w:t>
      </w:r>
      <w:r>
        <w:rPr/>
        <w:t>un</w:t>
      </w:r>
      <w:r>
        <w:rPr>
          <w:spacing w:val="-13"/>
        </w:rPr>
        <w:t> </w:t>
      </w:r>
      <w:r>
        <w:rPr/>
        <w:t>tubo</w:t>
      </w:r>
      <w:r>
        <w:rPr>
          <w:spacing w:val="-11"/>
        </w:rPr>
        <w:t> </w:t>
      </w:r>
      <w:r>
        <w:rPr/>
        <w:t>adicional</w:t>
      </w:r>
      <w:r>
        <w:rPr>
          <w:spacing w:val="-12"/>
        </w:rPr>
        <w:t> </w:t>
      </w:r>
      <w:r>
        <w:rPr/>
        <w:t>el</w:t>
      </w:r>
      <w:r>
        <w:rPr>
          <w:spacing w:val="-12"/>
        </w:rPr>
        <w:t> </w:t>
      </w:r>
      <w:r>
        <w:rPr/>
        <w:t>cual</w:t>
      </w:r>
      <w:r>
        <w:rPr>
          <w:spacing w:val="-14"/>
        </w:rPr>
        <w:t> </w:t>
      </w:r>
      <w:r>
        <w:rPr/>
        <w:t>fue</w:t>
      </w:r>
      <w:r>
        <w:rPr>
          <w:spacing w:val="-11"/>
        </w:rPr>
        <w:t> </w:t>
      </w:r>
      <w:r>
        <w:rPr/>
        <w:t>el</w:t>
      </w:r>
      <w:r>
        <w:rPr>
          <w:spacing w:val="-8"/>
        </w:rPr>
        <w:t> </w:t>
      </w:r>
      <w:r>
        <w:rPr/>
        <w:t>blanco,</w:t>
      </w:r>
      <w:r>
        <w:rPr>
          <w:spacing w:val="-11"/>
        </w:rPr>
        <w:t> </w:t>
      </w:r>
      <w:r>
        <w:rPr/>
        <w:t>colocando</w:t>
      </w:r>
      <w:r>
        <w:rPr>
          <w:spacing w:val="-11"/>
        </w:rPr>
        <w:t> </w:t>
      </w:r>
      <w:r>
        <w:rPr/>
        <w:t>2.5</w:t>
      </w:r>
      <w:r>
        <w:rPr>
          <w:spacing w:val="-13"/>
        </w:rPr>
        <w:t> </w:t>
      </w:r>
      <w:r>
        <w:rPr/>
        <w:t>mL de agua en lugar de</w:t>
      </w:r>
      <w:r>
        <w:rPr>
          <w:spacing w:val="-10"/>
        </w:rPr>
        <w:t> </w:t>
      </w:r>
      <w:r>
        <w:rPr/>
        <w:t>muestra.</w:t>
      </w:r>
    </w:p>
    <w:p>
      <w:pPr>
        <w:pStyle w:val="BodyText"/>
        <w:spacing w:line="360" w:lineRule="auto" w:before="125"/>
        <w:ind w:left="658" w:right="404"/>
        <w:jc w:val="both"/>
      </w:pPr>
      <w:r>
        <w:rPr/>
        <w:t>Una vez preparados todos los tubos, se colocaron en el digestor a 150 ºC por 2 horas; transcurrido ese tiempo se retiraron y se dejaron enfriar a temperatura ambiente, permitiendo que cualquier precipitado se sedimentara.</w:t>
      </w:r>
    </w:p>
    <w:p>
      <w:pPr>
        <w:pStyle w:val="BodyText"/>
        <w:spacing w:line="360" w:lineRule="auto" w:before="122"/>
        <w:ind w:left="658" w:right="400"/>
        <w:jc w:val="both"/>
      </w:pPr>
      <w:r>
        <w:rPr/>
        <w:t>Para</w:t>
      </w:r>
      <w:r>
        <w:rPr>
          <w:spacing w:val="-14"/>
        </w:rPr>
        <w:t> </w:t>
      </w:r>
      <w:r>
        <w:rPr/>
        <w:t>tomar</w:t>
      </w:r>
      <w:r>
        <w:rPr>
          <w:spacing w:val="-14"/>
        </w:rPr>
        <w:t> </w:t>
      </w:r>
      <w:r>
        <w:rPr/>
        <w:t>la</w:t>
      </w:r>
      <w:r>
        <w:rPr>
          <w:spacing w:val="-13"/>
        </w:rPr>
        <w:t> </w:t>
      </w:r>
      <w:r>
        <w:rPr/>
        <w:t>lectura</w:t>
      </w:r>
      <w:r>
        <w:rPr>
          <w:spacing w:val="-14"/>
        </w:rPr>
        <w:t> </w:t>
      </w:r>
      <w:r>
        <w:rPr/>
        <w:t>de</w:t>
      </w:r>
      <w:r>
        <w:rPr>
          <w:spacing w:val="-13"/>
        </w:rPr>
        <w:t> </w:t>
      </w:r>
      <w:r>
        <w:rPr/>
        <w:t>la</w:t>
      </w:r>
      <w:r>
        <w:rPr>
          <w:spacing w:val="-13"/>
        </w:rPr>
        <w:t> </w:t>
      </w:r>
      <w:r>
        <w:rPr/>
        <w:t>DQO,</w:t>
      </w:r>
      <w:r>
        <w:rPr>
          <w:spacing w:val="-15"/>
        </w:rPr>
        <w:t> </w:t>
      </w:r>
      <w:r>
        <w:rPr/>
        <w:t>se</w:t>
      </w:r>
      <w:r>
        <w:rPr>
          <w:spacing w:val="-13"/>
        </w:rPr>
        <w:t> </w:t>
      </w:r>
      <w:r>
        <w:rPr/>
        <w:t>colocó</w:t>
      </w:r>
      <w:r>
        <w:rPr>
          <w:spacing w:val="-13"/>
        </w:rPr>
        <w:t> </w:t>
      </w:r>
      <w:r>
        <w:rPr/>
        <w:t>una</w:t>
      </w:r>
      <w:r>
        <w:rPr>
          <w:spacing w:val="-13"/>
        </w:rPr>
        <w:t> </w:t>
      </w:r>
      <w:r>
        <w:rPr/>
        <w:t>alícuota</w:t>
      </w:r>
      <w:r>
        <w:rPr>
          <w:spacing w:val="-13"/>
        </w:rPr>
        <w:t> </w:t>
      </w:r>
      <w:r>
        <w:rPr/>
        <w:t>de</w:t>
      </w:r>
      <w:r>
        <w:rPr>
          <w:spacing w:val="-15"/>
        </w:rPr>
        <w:t> </w:t>
      </w:r>
      <w:r>
        <w:rPr/>
        <w:t>muestra</w:t>
      </w:r>
      <w:r>
        <w:rPr>
          <w:spacing w:val="-15"/>
        </w:rPr>
        <w:t> </w:t>
      </w:r>
      <w:r>
        <w:rPr/>
        <w:t>en</w:t>
      </w:r>
      <w:r>
        <w:rPr>
          <w:spacing w:val="-13"/>
        </w:rPr>
        <w:t> </w:t>
      </w:r>
      <w:r>
        <w:rPr/>
        <w:t>una</w:t>
      </w:r>
      <w:r>
        <w:rPr>
          <w:spacing w:val="-13"/>
        </w:rPr>
        <w:t> </w:t>
      </w:r>
      <w:r>
        <w:rPr/>
        <w:t>celda</w:t>
      </w:r>
      <w:r>
        <w:rPr>
          <w:spacing w:val="-15"/>
        </w:rPr>
        <w:t> </w:t>
      </w:r>
      <w:r>
        <w:rPr/>
        <w:t>de</w:t>
      </w:r>
      <w:r>
        <w:rPr>
          <w:spacing w:val="-13"/>
        </w:rPr>
        <w:t> </w:t>
      </w:r>
      <w:r>
        <w:rPr/>
        <w:t>cuarzo y se leyó a 620 nm en el espectrofotómetro. Los resultados se expresaron en mg/L, obteniéndolos</w:t>
      </w:r>
      <w:r>
        <w:rPr>
          <w:spacing w:val="-12"/>
        </w:rPr>
        <w:t> </w:t>
      </w:r>
      <w:r>
        <w:rPr/>
        <w:t>directamente</w:t>
      </w:r>
      <w:r>
        <w:rPr>
          <w:spacing w:val="-11"/>
        </w:rPr>
        <w:t> </w:t>
      </w:r>
      <w:r>
        <w:rPr/>
        <w:t>de</w:t>
      </w:r>
      <w:r>
        <w:rPr>
          <w:spacing w:val="-12"/>
        </w:rPr>
        <w:t> </w:t>
      </w:r>
      <w:r>
        <w:rPr/>
        <w:t>la</w:t>
      </w:r>
      <w:r>
        <w:rPr>
          <w:spacing w:val="-12"/>
        </w:rPr>
        <w:t> </w:t>
      </w:r>
      <w:r>
        <w:rPr/>
        <w:t>curva</w:t>
      </w:r>
      <w:r>
        <w:rPr>
          <w:spacing w:val="-9"/>
        </w:rPr>
        <w:t> </w:t>
      </w:r>
      <w:r>
        <w:rPr/>
        <w:t>de</w:t>
      </w:r>
      <w:r>
        <w:rPr>
          <w:spacing w:val="-12"/>
        </w:rPr>
        <w:t> </w:t>
      </w:r>
      <w:r>
        <w:rPr/>
        <w:t>calibración</w:t>
      </w:r>
      <w:r>
        <w:rPr>
          <w:spacing w:val="-9"/>
        </w:rPr>
        <w:t> </w:t>
      </w:r>
      <w:r>
        <w:rPr/>
        <w:t>que</w:t>
      </w:r>
      <w:r>
        <w:rPr>
          <w:spacing w:val="-9"/>
        </w:rPr>
        <w:t> </w:t>
      </w:r>
      <w:r>
        <w:rPr/>
        <w:t>se</w:t>
      </w:r>
      <w:r>
        <w:rPr>
          <w:spacing w:val="-9"/>
        </w:rPr>
        <w:t> </w:t>
      </w:r>
      <w:r>
        <w:rPr/>
        <w:t>realizó,</w:t>
      </w:r>
      <w:r>
        <w:rPr>
          <w:spacing w:val="-10"/>
        </w:rPr>
        <w:t> </w:t>
      </w:r>
      <w:r>
        <w:rPr/>
        <w:t>ya</w:t>
      </w:r>
      <w:r>
        <w:rPr>
          <w:spacing w:val="-9"/>
        </w:rPr>
        <w:t> </w:t>
      </w:r>
      <w:r>
        <w:rPr/>
        <w:t>que</w:t>
      </w:r>
      <w:r>
        <w:rPr>
          <w:spacing w:val="-12"/>
        </w:rPr>
        <w:t> </w:t>
      </w:r>
      <w:r>
        <w:rPr/>
        <w:t>1000</w:t>
      </w:r>
      <w:r>
        <w:rPr>
          <w:spacing w:val="-12"/>
        </w:rPr>
        <w:t> </w:t>
      </w:r>
      <w:r>
        <w:rPr/>
        <w:t>mg/L</w:t>
      </w:r>
      <w:r>
        <w:rPr>
          <w:spacing w:val="-11"/>
        </w:rPr>
        <w:t> </w:t>
      </w:r>
      <w:r>
        <w:rPr/>
        <w:t>de </w:t>
      </w:r>
      <w:r>
        <w:rPr>
          <w:position w:val="1"/>
        </w:rPr>
        <w:t>biftalato</w:t>
      </w:r>
      <w:r>
        <w:rPr>
          <w:spacing w:val="-7"/>
          <w:position w:val="1"/>
        </w:rPr>
        <w:t> </w:t>
      </w:r>
      <w:r>
        <w:rPr>
          <w:position w:val="1"/>
        </w:rPr>
        <w:t>de</w:t>
      </w:r>
      <w:r>
        <w:rPr>
          <w:spacing w:val="-7"/>
          <w:position w:val="1"/>
        </w:rPr>
        <w:t> </w:t>
      </w:r>
      <w:r>
        <w:rPr>
          <w:position w:val="1"/>
        </w:rPr>
        <w:t>potasio</w:t>
      </w:r>
      <w:r>
        <w:rPr>
          <w:spacing w:val="-5"/>
          <w:position w:val="1"/>
        </w:rPr>
        <w:t> </w:t>
      </w:r>
      <w:r>
        <w:rPr>
          <w:position w:val="1"/>
        </w:rPr>
        <w:t>corresponden</w:t>
      </w:r>
      <w:r>
        <w:rPr>
          <w:spacing w:val="-7"/>
          <w:position w:val="1"/>
        </w:rPr>
        <w:t> </w:t>
      </w:r>
      <w:r>
        <w:rPr>
          <w:position w:val="1"/>
        </w:rPr>
        <w:t>a</w:t>
      </w:r>
      <w:r>
        <w:rPr>
          <w:spacing w:val="-7"/>
          <w:position w:val="1"/>
        </w:rPr>
        <w:t> </w:t>
      </w:r>
      <w:r>
        <w:rPr>
          <w:position w:val="1"/>
        </w:rPr>
        <w:t>1000</w:t>
      </w:r>
      <w:r>
        <w:rPr>
          <w:spacing w:val="-7"/>
          <w:position w:val="1"/>
        </w:rPr>
        <w:t> </w:t>
      </w:r>
      <w:r>
        <w:rPr>
          <w:position w:val="1"/>
        </w:rPr>
        <w:t>mgO</w:t>
      </w:r>
      <w:r>
        <w:rPr>
          <w:sz w:val="16"/>
        </w:rPr>
        <w:t>2</w:t>
      </w:r>
      <w:r>
        <w:rPr>
          <w:position w:val="1"/>
        </w:rPr>
        <w:t>/L</w:t>
      </w:r>
      <w:r>
        <w:rPr>
          <w:spacing w:val="-7"/>
          <w:position w:val="1"/>
        </w:rPr>
        <w:t> </w:t>
      </w:r>
      <w:r>
        <w:rPr>
          <w:position w:val="1"/>
        </w:rPr>
        <w:t>de</w:t>
      </w:r>
      <w:r>
        <w:rPr>
          <w:spacing w:val="-5"/>
          <w:position w:val="1"/>
        </w:rPr>
        <w:t> </w:t>
      </w:r>
      <w:r>
        <w:rPr>
          <w:position w:val="1"/>
        </w:rPr>
        <w:t>DQO.</w:t>
      </w:r>
      <w:r>
        <w:rPr>
          <w:spacing w:val="-6"/>
          <w:position w:val="1"/>
        </w:rPr>
        <w:t> </w:t>
      </w:r>
      <w:r>
        <w:rPr>
          <w:position w:val="1"/>
        </w:rPr>
        <w:t>Éste</w:t>
      </w:r>
      <w:r>
        <w:rPr>
          <w:spacing w:val="-6"/>
          <w:position w:val="1"/>
        </w:rPr>
        <w:t> </w:t>
      </w:r>
      <w:r>
        <w:rPr>
          <w:position w:val="1"/>
        </w:rPr>
        <w:t>patrón</w:t>
      </w:r>
      <w:r>
        <w:rPr>
          <w:spacing w:val="-4"/>
          <w:position w:val="1"/>
        </w:rPr>
        <w:t> </w:t>
      </w:r>
      <w:r>
        <w:rPr>
          <w:position w:val="1"/>
        </w:rPr>
        <w:t>es</w:t>
      </w:r>
      <w:r>
        <w:rPr>
          <w:spacing w:val="-8"/>
          <w:position w:val="1"/>
        </w:rPr>
        <w:t> </w:t>
      </w:r>
      <w:r>
        <w:rPr>
          <w:position w:val="1"/>
        </w:rPr>
        <w:t>utilizado</w:t>
      </w:r>
      <w:r>
        <w:rPr>
          <w:spacing w:val="-7"/>
          <w:position w:val="1"/>
        </w:rPr>
        <w:t> </w:t>
      </w:r>
      <w:r>
        <w:rPr>
          <w:position w:val="1"/>
        </w:rPr>
        <w:t>porque </w:t>
      </w:r>
      <w:r>
        <w:rPr/>
        <w:t>es estable a temperatura ambiente, se solubiliza completamente, posee una elevada pureza y peso molecular lo que ayuda a disminuir los errores en la</w:t>
      </w:r>
      <w:r>
        <w:rPr>
          <w:spacing w:val="-27"/>
        </w:rPr>
        <w:t> </w:t>
      </w:r>
      <w:r>
        <w:rPr/>
        <w:t>pesada.</w:t>
      </w:r>
    </w:p>
    <w:p>
      <w:pPr>
        <w:pStyle w:val="BodyText"/>
      </w:pPr>
    </w:p>
    <w:p>
      <w:pPr>
        <w:pStyle w:val="BodyText"/>
      </w:pPr>
    </w:p>
    <w:p>
      <w:pPr>
        <w:pStyle w:val="Heading4"/>
        <w:numPr>
          <w:ilvl w:val="2"/>
          <w:numId w:val="4"/>
        </w:numPr>
        <w:tabs>
          <w:tab w:pos="2074" w:val="left" w:leader="none"/>
          <w:tab w:pos="2075" w:val="left" w:leader="none"/>
        </w:tabs>
        <w:spacing w:line="240" w:lineRule="auto" w:before="203" w:after="0"/>
        <w:ind w:left="2074" w:right="0" w:hanging="1056"/>
        <w:jc w:val="left"/>
      </w:pPr>
      <w:r>
        <w:rPr/>
        <w:t>Recuperación de plata y</w:t>
      </w:r>
      <w:r>
        <w:rPr>
          <w:spacing w:val="-11"/>
        </w:rPr>
        <w:t> </w:t>
      </w:r>
      <w:r>
        <w:rPr/>
        <w:t>mercurio</w:t>
      </w:r>
    </w:p>
    <w:p>
      <w:pPr>
        <w:pStyle w:val="BodyText"/>
        <w:spacing w:before="4"/>
        <w:rPr>
          <w:b/>
          <w:sz w:val="31"/>
        </w:rPr>
      </w:pPr>
    </w:p>
    <w:p>
      <w:pPr>
        <w:pStyle w:val="BodyText"/>
        <w:spacing w:line="360" w:lineRule="auto"/>
        <w:ind w:left="658" w:right="405"/>
        <w:jc w:val="both"/>
      </w:pPr>
      <w:r>
        <w:rPr/>
        <w:t>Para la recuperación de los metales se utilizó el método de electrólisis, a fin de lograr la deposición y precipitación de los metales para su separación de la solución.</w:t>
      </w:r>
    </w:p>
    <w:p>
      <w:pPr>
        <w:pStyle w:val="BodyText"/>
      </w:pPr>
    </w:p>
    <w:p>
      <w:pPr>
        <w:pStyle w:val="BodyText"/>
      </w:pPr>
    </w:p>
    <w:p>
      <w:pPr>
        <w:pStyle w:val="BodyText"/>
        <w:rPr>
          <w:sz w:val="23"/>
        </w:rPr>
      </w:pPr>
    </w:p>
    <w:p>
      <w:pPr>
        <w:pStyle w:val="Heading6"/>
        <w:numPr>
          <w:ilvl w:val="2"/>
          <w:numId w:val="6"/>
        </w:numPr>
        <w:tabs>
          <w:tab w:pos="1396" w:val="left" w:leader="none"/>
        </w:tabs>
        <w:spacing w:line="240" w:lineRule="auto" w:before="0" w:after="0"/>
        <w:ind w:left="1395" w:right="0" w:hanging="737"/>
        <w:jc w:val="both"/>
      </w:pPr>
      <w:r>
        <w:rPr/>
        <w:t>Preparación de</w:t>
      </w:r>
      <w:r>
        <w:rPr>
          <w:spacing w:val="-9"/>
        </w:rPr>
        <w:t> </w:t>
      </w:r>
      <w:r>
        <w:rPr/>
        <w:t>soluciones</w:t>
      </w:r>
    </w:p>
    <w:p>
      <w:pPr>
        <w:pStyle w:val="BodyText"/>
        <w:rPr>
          <w:b/>
        </w:rPr>
      </w:pPr>
    </w:p>
    <w:p>
      <w:pPr>
        <w:pStyle w:val="BodyText"/>
        <w:spacing w:before="11"/>
        <w:rPr>
          <w:b/>
          <w:sz w:val="23"/>
        </w:rPr>
      </w:pPr>
    </w:p>
    <w:p>
      <w:pPr>
        <w:pStyle w:val="BodyText"/>
        <w:spacing w:line="360" w:lineRule="auto"/>
        <w:ind w:left="658" w:right="402"/>
        <w:jc w:val="both"/>
      </w:pPr>
      <w:r>
        <w:rPr>
          <w:u w:val="single"/>
        </w:rPr>
        <w:t>Estándar de solución de plata: </w:t>
      </w:r>
      <w:r>
        <w:rPr/>
        <w:t>Para realizar el voltamperograma del blanco de plata se preparó una solución 0.01 M de sulfato de plata, con agua destilada.</w:t>
      </w:r>
    </w:p>
    <w:p>
      <w:pPr>
        <w:spacing w:after="0" w:line="360" w:lineRule="auto"/>
        <w:jc w:val="both"/>
        <w:sectPr>
          <w:pgSz w:w="12240" w:h="15840"/>
          <w:pgMar w:header="0" w:footer="654" w:top="1080" w:bottom="1060" w:left="760" w:right="840"/>
        </w:sectPr>
      </w:pPr>
    </w:p>
    <w:p>
      <w:pPr>
        <w:pStyle w:val="BodyText"/>
        <w:spacing w:line="360" w:lineRule="auto" w:before="46"/>
        <w:ind w:left="658" w:right="400"/>
        <w:jc w:val="both"/>
      </w:pPr>
      <w:r>
        <w:rPr>
          <w:u w:val="single"/>
        </w:rPr>
        <w:t>Estándar de solución de mercurio: </w:t>
      </w:r>
      <w:r>
        <w:rPr/>
        <w:t>para obtener el blanco del mercurio(II) se hizo una solución 0.01 M de cloruro de mercurio (II) con agua destilada.</w:t>
      </w:r>
    </w:p>
    <w:p>
      <w:pPr>
        <w:pStyle w:val="BodyText"/>
      </w:pPr>
    </w:p>
    <w:p>
      <w:pPr>
        <w:pStyle w:val="BodyText"/>
        <w:spacing w:line="360" w:lineRule="auto" w:before="142"/>
        <w:ind w:left="658" w:right="400"/>
        <w:jc w:val="both"/>
      </w:pPr>
      <w:r>
        <w:rPr>
          <w:u w:val="single"/>
        </w:rPr>
        <w:t>Solución electrolito: </w:t>
      </w:r>
      <w:r>
        <w:rPr/>
        <w:t>Para poder realizar la voltamperometría se preparó una solución 1 M de  ácido perclórico.</w:t>
      </w:r>
    </w:p>
    <w:p>
      <w:pPr>
        <w:pStyle w:val="BodyText"/>
      </w:pPr>
    </w:p>
    <w:p>
      <w:pPr>
        <w:pStyle w:val="BodyText"/>
        <w:spacing w:line="357" w:lineRule="auto" w:before="142"/>
        <w:ind w:left="658" w:right="401"/>
        <w:jc w:val="both"/>
      </w:pPr>
      <w:r>
        <w:rPr>
          <w:u w:val="single"/>
        </w:rPr>
        <w:t>Solución electrolito para muestra: </w:t>
      </w:r>
      <w:r>
        <w:rPr/>
        <w:t>para el proceso de electrólisis se preparó una solución </w:t>
      </w:r>
      <w:r>
        <w:rPr>
          <w:position w:val="1"/>
        </w:rPr>
        <w:t>electrolito de Na</w:t>
      </w:r>
      <w:r>
        <w:rPr>
          <w:sz w:val="16"/>
        </w:rPr>
        <w:t>2</w:t>
      </w:r>
      <w:r>
        <w:rPr>
          <w:position w:val="1"/>
        </w:rPr>
        <w:t>SO</w:t>
      </w:r>
      <w:r>
        <w:rPr>
          <w:sz w:val="16"/>
        </w:rPr>
        <w:t>4 </w:t>
      </w:r>
      <w:r>
        <w:rPr>
          <w:position w:val="1"/>
        </w:rPr>
        <w:t>0.1 M.</w:t>
      </w:r>
    </w:p>
    <w:p>
      <w:pPr>
        <w:pStyle w:val="BodyText"/>
      </w:pPr>
    </w:p>
    <w:p>
      <w:pPr>
        <w:pStyle w:val="BodyText"/>
        <w:spacing w:line="360" w:lineRule="auto" w:before="145"/>
        <w:ind w:left="658" w:right="401"/>
        <w:jc w:val="both"/>
      </w:pPr>
      <w:r>
        <w:rPr>
          <w:u w:val="single"/>
        </w:rPr>
        <w:t>Muestra</w:t>
      </w:r>
      <w:r>
        <w:rPr>
          <w:spacing w:val="-9"/>
          <w:u w:val="single"/>
        </w:rPr>
        <w:t> </w:t>
      </w:r>
      <w:r>
        <w:rPr>
          <w:u w:val="single"/>
        </w:rPr>
        <w:t>problema</w:t>
      </w:r>
      <w:r>
        <w:rPr>
          <w:spacing w:val="-7"/>
          <w:u w:val="single"/>
        </w:rPr>
        <w:t> </w:t>
      </w:r>
      <w:r>
        <w:rPr>
          <w:u w:val="single"/>
        </w:rPr>
        <w:t>para</w:t>
      </w:r>
      <w:r>
        <w:rPr>
          <w:spacing w:val="-6"/>
          <w:u w:val="single"/>
        </w:rPr>
        <w:t> </w:t>
      </w:r>
      <w:r>
        <w:rPr>
          <w:u w:val="single"/>
        </w:rPr>
        <w:t>electrólisis:</w:t>
      </w:r>
      <w:r>
        <w:rPr>
          <w:spacing w:val="-6"/>
          <w:u w:val="single"/>
        </w:rPr>
        <w:t> </w:t>
      </w:r>
      <w:r>
        <w:rPr/>
        <w:t>Se</w:t>
      </w:r>
      <w:r>
        <w:rPr>
          <w:spacing w:val="-8"/>
        </w:rPr>
        <w:t> </w:t>
      </w:r>
      <w:r>
        <w:rPr/>
        <w:t>adicionaron</w:t>
      </w:r>
      <w:r>
        <w:rPr>
          <w:spacing w:val="-8"/>
        </w:rPr>
        <w:t> </w:t>
      </w:r>
      <w:r>
        <w:rPr/>
        <w:t>300</w:t>
      </w:r>
      <w:r>
        <w:rPr>
          <w:spacing w:val="-8"/>
        </w:rPr>
        <w:t> </w:t>
      </w:r>
      <w:r>
        <w:rPr/>
        <w:t>mL</w:t>
      </w:r>
      <w:r>
        <w:rPr>
          <w:spacing w:val="-8"/>
        </w:rPr>
        <w:t> </w:t>
      </w:r>
      <w:r>
        <w:rPr/>
        <w:t>de</w:t>
      </w:r>
      <w:r>
        <w:rPr>
          <w:spacing w:val="-8"/>
        </w:rPr>
        <w:t> </w:t>
      </w:r>
      <w:r>
        <w:rPr/>
        <w:t>residuos</w:t>
      </w:r>
      <w:r>
        <w:rPr>
          <w:spacing w:val="-9"/>
        </w:rPr>
        <w:t> </w:t>
      </w:r>
      <w:r>
        <w:rPr/>
        <w:t>para</w:t>
      </w:r>
      <w:r>
        <w:rPr>
          <w:spacing w:val="-9"/>
        </w:rPr>
        <w:t> </w:t>
      </w:r>
      <w:r>
        <w:rPr/>
        <w:t>el</w:t>
      </w:r>
      <w:r>
        <w:rPr>
          <w:spacing w:val="-10"/>
        </w:rPr>
        <w:t> </w:t>
      </w:r>
      <w:r>
        <w:rPr/>
        <w:t>tratamiento de electrólisis en un vaso de precipitado de 500 mL. A éste se le añadieron 250 μL de </w:t>
      </w:r>
      <w:r>
        <w:rPr>
          <w:position w:val="1"/>
        </w:rPr>
        <w:t>Na</w:t>
      </w:r>
      <w:r>
        <w:rPr>
          <w:sz w:val="16"/>
        </w:rPr>
        <w:t>2</w:t>
      </w:r>
      <w:r>
        <w:rPr>
          <w:position w:val="1"/>
        </w:rPr>
        <w:t>SO</w:t>
      </w:r>
      <w:r>
        <w:rPr>
          <w:sz w:val="16"/>
        </w:rPr>
        <w:t>4  </w:t>
      </w:r>
      <w:r>
        <w:rPr>
          <w:position w:val="1"/>
        </w:rPr>
        <w:t>0.1 M como</w:t>
      </w:r>
      <w:r>
        <w:rPr>
          <w:spacing w:val="14"/>
          <w:position w:val="1"/>
        </w:rPr>
        <w:t> </w:t>
      </w:r>
      <w:r>
        <w:rPr>
          <w:position w:val="1"/>
        </w:rPr>
        <w:t>electrolito.</w:t>
      </w:r>
    </w:p>
    <w:p>
      <w:pPr>
        <w:pStyle w:val="BodyText"/>
      </w:pPr>
    </w:p>
    <w:p>
      <w:pPr>
        <w:pStyle w:val="BodyText"/>
      </w:pPr>
    </w:p>
    <w:p>
      <w:pPr>
        <w:pStyle w:val="BodyText"/>
        <w:spacing w:before="1"/>
        <w:rPr>
          <w:sz w:val="23"/>
        </w:rPr>
      </w:pPr>
    </w:p>
    <w:p>
      <w:pPr>
        <w:pStyle w:val="Heading4"/>
        <w:numPr>
          <w:ilvl w:val="2"/>
          <w:numId w:val="6"/>
        </w:numPr>
        <w:tabs>
          <w:tab w:pos="1518" w:val="left" w:leader="none"/>
        </w:tabs>
        <w:spacing w:line="240" w:lineRule="auto" w:before="0" w:after="0"/>
        <w:ind w:left="1517" w:right="0" w:hanging="859"/>
        <w:jc w:val="both"/>
      </w:pPr>
      <w:r>
        <w:rPr/>
        <w:t>Electrólisis</w:t>
      </w:r>
    </w:p>
    <w:p>
      <w:pPr>
        <w:pStyle w:val="BodyText"/>
        <w:rPr>
          <w:b/>
          <w:sz w:val="28"/>
        </w:rPr>
      </w:pPr>
    </w:p>
    <w:p>
      <w:pPr>
        <w:pStyle w:val="BodyText"/>
        <w:spacing w:before="2"/>
        <w:rPr>
          <w:b/>
          <w:sz w:val="22"/>
        </w:rPr>
      </w:pPr>
    </w:p>
    <w:p>
      <w:pPr>
        <w:pStyle w:val="BodyText"/>
        <w:spacing w:line="360" w:lineRule="auto"/>
        <w:ind w:left="658" w:right="400"/>
        <w:jc w:val="both"/>
      </w:pPr>
      <w:r>
        <w:rPr/>
        <w:t>Primero</w:t>
      </w:r>
      <w:r>
        <w:rPr>
          <w:spacing w:val="-13"/>
        </w:rPr>
        <w:t> </w:t>
      </w:r>
      <w:r>
        <w:rPr/>
        <w:t>se</w:t>
      </w:r>
      <w:r>
        <w:rPr>
          <w:spacing w:val="-14"/>
        </w:rPr>
        <w:t> </w:t>
      </w:r>
      <w:r>
        <w:rPr/>
        <w:t>lavaron</w:t>
      </w:r>
      <w:r>
        <w:rPr>
          <w:spacing w:val="-13"/>
        </w:rPr>
        <w:t> </w:t>
      </w:r>
      <w:r>
        <w:rPr/>
        <w:t>los</w:t>
      </w:r>
      <w:r>
        <w:rPr>
          <w:spacing w:val="-15"/>
        </w:rPr>
        <w:t> </w:t>
      </w:r>
      <w:r>
        <w:rPr/>
        <w:t>electrodos,</w:t>
      </w:r>
      <w:r>
        <w:rPr>
          <w:spacing w:val="-11"/>
        </w:rPr>
        <w:t> </w:t>
      </w:r>
      <w:r>
        <w:rPr/>
        <w:t>se</w:t>
      </w:r>
      <w:r>
        <w:rPr>
          <w:spacing w:val="-15"/>
        </w:rPr>
        <w:t> </w:t>
      </w:r>
      <w:r>
        <w:rPr/>
        <w:t>dejaron</w:t>
      </w:r>
      <w:r>
        <w:rPr>
          <w:spacing w:val="-15"/>
        </w:rPr>
        <w:t> </w:t>
      </w:r>
      <w:r>
        <w:rPr/>
        <w:t>secar</w:t>
      </w:r>
      <w:r>
        <w:rPr>
          <w:spacing w:val="-14"/>
        </w:rPr>
        <w:t> </w:t>
      </w:r>
      <w:r>
        <w:rPr/>
        <w:t>y</w:t>
      </w:r>
      <w:r>
        <w:rPr>
          <w:spacing w:val="-15"/>
        </w:rPr>
        <w:t> </w:t>
      </w:r>
      <w:r>
        <w:rPr/>
        <w:t>se</w:t>
      </w:r>
      <w:r>
        <w:rPr>
          <w:spacing w:val="-13"/>
        </w:rPr>
        <w:t> </w:t>
      </w:r>
      <w:r>
        <w:rPr/>
        <w:t>pesaron.</w:t>
      </w:r>
      <w:r>
        <w:rPr>
          <w:spacing w:val="-10"/>
        </w:rPr>
        <w:t> </w:t>
      </w:r>
      <w:r>
        <w:rPr/>
        <w:t>Una</w:t>
      </w:r>
      <w:r>
        <w:rPr>
          <w:spacing w:val="-13"/>
        </w:rPr>
        <w:t> </w:t>
      </w:r>
      <w:r>
        <w:rPr/>
        <w:t>vez</w:t>
      </w:r>
      <w:r>
        <w:rPr>
          <w:spacing w:val="-15"/>
        </w:rPr>
        <w:t> </w:t>
      </w:r>
      <w:r>
        <w:rPr/>
        <w:t>obtenido</w:t>
      </w:r>
      <w:r>
        <w:rPr>
          <w:spacing w:val="-14"/>
        </w:rPr>
        <w:t> </w:t>
      </w:r>
      <w:r>
        <w:rPr/>
        <w:t>el</w:t>
      </w:r>
      <w:r>
        <w:rPr>
          <w:spacing w:val="-13"/>
        </w:rPr>
        <w:t> </w:t>
      </w:r>
      <w:r>
        <w:rPr/>
        <w:t>peso se colocaron en el vaso de precipitado que contenía la muestra de agua residual. Se conectaron los electrodos de titanio a la fuente de poder y al multímetro, se encendió la fuente de poder, manteniendo un amperaje de 0.500 A y se registró el tiempo que duró el paso de la corriente eléctrica, hasta que la corriente disminuyo hasta</w:t>
      </w:r>
      <w:r>
        <w:rPr>
          <w:spacing w:val="-18"/>
        </w:rPr>
        <w:t> </w:t>
      </w:r>
      <w:r>
        <w:rPr/>
        <w:t>cero.</w:t>
      </w:r>
    </w:p>
    <w:p>
      <w:pPr>
        <w:pStyle w:val="BodyText"/>
      </w:pPr>
    </w:p>
    <w:p>
      <w:pPr>
        <w:pStyle w:val="BodyText"/>
        <w:spacing w:line="360" w:lineRule="auto" w:before="142"/>
        <w:ind w:left="658" w:right="410"/>
        <w:jc w:val="both"/>
      </w:pPr>
      <w:r>
        <w:rPr/>
        <w:t>Una vez finalizada la electrólisis se recolectaban los depósitos que por peso se desprendían del electrodo y quedaban en el fondo, se sacaban los electrodos, se dejaban secar y se pesaba nuevamente para determinar la cantidad de depósito recolectada.</w:t>
      </w:r>
    </w:p>
    <w:p>
      <w:pPr>
        <w:pStyle w:val="BodyText"/>
      </w:pPr>
    </w:p>
    <w:p>
      <w:pPr>
        <w:pStyle w:val="BodyText"/>
        <w:spacing w:line="360" w:lineRule="auto" w:before="142"/>
        <w:ind w:left="658" w:right="402"/>
        <w:jc w:val="both"/>
      </w:pPr>
      <w:r>
        <w:rPr>
          <w:position w:val="1"/>
        </w:rPr>
        <w:t>Todos los depósitos y precipitados se redisolvieron en ácido nítrico (HNO</w:t>
      </w:r>
      <w:r>
        <w:rPr>
          <w:sz w:val="16"/>
        </w:rPr>
        <w:t>3</w:t>
      </w:r>
      <w:r>
        <w:rPr>
          <w:position w:val="1"/>
        </w:rPr>
        <w:t>) al 10%, hasta </w:t>
      </w:r>
      <w:r>
        <w:rPr/>
        <w:t>que cubrir el precipitado. Esta solución se calentó hasta la evaporación del ácido nítrico, para obtener solamente los precipitados.</w:t>
      </w:r>
    </w:p>
    <w:p>
      <w:pPr>
        <w:spacing w:after="0" w:line="360" w:lineRule="auto"/>
        <w:jc w:val="both"/>
        <w:sectPr>
          <w:pgSz w:w="12240" w:h="15840"/>
          <w:pgMar w:header="0" w:footer="654" w:top="1500" w:bottom="1060" w:left="760" w:right="840"/>
        </w:sectPr>
      </w:pPr>
    </w:p>
    <w:p>
      <w:pPr>
        <w:pStyle w:val="BodyText"/>
        <w:spacing w:line="360" w:lineRule="auto" w:before="51"/>
        <w:ind w:left="658" w:right="405"/>
        <w:jc w:val="both"/>
      </w:pPr>
      <w:r>
        <w:rPr/>
        <w:t>Después se realizó un experimento de voltamperometría de los depósitos obtenidos </w:t>
      </w:r>
      <w:r>
        <w:rPr>
          <w:position w:val="1"/>
        </w:rPr>
        <w:t>previamente disueltos en HNO</w:t>
      </w:r>
      <w:r>
        <w:rPr>
          <w:sz w:val="16"/>
        </w:rPr>
        <w:t>3 </w:t>
      </w:r>
      <w:r>
        <w:rPr>
          <w:position w:val="1"/>
        </w:rPr>
        <w:t>al 10% y de la solución restante de la electrólisis, con la </w:t>
      </w:r>
      <w:r>
        <w:rPr/>
        <w:t>finalidad de poder corroborar qué metal se depositaba y si se quedaba algo en el medio.</w:t>
      </w:r>
    </w:p>
    <w:p>
      <w:pPr>
        <w:pStyle w:val="BodyText"/>
      </w:pPr>
    </w:p>
    <w:p>
      <w:pPr>
        <w:pStyle w:val="BodyText"/>
      </w:pPr>
    </w:p>
    <w:p>
      <w:pPr>
        <w:pStyle w:val="BodyText"/>
      </w:pPr>
    </w:p>
    <w:p>
      <w:pPr>
        <w:pStyle w:val="Heading4"/>
        <w:numPr>
          <w:ilvl w:val="2"/>
          <w:numId w:val="6"/>
        </w:numPr>
        <w:tabs>
          <w:tab w:pos="1518" w:val="left" w:leader="none"/>
        </w:tabs>
        <w:spacing w:line="240" w:lineRule="auto" w:before="203" w:after="0"/>
        <w:ind w:left="1518" w:right="0" w:hanging="860"/>
        <w:jc w:val="both"/>
      </w:pPr>
      <w:r>
        <w:rPr/>
        <w:t>Lectura en</w:t>
      </w:r>
      <w:r>
        <w:rPr>
          <w:spacing w:val="-7"/>
        </w:rPr>
        <w:t> </w:t>
      </w:r>
      <w:r>
        <w:rPr/>
        <w:t>Potenciostato</w:t>
      </w:r>
    </w:p>
    <w:p>
      <w:pPr>
        <w:pStyle w:val="BodyText"/>
        <w:rPr>
          <w:b/>
          <w:sz w:val="28"/>
        </w:rPr>
      </w:pPr>
    </w:p>
    <w:p>
      <w:pPr>
        <w:pStyle w:val="BodyText"/>
        <w:spacing w:before="2"/>
        <w:rPr>
          <w:b/>
          <w:sz w:val="22"/>
        </w:rPr>
      </w:pPr>
    </w:p>
    <w:p>
      <w:pPr>
        <w:pStyle w:val="BodyText"/>
        <w:spacing w:line="360" w:lineRule="auto"/>
        <w:ind w:left="658" w:right="402"/>
        <w:jc w:val="both"/>
      </w:pPr>
      <w:r>
        <w:rPr/>
        <w:t>Se</w:t>
      </w:r>
      <w:r>
        <w:rPr>
          <w:spacing w:val="-7"/>
        </w:rPr>
        <w:t> </w:t>
      </w:r>
      <w:r>
        <w:rPr/>
        <w:t>realizaron</w:t>
      </w:r>
      <w:r>
        <w:rPr>
          <w:spacing w:val="-7"/>
        </w:rPr>
        <w:t> </w:t>
      </w:r>
      <w:r>
        <w:rPr/>
        <w:t>pruebas</w:t>
      </w:r>
      <w:r>
        <w:rPr>
          <w:spacing w:val="-10"/>
        </w:rPr>
        <w:t> </w:t>
      </w:r>
      <w:r>
        <w:rPr/>
        <w:t>de</w:t>
      </w:r>
      <w:r>
        <w:rPr>
          <w:spacing w:val="-5"/>
        </w:rPr>
        <w:t> </w:t>
      </w:r>
      <w:r>
        <w:rPr/>
        <w:t>voltamperometría</w:t>
      </w:r>
      <w:r>
        <w:rPr>
          <w:spacing w:val="-6"/>
        </w:rPr>
        <w:t> </w:t>
      </w:r>
      <w:r>
        <w:rPr/>
        <w:t>cíclica</w:t>
      </w:r>
      <w:r>
        <w:rPr>
          <w:spacing w:val="-7"/>
        </w:rPr>
        <w:t> </w:t>
      </w:r>
      <w:r>
        <w:rPr/>
        <w:t>con</w:t>
      </w:r>
      <w:r>
        <w:rPr>
          <w:spacing w:val="-7"/>
        </w:rPr>
        <w:t> </w:t>
      </w:r>
      <w:r>
        <w:rPr/>
        <w:t>los</w:t>
      </w:r>
      <w:r>
        <w:rPr>
          <w:spacing w:val="-7"/>
        </w:rPr>
        <w:t> </w:t>
      </w:r>
      <w:r>
        <w:rPr/>
        <w:t>siguientes</w:t>
      </w:r>
      <w:r>
        <w:rPr>
          <w:spacing w:val="-9"/>
        </w:rPr>
        <w:t> </w:t>
      </w:r>
      <w:r>
        <w:rPr/>
        <w:t>electrodos:</w:t>
      </w:r>
      <w:r>
        <w:rPr>
          <w:spacing w:val="-7"/>
        </w:rPr>
        <w:t> </w:t>
      </w:r>
      <w:r>
        <w:rPr/>
        <w:t>electrodo de</w:t>
      </w:r>
      <w:r>
        <w:rPr>
          <w:spacing w:val="-5"/>
        </w:rPr>
        <w:t> </w:t>
      </w:r>
      <w:r>
        <w:rPr/>
        <w:t>trabajo</w:t>
      </w:r>
      <w:r>
        <w:rPr>
          <w:spacing w:val="-7"/>
        </w:rPr>
        <w:t> </w:t>
      </w:r>
      <w:r>
        <w:rPr/>
        <w:t>de</w:t>
      </w:r>
      <w:r>
        <w:rPr>
          <w:spacing w:val="-7"/>
        </w:rPr>
        <w:t> </w:t>
      </w:r>
      <w:r>
        <w:rPr/>
        <w:t>pasta</w:t>
      </w:r>
      <w:r>
        <w:rPr>
          <w:spacing w:val="-5"/>
        </w:rPr>
        <w:t> </w:t>
      </w:r>
      <w:r>
        <w:rPr/>
        <w:t>de</w:t>
      </w:r>
      <w:r>
        <w:rPr>
          <w:spacing w:val="-7"/>
        </w:rPr>
        <w:t> </w:t>
      </w:r>
      <w:r>
        <w:rPr/>
        <w:t>carbón,</w:t>
      </w:r>
      <w:r>
        <w:rPr>
          <w:spacing w:val="-7"/>
        </w:rPr>
        <w:t> </w:t>
      </w:r>
      <w:r>
        <w:rPr/>
        <w:t>electrodo</w:t>
      </w:r>
      <w:r>
        <w:rPr>
          <w:spacing w:val="-7"/>
        </w:rPr>
        <w:t> </w:t>
      </w:r>
      <w:r>
        <w:rPr/>
        <w:t>de</w:t>
      </w:r>
      <w:r>
        <w:rPr>
          <w:spacing w:val="-5"/>
        </w:rPr>
        <w:t> </w:t>
      </w:r>
      <w:r>
        <w:rPr/>
        <w:t>referencia</w:t>
      </w:r>
      <w:r>
        <w:rPr>
          <w:spacing w:val="-5"/>
        </w:rPr>
        <w:t> </w:t>
      </w:r>
      <w:r>
        <w:rPr/>
        <w:t>de</w:t>
      </w:r>
      <w:r>
        <w:rPr>
          <w:spacing w:val="2"/>
        </w:rPr>
        <w:t> </w:t>
      </w:r>
      <w:r>
        <w:rPr/>
        <w:t>Plata/Cloruro</w:t>
      </w:r>
      <w:r>
        <w:rPr>
          <w:spacing w:val="-5"/>
        </w:rPr>
        <w:t> </w:t>
      </w:r>
      <w:r>
        <w:rPr/>
        <w:t>de</w:t>
      </w:r>
      <w:r>
        <w:rPr>
          <w:spacing w:val="-7"/>
        </w:rPr>
        <w:t> </w:t>
      </w:r>
      <w:r>
        <w:rPr/>
        <w:t>plata</w:t>
      </w:r>
      <w:r>
        <w:rPr>
          <w:spacing w:val="-5"/>
        </w:rPr>
        <w:t> </w:t>
      </w:r>
      <w:r>
        <w:rPr/>
        <w:t>(Ag/AgCl) y contraelectrodo de</w:t>
      </w:r>
      <w:r>
        <w:rPr>
          <w:spacing w:val="-8"/>
        </w:rPr>
        <w:t> </w:t>
      </w:r>
      <w:r>
        <w:rPr/>
        <w:t>grafito.</w:t>
      </w:r>
    </w:p>
    <w:p>
      <w:pPr>
        <w:pStyle w:val="BodyText"/>
      </w:pPr>
    </w:p>
    <w:p>
      <w:pPr>
        <w:pStyle w:val="BodyText"/>
        <w:spacing w:line="360" w:lineRule="auto" w:before="142"/>
        <w:ind w:left="658" w:right="403"/>
        <w:jc w:val="both"/>
      </w:pPr>
      <w:r>
        <w:rPr>
          <w:u w:val="single"/>
        </w:rPr>
        <w:t>Electrodo de pasta de carbono</w:t>
      </w:r>
      <w:r>
        <w:rPr/>
        <w:t>: Se preparó una mezcla que contenía 0.500 g de aceite mineral</w:t>
      </w:r>
      <w:r>
        <w:rPr>
          <w:spacing w:val="-7"/>
        </w:rPr>
        <w:t> </w:t>
      </w:r>
      <w:r>
        <w:rPr/>
        <w:t>y</w:t>
      </w:r>
      <w:r>
        <w:rPr>
          <w:spacing w:val="-9"/>
        </w:rPr>
        <w:t> </w:t>
      </w:r>
      <w:r>
        <w:rPr/>
        <w:t>0.500</w:t>
      </w:r>
      <w:r>
        <w:rPr>
          <w:spacing w:val="-6"/>
        </w:rPr>
        <w:t> </w:t>
      </w:r>
      <w:r>
        <w:rPr/>
        <w:t>g</w:t>
      </w:r>
      <w:r>
        <w:rPr>
          <w:spacing w:val="-8"/>
        </w:rPr>
        <w:t> </w:t>
      </w:r>
      <w:r>
        <w:rPr/>
        <w:t>de</w:t>
      </w:r>
      <w:r>
        <w:rPr>
          <w:spacing w:val="-6"/>
        </w:rPr>
        <w:t> </w:t>
      </w:r>
      <w:r>
        <w:rPr/>
        <w:t>polvo</w:t>
      </w:r>
      <w:r>
        <w:rPr>
          <w:spacing w:val="-6"/>
        </w:rPr>
        <w:t> </w:t>
      </w:r>
      <w:r>
        <w:rPr/>
        <w:t>de</w:t>
      </w:r>
      <w:r>
        <w:rPr>
          <w:spacing w:val="-6"/>
        </w:rPr>
        <w:t> </w:t>
      </w:r>
      <w:r>
        <w:rPr/>
        <w:t>grafito</w:t>
      </w:r>
      <w:r>
        <w:rPr>
          <w:spacing w:val="-6"/>
        </w:rPr>
        <w:t> </w:t>
      </w:r>
      <w:r>
        <w:rPr/>
        <w:t>(manteniendo</w:t>
      </w:r>
      <w:r>
        <w:rPr>
          <w:spacing w:val="-8"/>
        </w:rPr>
        <w:t> </w:t>
      </w:r>
      <w:r>
        <w:rPr/>
        <w:t>una</w:t>
      </w:r>
      <w:r>
        <w:rPr>
          <w:spacing w:val="-6"/>
        </w:rPr>
        <w:t> </w:t>
      </w:r>
      <w:r>
        <w:rPr/>
        <w:t>relación</w:t>
      </w:r>
      <w:r>
        <w:rPr>
          <w:spacing w:val="-6"/>
        </w:rPr>
        <w:t> </w:t>
      </w:r>
      <w:r>
        <w:rPr/>
        <w:t>50:50),</w:t>
      </w:r>
      <w:r>
        <w:rPr>
          <w:spacing w:val="-7"/>
        </w:rPr>
        <w:t> </w:t>
      </w:r>
      <w:r>
        <w:rPr/>
        <w:t>se</w:t>
      </w:r>
      <w:r>
        <w:rPr>
          <w:spacing w:val="-6"/>
        </w:rPr>
        <w:t> </w:t>
      </w:r>
      <w:r>
        <w:rPr/>
        <w:t>homogenizó</w:t>
      </w:r>
      <w:r>
        <w:rPr>
          <w:spacing w:val="-6"/>
        </w:rPr>
        <w:t> </w:t>
      </w:r>
      <w:r>
        <w:rPr/>
        <w:t>en un mortero hasta obtener una pasta negra. Después se rellenó un trozo de jeringa para insulina, evitando que quedaran huecos de aire, finalmente se pulió sobre papel, con la finalidad de que la superficie quedase homogénea y lisa para la</w:t>
      </w:r>
      <w:r>
        <w:rPr>
          <w:spacing w:val="-30"/>
        </w:rPr>
        <w:t> </w:t>
      </w:r>
      <w:r>
        <w:rPr/>
        <w:t>medición.</w:t>
      </w:r>
    </w:p>
    <w:p>
      <w:pPr>
        <w:pStyle w:val="BodyText"/>
      </w:pPr>
    </w:p>
    <w:p>
      <w:pPr>
        <w:pStyle w:val="BodyText"/>
        <w:spacing w:line="360" w:lineRule="auto" w:before="142"/>
        <w:ind w:left="658" w:right="404"/>
        <w:jc w:val="both"/>
      </w:pPr>
      <w:r>
        <w:rPr>
          <w:u w:val="single"/>
        </w:rPr>
        <w:t>Voltamperograma</w:t>
      </w:r>
      <w:r>
        <w:rPr>
          <w:spacing w:val="-8"/>
          <w:u w:val="single"/>
        </w:rPr>
        <w:t> </w:t>
      </w:r>
      <w:r>
        <w:rPr>
          <w:u w:val="single"/>
        </w:rPr>
        <w:t>del</w:t>
      </w:r>
      <w:r>
        <w:rPr>
          <w:spacing w:val="-12"/>
          <w:u w:val="single"/>
        </w:rPr>
        <w:t> </w:t>
      </w:r>
      <w:r>
        <w:rPr>
          <w:u w:val="single"/>
        </w:rPr>
        <w:t>blanco</w:t>
      </w:r>
      <w:r>
        <w:rPr>
          <w:spacing w:val="-11"/>
          <w:u w:val="single"/>
        </w:rPr>
        <w:t> </w:t>
      </w:r>
      <w:r>
        <w:rPr>
          <w:u w:val="single"/>
        </w:rPr>
        <w:t>de</w:t>
      </w:r>
      <w:r>
        <w:rPr>
          <w:spacing w:val="-8"/>
          <w:u w:val="single"/>
        </w:rPr>
        <w:t> </w:t>
      </w:r>
      <w:r>
        <w:rPr>
          <w:u w:val="single"/>
        </w:rPr>
        <w:t>plata</w:t>
      </w:r>
      <w:r>
        <w:rPr/>
        <w:t>:</w:t>
      </w:r>
      <w:r>
        <w:rPr>
          <w:spacing w:val="-11"/>
        </w:rPr>
        <w:t> </w:t>
      </w:r>
      <w:r>
        <w:rPr/>
        <w:t>Se</w:t>
      </w:r>
      <w:r>
        <w:rPr>
          <w:spacing w:val="-8"/>
        </w:rPr>
        <w:t> </w:t>
      </w:r>
      <w:r>
        <w:rPr/>
        <w:t>colocó</w:t>
      </w:r>
      <w:r>
        <w:rPr>
          <w:spacing w:val="-8"/>
        </w:rPr>
        <w:t> </w:t>
      </w:r>
      <w:r>
        <w:rPr/>
        <w:t>1.00</w:t>
      </w:r>
      <w:r>
        <w:rPr>
          <w:spacing w:val="-10"/>
        </w:rPr>
        <w:t> </w:t>
      </w:r>
      <w:r>
        <w:rPr/>
        <w:t>mL</w:t>
      </w:r>
      <w:r>
        <w:rPr>
          <w:spacing w:val="-8"/>
        </w:rPr>
        <w:t> </w:t>
      </w:r>
      <w:r>
        <w:rPr/>
        <w:t>de</w:t>
      </w:r>
      <w:r>
        <w:rPr>
          <w:spacing w:val="-8"/>
        </w:rPr>
        <w:t> </w:t>
      </w:r>
      <w:r>
        <w:rPr/>
        <w:t>la</w:t>
      </w:r>
      <w:r>
        <w:rPr>
          <w:spacing w:val="-9"/>
        </w:rPr>
        <w:t> </w:t>
      </w:r>
      <w:r>
        <w:rPr/>
        <w:t>solución</w:t>
      </w:r>
      <w:r>
        <w:rPr>
          <w:spacing w:val="-8"/>
        </w:rPr>
        <w:t> </w:t>
      </w:r>
      <w:r>
        <w:rPr/>
        <w:t>de</w:t>
      </w:r>
      <w:r>
        <w:rPr>
          <w:spacing w:val="-8"/>
        </w:rPr>
        <w:t> </w:t>
      </w:r>
      <w:r>
        <w:rPr/>
        <w:t>sulfato</w:t>
      </w:r>
      <w:r>
        <w:rPr>
          <w:spacing w:val="-8"/>
        </w:rPr>
        <w:t> </w:t>
      </w:r>
      <w:r>
        <w:rPr/>
        <w:t>de</w:t>
      </w:r>
      <w:r>
        <w:rPr>
          <w:spacing w:val="-11"/>
        </w:rPr>
        <w:t> </w:t>
      </w:r>
      <w:r>
        <w:rPr/>
        <w:t>plata en</w:t>
      </w:r>
      <w:r>
        <w:rPr>
          <w:spacing w:val="-7"/>
        </w:rPr>
        <w:t> </w:t>
      </w:r>
      <w:r>
        <w:rPr/>
        <w:t>9.00</w:t>
      </w:r>
      <w:r>
        <w:rPr>
          <w:spacing w:val="-9"/>
        </w:rPr>
        <w:t> </w:t>
      </w:r>
      <w:r>
        <w:rPr/>
        <w:t>mL</w:t>
      </w:r>
      <w:r>
        <w:rPr>
          <w:spacing w:val="-7"/>
        </w:rPr>
        <w:t> </w:t>
      </w:r>
      <w:r>
        <w:rPr/>
        <w:t>de</w:t>
      </w:r>
      <w:r>
        <w:rPr>
          <w:spacing w:val="-7"/>
        </w:rPr>
        <w:t> </w:t>
      </w:r>
      <w:r>
        <w:rPr/>
        <w:t>ácido</w:t>
      </w:r>
      <w:r>
        <w:rPr>
          <w:spacing w:val="-7"/>
        </w:rPr>
        <w:t> </w:t>
      </w:r>
      <w:r>
        <w:rPr/>
        <w:t>perclórico</w:t>
      </w:r>
      <w:r>
        <w:rPr>
          <w:spacing w:val="-5"/>
        </w:rPr>
        <w:t> </w:t>
      </w:r>
      <w:r>
        <w:rPr/>
        <w:t>realizando</w:t>
      </w:r>
      <w:r>
        <w:rPr>
          <w:spacing w:val="-7"/>
        </w:rPr>
        <w:t> </w:t>
      </w:r>
      <w:r>
        <w:rPr/>
        <w:t>un</w:t>
      </w:r>
      <w:r>
        <w:rPr>
          <w:spacing w:val="-8"/>
        </w:rPr>
        <w:t> </w:t>
      </w:r>
      <w:r>
        <w:rPr/>
        <w:t>barrido</w:t>
      </w:r>
      <w:r>
        <w:rPr>
          <w:spacing w:val="-7"/>
        </w:rPr>
        <w:t> </w:t>
      </w:r>
      <w:r>
        <w:rPr/>
        <w:t>de</w:t>
      </w:r>
      <w:r>
        <w:rPr>
          <w:spacing w:val="-9"/>
        </w:rPr>
        <w:t> </w:t>
      </w:r>
      <w:r>
        <w:rPr/>
        <w:t>potencial,</w:t>
      </w:r>
      <w:r>
        <w:rPr>
          <w:spacing w:val="-7"/>
        </w:rPr>
        <w:t> </w:t>
      </w:r>
      <w:r>
        <w:rPr/>
        <w:t>para</w:t>
      </w:r>
      <w:r>
        <w:rPr>
          <w:spacing w:val="-8"/>
        </w:rPr>
        <w:t> </w:t>
      </w:r>
      <w:r>
        <w:rPr/>
        <w:t>poder</w:t>
      </w:r>
      <w:r>
        <w:rPr>
          <w:spacing w:val="-8"/>
        </w:rPr>
        <w:t> </w:t>
      </w:r>
      <w:r>
        <w:rPr/>
        <w:t>observar</w:t>
      </w:r>
      <w:r>
        <w:rPr>
          <w:spacing w:val="-8"/>
        </w:rPr>
        <w:t> </w:t>
      </w:r>
      <w:r>
        <w:rPr/>
        <w:t>los picos de oxidación y reducción de la</w:t>
      </w:r>
      <w:r>
        <w:rPr>
          <w:spacing w:val="-8"/>
        </w:rPr>
        <w:t> </w:t>
      </w:r>
      <w:r>
        <w:rPr/>
        <w:t>plata.</w:t>
      </w:r>
    </w:p>
    <w:p>
      <w:pPr>
        <w:pStyle w:val="BodyText"/>
      </w:pPr>
    </w:p>
    <w:p>
      <w:pPr>
        <w:pStyle w:val="BodyText"/>
        <w:spacing w:line="360" w:lineRule="auto" w:before="142"/>
        <w:ind w:left="658" w:right="404"/>
        <w:jc w:val="both"/>
      </w:pPr>
      <w:r>
        <w:rPr>
          <w:u w:val="single"/>
        </w:rPr>
        <w:t>Blanco de mercurio (II)</w:t>
      </w:r>
      <w:r>
        <w:rPr/>
        <w:t>: Se preparó una solución adicionando 9.00 mL de ácido perclórico y 1.00 mL de la solución de cloruro de mercurio (II) y se realizó un experimento de voltamperometría,</w:t>
      </w:r>
      <w:r>
        <w:rPr>
          <w:spacing w:val="-17"/>
        </w:rPr>
        <w:t> </w:t>
      </w:r>
      <w:r>
        <w:rPr/>
        <w:t>para</w:t>
      </w:r>
      <w:r>
        <w:rPr>
          <w:spacing w:val="-17"/>
        </w:rPr>
        <w:t> </w:t>
      </w:r>
      <w:r>
        <w:rPr/>
        <w:t>de</w:t>
      </w:r>
      <w:r>
        <w:rPr>
          <w:spacing w:val="-19"/>
        </w:rPr>
        <w:t> </w:t>
      </w:r>
      <w:r>
        <w:rPr/>
        <w:t>igual</w:t>
      </w:r>
      <w:r>
        <w:rPr>
          <w:spacing w:val="-18"/>
        </w:rPr>
        <w:t> </w:t>
      </w:r>
      <w:r>
        <w:rPr/>
        <w:t>manera</w:t>
      </w:r>
      <w:r>
        <w:rPr>
          <w:spacing w:val="-17"/>
        </w:rPr>
        <w:t> </w:t>
      </w:r>
      <w:r>
        <w:rPr/>
        <w:t>ver</w:t>
      </w:r>
      <w:r>
        <w:rPr>
          <w:spacing w:val="-18"/>
        </w:rPr>
        <w:t> </w:t>
      </w:r>
      <w:r>
        <w:rPr/>
        <w:t>los</w:t>
      </w:r>
      <w:r>
        <w:rPr>
          <w:spacing w:val="-17"/>
        </w:rPr>
        <w:t> </w:t>
      </w:r>
      <w:r>
        <w:rPr/>
        <w:t>picos</w:t>
      </w:r>
      <w:r>
        <w:rPr>
          <w:spacing w:val="-19"/>
        </w:rPr>
        <w:t> </w:t>
      </w:r>
      <w:r>
        <w:rPr/>
        <w:t>de</w:t>
      </w:r>
      <w:r>
        <w:rPr>
          <w:spacing w:val="-19"/>
        </w:rPr>
        <w:t> </w:t>
      </w:r>
      <w:r>
        <w:rPr/>
        <w:t>oxidación</w:t>
      </w:r>
      <w:r>
        <w:rPr>
          <w:spacing w:val="-16"/>
        </w:rPr>
        <w:t> </w:t>
      </w:r>
      <w:r>
        <w:rPr/>
        <w:t>y</w:t>
      </w:r>
      <w:r>
        <w:rPr>
          <w:spacing w:val="-19"/>
        </w:rPr>
        <w:t> </w:t>
      </w:r>
      <w:r>
        <w:rPr/>
        <w:t>reducción</w:t>
      </w:r>
      <w:r>
        <w:rPr>
          <w:spacing w:val="-17"/>
        </w:rPr>
        <w:t> </w:t>
      </w:r>
      <w:r>
        <w:rPr/>
        <w:t>del</w:t>
      </w:r>
      <w:r>
        <w:rPr>
          <w:spacing w:val="-19"/>
        </w:rPr>
        <w:t> </w:t>
      </w:r>
      <w:r>
        <w:rPr/>
        <w:t>mercurio y compararlos con la</w:t>
      </w:r>
      <w:r>
        <w:rPr>
          <w:spacing w:val="-11"/>
        </w:rPr>
        <w:t> </w:t>
      </w:r>
      <w:r>
        <w:rPr/>
        <w:t>muestra.</w:t>
      </w:r>
    </w:p>
    <w:p>
      <w:pPr>
        <w:pStyle w:val="BodyText"/>
      </w:pPr>
    </w:p>
    <w:p>
      <w:pPr>
        <w:pStyle w:val="BodyText"/>
        <w:spacing w:line="360" w:lineRule="auto" w:before="142"/>
        <w:ind w:left="658" w:right="402"/>
        <w:jc w:val="both"/>
      </w:pPr>
      <w:r>
        <w:rPr/>
        <w:t>Una vez obtenidos los voltamperogramas de los blancos, se realizó una voltamperometría de los depósitos, adicionando una pequeña cantidad de depósitos en 9 mL de ácido perclórico. Se realizó lo mismo con la solución restante de la electrólisis, preparando una solución adicionando 9.00 mL de ácido perclórico y 1.00 mL de la solución restante y se realizó un barrido de potencial.</w:t>
      </w:r>
    </w:p>
    <w:p>
      <w:pPr>
        <w:spacing w:after="0" w:line="360" w:lineRule="auto"/>
        <w:jc w:val="both"/>
        <w:sectPr>
          <w:pgSz w:w="12240" w:h="15840"/>
          <w:pgMar w:header="0" w:footer="654" w:top="1080" w:bottom="1060" w:left="760" w:right="840"/>
        </w:sectPr>
      </w:pPr>
    </w:p>
    <w:p>
      <w:pPr>
        <w:pStyle w:val="BodyText"/>
        <w:spacing w:line="360" w:lineRule="auto" w:before="51"/>
        <w:ind w:left="658" w:right="399"/>
        <w:jc w:val="both"/>
      </w:pPr>
      <w:r>
        <w:rPr/>
        <w:t>Para poder observar la metodología de una manera más compacta se puede observar el siguiente diagrama de flujo de experimentación, en el cual se muestran todos los</w:t>
      </w:r>
      <w:r>
        <w:rPr>
          <w:spacing w:val="-42"/>
        </w:rPr>
        <w:t> </w:t>
      </w:r>
      <w:r>
        <w:rPr/>
        <w:t>métodos utilizados.</w:t>
      </w:r>
    </w:p>
    <w:p>
      <w:pPr>
        <w:spacing w:after="0" w:line="360" w:lineRule="auto"/>
        <w:jc w:val="both"/>
        <w:sectPr>
          <w:pgSz w:w="12240" w:h="15840"/>
          <w:pgMar w:header="0" w:footer="654" w:top="1080" w:bottom="1060" w:left="760" w:right="840"/>
        </w:sectPr>
      </w:pPr>
    </w:p>
    <w:p>
      <w:pPr>
        <w:pStyle w:val="ListParagraph"/>
        <w:numPr>
          <w:ilvl w:val="1"/>
          <w:numId w:val="4"/>
        </w:numPr>
        <w:tabs>
          <w:tab w:pos="2074" w:val="left" w:leader="none"/>
          <w:tab w:pos="2075" w:val="left" w:leader="none"/>
        </w:tabs>
        <w:spacing w:line="240" w:lineRule="auto" w:before="28" w:after="0"/>
        <w:ind w:left="2074" w:right="0" w:hanging="1056"/>
        <w:jc w:val="left"/>
        <w:rPr>
          <w:b/>
          <w:sz w:val="36"/>
        </w:rPr>
      </w:pPr>
      <w:r>
        <w:rPr>
          <w:b/>
          <w:sz w:val="36"/>
        </w:rPr>
        <w:t>DIAGRAMA DE FLUJO DE</w:t>
      </w:r>
      <w:r>
        <w:rPr>
          <w:b/>
          <w:spacing w:val="-11"/>
          <w:sz w:val="36"/>
        </w:rPr>
        <w:t> </w:t>
      </w:r>
      <w:r>
        <w:rPr>
          <w:b/>
          <w:sz w:val="36"/>
        </w:rPr>
        <w:t>EXPERIMENTACIÓN</w:t>
      </w:r>
    </w:p>
    <w:p>
      <w:pPr>
        <w:pStyle w:val="BodyText"/>
        <w:rPr>
          <w:b/>
          <w:sz w:val="20"/>
        </w:rPr>
      </w:pPr>
    </w:p>
    <w:p>
      <w:pPr>
        <w:pStyle w:val="BodyText"/>
        <w:rPr>
          <w:b/>
          <w:sz w:val="20"/>
        </w:rPr>
      </w:pPr>
    </w:p>
    <w:p>
      <w:pPr>
        <w:pStyle w:val="BodyText"/>
        <w:rPr>
          <w:b/>
          <w:sz w:val="20"/>
        </w:rPr>
      </w:pPr>
    </w:p>
    <w:p>
      <w:pPr>
        <w:pStyle w:val="BodyText"/>
        <w:spacing w:before="10"/>
        <w:rPr>
          <w:b/>
          <w:sz w:val="16"/>
        </w:rPr>
      </w:pPr>
    </w:p>
    <w:p>
      <w:pPr>
        <w:spacing w:before="77"/>
        <w:ind w:left="677" w:right="4360" w:firstLine="0"/>
        <w:jc w:val="center"/>
        <w:rPr>
          <w:b/>
          <w:sz w:val="18"/>
        </w:rPr>
      </w:pPr>
      <w:r>
        <w:rPr/>
        <w:pict>
          <v:group style="position:absolute;margin-left:80.767998pt;margin-top:-17.368078pt;width:451.3pt;height:538.25pt;mso-position-horizontal-relative:page;mso-position-vertical-relative:paragraph;z-index:-130672" coordorigin="1615,-347" coordsize="9026,10765">
            <v:shape style="position:absolute;left:1635;top:-327;width:8525;height:3952" coordorigin="1635,-327" coordsize="8525,3952" path="m1635,-146l1650,-217,1688,-274,1746,-313,1816,-327,9749,-327,9820,-313,9877,-274,9916,-217,9930,-146,9930,1302,9916,1372,9877,1430,9820,1469,9749,1483,1816,1483,1746,1469,1688,1430,1650,1372,1635,1302,1635,-146xm1864,2021l1878,1952,1917,1895,1973,1857,2043,1843,9981,1843,10051,1857,10107,1895,10145,1952,10159,2021,10159,3446,10145,3515,10107,3572,10051,3610,9981,3624,2043,3624,1973,3610,1917,3572,1878,3515,1864,3446,1864,2021xe" filled="false" stroked="true" strokeweight="2pt" strokecolor="#000000">
              <v:path arrowok="t"/>
            </v:shape>
            <v:shape style="position:absolute;left:7372;top:872;width:1357;height:1357" coordorigin="7372,872" coordsize="1357,1357" path="m8729,1618l7372,1618,8050,2229,8729,1618xm8423,872l7677,872,7677,1618,8423,1618,8423,872xe" filled="true" fillcolor="#ffffff" stroked="false">
              <v:path arrowok="t"/>
              <v:fill opacity="59110f" type="solid"/>
            </v:shape>
            <v:shape style="position:absolute;left:7372;top:872;width:1357;height:1357" coordorigin="7372,872" coordsize="1357,1357" path="m7372,1618l7677,1618,7677,872,8423,872,8423,1618,8729,1618,8050,2229,7372,1618xe" filled="false" stroked="true" strokeweight="2pt" strokecolor="#000000">
              <v:path arrowok="t"/>
            </v:shape>
            <v:shape style="position:absolute;left:2420;top:3973;width:7978;height:1821" coordorigin="2420,3973" coordsize="7978,1821" path="m2420,4155l2435,4084,2474,4026,2532,3987,2603,3973,10216,3973,10287,3987,10345,4026,10384,4084,10398,4155,10398,5612,10384,5683,10345,5740,10287,5780,10216,5794,2603,5794,2532,5780,2474,5740,2435,5683,2420,5612,2420,4155xe" filled="false" stroked="true" strokeweight="2.0pt" strokecolor="#000000">
              <v:path arrowok="t"/>
            </v:shape>
            <v:shape style="position:absolute;left:7866;top:3016;width:1357;height:1357" coordorigin="7866,3016" coordsize="1357,1357" path="m9223,3763l7866,3763,8544,4373,9223,3763xm8918,3016l8171,3016,8171,3763,8918,3763,8918,3016xe" filled="true" fillcolor="#ffffff" stroked="false">
              <v:path arrowok="t"/>
              <v:fill opacity="59110f" type="solid"/>
            </v:shape>
            <v:shape style="position:absolute;left:7866;top:3016;width:1357;height:1357" coordorigin="7866,3016" coordsize="1357,1357" path="m7866,3763l8171,3763,8171,3016,8918,3016,8918,3763,9223,3763,8544,4373,7866,3763xe" filled="false" stroked="true" strokeweight="2pt" strokecolor="#000000">
              <v:path arrowok="t"/>
            </v:shape>
            <v:shape style="position:absolute;left:3199;top:6162;width:7379;height:1851" coordorigin="3199,6162" coordsize="7379,1851" path="m3199,6347l3214,6275,3253,6216,3312,6177,3384,6162,10393,6162,10465,6177,10524,6216,10563,6275,10578,6347,10578,7827,10563,7899,10524,7958,10465,7998,10393,8012,3384,8012,3312,7998,3253,7958,3214,7899,3199,7827,3199,6347xe" filled="false" stroked="true" strokeweight="2.0pt" strokecolor="#000000">
              <v:path arrowok="t"/>
            </v:shape>
            <v:shape style="position:absolute;left:8369;top:5255;width:1357;height:1357" coordorigin="8369,5255" coordsize="1357,1357" path="m9726,6001l8369,6001,9047,6611,9726,6001xm9421,5255l8674,5255,8674,6001,9421,6001,9421,5255xe" filled="true" fillcolor="#ffffff" stroked="false">
              <v:path arrowok="t"/>
              <v:fill opacity="59110f" type="solid"/>
            </v:shape>
            <v:shape style="position:absolute;left:8369;top:5255;width:1357;height:1357" coordorigin="8369,5255" coordsize="1357,1357" path="m8369,6001l8674,6001,8674,5255,9421,5255,9421,6001,9726,6001,9047,6611,8369,6001xe" filled="false" stroked="true" strokeweight="2pt" strokecolor="#000000">
              <v:path arrowok="t"/>
            </v:shape>
            <v:shape style="position:absolute;left:4234;top:8344;width:6388;height:2054" coordorigin="4234,8344" coordsize="6388,2054" path="m4234,8550l4250,8470,4294,8405,4359,8361,4439,8344,10416,8344,10496,8361,10561,8405,10605,8470,10621,8550,10621,10192,10605,10272,10561,10338,10496,10382,10416,10398,4439,10398,4359,10382,4294,10338,4250,10272,4234,10192,4234,8550xe" filled="false" stroked="true" strokeweight="2pt" strokecolor="#000000">
              <v:path arrowok="t"/>
            </v:shape>
            <v:shape style="position:absolute;left:8812;top:7395;width:1357;height:1357" coordorigin="8812,7395" coordsize="1357,1357" path="m10169,8142l8812,8142,9491,8752,10169,8142xm9864,7395l9118,7395,9118,8142,9864,8142,9864,7395xe" filled="true" fillcolor="#ffffff" stroked="false">
              <v:path arrowok="t"/>
              <v:fill opacity="59110f" type="solid"/>
            </v:shape>
            <v:shape style="position:absolute;left:8812;top:7395;width:1357;height:1357" coordorigin="8812,7395" coordsize="1357,1357" path="m8812,8142l9118,8142,9118,7395,9864,7395,9864,8142,10169,8142,9491,8752,8812,8142xe" filled="false" stroked="true" strokeweight="2pt" strokecolor="#000000">
              <v:path arrowok="t"/>
            </v:shape>
            <w10:wrap type="none"/>
          </v:group>
        </w:pict>
      </w:r>
      <w:r>
        <w:rPr>
          <w:b/>
          <w:sz w:val="18"/>
        </w:rPr>
        <w:t>Prueba para la determinación  de  la DQO estandarizada</w:t>
      </w:r>
    </w:p>
    <w:p>
      <w:pPr>
        <w:spacing w:line="300" w:lineRule="auto" w:before="50"/>
        <w:ind w:left="2242" w:right="5923" w:hanging="4"/>
        <w:jc w:val="center"/>
        <w:rPr>
          <w:sz w:val="18"/>
        </w:rPr>
      </w:pPr>
      <w:r>
        <w:rPr>
          <w:sz w:val="18"/>
        </w:rPr>
        <w:t>Preparación de soluciones Pruebas con solución estándar</w:t>
      </w:r>
    </w:p>
    <w:p>
      <w:pPr>
        <w:spacing w:before="2"/>
        <w:ind w:left="1066" w:right="4745" w:firstLine="0"/>
        <w:jc w:val="center"/>
        <w:rPr>
          <w:sz w:val="18"/>
        </w:rPr>
      </w:pPr>
      <w:r>
        <w:rPr>
          <w:sz w:val="18"/>
        </w:rPr>
        <w:t>Pruebas con muestras de agua residual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spacing w:before="1"/>
        <w:ind w:left="1928" w:right="286" w:firstLine="0"/>
        <w:jc w:val="left"/>
        <w:rPr>
          <w:b/>
          <w:sz w:val="12"/>
        </w:rPr>
      </w:pPr>
      <w:r>
        <w:rPr>
          <w:b/>
          <w:sz w:val="18"/>
        </w:rPr>
        <w:t>Prueba para la determinación de la DQO con H</w:t>
      </w:r>
      <w:r>
        <w:rPr>
          <w:b/>
          <w:position w:val="-3"/>
          <w:sz w:val="12"/>
        </w:rPr>
        <w:t>2</w:t>
      </w:r>
      <w:r>
        <w:rPr>
          <w:b/>
          <w:sz w:val="18"/>
        </w:rPr>
        <w:t>O</w:t>
      </w:r>
      <w:r>
        <w:rPr>
          <w:b/>
          <w:position w:val="-3"/>
          <w:sz w:val="12"/>
        </w:rPr>
        <w:t>2</w:t>
      </w:r>
    </w:p>
    <w:p>
      <w:pPr>
        <w:spacing w:line="300" w:lineRule="auto" w:before="22"/>
        <w:ind w:left="1210" w:right="6938" w:firstLine="0"/>
        <w:jc w:val="left"/>
        <w:rPr>
          <w:sz w:val="18"/>
        </w:rPr>
      </w:pPr>
      <w:r>
        <w:rPr>
          <w:sz w:val="18"/>
        </w:rPr>
        <w:t>Preparación de soluciones Pruebas con solución estándar</w:t>
      </w:r>
    </w:p>
    <w:p>
      <w:pPr>
        <w:spacing w:before="2"/>
        <w:ind w:left="1210" w:right="286" w:firstLine="0"/>
        <w:jc w:val="left"/>
        <w:rPr>
          <w:sz w:val="18"/>
        </w:rPr>
      </w:pPr>
      <w:r>
        <w:rPr>
          <w:sz w:val="18"/>
        </w:rPr>
        <w:t>Pruebas con muestras de agua residuales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before="1"/>
        <w:ind w:left="1768" w:right="286" w:firstLine="0"/>
        <w:jc w:val="left"/>
        <w:rPr>
          <w:b/>
          <w:sz w:val="18"/>
        </w:rPr>
      </w:pPr>
      <w:r>
        <w:rPr>
          <w:b/>
          <w:sz w:val="18"/>
        </w:rPr>
        <w:t>Pruebas con menor cantidad de sulfato de plata y/o mercurio</w:t>
      </w:r>
    </w:p>
    <w:p>
      <w:pPr>
        <w:spacing w:line="300" w:lineRule="auto" w:before="50"/>
        <w:ind w:left="1768" w:right="6380" w:firstLine="0"/>
        <w:jc w:val="left"/>
        <w:rPr>
          <w:sz w:val="18"/>
        </w:rPr>
      </w:pPr>
      <w:r>
        <w:rPr>
          <w:sz w:val="18"/>
        </w:rPr>
        <w:t>Preparación de soluciones Pruebas con solución estándar</w:t>
      </w:r>
    </w:p>
    <w:p>
      <w:pPr>
        <w:spacing w:before="2"/>
        <w:ind w:left="1768" w:right="286" w:firstLine="0"/>
        <w:jc w:val="left"/>
        <w:rPr>
          <w:sz w:val="18"/>
        </w:rPr>
      </w:pPr>
      <w:r>
        <w:rPr>
          <w:sz w:val="18"/>
        </w:rPr>
        <w:t>Pruebas con muestras de agua residuales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1"/>
        <w:ind w:left="2547" w:right="286" w:firstLine="0"/>
        <w:jc w:val="left"/>
        <w:rPr>
          <w:b/>
          <w:sz w:val="18"/>
        </w:rPr>
      </w:pPr>
      <w:r>
        <w:rPr>
          <w:b/>
          <w:sz w:val="18"/>
        </w:rPr>
        <w:t>Prueba para determinación de la DQO con H</w:t>
      </w:r>
      <w:r>
        <w:rPr>
          <w:b/>
          <w:position w:val="-3"/>
          <w:sz w:val="12"/>
        </w:rPr>
        <w:t>2</w:t>
      </w:r>
      <w:r>
        <w:rPr>
          <w:b/>
          <w:sz w:val="18"/>
        </w:rPr>
        <w:t>O</w:t>
      </w:r>
      <w:r>
        <w:rPr>
          <w:b/>
          <w:position w:val="-3"/>
          <w:sz w:val="12"/>
        </w:rPr>
        <w:t>2  </w:t>
      </w:r>
      <w:r>
        <w:rPr>
          <w:b/>
          <w:sz w:val="18"/>
        </w:rPr>
        <w:t>y luz UV</w:t>
      </w:r>
    </w:p>
    <w:p>
      <w:pPr>
        <w:spacing w:line="300" w:lineRule="auto" w:before="22"/>
        <w:ind w:left="2547" w:right="4908" w:firstLine="0"/>
        <w:jc w:val="left"/>
        <w:rPr>
          <w:sz w:val="18"/>
        </w:rPr>
      </w:pPr>
      <w:r>
        <w:rPr>
          <w:sz w:val="18"/>
        </w:rPr>
        <w:t>Pruebas con solución estándar Pruebas con muestras de agua</w:t>
      </w:r>
      <w:r>
        <w:rPr>
          <w:spacing w:val="-13"/>
          <w:sz w:val="18"/>
        </w:rPr>
        <w:t> </w:t>
      </w:r>
      <w:r>
        <w:rPr>
          <w:sz w:val="18"/>
        </w:rPr>
        <w:t>residual</w:t>
      </w:r>
    </w:p>
    <w:p>
      <w:pPr>
        <w:pStyle w:val="BodyText"/>
        <w:rPr>
          <w:sz w:val="20"/>
        </w:rPr>
      </w:pPr>
    </w:p>
    <w:p>
      <w:pPr>
        <w:pStyle w:val="BodyText"/>
        <w:rPr>
          <w:sz w:val="20"/>
        </w:rPr>
      </w:pPr>
    </w:p>
    <w:p>
      <w:pPr>
        <w:pStyle w:val="BodyText"/>
        <w:spacing w:before="5"/>
        <w:rPr>
          <w:sz w:val="28"/>
        </w:rPr>
      </w:pPr>
    </w:p>
    <w:p>
      <w:pPr>
        <w:spacing w:line="288" w:lineRule="auto" w:before="77"/>
        <w:ind w:left="4040" w:right="3178" w:firstLine="0"/>
        <w:jc w:val="center"/>
        <w:rPr>
          <w:sz w:val="18"/>
        </w:rPr>
      </w:pPr>
      <w:r>
        <w:rPr>
          <w:b/>
          <w:sz w:val="18"/>
        </w:rPr>
        <w:t>Comparación de pruebas de acuerdo a: </w:t>
      </w:r>
      <w:r>
        <w:rPr>
          <w:sz w:val="18"/>
        </w:rPr>
        <w:t>Detección de la  DQO en mg O</w:t>
      </w:r>
      <w:r>
        <w:rPr>
          <w:position w:val="-3"/>
          <w:sz w:val="12"/>
        </w:rPr>
        <w:t>2</w:t>
      </w:r>
      <w:r>
        <w:rPr>
          <w:sz w:val="18"/>
        </w:rPr>
        <w:t>/L Cantidad de residuos generados Eliminación de agentes</w:t>
      </w:r>
      <w:r>
        <w:rPr>
          <w:spacing w:val="-17"/>
          <w:sz w:val="18"/>
        </w:rPr>
        <w:t> </w:t>
      </w:r>
      <w:r>
        <w:rPr>
          <w:sz w:val="18"/>
        </w:rPr>
        <w:t>tóxicos</w:t>
      </w:r>
    </w:p>
    <w:p>
      <w:pPr>
        <w:spacing w:line="297" w:lineRule="auto" w:before="12"/>
        <w:ind w:left="4956" w:right="4083" w:firstLine="557"/>
        <w:jc w:val="left"/>
        <w:rPr>
          <w:sz w:val="18"/>
        </w:rPr>
      </w:pPr>
      <w:r>
        <w:rPr>
          <w:sz w:val="18"/>
        </w:rPr>
        <w:t>Costo Tiempo de reacción</w:t>
      </w:r>
    </w:p>
    <w:p>
      <w:pPr>
        <w:spacing w:line="300" w:lineRule="auto" w:before="4"/>
        <w:ind w:left="4301" w:right="3443" w:firstLine="0"/>
        <w:jc w:val="center"/>
        <w:rPr>
          <w:sz w:val="18"/>
        </w:rPr>
      </w:pPr>
      <w:r>
        <w:rPr>
          <w:sz w:val="18"/>
        </w:rPr>
        <w:t>Tratamiento de residuos Recuperación de metales utilizados.</w:t>
      </w:r>
    </w:p>
    <w:p>
      <w:pPr>
        <w:pStyle w:val="BodyText"/>
        <w:rPr>
          <w:sz w:val="20"/>
        </w:rPr>
      </w:pPr>
    </w:p>
    <w:p>
      <w:pPr>
        <w:pStyle w:val="BodyText"/>
        <w:spacing w:before="3"/>
        <w:rPr>
          <w:sz w:val="19"/>
        </w:rPr>
      </w:pPr>
    </w:p>
    <w:p>
      <w:pPr>
        <w:spacing w:line="309" w:lineRule="auto" w:before="74"/>
        <w:ind w:left="4655" w:right="1025" w:hanging="2363"/>
        <w:jc w:val="left"/>
        <w:rPr>
          <w:b/>
          <w:sz w:val="20"/>
        </w:rPr>
      </w:pPr>
      <w:r>
        <w:rPr>
          <w:b/>
          <w:sz w:val="20"/>
        </w:rPr>
        <w:t>Pie de Figura 11.1: Análisis de pruebas para la determinación de la Demanda Química de Oxígeno (DQO)</w:t>
      </w:r>
    </w:p>
    <w:p>
      <w:pPr>
        <w:spacing w:after="0" w:line="309" w:lineRule="auto"/>
        <w:jc w:val="left"/>
        <w:rPr>
          <w:sz w:val="20"/>
        </w:rPr>
        <w:sectPr>
          <w:pgSz w:w="12240" w:h="15840"/>
          <w:pgMar w:header="0" w:footer="654" w:top="1100" w:bottom="1060" w:left="760" w:right="8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8"/>
        </w:rPr>
      </w:pPr>
    </w:p>
    <w:p>
      <w:pPr>
        <w:pStyle w:val="Heading1"/>
        <w:spacing w:line="917" w:lineRule="exact"/>
        <w:ind w:left="2608"/>
      </w:pPr>
      <w:r>
        <w:rPr/>
        <w:t>RESULTADOS</w:t>
      </w:r>
    </w:p>
    <w:p>
      <w:pPr>
        <w:spacing w:after="0" w:line="917" w:lineRule="exact"/>
        <w:sectPr>
          <w:pgSz w:w="12240" w:h="15840"/>
          <w:pgMar w:header="0" w:footer="654" w:top="1500" w:bottom="1060" w:left="1040" w:right="560"/>
        </w:sectPr>
      </w:pPr>
    </w:p>
    <w:p>
      <w:pPr>
        <w:pStyle w:val="Heading3"/>
        <w:numPr>
          <w:ilvl w:val="0"/>
          <w:numId w:val="7"/>
        </w:numPr>
        <w:tabs>
          <w:tab w:pos="1195" w:val="left" w:leader="none"/>
        </w:tabs>
        <w:spacing w:line="240" w:lineRule="auto" w:before="48" w:after="0"/>
        <w:ind w:left="1194" w:right="0" w:hanging="532"/>
        <w:jc w:val="both"/>
      </w:pPr>
      <w:r>
        <w:rPr/>
        <w:t>RESULTADOS</w:t>
      </w:r>
    </w:p>
    <w:p>
      <w:pPr>
        <w:pStyle w:val="BodyText"/>
        <w:spacing w:before="9"/>
        <w:rPr>
          <w:b/>
          <w:sz w:val="33"/>
        </w:rPr>
      </w:pPr>
    </w:p>
    <w:p>
      <w:pPr>
        <w:pStyle w:val="BodyText"/>
        <w:spacing w:line="360" w:lineRule="auto"/>
        <w:ind w:left="662" w:right="579"/>
        <w:jc w:val="both"/>
      </w:pPr>
      <w:r>
        <w:rPr/>
        <w:t>En este apartado podemos encontrar todos los resultados que se obtuvieron de los diferentes métodos aplicados para la determinación de la DQO.</w:t>
      </w:r>
    </w:p>
    <w:p>
      <w:pPr>
        <w:pStyle w:val="BodyText"/>
        <w:spacing w:line="360" w:lineRule="auto" w:before="204"/>
        <w:ind w:left="662" w:right="572"/>
        <w:jc w:val="both"/>
      </w:pPr>
      <w:r>
        <w:rPr/>
        <w:t>En</w:t>
      </w:r>
      <w:r>
        <w:rPr>
          <w:spacing w:val="-6"/>
        </w:rPr>
        <w:t> </w:t>
      </w:r>
      <w:r>
        <w:rPr/>
        <w:t>la</w:t>
      </w:r>
      <w:r>
        <w:rPr>
          <w:spacing w:val="-6"/>
        </w:rPr>
        <w:t> </w:t>
      </w:r>
      <w:r>
        <w:rPr/>
        <w:t>primera</w:t>
      </w:r>
      <w:r>
        <w:rPr>
          <w:spacing w:val="-6"/>
        </w:rPr>
        <w:t> </w:t>
      </w:r>
      <w:r>
        <w:rPr/>
        <w:t>parte</w:t>
      </w:r>
      <w:r>
        <w:rPr>
          <w:spacing w:val="-6"/>
        </w:rPr>
        <w:t> </w:t>
      </w:r>
      <w:r>
        <w:rPr/>
        <w:t>de</w:t>
      </w:r>
      <w:r>
        <w:rPr>
          <w:spacing w:val="-8"/>
        </w:rPr>
        <w:t> </w:t>
      </w:r>
      <w:r>
        <w:rPr/>
        <w:t>este</w:t>
      </w:r>
      <w:r>
        <w:rPr>
          <w:spacing w:val="-6"/>
        </w:rPr>
        <w:t> </w:t>
      </w:r>
      <w:r>
        <w:rPr/>
        <w:t>aparatado</w:t>
      </w:r>
      <w:r>
        <w:rPr>
          <w:spacing w:val="-6"/>
        </w:rPr>
        <w:t> </w:t>
      </w:r>
      <w:r>
        <w:rPr/>
        <w:t>se</w:t>
      </w:r>
      <w:r>
        <w:rPr>
          <w:spacing w:val="-6"/>
        </w:rPr>
        <w:t> </w:t>
      </w:r>
      <w:r>
        <w:rPr/>
        <w:t>encuentran</w:t>
      </w:r>
      <w:r>
        <w:rPr>
          <w:spacing w:val="-6"/>
        </w:rPr>
        <w:t> </w:t>
      </w:r>
      <w:r>
        <w:rPr/>
        <w:t>los</w:t>
      </w:r>
      <w:r>
        <w:rPr>
          <w:spacing w:val="-6"/>
        </w:rPr>
        <w:t> </w:t>
      </w:r>
      <w:r>
        <w:rPr/>
        <w:t>resultados</w:t>
      </w:r>
      <w:r>
        <w:rPr>
          <w:spacing w:val="-9"/>
        </w:rPr>
        <w:t> </w:t>
      </w:r>
      <w:r>
        <w:rPr/>
        <w:t>obtenidos</w:t>
      </w:r>
      <w:r>
        <w:rPr>
          <w:spacing w:val="-9"/>
        </w:rPr>
        <w:t> </w:t>
      </w:r>
      <w:r>
        <w:rPr/>
        <w:t>al</w:t>
      </w:r>
      <w:r>
        <w:rPr>
          <w:spacing w:val="-7"/>
        </w:rPr>
        <w:t> </w:t>
      </w:r>
      <w:r>
        <w:rPr/>
        <w:t>cambiar </w:t>
      </w:r>
      <w:r>
        <w:rPr>
          <w:position w:val="1"/>
        </w:rPr>
        <w:t>el</w:t>
      </w:r>
      <w:r>
        <w:rPr>
          <w:spacing w:val="-5"/>
          <w:position w:val="1"/>
        </w:rPr>
        <w:t> </w:t>
      </w:r>
      <w:r>
        <w:rPr>
          <w:position w:val="1"/>
        </w:rPr>
        <w:t>agente</w:t>
      </w:r>
      <w:r>
        <w:rPr>
          <w:spacing w:val="-6"/>
          <w:position w:val="1"/>
        </w:rPr>
        <w:t> </w:t>
      </w:r>
      <w:r>
        <w:rPr>
          <w:position w:val="1"/>
        </w:rPr>
        <w:t>oxidante</w:t>
      </w:r>
      <w:r>
        <w:rPr>
          <w:spacing w:val="-6"/>
          <w:position w:val="1"/>
        </w:rPr>
        <w:t> </w:t>
      </w:r>
      <w:r>
        <w:rPr>
          <w:position w:val="1"/>
        </w:rPr>
        <w:t>tóxico</w:t>
      </w:r>
      <w:r>
        <w:rPr>
          <w:spacing w:val="-4"/>
          <w:position w:val="1"/>
        </w:rPr>
        <w:t> </w:t>
      </w:r>
      <w:r>
        <w:rPr>
          <w:position w:val="1"/>
        </w:rPr>
        <w:t>y</w:t>
      </w:r>
      <w:r>
        <w:rPr>
          <w:spacing w:val="-7"/>
          <w:position w:val="1"/>
        </w:rPr>
        <w:t> </w:t>
      </w:r>
      <w:r>
        <w:rPr>
          <w:position w:val="1"/>
        </w:rPr>
        <w:t>cancerígeno</w:t>
      </w:r>
      <w:r>
        <w:rPr>
          <w:spacing w:val="-4"/>
          <w:position w:val="1"/>
        </w:rPr>
        <w:t> </w:t>
      </w:r>
      <w:r>
        <w:rPr>
          <w:position w:val="1"/>
        </w:rPr>
        <w:t>(K</w:t>
      </w:r>
      <w:r>
        <w:rPr>
          <w:sz w:val="16"/>
        </w:rPr>
        <w:t>2</w:t>
      </w:r>
      <w:r>
        <w:rPr>
          <w:position w:val="1"/>
        </w:rPr>
        <w:t>Cr</w:t>
      </w:r>
      <w:r>
        <w:rPr>
          <w:sz w:val="16"/>
        </w:rPr>
        <w:t>2</w:t>
      </w:r>
      <w:r>
        <w:rPr>
          <w:position w:val="1"/>
        </w:rPr>
        <w:t>O</w:t>
      </w:r>
      <w:r>
        <w:rPr>
          <w:sz w:val="16"/>
        </w:rPr>
        <w:t>7</w:t>
      </w:r>
      <w:r>
        <w:rPr>
          <w:position w:val="1"/>
        </w:rPr>
        <w:t>)</w:t>
      </w:r>
      <w:r>
        <w:rPr>
          <w:spacing w:val="-5"/>
          <w:position w:val="1"/>
        </w:rPr>
        <w:t> </w:t>
      </w:r>
      <w:r>
        <w:rPr>
          <w:position w:val="1"/>
        </w:rPr>
        <w:t>por</w:t>
      </w:r>
      <w:r>
        <w:rPr>
          <w:spacing w:val="-5"/>
          <w:position w:val="1"/>
        </w:rPr>
        <w:t> </w:t>
      </w:r>
      <w:r>
        <w:rPr>
          <w:position w:val="1"/>
        </w:rPr>
        <w:t>uno</w:t>
      </w:r>
      <w:r>
        <w:rPr>
          <w:spacing w:val="-6"/>
          <w:position w:val="1"/>
        </w:rPr>
        <w:t> </w:t>
      </w:r>
      <w:r>
        <w:rPr>
          <w:position w:val="1"/>
        </w:rPr>
        <w:t>menos</w:t>
      </w:r>
      <w:r>
        <w:rPr>
          <w:spacing w:val="-4"/>
          <w:position w:val="1"/>
        </w:rPr>
        <w:t> </w:t>
      </w:r>
      <w:r>
        <w:rPr>
          <w:position w:val="1"/>
        </w:rPr>
        <w:t>tóxico</w:t>
      </w:r>
      <w:r>
        <w:rPr>
          <w:spacing w:val="-2"/>
          <w:position w:val="1"/>
        </w:rPr>
        <w:t> </w:t>
      </w:r>
      <w:r>
        <w:rPr>
          <w:position w:val="1"/>
        </w:rPr>
        <w:t>y</w:t>
      </w:r>
      <w:r>
        <w:rPr>
          <w:spacing w:val="-7"/>
          <w:position w:val="1"/>
        </w:rPr>
        <w:t> </w:t>
      </w:r>
      <w:r>
        <w:rPr>
          <w:position w:val="1"/>
        </w:rPr>
        <w:t>más</w:t>
      </w:r>
      <w:r>
        <w:rPr>
          <w:spacing w:val="-4"/>
          <w:position w:val="1"/>
        </w:rPr>
        <w:t> </w:t>
      </w:r>
      <w:r>
        <w:rPr>
          <w:position w:val="1"/>
        </w:rPr>
        <w:t>amigable con el medio ambiente (H</w:t>
      </w:r>
      <w:r>
        <w:rPr>
          <w:sz w:val="16"/>
        </w:rPr>
        <w:t>2</w:t>
      </w:r>
      <w:r>
        <w:rPr>
          <w:position w:val="1"/>
        </w:rPr>
        <w:t>O</w:t>
      </w:r>
      <w:r>
        <w:rPr>
          <w:sz w:val="16"/>
        </w:rPr>
        <w:t>2</w:t>
      </w:r>
      <w:r>
        <w:rPr>
          <w:position w:val="1"/>
        </w:rPr>
        <w:t>), realizándose pruebas con diversas muestras de agua </w:t>
      </w:r>
      <w:r>
        <w:rPr/>
        <w:t>residual los resultados obtenidos fueron</w:t>
      </w:r>
      <w:r>
        <w:rPr>
          <w:spacing w:val="-17"/>
        </w:rPr>
        <w:t> </w:t>
      </w:r>
      <w:r>
        <w:rPr/>
        <w:t>publicados.</w:t>
      </w:r>
    </w:p>
    <w:p>
      <w:pPr>
        <w:pStyle w:val="BodyText"/>
        <w:spacing w:line="360" w:lineRule="auto" w:before="202"/>
        <w:ind w:left="662" w:right="569"/>
        <w:jc w:val="both"/>
      </w:pPr>
      <w:r>
        <w:rPr/>
        <w:t>A continuación se observan los resultados generados al modificar las concentraciones </w:t>
      </w:r>
      <w:r>
        <w:rPr>
          <w:position w:val="1"/>
        </w:rPr>
        <w:t>del sulfato de plata, en la técnica de la DQO en donde es utilizado el H</w:t>
      </w:r>
      <w:r>
        <w:rPr>
          <w:sz w:val="16"/>
        </w:rPr>
        <w:t>2</w:t>
      </w:r>
      <w:r>
        <w:rPr>
          <w:position w:val="1"/>
        </w:rPr>
        <w:t>O</w:t>
      </w:r>
      <w:r>
        <w:rPr>
          <w:sz w:val="16"/>
        </w:rPr>
        <w:t>2 </w:t>
      </w:r>
      <w:r>
        <w:rPr>
          <w:position w:val="1"/>
        </w:rPr>
        <w:t>como agente </w:t>
      </w:r>
      <w:r>
        <w:rPr/>
        <w:t>oxidante, otra modificación es la aplicación de luz UV, realizando pruebas con diversas muestras de agua residual, estos resultados fueron enviados a una revista para su publicación.</w:t>
      </w:r>
    </w:p>
    <w:p>
      <w:pPr>
        <w:pStyle w:val="BodyText"/>
        <w:spacing w:line="360" w:lineRule="auto" w:before="204"/>
        <w:ind w:left="662" w:right="568"/>
        <w:jc w:val="both"/>
      </w:pPr>
      <w:r>
        <w:rPr/>
        <w:t>Finalmente</w:t>
      </w:r>
      <w:r>
        <w:rPr>
          <w:spacing w:val="-11"/>
        </w:rPr>
        <w:t> </w:t>
      </w:r>
      <w:r>
        <w:rPr/>
        <w:t>en</w:t>
      </w:r>
      <w:r>
        <w:rPr>
          <w:spacing w:val="-9"/>
        </w:rPr>
        <w:t> </w:t>
      </w:r>
      <w:r>
        <w:rPr/>
        <w:t>la</w:t>
      </w:r>
      <w:r>
        <w:rPr>
          <w:spacing w:val="-12"/>
        </w:rPr>
        <w:t> </w:t>
      </w:r>
      <w:r>
        <w:rPr/>
        <w:t>última</w:t>
      </w:r>
      <w:r>
        <w:rPr>
          <w:spacing w:val="-9"/>
        </w:rPr>
        <w:t> </w:t>
      </w:r>
      <w:r>
        <w:rPr/>
        <w:t>parte</w:t>
      </w:r>
      <w:r>
        <w:rPr>
          <w:spacing w:val="-12"/>
        </w:rPr>
        <w:t> </w:t>
      </w:r>
      <w:r>
        <w:rPr/>
        <w:t>de</w:t>
      </w:r>
      <w:r>
        <w:rPr>
          <w:spacing w:val="-13"/>
        </w:rPr>
        <w:t> </w:t>
      </w:r>
      <w:r>
        <w:rPr/>
        <w:t>este</w:t>
      </w:r>
      <w:r>
        <w:rPr>
          <w:spacing w:val="-8"/>
        </w:rPr>
        <w:t> </w:t>
      </w:r>
      <w:r>
        <w:rPr/>
        <w:t>apartado</w:t>
      </w:r>
      <w:r>
        <w:rPr>
          <w:spacing w:val="-8"/>
        </w:rPr>
        <w:t> </w:t>
      </w:r>
      <w:r>
        <w:rPr/>
        <w:t>se</w:t>
      </w:r>
      <w:r>
        <w:rPr>
          <w:spacing w:val="-13"/>
        </w:rPr>
        <w:t> </w:t>
      </w:r>
      <w:r>
        <w:rPr/>
        <w:t>muestran</w:t>
      </w:r>
      <w:r>
        <w:rPr>
          <w:spacing w:val="-12"/>
        </w:rPr>
        <w:t> </w:t>
      </w:r>
      <w:r>
        <w:rPr/>
        <w:t>los</w:t>
      </w:r>
      <w:r>
        <w:rPr>
          <w:spacing w:val="-11"/>
        </w:rPr>
        <w:t> </w:t>
      </w:r>
      <w:r>
        <w:rPr/>
        <w:t>resultados</w:t>
      </w:r>
      <w:r>
        <w:rPr>
          <w:spacing w:val="-11"/>
        </w:rPr>
        <w:t> </w:t>
      </w:r>
      <w:r>
        <w:rPr/>
        <w:t>no</w:t>
      </w:r>
      <w:r>
        <w:rPr>
          <w:spacing w:val="-12"/>
        </w:rPr>
        <w:t> </w:t>
      </w:r>
      <w:r>
        <w:rPr/>
        <w:t>publicados, dichos resultados hacen énfasis en el tratamiento de residuos generados en la </w:t>
      </w:r>
      <w:r>
        <w:rPr>
          <w:position w:val="1"/>
        </w:rPr>
        <w:t>determinación</w:t>
      </w:r>
      <w:r>
        <w:rPr>
          <w:spacing w:val="-8"/>
          <w:position w:val="1"/>
        </w:rPr>
        <w:t> </w:t>
      </w:r>
      <w:r>
        <w:rPr>
          <w:position w:val="1"/>
        </w:rPr>
        <w:t>de</w:t>
      </w:r>
      <w:r>
        <w:rPr>
          <w:spacing w:val="-8"/>
          <w:position w:val="1"/>
        </w:rPr>
        <w:t> </w:t>
      </w:r>
      <w:r>
        <w:rPr>
          <w:position w:val="1"/>
        </w:rPr>
        <w:t>la</w:t>
      </w:r>
      <w:r>
        <w:rPr>
          <w:spacing w:val="-9"/>
          <w:position w:val="1"/>
        </w:rPr>
        <w:t> </w:t>
      </w:r>
      <w:r>
        <w:rPr>
          <w:position w:val="1"/>
        </w:rPr>
        <w:t>DQO</w:t>
      </w:r>
      <w:r>
        <w:rPr>
          <w:spacing w:val="-8"/>
          <w:position w:val="1"/>
        </w:rPr>
        <w:t> </w:t>
      </w:r>
      <w:r>
        <w:rPr>
          <w:position w:val="1"/>
        </w:rPr>
        <w:t>con</w:t>
      </w:r>
      <w:r>
        <w:rPr>
          <w:spacing w:val="-8"/>
          <w:position w:val="1"/>
        </w:rPr>
        <w:t> </w:t>
      </w:r>
      <w:r>
        <w:rPr>
          <w:position w:val="1"/>
        </w:rPr>
        <w:t>H</w:t>
      </w:r>
      <w:r>
        <w:rPr>
          <w:sz w:val="16"/>
        </w:rPr>
        <w:t>2</w:t>
      </w:r>
      <w:r>
        <w:rPr>
          <w:position w:val="1"/>
        </w:rPr>
        <w:t>O</w:t>
      </w:r>
      <w:r>
        <w:rPr>
          <w:sz w:val="16"/>
        </w:rPr>
        <w:t>2</w:t>
      </w:r>
      <w:r>
        <w:rPr>
          <w:spacing w:val="12"/>
          <w:sz w:val="16"/>
        </w:rPr>
        <w:t> </w:t>
      </w:r>
      <w:r>
        <w:rPr>
          <w:position w:val="1"/>
        </w:rPr>
        <w:t>como</w:t>
      </w:r>
      <w:r>
        <w:rPr>
          <w:spacing w:val="-8"/>
          <w:position w:val="1"/>
        </w:rPr>
        <w:t> </w:t>
      </w:r>
      <w:r>
        <w:rPr>
          <w:position w:val="1"/>
        </w:rPr>
        <w:t>agente</w:t>
      </w:r>
      <w:r>
        <w:rPr>
          <w:spacing w:val="-10"/>
          <w:position w:val="1"/>
        </w:rPr>
        <w:t> </w:t>
      </w:r>
      <w:r>
        <w:rPr>
          <w:position w:val="1"/>
        </w:rPr>
        <w:t>oxidante</w:t>
      </w:r>
      <w:r>
        <w:rPr>
          <w:spacing w:val="-8"/>
          <w:position w:val="1"/>
        </w:rPr>
        <w:t> </w:t>
      </w:r>
      <w:r>
        <w:rPr>
          <w:position w:val="1"/>
        </w:rPr>
        <w:t>los</w:t>
      </w:r>
      <w:r>
        <w:rPr>
          <w:spacing w:val="-9"/>
          <w:position w:val="1"/>
        </w:rPr>
        <w:t> </w:t>
      </w:r>
      <w:r>
        <w:rPr>
          <w:position w:val="1"/>
        </w:rPr>
        <w:t>cuales</w:t>
      </w:r>
      <w:r>
        <w:rPr>
          <w:spacing w:val="-9"/>
          <w:position w:val="1"/>
        </w:rPr>
        <w:t> </w:t>
      </w:r>
      <w:r>
        <w:rPr>
          <w:position w:val="1"/>
        </w:rPr>
        <w:t>son</w:t>
      </w:r>
      <w:r>
        <w:rPr>
          <w:spacing w:val="-7"/>
          <w:position w:val="1"/>
        </w:rPr>
        <w:t> </w:t>
      </w:r>
      <w:r>
        <w:rPr>
          <w:position w:val="1"/>
        </w:rPr>
        <w:t>tratados</w:t>
      </w:r>
      <w:r>
        <w:rPr>
          <w:spacing w:val="-9"/>
          <w:position w:val="1"/>
        </w:rPr>
        <w:t> </w:t>
      </w:r>
      <w:r>
        <w:rPr>
          <w:position w:val="1"/>
        </w:rPr>
        <w:t>con</w:t>
      </w:r>
      <w:r>
        <w:rPr>
          <w:spacing w:val="-8"/>
          <w:position w:val="1"/>
        </w:rPr>
        <w:t> </w:t>
      </w:r>
      <w:r>
        <w:rPr>
          <w:position w:val="1"/>
        </w:rPr>
        <w:t>un </w:t>
      </w:r>
      <w:r>
        <w:rPr/>
        <w:t>método electroquímico para recuperar la plata utilizada en dicho</w:t>
      </w:r>
      <w:r>
        <w:rPr>
          <w:spacing w:val="-21"/>
        </w:rPr>
        <w:t> </w:t>
      </w:r>
      <w:r>
        <w:rPr/>
        <w:t>método.</w:t>
      </w:r>
    </w:p>
    <w:p>
      <w:pPr>
        <w:spacing w:after="0" w:line="360" w:lineRule="auto"/>
        <w:jc w:val="both"/>
        <w:sectPr>
          <w:pgSz w:w="12240" w:h="15840"/>
          <w:pgMar w:header="0" w:footer="654" w:top="1080" w:bottom="1060" w:left="1040" w:right="560"/>
        </w:sectPr>
      </w:pPr>
    </w:p>
    <w:p>
      <w:pPr>
        <w:pStyle w:val="Heading3"/>
        <w:numPr>
          <w:ilvl w:val="1"/>
          <w:numId w:val="7"/>
        </w:numPr>
        <w:tabs>
          <w:tab w:pos="1378" w:val="left" w:leader="none"/>
        </w:tabs>
        <w:spacing w:line="240" w:lineRule="auto" w:before="48" w:after="0"/>
        <w:ind w:left="662" w:right="0" w:firstLine="0"/>
        <w:jc w:val="left"/>
      </w:pPr>
      <w:r>
        <w:rPr/>
        <w:t>ARTÍCULO</w:t>
      </w:r>
      <w:r>
        <w:rPr>
          <w:spacing w:val="-15"/>
        </w:rPr>
        <w:t> </w:t>
      </w:r>
      <w:r>
        <w:rPr/>
        <w:t>PUBLICADO</w:t>
      </w:r>
    </w:p>
    <w:p>
      <w:pPr>
        <w:pStyle w:val="BodyText"/>
        <w:spacing w:before="9"/>
        <w:rPr>
          <w:b/>
          <w:sz w:val="33"/>
        </w:rPr>
      </w:pPr>
    </w:p>
    <w:p>
      <w:pPr>
        <w:pStyle w:val="BodyText"/>
        <w:spacing w:line="360" w:lineRule="auto"/>
        <w:ind w:left="662" w:right="663"/>
      </w:pPr>
      <w:r>
        <w:rPr/>
        <w:t>En éste artículo se encuentran los resultados obtenidos con el cambio del agente oxidante tóxico y cancerígeno por uno más amigable con el medio ambiente.</w:t>
      </w:r>
    </w:p>
    <w:p>
      <w:pPr>
        <w:pStyle w:val="BodyText"/>
        <w:spacing w:before="5"/>
        <w:rPr>
          <w:sz w:val="14"/>
        </w:rPr>
      </w:pPr>
      <w:r>
        <w:rPr/>
        <w:drawing>
          <wp:anchor distT="0" distB="0" distL="0" distR="0" allowOverlap="1" layoutInCell="1" locked="0" behindDoc="0" simplePos="0" relativeHeight="1192">
            <wp:simplePos x="0" y="0"/>
            <wp:positionH relativeFrom="page">
              <wp:posOffset>1088136</wp:posOffset>
            </wp:positionH>
            <wp:positionV relativeFrom="paragraph">
              <wp:posOffset>130732</wp:posOffset>
            </wp:positionV>
            <wp:extent cx="5834195" cy="7015067"/>
            <wp:effectExtent l="0" t="0" r="0" b="0"/>
            <wp:wrapTopAndBottom/>
            <wp:docPr id="3" name="image4.png" descr=""/>
            <wp:cNvGraphicFramePr>
              <a:graphicFrameLocks noChangeAspect="1"/>
            </wp:cNvGraphicFramePr>
            <a:graphic>
              <a:graphicData uri="http://schemas.openxmlformats.org/drawingml/2006/picture">
                <pic:pic>
                  <pic:nvPicPr>
                    <pic:cNvPr id="4" name="image4.png"/>
                    <pic:cNvPicPr/>
                  </pic:nvPicPr>
                  <pic:blipFill>
                    <a:blip r:embed="rId18" cstate="print"/>
                    <a:stretch>
                      <a:fillRect/>
                    </a:stretch>
                  </pic:blipFill>
                  <pic:spPr>
                    <a:xfrm>
                      <a:off x="0" y="0"/>
                      <a:ext cx="5834195" cy="7015067"/>
                    </a:xfrm>
                    <a:prstGeom prst="rect">
                      <a:avLst/>
                    </a:prstGeom>
                  </pic:spPr>
                </pic:pic>
              </a:graphicData>
            </a:graphic>
          </wp:anchor>
        </w:drawing>
      </w:r>
    </w:p>
    <w:p>
      <w:pPr>
        <w:spacing w:after="0"/>
        <w:rPr>
          <w:sz w:val="14"/>
        </w:rPr>
        <w:sectPr>
          <w:pgSz w:w="12240" w:h="15840"/>
          <w:pgMar w:header="0" w:footer="654" w:top="1080" w:bottom="1060" w:left="1040" w:right="560"/>
        </w:sectPr>
      </w:pPr>
    </w:p>
    <w:p>
      <w:pPr>
        <w:pStyle w:val="BodyText"/>
        <w:ind w:left="108"/>
        <w:rPr>
          <w:sz w:val="20"/>
        </w:rPr>
      </w:pPr>
      <w:r>
        <w:rPr>
          <w:sz w:val="20"/>
        </w:rPr>
        <w:drawing>
          <wp:inline distT="0" distB="0" distL="0" distR="0">
            <wp:extent cx="6490716" cy="8311896"/>
            <wp:effectExtent l="0" t="0" r="0" b="0"/>
            <wp:docPr id="5" name="image5.png" descr=""/>
            <wp:cNvGraphicFramePr>
              <a:graphicFrameLocks noChangeAspect="1"/>
            </wp:cNvGraphicFramePr>
            <a:graphic>
              <a:graphicData uri="http://schemas.openxmlformats.org/drawingml/2006/picture">
                <pic:pic>
                  <pic:nvPicPr>
                    <pic:cNvPr id="6" name="image5.png"/>
                    <pic:cNvPicPr/>
                  </pic:nvPicPr>
                  <pic:blipFill>
                    <a:blip r:embed="rId19" cstate="print"/>
                    <a:stretch>
                      <a:fillRect/>
                    </a:stretch>
                  </pic:blipFill>
                  <pic:spPr>
                    <a:xfrm>
                      <a:off x="0" y="0"/>
                      <a:ext cx="6490716" cy="8311896"/>
                    </a:xfrm>
                    <a:prstGeom prst="rect">
                      <a:avLst/>
                    </a:prstGeom>
                  </pic:spPr>
                </pic:pic>
              </a:graphicData>
            </a:graphic>
          </wp:inline>
        </w:drawing>
      </w:r>
      <w:r>
        <w:rPr>
          <w:sz w:val="20"/>
        </w:rPr>
      </w:r>
    </w:p>
    <w:p>
      <w:pPr>
        <w:spacing w:after="0"/>
        <w:rPr>
          <w:sz w:val="20"/>
        </w:rPr>
        <w:sectPr>
          <w:pgSz w:w="12240" w:h="15840"/>
          <w:pgMar w:header="0" w:footer="654" w:top="1140" w:bottom="840" w:left="940" w:right="560"/>
        </w:sectPr>
      </w:pPr>
    </w:p>
    <w:p>
      <w:pPr>
        <w:pStyle w:val="BodyText"/>
        <w:ind w:left="110"/>
        <w:rPr>
          <w:sz w:val="20"/>
        </w:rPr>
      </w:pPr>
      <w:r>
        <w:rPr>
          <w:sz w:val="20"/>
        </w:rPr>
        <w:pict>
          <v:group style="width:545.75pt;height:690.5pt;mso-position-horizontal-relative:char;mso-position-vertical-relative:line" coordorigin="0,0" coordsize="10915,13810">
            <v:line style="position:absolute" from="529,13606" to="10894,13606" stroked="true" strokeweight="2.1pt" strokecolor="#000000"/>
            <v:line style="position:absolute" from="529,13648" to="10894,13648" stroked="true" strokeweight=".7pt" strokecolor="#000000"/>
            <v:shape style="position:absolute;left:0;top:0;width:10774;height:13810" type="#_x0000_t75" stroked="false">
              <v:imagedata r:id="rId21" o:title=""/>
            </v:shape>
          </v:group>
        </w:pict>
      </w:r>
      <w:r>
        <w:rPr>
          <w:sz w:val="20"/>
        </w:rPr>
      </w:r>
    </w:p>
    <w:p>
      <w:pPr>
        <w:spacing w:after="0"/>
        <w:rPr>
          <w:sz w:val="20"/>
        </w:rPr>
        <w:sectPr>
          <w:footerReference w:type="default" r:id="rId20"/>
          <w:pgSz w:w="12240" w:h="15840"/>
          <w:pgMar w:footer="640" w:header="0" w:top="1140" w:bottom="840" w:left="540" w:right="560"/>
          <w:pgNumType w:start="55"/>
        </w:sectPr>
      </w:pPr>
    </w:p>
    <w:p>
      <w:pPr>
        <w:pStyle w:val="BodyText"/>
        <w:ind w:left="101"/>
        <w:rPr>
          <w:sz w:val="20"/>
        </w:rPr>
      </w:pPr>
      <w:r>
        <w:rPr>
          <w:sz w:val="20"/>
        </w:rPr>
        <w:pict>
          <v:group style="width:531.85pt;height:682.75pt;mso-position-horizontal-relative:char;mso-position-vertical-relative:line" coordorigin="0,0" coordsize="10637,13655">
            <v:line style="position:absolute" from="137,13606" to="10502,13606" stroked="true" strokeweight="2.1pt" strokecolor="#000000"/>
            <v:line style="position:absolute" from="137,13648" to="10502,13648" stroked="true" strokeweight=".7pt" strokecolor="#000000"/>
            <v:shape style="position:absolute;left:0;top:0;width:10637;height:13646" type="#_x0000_t75" stroked="false">
              <v:imagedata r:id="rId22" o:title=""/>
            </v:shape>
          </v:group>
        </w:pict>
      </w:r>
      <w:r>
        <w:rPr>
          <w:sz w:val="20"/>
        </w:rPr>
      </w:r>
    </w:p>
    <w:p>
      <w:pPr>
        <w:spacing w:after="0"/>
        <w:rPr>
          <w:sz w:val="20"/>
        </w:rPr>
        <w:sectPr>
          <w:pgSz w:w="12240" w:h="15840"/>
          <w:pgMar w:header="0" w:footer="640" w:top="1140" w:bottom="840" w:left="940" w:right="460"/>
        </w:sectPr>
      </w:pPr>
    </w:p>
    <w:p>
      <w:pPr>
        <w:pStyle w:val="BodyText"/>
        <w:ind w:left="115"/>
        <w:rPr>
          <w:sz w:val="20"/>
        </w:rPr>
      </w:pPr>
      <w:r>
        <w:rPr>
          <w:sz w:val="20"/>
        </w:rPr>
        <w:drawing>
          <wp:inline distT="0" distB="0" distL="0" distR="0">
            <wp:extent cx="6635217" cy="8115300"/>
            <wp:effectExtent l="0" t="0" r="0" b="0"/>
            <wp:docPr id="7" name="image8.png" descr=""/>
            <wp:cNvGraphicFramePr>
              <a:graphicFrameLocks noChangeAspect="1"/>
            </wp:cNvGraphicFramePr>
            <a:graphic>
              <a:graphicData uri="http://schemas.openxmlformats.org/drawingml/2006/picture">
                <pic:pic>
                  <pic:nvPicPr>
                    <pic:cNvPr id="8" name="image8.png"/>
                    <pic:cNvPicPr/>
                  </pic:nvPicPr>
                  <pic:blipFill>
                    <a:blip r:embed="rId23" cstate="print"/>
                    <a:stretch>
                      <a:fillRect/>
                    </a:stretch>
                  </pic:blipFill>
                  <pic:spPr>
                    <a:xfrm>
                      <a:off x="0" y="0"/>
                      <a:ext cx="6635217" cy="8115300"/>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8"/>
        <w:rPr>
          <w:sz w:val="25"/>
        </w:rPr>
      </w:pPr>
      <w:r>
        <w:rPr/>
        <w:pict>
          <v:group style="position:absolute;margin-left:57.900002pt;margin-top:16.748953pt;width:520.35pt;height:3.5pt;mso-position-horizontal-relative:page;mso-position-vertical-relative:paragraph;z-index:1264;mso-wrap-distance-left:0;mso-wrap-distance-right:0" coordorigin="1158,335" coordsize="10407,70">
            <v:line style="position:absolute" from="1179,356" to="11544,356" stroked="true" strokeweight="2.1pt" strokecolor="#000000"/>
            <v:line style="position:absolute" from="1179,398" to="11544,398" stroked="true" strokeweight=".7pt" strokecolor="#000000"/>
            <w10:wrap type="topAndBottom"/>
          </v:group>
        </w:pict>
      </w:r>
    </w:p>
    <w:p>
      <w:pPr>
        <w:spacing w:after="0"/>
        <w:rPr>
          <w:sz w:val="25"/>
        </w:rPr>
        <w:sectPr>
          <w:pgSz w:w="12240" w:h="15840"/>
          <w:pgMar w:header="0" w:footer="640" w:top="1140" w:bottom="840" w:left="720" w:right="560"/>
        </w:sectPr>
      </w:pPr>
    </w:p>
    <w:p>
      <w:pPr>
        <w:pStyle w:val="ListParagraph"/>
        <w:numPr>
          <w:ilvl w:val="1"/>
          <w:numId w:val="7"/>
        </w:numPr>
        <w:tabs>
          <w:tab w:pos="1466" w:val="left" w:leader="none"/>
        </w:tabs>
        <w:spacing w:line="240" w:lineRule="auto" w:before="28" w:after="0"/>
        <w:ind w:left="1465" w:right="0" w:hanging="803"/>
        <w:jc w:val="left"/>
        <w:rPr>
          <w:b/>
          <w:sz w:val="36"/>
        </w:rPr>
      </w:pPr>
      <w:r>
        <w:rPr>
          <w:b/>
          <w:sz w:val="36"/>
        </w:rPr>
        <w:t>ARTÍCULO</w:t>
      </w:r>
      <w:r>
        <w:rPr>
          <w:b/>
          <w:spacing w:val="-8"/>
          <w:sz w:val="36"/>
        </w:rPr>
        <w:t> </w:t>
      </w:r>
      <w:r>
        <w:rPr>
          <w:b/>
          <w:sz w:val="36"/>
        </w:rPr>
        <w:t>ENVIADO</w:t>
      </w:r>
    </w:p>
    <w:p>
      <w:pPr>
        <w:pStyle w:val="BodyText"/>
        <w:spacing w:before="9"/>
        <w:rPr>
          <w:b/>
          <w:sz w:val="35"/>
        </w:rPr>
      </w:pPr>
    </w:p>
    <w:p>
      <w:pPr>
        <w:pStyle w:val="BodyText"/>
        <w:spacing w:line="360" w:lineRule="auto"/>
        <w:ind w:left="662" w:right="699"/>
      </w:pPr>
      <w:r>
        <w:rPr/>
        <w:t>La siguiente carta de envío muestra la información de la revista a la cual fue enviado el artículo titulado Reagents and Reaction Time Reduction in the Determination of Chemical Oxygen Demand (COD).</w:t>
      </w:r>
    </w:p>
    <w:p>
      <w:pPr>
        <w:pStyle w:val="BodyText"/>
      </w:pPr>
    </w:p>
    <w:p>
      <w:pPr>
        <w:pStyle w:val="Heading6"/>
        <w:spacing w:before="142"/>
        <w:ind w:right="286"/>
        <w:jc w:val="left"/>
      </w:pPr>
      <w:r>
        <w:rPr/>
        <w:t>Mensaje reenviado -----</w:t>
      </w:r>
    </w:p>
    <w:p>
      <w:pPr>
        <w:spacing w:line="360" w:lineRule="auto" w:before="133"/>
        <w:ind w:left="662" w:right="3806" w:firstLine="0"/>
        <w:jc w:val="both"/>
        <w:rPr>
          <w:b/>
          <w:sz w:val="20"/>
        </w:rPr>
      </w:pPr>
      <w:r>
        <w:rPr>
          <w:sz w:val="20"/>
        </w:rPr>
        <w:t>De: </w:t>
      </w:r>
      <w:r>
        <w:rPr>
          <w:b/>
          <w:sz w:val="20"/>
        </w:rPr>
        <w:t>Water Science and Technology</w:t>
      </w:r>
      <w:r>
        <w:rPr>
          <w:b/>
          <w:spacing w:val="-17"/>
          <w:sz w:val="20"/>
        </w:rPr>
        <w:t> </w:t>
      </w:r>
      <w:r>
        <w:rPr>
          <w:b/>
          <w:sz w:val="20"/>
        </w:rPr>
        <w:t>&lt;</w:t>
      </w:r>
      <w:hyperlink r:id="rId25">
        <w:r>
          <w:rPr>
            <w:b/>
            <w:sz w:val="20"/>
          </w:rPr>
          <w:t>em@editorialmanager.com</w:t>
        </w:r>
      </w:hyperlink>
      <w:r>
        <w:rPr>
          <w:b/>
          <w:sz w:val="20"/>
        </w:rPr>
        <w:t>&gt; </w:t>
      </w:r>
      <w:r>
        <w:rPr>
          <w:sz w:val="20"/>
        </w:rPr>
        <w:t>Para: </w:t>
      </w:r>
      <w:r>
        <w:rPr>
          <w:b/>
          <w:sz w:val="20"/>
        </w:rPr>
        <w:t>Patricia Balderas-Hernández &lt;</w:t>
      </w:r>
      <w:hyperlink r:id="rId26">
        <w:r>
          <w:rPr>
            <w:b/>
            <w:sz w:val="20"/>
          </w:rPr>
          <w:t>patbh2003@yahoo.com.mx</w:t>
        </w:r>
      </w:hyperlink>
      <w:r>
        <w:rPr>
          <w:b/>
          <w:sz w:val="20"/>
        </w:rPr>
        <w:t>&gt; </w:t>
      </w:r>
      <w:r>
        <w:rPr>
          <w:sz w:val="20"/>
        </w:rPr>
        <w:t>Enviado: </w:t>
      </w:r>
      <w:r>
        <w:rPr>
          <w:b/>
          <w:sz w:val="20"/>
        </w:rPr>
        <w:t>Viernes, 9 de octubre, 2015</w:t>
      </w:r>
      <w:r>
        <w:rPr>
          <w:b/>
          <w:spacing w:val="-17"/>
          <w:sz w:val="20"/>
        </w:rPr>
        <w:t> </w:t>
      </w:r>
      <w:r>
        <w:rPr>
          <w:b/>
          <w:sz w:val="20"/>
        </w:rPr>
        <w:t>14:09:22</w:t>
      </w:r>
    </w:p>
    <w:p>
      <w:pPr>
        <w:spacing w:line="360" w:lineRule="auto" w:before="4"/>
        <w:ind w:left="662" w:right="569" w:firstLine="0"/>
        <w:jc w:val="left"/>
        <w:rPr>
          <w:b/>
          <w:sz w:val="20"/>
        </w:rPr>
      </w:pPr>
      <w:r>
        <w:rPr>
          <w:sz w:val="20"/>
        </w:rPr>
        <w:t>Asunto: </w:t>
      </w:r>
      <w:r>
        <w:rPr>
          <w:b/>
          <w:sz w:val="20"/>
        </w:rPr>
        <w:t>Submission Confirmation for Reagents and Reaction Time Reduction in the Determination of Chemical Oxygen Demand (COD).</w:t>
      </w:r>
    </w:p>
    <w:p>
      <w:pPr>
        <w:pStyle w:val="BodyText"/>
        <w:rPr>
          <w:b/>
          <w:sz w:val="20"/>
        </w:rPr>
      </w:pPr>
    </w:p>
    <w:p>
      <w:pPr>
        <w:pStyle w:val="BodyText"/>
        <w:rPr>
          <w:b/>
          <w:sz w:val="20"/>
        </w:rPr>
      </w:pPr>
    </w:p>
    <w:p>
      <w:pPr>
        <w:pStyle w:val="BodyText"/>
        <w:rPr>
          <w:b/>
          <w:sz w:val="20"/>
        </w:rPr>
      </w:pPr>
    </w:p>
    <w:p>
      <w:pPr>
        <w:pStyle w:val="Heading6"/>
        <w:spacing w:before="145"/>
        <w:ind w:right="286"/>
        <w:jc w:val="left"/>
      </w:pPr>
      <w:r>
        <w:rPr/>
        <w:t>Dear Dr. Balderas-Hernández,</w:t>
      </w:r>
    </w:p>
    <w:p>
      <w:pPr>
        <w:pStyle w:val="BodyText"/>
        <w:rPr>
          <w:b/>
        </w:rPr>
      </w:pPr>
    </w:p>
    <w:p>
      <w:pPr>
        <w:pStyle w:val="BodyText"/>
        <w:rPr>
          <w:b/>
        </w:rPr>
      </w:pPr>
    </w:p>
    <w:p>
      <w:pPr>
        <w:pStyle w:val="BodyText"/>
        <w:spacing w:line="360" w:lineRule="auto"/>
        <w:ind w:left="662" w:right="569"/>
      </w:pPr>
      <w:r>
        <w:rPr/>
        <w:t>Your submission entitled "Reagents and Reaction Time Reduction in the Determination of Chemical Oxygen Demand (COD)." has been received and will now be peer reviewed for possible publication in the journal Water Science and Technology</w:t>
      </w:r>
    </w:p>
    <w:p>
      <w:pPr>
        <w:pStyle w:val="BodyText"/>
      </w:pPr>
    </w:p>
    <w:p>
      <w:pPr>
        <w:pStyle w:val="BodyText"/>
        <w:spacing w:line="360" w:lineRule="auto" w:before="142"/>
        <w:ind w:left="662" w:right="663"/>
      </w:pPr>
      <w:r>
        <w:rPr/>
        <w:t>You will be able to check on the progress of your paper by logging on to Editorial Manager as an author.  The URL is </w:t>
      </w:r>
      <w:hyperlink r:id="rId27">
        <w:r>
          <w:rPr/>
          <w:t>http://wst.edmgr.com/.</w:t>
        </w:r>
      </w:hyperlink>
    </w:p>
    <w:p>
      <w:pPr>
        <w:pStyle w:val="BodyText"/>
      </w:pPr>
    </w:p>
    <w:p>
      <w:pPr>
        <w:pStyle w:val="BodyText"/>
        <w:spacing w:line="720" w:lineRule="auto" w:before="142"/>
        <w:ind w:left="662" w:right="1025"/>
      </w:pPr>
      <w:r>
        <w:rPr/>
        <w:t>You will shortly be notified of the reference number assigned to your submission. Thank you for submitting your work to this journal.</w:t>
      </w:r>
    </w:p>
    <w:p>
      <w:pPr>
        <w:pStyle w:val="BodyText"/>
        <w:spacing w:before="16"/>
        <w:ind w:left="662" w:right="286"/>
      </w:pPr>
      <w:r>
        <w:rPr/>
        <w:t>Kind regards,</w:t>
      </w:r>
    </w:p>
    <w:p>
      <w:pPr>
        <w:pStyle w:val="BodyText"/>
      </w:pPr>
    </w:p>
    <w:p>
      <w:pPr>
        <w:pStyle w:val="BodyText"/>
      </w:pPr>
    </w:p>
    <w:p>
      <w:pPr>
        <w:pStyle w:val="Heading6"/>
        <w:ind w:right="286"/>
        <w:jc w:val="left"/>
      </w:pPr>
      <w:r>
        <w:rPr/>
        <w:t>Michelle Herbert</w:t>
      </w:r>
    </w:p>
    <w:p>
      <w:pPr>
        <w:spacing w:line="360" w:lineRule="auto" w:before="137"/>
        <w:ind w:left="662" w:right="6410" w:firstLine="0"/>
        <w:jc w:val="left"/>
        <w:rPr>
          <w:b/>
          <w:sz w:val="24"/>
        </w:rPr>
      </w:pPr>
      <w:r>
        <w:rPr>
          <w:b/>
          <w:sz w:val="24"/>
        </w:rPr>
        <w:t>Journals Production Assistant Water Science and Technology</w:t>
      </w:r>
    </w:p>
    <w:p>
      <w:pPr>
        <w:spacing w:after="0" w:line="360" w:lineRule="auto"/>
        <w:jc w:val="left"/>
        <w:rPr>
          <w:sz w:val="24"/>
        </w:rPr>
        <w:sectPr>
          <w:footerReference w:type="default" r:id="rId24"/>
          <w:pgSz w:w="12240" w:h="15840"/>
          <w:pgMar w:footer="654" w:header="0" w:top="1100" w:bottom="840" w:left="1040" w:right="560"/>
          <w:pgNumType w:start="58"/>
        </w:sectPr>
      </w:pPr>
    </w:p>
    <w:p>
      <w:pPr>
        <w:pStyle w:val="BodyText"/>
        <w:spacing w:line="360" w:lineRule="auto" w:before="51"/>
        <w:ind w:left="662" w:right="570"/>
        <w:jc w:val="both"/>
      </w:pPr>
      <w:r>
        <w:rPr/>
        <w:t>El artículo titulado Reagents and Reaction Time Reduction in the Determination of Chemical Oxygen Demand (COD), muestra los resultados obtenidos al disminuir la concentración del sulfato de plata además de la aplicación de luz UV para acelerar la reacción.</w:t>
      </w:r>
    </w:p>
    <w:p>
      <w:pPr>
        <w:pStyle w:val="BodyText"/>
        <w:spacing w:before="10"/>
        <w:rPr>
          <w:sz w:val="35"/>
        </w:rPr>
      </w:pPr>
    </w:p>
    <w:p>
      <w:pPr>
        <w:spacing w:before="0"/>
        <w:ind w:left="1558" w:right="1475" w:firstLine="0"/>
        <w:jc w:val="center"/>
        <w:rPr>
          <w:b/>
          <w:sz w:val="32"/>
        </w:rPr>
      </w:pPr>
      <w:r>
        <w:rPr>
          <w:b/>
          <w:sz w:val="32"/>
        </w:rPr>
        <w:t>Reagents and Reaction Time Reduction</w:t>
      </w:r>
    </w:p>
    <w:p>
      <w:pPr>
        <w:spacing w:before="184"/>
        <w:ind w:left="674" w:right="593" w:firstLine="0"/>
        <w:jc w:val="center"/>
        <w:rPr>
          <w:b/>
          <w:sz w:val="32"/>
        </w:rPr>
      </w:pPr>
      <w:r>
        <w:rPr>
          <w:b/>
          <w:sz w:val="32"/>
        </w:rPr>
        <w:t>in the Determination of Chemical Oxygen Demand (COD).</w:t>
      </w:r>
    </w:p>
    <w:p>
      <w:pPr>
        <w:pStyle w:val="BodyText"/>
        <w:rPr>
          <w:b/>
          <w:sz w:val="32"/>
        </w:rPr>
      </w:pPr>
    </w:p>
    <w:p>
      <w:pPr>
        <w:pStyle w:val="BodyText"/>
        <w:spacing w:line="357" w:lineRule="auto" w:before="229"/>
        <w:ind w:left="677" w:right="585"/>
        <w:jc w:val="center"/>
        <w:rPr>
          <w:sz w:val="16"/>
        </w:rPr>
      </w:pPr>
      <w:r>
        <w:rPr/>
        <w:t>Patricia Carbajal-Palacios,</w:t>
      </w:r>
      <w:r>
        <w:rPr>
          <w:position w:val="8"/>
          <w:sz w:val="16"/>
        </w:rPr>
        <w:t>1 </w:t>
      </w:r>
      <w:r>
        <w:rPr/>
        <w:t>Patricia Balderas-Hernández,</w:t>
      </w:r>
      <w:r>
        <w:rPr>
          <w:position w:val="8"/>
          <w:sz w:val="16"/>
        </w:rPr>
        <w:t>1,* </w:t>
      </w:r>
      <w:r>
        <w:rPr/>
        <w:t>Gabriela Roa-Morales,</w:t>
      </w:r>
      <w:r>
        <w:rPr>
          <w:position w:val="8"/>
          <w:sz w:val="16"/>
        </w:rPr>
        <w:t>1 </w:t>
      </w:r>
      <w:r>
        <w:rPr/>
        <w:t>Jorge G. Ibanez.</w:t>
      </w:r>
      <w:r>
        <w:rPr>
          <w:position w:val="8"/>
          <w:sz w:val="16"/>
        </w:rPr>
        <w:t>2</w:t>
      </w:r>
    </w:p>
    <w:p>
      <w:pPr>
        <w:pStyle w:val="BodyText"/>
        <w:spacing w:before="2"/>
        <w:rPr>
          <w:sz w:val="36"/>
        </w:rPr>
      </w:pPr>
    </w:p>
    <w:p>
      <w:pPr>
        <w:pStyle w:val="BodyText"/>
        <w:spacing w:line="360" w:lineRule="auto" w:before="1"/>
        <w:ind w:left="772" w:right="686" w:firstLine="3"/>
        <w:jc w:val="center"/>
      </w:pPr>
      <w:r>
        <w:rPr/>
        <w:t>Centro Conjunto de Investigación en Química Sustentable Uaemex-UNAM, Carretera Toluca-Atlacomulco Km 14.5, 50200 Toluca, México. 2. Mexican Center for Green and Microscale Chemistry, Dept. of Eng. and Chemical Sciences, Universidad Iberoamericana. Prol. Reforma 880, 01219 México, D.F. México.</w:t>
      </w:r>
    </w:p>
    <w:p>
      <w:pPr>
        <w:pStyle w:val="BodyText"/>
      </w:pPr>
    </w:p>
    <w:p>
      <w:pPr>
        <w:pStyle w:val="BodyText"/>
        <w:spacing w:line="362" w:lineRule="auto" w:before="142"/>
        <w:ind w:left="2850" w:right="2371" w:hanging="795"/>
      </w:pPr>
      <w:r>
        <w:rPr/>
        <w:t>*Corresponding author email: patbh2003@yahoo.com.mx</w:t>
      </w:r>
      <w:r>
        <w:rPr>
          <w:color w:val="0000FF"/>
        </w:rPr>
        <w:t>; </w:t>
      </w:r>
      <w:r>
        <w:rPr/>
        <w:t>Tel: +52(55)5950 4168, +52(55)5950 4074.</w:t>
      </w:r>
    </w:p>
    <w:p>
      <w:pPr>
        <w:pStyle w:val="BodyText"/>
      </w:pPr>
    </w:p>
    <w:p>
      <w:pPr>
        <w:pStyle w:val="Heading6"/>
        <w:spacing w:before="139"/>
      </w:pPr>
      <w:r>
        <w:rPr/>
        <w:t>SUMMARY</w:t>
      </w:r>
    </w:p>
    <w:p>
      <w:pPr>
        <w:pStyle w:val="BodyText"/>
        <w:spacing w:line="360" w:lineRule="auto" w:before="137"/>
        <w:ind w:left="662" w:right="567"/>
        <w:jc w:val="both"/>
      </w:pPr>
      <w:r>
        <w:rPr/>
        <w:t>The</w:t>
      </w:r>
      <w:r>
        <w:rPr>
          <w:spacing w:val="-12"/>
        </w:rPr>
        <w:t> </w:t>
      </w:r>
      <w:r>
        <w:rPr/>
        <w:t>assesment</w:t>
      </w:r>
      <w:r>
        <w:rPr>
          <w:spacing w:val="-14"/>
        </w:rPr>
        <w:t> </w:t>
      </w:r>
      <w:r>
        <w:rPr/>
        <w:t>of</w:t>
      </w:r>
      <w:r>
        <w:rPr>
          <w:spacing w:val="-12"/>
        </w:rPr>
        <w:t> </w:t>
      </w:r>
      <w:r>
        <w:rPr/>
        <w:t>water</w:t>
      </w:r>
      <w:r>
        <w:rPr>
          <w:spacing w:val="-13"/>
        </w:rPr>
        <w:t> </w:t>
      </w:r>
      <w:r>
        <w:rPr/>
        <w:t>quality</w:t>
      </w:r>
      <w:r>
        <w:rPr>
          <w:spacing w:val="-12"/>
        </w:rPr>
        <w:t> </w:t>
      </w:r>
      <w:r>
        <w:rPr/>
        <w:t>typically</w:t>
      </w:r>
      <w:r>
        <w:rPr>
          <w:spacing w:val="-15"/>
        </w:rPr>
        <w:t> </w:t>
      </w:r>
      <w:r>
        <w:rPr/>
        <w:t>involves</w:t>
      </w:r>
      <w:r>
        <w:rPr>
          <w:spacing w:val="-13"/>
        </w:rPr>
        <w:t> </w:t>
      </w:r>
      <w:r>
        <w:rPr/>
        <w:t>the</w:t>
      </w:r>
      <w:r>
        <w:rPr>
          <w:spacing w:val="-12"/>
        </w:rPr>
        <w:t> </w:t>
      </w:r>
      <w:r>
        <w:rPr/>
        <w:t>determination</w:t>
      </w:r>
      <w:r>
        <w:rPr>
          <w:spacing w:val="-14"/>
        </w:rPr>
        <w:t> </w:t>
      </w:r>
      <w:r>
        <w:rPr/>
        <w:t>of</w:t>
      </w:r>
      <w:r>
        <w:rPr>
          <w:spacing w:val="-12"/>
        </w:rPr>
        <w:t> </w:t>
      </w:r>
      <w:r>
        <w:rPr/>
        <w:t>its</w:t>
      </w:r>
      <w:r>
        <w:rPr>
          <w:spacing w:val="-13"/>
        </w:rPr>
        <w:t> </w:t>
      </w:r>
      <w:r>
        <w:rPr/>
        <w:t>chemical</w:t>
      </w:r>
      <w:r>
        <w:rPr>
          <w:spacing w:val="-15"/>
        </w:rPr>
        <w:t> </w:t>
      </w:r>
      <w:r>
        <w:rPr/>
        <w:t>oxygen demand (COD). This method is performed in an acidic medium, using potassium dichromate</w:t>
      </w:r>
      <w:r>
        <w:rPr>
          <w:spacing w:val="-6"/>
        </w:rPr>
        <w:t> </w:t>
      </w:r>
      <w:r>
        <w:rPr/>
        <w:t>as</w:t>
      </w:r>
      <w:r>
        <w:rPr>
          <w:spacing w:val="-4"/>
        </w:rPr>
        <w:t> </w:t>
      </w:r>
      <w:r>
        <w:rPr/>
        <w:t>oxidizing</w:t>
      </w:r>
      <w:r>
        <w:rPr>
          <w:spacing w:val="-6"/>
        </w:rPr>
        <w:t> </w:t>
      </w:r>
      <w:r>
        <w:rPr/>
        <w:t>agent,</w:t>
      </w:r>
      <w:r>
        <w:rPr>
          <w:spacing w:val="-4"/>
        </w:rPr>
        <w:t> </w:t>
      </w:r>
      <w:r>
        <w:rPr/>
        <w:t>mercury(II)</w:t>
      </w:r>
      <w:r>
        <w:rPr>
          <w:spacing w:val="-5"/>
        </w:rPr>
        <w:t> </w:t>
      </w:r>
      <w:r>
        <w:rPr/>
        <w:t>sulfate</w:t>
      </w:r>
      <w:r>
        <w:rPr>
          <w:spacing w:val="-3"/>
        </w:rPr>
        <w:t> </w:t>
      </w:r>
      <w:r>
        <w:rPr/>
        <w:t>as</w:t>
      </w:r>
      <w:r>
        <w:rPr>
          <w:spacing w:val="-7"/>
        </w:rPr>
        <w:t> </w:t>
      </w:r>
      <w:r>
        <w:rPr/>
        <w:t>halide</w:t>
      </w:r>
      <w:r>
        <w:rPr>
          <w:spacing w:val="-4"/>
        </w:rPr>
        <w:t> </w:t>
      </w:r>
      <w:r>
        <w:rPr/>
        <w:t>inhibitor,</w:t>
      </w:r>
      <w:r>
        <w:rPr>
          <w:spacing w:val="-7"/>
        </w:rPr>
        <w:t> </w:t>
      </w:r>
      <w:r>
        <w:rPr/>
        <w:t>and</w:t>
      </w:r>
      <w:r>
        <w:rPr>
          <w:spacing w:val="-4"/>
        </w:rPr>
        <w:t> </w:t>
      </w:r>
      <w:r>
        <w:rPr/>
        <w:t>silver</w:t>
      </w:r>
      <w:r>
        <w:rPr>
          <w:spacing w:val="-5"/>
        </w:rPr>
        <w:t> </w:t>
      </w:r>
      <w:r>
        <w:rPr/>
        <w:t>sulfate</w:t>
      </w:r>
      <w:r>
        <w:rPr>
          <w:spacing w:val="-5"/>
        </w:rPr>
        <w:t> </w:t>
      </w:r>
      <w:r>
        <w:rPr/>
        <w:t>as catalyst. Samples are digested for two hours, and the resulting absorbances are read in a spectrophotometer. Unfortunately the required reagents used are harmful and the </w:t>
      </w:r>
      <w:r>
        <w:rPr>
          <w:position w:val="1"/>
        </w:rPr>
        <w:t>reaction times are rather long. </w:t>
      </w:r>
      <w:r>
        <w:rPr>
          <w:spacing w:val="4"/>
          <w:position w:val="1"/>
        </w:rPr>
        <w:t>We </w:t>
      </w:r>
      <w:r>
        <w:rPr>
          <w:position w:val="1"/>
        </w:rPr>
        <w:t>have reported earlier the sucessful use of H</w:t>
      </w:r>
      <w:r>
        <w:rPr>
          <w:sz w:val="16"/>
        </w:rPr>
        <w:t>2</w:t>
      </w:r>
      <w:r>
        <w:rPr>
          <w:position w:val="1"/>
        </w:rPr>
        <w:t>O</w:t>
      </w:r>
      <w:r>
        <w:rPr>
          <w:sz w:val="16"/>
        </w:rPr>
        <w:t>2 </w:t>
      </w:r>
      <w:r>
        <w:rPr>
          <w:position w:val="1"/>
        </w:rPr>
        <w:t>as an </w:t>
      </w:r>
      <w:r>
        <w:rPr/>
        <w:t>alternative, environmentally friendlier oxidizing agent. In the present work a protocol has been</w:t>
      </w:r>
      <w:r>
        <w:rPr>
          <w:spacing w:val="-17"/>
        </w:rPr>
        <w:t> </w:t>
      </w:r>
      <w:r>
        <w:rPr/>
        <w:t>devised</w:t>
      </w:r>
      <w:r>
        <w:rPr>
          <w:spacing w:val="-16"/>
        </w:rPr>
        <w:t> </w:t>
      </w:r>
      <w:r>
        <w:rPr/>
        <w:t>and</w:t>
      </w:r>
      <w:r>
        <w:rPr>
          <w:spacing w:val="-19"/>
        </w:rPr>
        <w:t> </w:t>
      </w:r>
      <w:r>
        <w:rPr/>
        <w:t>tested</w:t>
      </w:r>
      <w:r>
        <w:rPr>
          <w:spacing w:val="-17"/>
        </w:rPr>
        <w:t> </w:t>
      </w:r>
      <w:r>
        <w:rPr/>
        <w:t>to</w:t>
      </w:r>
      <w:r>
        <w:rPr>
          <w:spacing w:val="-17"/>
        </w:rPr>
        <w:t> </w:t>
      </w:r>
      <w:r>
        <w:rPr/>
        <w:t>halve</w:t>
      </w:r>
      <w:r>
        <w:rPr>
          <w:spacing w:val="-17"/>
        </w:rPr>
        <w:t> </w:t>
      </w:r>
      <w:r>
        <w:rPr/>
        <w:t>the</w:t>
      </w:r>
      <w:r>
        <w:rPr>
          <w:spacing w:val="-19"/>
        </w:rPr>
        <w:t> </w:t>
      </w:r>
      <w:r>
        <w:rPr/>
        <w:t>amount</w:t>
      </w:r>
      <w:r>
        <w:rPr>
          <w:spacing w:val="-19"/>
        </w:rPr>
        <w:t> </w:t>
      </w:r>
      <w:r>
        <w:rPr/>
        <w:t>of</w:t>
      </w:r>
      <w:r>
        <w:rPr>
          <w:spacing w:val="-17"/>
        </w:rPr>
        <w:t> </w:t>
      </w:r>
      <w:r>
        <w:rPr/>
        <w:t>silver</w:t>
      </w:r>
      <w:r>
        <w:rPr>
          <w:spacing w:val="-18"/>
        </w:rPr>
        <w:t> </w:t>
      </w:r>
      <w:r>
        <w:rPr/>
        <w:t>sulfate</w:t>
      </w:r>
      <w:r>
        <w:rPr>
          <w:spacing w:val="-18"/>
        </w:rPr>
        <w:t> </w:t>
      </w:r>
      <w:r>
        <w:rPr/>
        <w:t>required,</w:t>
      </w:r>
      <w:r>
        <w:rPr>
          <w:spacing w:val="-19"/>
        </w:rPr>
        <w:t> </w:t>
      </w:r>
      <w:r>
        <w:rPr/>
        <w:t>and</w:t>
      </w:r>
      <w:r>
        <w:rPr>
          <w:spacing w:val="-17"/>
        </w:rPr>
        <w:t> </w:t>
      </w:r>
      <w:r>
        <w:rPr/>
        <w:t>with</w:t>
      </w:r>
      <w:r>
        <w:rPr>
          <w:spacing w:val="-17"/>
        </w:rPr>
        <w:t> </w:t>
      </w:r>
      <w:r>
        <w:rPr/>
        <w:t>a</w:t>
      </w:r>
      <w:r>
        <w:rPr>
          <w:spacing w:val="-19"/>
        </w:rPr>
        <w:t> </w:t>
      </w:r>
      <w:r>
        <w:rPr/>
        <w:t>judicious use of UV light this greatly reduces the reaction time thus yielding a faster and more environmentally sound</w:t>
      </w:r>
      <w:r>
        <w:rPr>
          <w:spacing w:val="-14"/>
        </w:rPr>
        <w:t> </w:t>
      </w:r>
      <w:r>
        <w:rPr/>
        <w:t>technique.</w:t>
      </w:r>
    </w:p>
    <w:p>
      <w:pPr>
        <w:pStyle w:val="BodyText"/>
      </w:pPr>
    </w:p>
    <w:p>
      <w:pPr>
        <w:pStyle w:val="BodyText"/>
        <w:spacing w:before="142"/>
        <w:ind w:left="662"/>
        <w:jc w:val="both"/>
      </w:pPr>
      <w:r>
        <w:rPr/>
        <w:t>Keywords: COD, Hydrogen Peroxide, UV light, Silver Sulfate.</w:t>
      </w:r>
    </w:p>
    <w:p>
      <w:pPr>
        <w:spacing w:after="0"/>
        <w:jc w:val="both"/>
        <w:sectPr>
          <w:pgSz w:w="12240" w:h="15840"/>
          <w:pgMar w:header="0" w:footer="654" w:top="1080" w:bottom="1060" w:left="1040" w:right="560"/>
        </w:sectPr>
      </w:pPr>
    </w:p>
    <w:p>
      <w:pPr>
        <w:spacing w:before="49"/>
        <w:ind w:left="662" w:right="0" w:firstLine="0"/>
        <w:jc w:val="both"/>
        <w:rPr>
          <w:b/>
          <w:sz w:val="28"/>
        </w:rPr>
      </w:pPr>
      <w:r>
        <w:rPr>
          <w:b/>
          <w:sz w:val="28"/>
        </w:rPr>
        <w:t>INTRODUCTION</w:t>
      </w:r>
    </w:p>
    <w:p>
      <w:pPr>
        <w:pStyle w:val="BodyText"/>
        <w:rPr>
          <w:b/>
          <w:sz w:val="28"/>
        </w:rPr>
      </w:pPr>
    </w:p>
    <w:p>
      <w:pPr>
        <w:pStyle w:val="BodyText"/>
        <w:spacing w:before="2"/>
        <w:rPr>
          <w:b/>
          <w:sz w:val="22"/>
        </w:rPr>
      </w:pPr>
    </w:p>
    <w:p>
      <w:pPr>
        <w:pStyle w:val="BodyText"/>
        <w:spacing w:line="360" w:lineRule="auto"/>
        <w:ind w:left="662" w:right="569"/>
        <w:jc w:val="both"/>
      </w:pPr>
      <w:r>
        <w:rPr/>
        <w:t>Despite the undeniable economic importance of key industries, the concomitant effluent production</w:t>
      </w:r>
      <w:r>
        <w:rPr>
          <w:spacing w:val="-14"/>
        </w:rPr>
        <w:t> </w:t>
      </w:r>
      <w:r>
        <w:rPr/>
        <w:t>often</w:t>
      </w:r>
      <w:r>
        <w:rPr>
          <w:spacing w:val="-13"/>
        </w:rPr>
        <w:t> </w:t>
      </w:r>
      <w:r>
        <w:rPr/>
        <w:t>increases</w:t>
      </w:r>
      <w:r>
        <w:rPr>
          <w:spacing w:val="-13"/>
        </w:rPr>
        <w:t> </w:t>
      </w:r>
      <w:r>
        <w:rPr/>
        <w:t>the</w:t>
      </w:r>
      <w:r>
        <w:rPr>
          <w:spacing w:val="-14"/>
        </w:rPr>
        <w:t> </w:t>
      </w:r>
      <w:r>
        <w:rPr/>
        <w:t>amount</w:t>
      </w:r>
      <w:r>
        <w:rPr>
          <w:spacing w:val="-13"/>
        </w:rPr>
        <w:t> </w:t>
      </w:r>
      <w:r>
        <w:rPr/>
        <w:t>of</w:t>
      </w:r>
      <w:r>
        <w:rPr>
          <w:spacing w:val="-13"/>
        </w:rPr>
        <w:t> </w:t>
      </w:r>
      <w:r>
        <w:rPr/>
        <w:t>toxic</w:t>
      </w:r>
      <w:r>
        <w:rPr>
          <w:spacing w:val="-12"/>
        </w:rPr>
        <w:t> </w:t>
      </w:r>
      <w:r>
        <w:rPr/>
        <w:t>substances</w:t>
      </w:r>
      <w:r>
        <w:rPr>
          <w:spacing w:val="-13"/>
        </w:rPr>
        <w:t> </w:t>
      </w:r>
      <w:r>
        <w:rPr/>
        <w:t>released</w:t>
      </w:r>
      <w:r>
        <w:rPr>
          <w:spacing w:val="-9"/>
        </w:rPr>
        <w:t> </w:t>
      </w:r>
      <w:r>
        <w:rPr/>
        <w:t>into</w:t>
      </w:r>
      <w:r>
        <w:rPr>
          <w:spacing w:val="-13"/>
        </w:rPr>
        <w:t> </w:t>
      </w:r>
      <w:r>
        <w:rPr/>
        <w:t>water</w:t>
      </w:r>
      <w:r>
        <w:rPr>
          <w:spacing w:val="-16"/>
        </w:rPr>
        <w:t> </w:t>
      </w:r>
      <w:r>
        <w:rPr/>
        <w:t>bodies</w:t>
      </w:r>
      <w:r>
        <w:rPr>
          <w:spacing w:val="-13"/>
        </w:rPr>
        <w:t> </w:t>
      </w:r>
      <w:r>
        <w:rPr/>
        <w:t>that affects aquatic ecosystems [Ledakowics et al. 2001; Kusic et al. 2006]. Some industrial effluents</w:t>
      </w:r>
      <w:r>
        <w:rPr>
          <w:spacing w:val="-9"/>
        </w:rPr>
        <w:t> </w:t>
      </w:r>
      <w:r>
        <w:rPr/>
        <w:t>are</w:t>
      </w:r>
      <w:r>
        <w:rPr>
          <w:spacing w:val="-9"/>
        </w:rPr>
        <w:t> </w:t>
      </w:r>
      <w:r>
        <w:rPr/>
        <w:t>rich</w:t>
      </w:r>
      <w:r>
        <w:rPr>
          <w:spacing w:val="-8"/>
        </w:rPr>
        <w:t> </w:t>
      </w:r>
      <w:r>
        <w:rPr/>
        <w:t>in</w:t>
      </w:r>
      <w:r>
        <w:rPr>
          <w:spacing w:val="-9"/>
        </w:rPr>
        <w:t> </w:t>
      </w:r>
      <w:r>
        <w:rPr/>
        <w:t>dissolved</w:t>
      </w:r>
      <w:r>
        <w:rPr>
          <w:spacing w:val="-8"/>
        </w:rPr>
        <w:t> </w:t>
      </w:r>
      <w:r>
        <w:rPr/>
        <w:t>organic</w:t>
      </w:r>
      <w:r>
        <w:rPr>
          <w:spacing w:val="-10"/>
        </w:rPr>
        <w:t> </w:t>
      </w:r>
      <w:r>
        <w:rPr/>
        <w:t>matter,</w:t>
      </w:r>
      <w:r>
        <w:rPr>
          <w:spacing w:val="-12"/>
        </w:rPr>
        <w:t> </w:t>
      </w:r>
      <w:r>
        <w:rPr/>
        <w:t>a</w:t>
      </w:r>
      <w:r>
        <w:rPr>
          <w:spacing w:val="-8"/>
        </w:rPr>
        <w:t> </w:t>
      </w:r>
      <w:r>
        <w:rPr/>
        <w:t>fraction</w:t>
      </w:r>
      <w:r>
        <w:rPr>
          <w:spacing w:val="-8"/>
        </w:rPr>
        <w:t> </w:t>
      </w:r>
      <w:r>
        <w:rPr/>
        <w:t>of</w:t>
      </w:r>
      <w:r>
        <w:rPr>
          <w:spacing w:val="-7"/>
        </w:rPr>
        <w:t> </w:t>
      </w:r>
      <w:r>
        <w:rPr/>
        <w:t>which</w:t>
      </w:r>
      <w:r>
        <w:rPr>
          <w:spacing w:val="-9"/>
        </w:rPr>
        <w:t> </w:t>
      </w:r>
      <w:r>
        <w:rPr/>
        <w:t>is</w:t>
      </w:r>
      <w:r>
        <w:rPr>
          <w:spacing w:val="-10"/>
        </w:rPr>
        <w:t> </w:t>
      </w:r>
      <w:r>
        <w:rPr/>
        <w:t>difficult</w:t>
      </w:r>
      <w:r>
        <w:rPr>
          <w:spacing w:val="-9"/>
        </w:rPr>
        <w:t> </w:t>
      </w:r>
      <w:r>
        <w:rPr/>
        <w:t>to</w:t>
      </w:r>
      <w:r>
        <w:rPr>
          <w:spacing w:val="-8"/>
        </w:rPr>
        <w:t> </w:t>
      </w:r>
      <w:r>
        <w:rPr/>
        <w:t>degrade</w:t>
      </w:r>
      <w:r>
        <w:rPr>
          <w:spacing w:val="-8"/>
        </w:rPr>
        <w:t> </w:t>
      </w:r>
      <w:r>
        <w:rPr/>
        <w:t>and remains after biological treatment [Quintero and Cardona</w:t>
      </w:r>
      <w:r>
        <w:rPr>
          <w:spacing w:val="-17"/>
        </w:rPr>
        <w:t> </w:t>
      </w:r>
      <w:r>
        <w:rPr/>
        <w:t>2010].</w:t>
      </w:r>
    </w:p>
    <w:p>
      <w:pPr>
        <w:pStyle w:val="BodyText"/>
      </w:pPr>
    </w:p>
    <w:p>
      <w:pPr>
        <w:pStyle w:val="BodyText"/>
        <w:spacing w:line="360" w:lineRule="auto" w:before="142"/>
        <w:ind w:left="662" w:right="569"/>
        <w:jc w:val="both"/>
      </w:pPr>
      <w:r>
        <w:rPr/>
        <w:t>Among</w:t>
      </w:r>
      <w:r>
        <w:rPr>
          <w:spacing w:val="-9"/>
        </w:rPr>
        <w:t> </w:t>
      </w:r>
      <w:r>
        <w:rPr/>
        <w:t>the</w:t>
      </w:r>
      <w:r>
        <w:rPr>
          <w:spacing w:val="-9"/>
        </w:rPr>
        <w:t> </w:t>
      </w:r>
      <w:r>
        <w:rPr/>
        <w:t>different</w:t>
      </w:r>
      <w:r>
        <w:rPr>
          <w:spacing w:val="-10"/>
        </w:rPr>
        <w:t> </w:t>
      </w:r>
      <w:r>
        <w:rPr/>
        <w:t>techniques</w:t>
      </w:r>
      <w:r>
        <w:rPr>
          <w:spacing w:val="-8"/>
        </w:rPr>
        <w:t> </w:t>
      </w:r>
      <w:r>
        <w:rPr/>
        <w:t>that</w:t>
      </w:r>
      <w:r>
        <w:rPr>
          <w:spacing w:val="-10"/>
        </w:rPr>
        <w:t> </w:t>
      </w:r>
      <w:r>
        <w:rPr/>
        <w:t>measure</w:t>
      </w:r>
      <w:r>
        <w:rPr>
          <w:spacing w:val="-10"/>
        </w:rPr>
        <w:t> </w:t>
      </w:r>
      <w:r>
        <w:rPr/>
        <w:t>water</w:t>
      </w:r>
      <w:r>
        <w:rPr>
          <w:spacing w:val="-8"/>
        </w:rPr>
        <w:t> </w:t>
      </w:r>
      <w:r>
        <w:rPr/>
        <w:t>quality,</w:t>
      </w:r>
      <w:r>
        <w:rPr>
          <w:spacing w:val="-7"/>
        </w:rPr>
        <w:t> </w:t>
      </w:r>
      <w:r>
        <w:rPr/>
        <w:t>the</w:t>
      </w:r>
      <w:r>
        <w:rPr>
          <w:spacing w:val="-7"/>
        </w:rPr>
        <w:t> </w:t>
      </w:r>
      <w:r>
        <w:rPr/>
        <w:t>chemical</w:t>
      </w:r>
      <w:r>
        <w:rPr>
          <w:spacing w:val="-8"/>
        </w:rPr>
        <w:t> </w:t>
      </w:r>
      <w:r>
        <w:rPr/>
        <w:t>oxygen</w:t>
      </w:r>
      <w:r>
        <w:rPr>
          <w:spacing w:val="-7"/>
        </w:rPr>
        <w:t> </w:t>
      </w:r>
      <w:r>
        <w:rPr/>
        <w:t>demand (COD)</w:t>
      </w:r>
      <w:r>
        <w:rPr>
          <w:spacing w:val="-10"/>
        </w:rPr>
        <w:t> </w:t>
      </w:r>
      <w:r>
        <w:rPr/>
        <w:t>is</w:t>
      </w:r>
      <w:r>
        <w:rPr>
          <w:spacing w:val="-10"/>
        </w:rPr>
        <w:t> </w:t>
      </w:r>
      <w:r>
        <w:rPr/>
        <w:t>prominent</w:t>
      </w:r>
      <w:r>
        <w:rPr>
          <w:spacing w:val="-9"/>
        </w:rPr>
        <w:t> </w:t>
      </w:r>
      <w:r>
        <w:rPr/>
        <w:t>as</w:t>
      </w:r>
      <w:r>
        <w:rPr>
          <w:spacing w:val="-12"/>
        </w:rPr>
        <w:t> </w:t>
      </w:r>
      <w:r>
        <w:rPr/>
        <w:t>a</w:t>
      </w:r>
      <w:r>
        <w:rPr>
          <w:spacing w:val="-8"/>
        </w:rPr>
        <w:t> </w:t>
      </w:r>
      <w:r>
        <w:rPr/>
        <w:t>measure</w:t>
      </w:r>
      <w:r>
        <w:rPr>
          <w:spacing w:val="-11"/>
        </w:rPr>
        <w:t> </w:t>
      </w:r>
      <w:r>
        <w:rPr/>
        <w:t>of</w:t>
      </w:r>
      <w:r>
        <w:rPr>
          <w:spacing w:val="-9"/>
        </w:rPr>
        <w:t> </w:t>
      </w:r>
      <w:r>
        <w:rPr/>
        <w:t>the</w:t>
      </w:r>
      <w:r>
        <w:rPr>
          <w:spacing w:val="-11"/>
        </w:rPr>
        <w:t> </w:t>
      </w:r>
      <w:r>
        <w:rPr/>
        <w:t>amount</w:t>
      </w:r>
      <w:r>
        <w:rPr>
          <w:spacing w:val="-9"/>
        </w:rPr>
        <w:t> </w:t>
      </w:r>
      <w:r>
        <w:rPr/>
        <w:t>of</w:t>
      </w:r>
      <w:r>
        <w:rPr>
          <w:spacing w:val="-9"/>
        </w:rPr>
        <w:t> </w:t>
      </w:r>
      <w:r>
        <w:rPr/>
        <w:t>oxygen</w:t>
      </w:r>
      <w:r>
        <w:rPr>
          <w:spacing w:val="-8"/>
        </w:rPr>
        <w:t> </w:t>
      </w:r>
      <w:r>
        <w:rPr/>
        <w:t>required</w:t>
      </w:r>
      <w:r>
        <w:rPr>
          <w:spacing w:val="-8"/>
        </w:rPr>
        <w:t> </w:t>
      </w:r>
      <w:r>
        <w:rPr/>
        <w:t>to</w:t>
      </w:r>
      <w:r>
        <w:rPr>
          <w:spacing w:val="-8"/>
        </w:rPr>
        <w:t> </w:t>
      </w:r>
      <w:r>
        <w:rPr/>
        <w:t>oxidize</w:t>
      </w:r>
      <w:r>
        <w:rPr>
          <w:spacing w:val="-8"/>
        </w:rPr>
        <w:t> </w:t>
      </w:r>
      <w:r>
        <w:rPr/>
        <w:t>the</w:t>
      </w:r>
      <w:r>
        <w:rPr>
          <w:spacing w:val="-8"/>
        </w:rPr>
        <w:t> </w:t>
      </w:r>
      <w:r>
        <w:rPr/>
        <w:t>organic matter present [Domini et al 2009; Zhang et al. 2009]. The standardized method involves </w:t>
      </w:r>
      <w:r>
        <w:rPr>
          <w:position w:val="1"/>
        </w:rPr>
        <w:t>the use of K</w:t>
      </w:r>
      <w:r>
        <w:rPr>
          <w:sz w:val="16"/>
        </w:rPr>
        <w:t>2</w:t>
      </w:r>
      <w:r>
        <w:rPr>
          <w:position w:val="1"/>
        </w:rPr>
        <w:t>Cr</w:t>
      </w:r>
      <w:r>
        <w:rPr>
          <w:sz w:val="16"/>
        </w:rPr>
        <w:t>2</w:t>
      </w:r>
      <w:r>
        <w:rPr>
          <w:position w:val="1"/>
        </w:rPr>
        <w:t>O</w:t>
      </w:r>
      <w:r>
        <w:rPr>
          <w:sz w:val="16"/>
        </w:rPr>
        <w:t>7 </w:t>
      </w:r>
      <w:r>
        <w:rPr>
          <w:position w:val="1"/>
        </w:rPr>
        <w:t>(E</w:t>
      </w:r>
      <w:r>
        <w:rPr>
          <w:position w:val="9"/>
          <w:sz w:val="16"/>
        </w:rPr>
        <w:t>0 </w:t>
      </w:r>
      <w:r>
        <w:rPr>
          <w:position w:val="1"/>
        </w:rPr>
        <w:t>= 1.36 V) in the presence of a catalyst (Ag</w:t>
      </w:r>
      <w:r>
        <w:rPr>
          <w:sz w:val="16"/>
        </w:rPr>
        <w:t>2</w:t>
      </w:r>
      <w:r>
        <w:rPr>
          <w:position w:val="1"/>
        </w:rPr>
        <w:t>SO</w:t>
      </w:r>
      <w:r>
        <w:rPr>
          <w:sz w:val="16"/>
        </w:rPr>
        <w:t>4</w:t>
      </w:r>
      <w:r>
        <w:rPr>
          <w:position w:val="1"/>
        </w:rPr>
        <w:t>) for the oxidation of organic compounds under acidic conditions (H</w:t>
      </w:r>
      <w:r>
        <w:rPr>
          <w:sz w:val="16"/>
        </w:rPr>
        <w:t>2</w:t>
      </w:r>
      <w:r>
        <w:rPr>
          <w:position w:val="1"/>
        </w:rPr>
        <w:t>SO</w:t>
      </w:r>
      <w:r>
        <w:rPr>
          <w:sz w:val="16"/>
        </w:rPr>
        <w:t>4</w:t>
      </w:r>
      <w:r>
        <w:rPr>
          <w:position w:val="1"/>
        </w:rPr>
        <w:t>). Certain inorganic substances </w:t>
      </w:r>
      <w:r>
        <w:rPr/>
        <w:t>present in the environment interfere since they are also susceptible to oxidation, thus </w:t>
      </w:r>
      <w:r>
        <w:rPr>
          <w:position w:val="1"/>
        </w:rPr>
        <w:t>elevating the COD results. To prevent this, HgSO</w:t>
      </w:r>
      <w:r>
        <w:rPr>
          <w:sz w:val="16"/>
        </w:rPr>
        <w:t>4 </w:t>
      </w:r>
      <w:r>
        <w:rPr>
          <w:position w:val="1"/>
        </w:rPr>
        <w:t>is added as halide and pseudohalide </w:t>
      </w:r>
      <w:r>
        <w:rPr/>
        <w:t>inhibitor (e.g., chloride, iodide, sulfur, sulfites, etc.) [Ai et al. 2004; Chen et al. 2005; Zhu et al. 2006]. The procedure involves the addition of a known amount of oxidizer to the sample; the resulting mixture is then subjected to heat treatment in a digester for two hours at 150 </w:t>
      </w:r>
      <w:r>
        <w:rPr>
          <w:position w:val="8"/>
          <w:sz w:val="16"/>
        </w:rPr>
        <w:t>o</w:t>
      </w:r>
      <w:r>
        <w:rPr/>
        <w:t>C [Sousa et al. 2007; Su et al. 2007; Yao et al. 2009; Berenguer,</w:t>
      </w:r>
      <w:r>
        <w:rPr>
          <w:spacing w:val="-38"/>
        </w:rPr>
        <w:t> </w:t>
      </w:r>
      <w:r>
        <w:rPr/>
        <w:t>2015].</w:t>
      </w:r>
    </w:p>
    <w:p>
      <w:pPr>
        <w:pStyle w:val="BodyText"/>
        <w:rPr>
          <w:sz w:val="36"/>
        </w:rPr>
      </w:pPr>
    </w:p>
    <w:p>
      <w:pPr>
        <w:pStyle w:val="BodyText"/>
        <w:spacing w:line="360" w:lineRule="auto"/>
        <w:ind w:left="662" w:right="572"/>
        <w:jc w:val="both"/>
      </w:pPr>
      <w:r>
        <w:rPr/>
        <w:t>Alternative methods have been developed, although many pose their own challenges (including</w:t>
      </w:r>
      <w:r>
        <w:rPr>
          <w:spacing w:val="-10"/>
        </w:rPr>
        <w:t> </w:t>
      </w:r>
      <w:r>
        <w:rPr/>
        <w:t>higher</w:t>
      </w:r>
      <w:r>
        <w:rPr>
          <w:spacing w:val="-10"/>
        </w:rPr>
        <w:t> </w:t>
      </w:r>
      <w:r>
        <w:rPr/>
        <w:t>costs)</w:t>
      </w:r>
      <w:r>
        <w:rPr>
          <w:spacing w:val="-9"/>
        </w:rPr>
        <w:t> </w:t>
      </w:r>
      <w:r>
        <w:rPr/>
        <w:t>[Raposo</w:t>
      </w:r>
      <w:r>
        <w:rPr>
          <w:spacing w:val="-9"/>
        </w:rPr>
        <w:t> </w:t>
      </w:r>
      <w:r>
        <w:rPr/>
        <w:t>et</w:t>
      </w:r>
      <w:r>
        <w:rPr>
          <w:spacing w:val="-9"/>
        </w:rPr>
        <w:t> </w:t>
      </w:r>
      <w:r>
        <w:rPr/>
        <w:t>al.</w:t>
      </w:r>
      <w:r>
        <w:rPr>
          <w:spacing w:val="-12"/>
        </w:rPr>
        <w:t> </w:t>
      </w:r>
      <w:r>
        <w:rPr/>
        <w:t>2008;</w:t>
      </w:r>
      <w:r>
        <w:rPr>
          <w:spacing w:val="-9"/>
        </w:rPr>
        <w:t> </w:t>
      </w:r>
      <w:r>
        <w:rPr/>
        <w:t>Domini</w:t>
      </w:r>
      <w:r>
        <w:rPr>
          <w:spacing w:val="-9"/>
        </w:rPr>
        <w:t> </w:t>
      </w:r>
      <w:r>
        <w:rPr/>
        <w:t>et</w:t>
      </w:r>
      <w:r>
        <w:rPr>
          <w:spacing w:val="-9"/>
        </w:rPr>
        <w:t> </w:t>
      </w:r>
      <w:r>
        <w:rPr/>
        <w:t>al.</w:t>
      </w:r>
      <w:r>
        <w:rPr>
          <w:spacing w:val="-9"/>
        </w:rPr>
        <w:t> </w:t>
      </w:r>
      <w:r>
        <w:rPr/>
        <w:t>2009;</w:t>
      </w:r>
      <w:r>
        <w:rPr>
          <w:spacing w:val="-9"/>
        </w:rPr>
        <w:t> </w:t>
      </w:r>
      <w:r>
        <w:rPr/>
        <w:t>Vyrides</w:t>
      </w:r>
      <w:r>
        <w:rPr>
          <w:spacing w:val="-9"/>
        </w:rPr>
        <w:t> </w:t>
      </w:r>
      <w:r>
        <w:rPr/>
        <w:t>&amp;</w:t>
      </w:r>
      <w:r>
        <w:rPr>
          <w:spacing w:val="-9"/>
        </w:rPr>
        <w:t> </w:t>
      </w:r>
      <w:r>
        <w:rPr/>
        <w:t>Stuckey,</w:t>
      </w:r>
      <w:r>
        <w:rPr>
          <w:spacing w:val="-9"/>
        </w:rPr>
        <w:t> </w:t>
      </w:r>
      <w:r>
        <w:rPr/>
        <w:t>2009; Zhang et al. 2009]. A greener alternative has been developed based on the use of </w:t>
      </w:r>
      <w:r>
        <w:rPr>
          <w:position w:val="1"/>
        </w:rPr>
        <w:t>hydrogen peroxide (E</w:t>
      </w:r>
      <w:r>
        <w:rPr>
          <w:sz w:val="16"/>
        </w:rPr>
        <w:t>0 </w:t>
      </w:r>
      <w:r>
        <w:rPr>
          <w:position w:val="1"/>
        </w:rPr>
        <w:t>= 1.78 V) to achieve the desired oxidation without the need for </w:t>
      </w:r>
      <w:r>
        <w:rPr/>
        <w:t>toxic chromates [Gogate et al. 2003; Quintero et al. 2010; Carbajal-Palacios et al.</w:t>
      </w:r>
      <w:r>
        <w:rPr>
          <w:spacing w:val="-26"/>
        </w:rPr>
        <w:t> </w:t>
      </w:r>
      <w:r>
        <w:rPr/>
        <w:t>2012].</w:t>
      </w:r>
    </w:p>
    <w:p>
      <w:pPr>
        <w:pStyle w:val="BodyText"/>
      </w:pPr>
    </w:p>
    <w:p>
      <w:pPr>
        <w:pStyle w:val="BodyText"/>
        <w:spacing w:line="360" w:lineRule="auto" w:before="142"/>
        <w:ind w:left="662" w:right="568"/>
        <w:jc w:val="both"/>
      </w:pPr>
      <w:r>
        <w:rPr/>
        <w:t>The combination of oxidizing agents and UV irradiation is particularly interesting [Alnaizy </w:t>
      </w:r>
      <w:r>
        <w:rPr>
          <w:position w:val="1"/>
        </w:rPr>
        <w:t>and</w:t>
      </w:r>
      <w:r>
        <w:rPr>
          <w:spacing w:val="-18"/>
          <w:position w:val="1"/>
        </w:rPr>
        <w:t> </w:t>
      </w:r>
      <w:r>
        <w:rPr>
          <w:position w:val="1"/>
        </w:rPr>
        <w:t>Akgerman,</w:t>
      </w:r>
      <w:r>
        <w:rPr>
          <w:spacing w:val="-18"/>
          <w:position w:val="1"/>
        </w:rPr>
        <w:t> </w:t>
      </w:r>
      <w:r>
        <w:rPr>
          <w:position w:val="1"/>
        </w:rPr>
        <w:t>2000;</w:t>
      </w:r>
      <w:r>
        <w:rPr>
          <w:spacing w:val="-18"/>
          <w:position w:val="1"/>
        </w:rPr>
        <w:t> </w:t>
      </w:r>
      <w:r>
        <w:rPr>
          <w:position w:val="1"/>
        </w:rPr>
        <w:t>Benítez</w:t>
      </w:r>
      <w:r>
        <w:rPr>
          <w:spacing w:val="-19"/>
          <w:position w:val="1"/>
        </w:rPr>
        <w:t> </w:t>
      </w:r>
      <w:r>
        <w:rPr>
          <w:position w:val="1"/>
        </w:rPr>
        <w:t>et</w:t>
      </w:r>
      <w:r>
        <w:rPr>
          <w:spacing w:val="-18"/>
          <w:position w:val="1"/>
        </w:rPr>
        <w:t> </w:t>
      </w:r>
      <w:r>
        <w:rPr>
          <w:position w:val="1"/>
        </w:rPr>
        <w:t>al.</w:t>
      </w:r>
      <w:r>
        <w:rPr>
          <w:spacing w:val="-19"/>
          <w:position w:val="1"/>
        </w:rPr>
        <w:t> </w:t>
      </w:r>
      <w:r>
        <w:rPr>
          <w:position w:val="1"/>
        </w:rPr>
        <w:t>2011;</w:t>
      </w:r>
      <w:r>
        <w:rPr>
          <w:spacing w:val="-18"/>
          <w:position w:val="1"/>
        </w:rPr>
        <w:t> </w:t>
      </w:r>
      <w:r>
        <w:rPr>
          <w:position w:val="1"/>
        </w:rPr>
        <w:t>Litter</w:t>
      </w:r>
      <w:r>
        <w:rPr>
          <w:spacing w:val="-17"/>
          <w:position w:val="1"/>
        </w:rPr>
        <w:t> </w:t>
      </w:r>
      <w:r>
        <w:rPr>
          <w:position w:val="1"/>
        </w:rPr>
        <w:t>et</w:t>
      </w:r>
      <w:r>
        <w:rPr>
          <w:spacing w:val="-18"/>
          <w:position w:val="1"/>
        </w:rPr>
        <w:t> </w:t>
      </w:r>
      <w:r>
        <w:rPr>
          <w:position w:val="1"/>
        </w:rPr>
        <w:t>al.</w:t>
      </w:r>
      <w:r>
        <w:rPr>
          <w:spacing w:val="-19"/>
          <w:position w:val="1"/>
        </w:rPr>
        <w:t> </w:t>
      </w:r>
      <w:r>
        <w:rPr>
          <w:position w:val="1"/>
        </w:rPr>
        <w:t>2012]</w:t>
      </w:r>
      <w:r>
        <w:rPr>
          <w:spacing w:val="-16"/>
          <w:position w:val="1"/>
        </w:rPr>
        <w:t> </w:t>
      </w:r>
      <w:r>
        <w:rPr>
          <w:position w:val="1"/>
        </w:rPr>
        <w:t>since</w:t>
      </w:r>
      <w:r>
        <w:rPr>
          <w:spacing w:val="-20"/>
          <w:position w:val="1"/>
        </w:rPr>
        <w:t> </w:t>
      </w:r>
      <w:r>
        <w:rPr>
          <w:position w:val="1"/>
        </w:rPr>
        <w:t>for</w:t>
      </w:r>
      <w:r>
        <w:rPr>
          <w:spacing w:val="-22"/>
          <w:position w:val="1"/>
        </w:rPr>
        <w:t> </w:t>
      </w:r>
      <w:r>
        <w:rPr>
          <w:position w:val="1"/>
        </w:rPr>
        <w:t>example</w:t>
      </w:r>
      <w:r>
        <w:rPr>
          <w:spacing w:val="-18"/>
          <w:position w:val="1"/>
        </w:rPr>
        <w:t> </w:t>
      </w:r>
      <w:r>
        <w:rPr>
          <w:position w:val="1"/>
        </w:rPr>
        <w:t>the</w:t>
      </w:r>
      <w:r>
        <w:rPr>
          <w:spacing w:val="-16"/>
          <w:position w:val="1"/>
        </w:rPr>
        <w:t> </w:t>
      </w:r>
      <w:r>
        <w:rPr>
          <w:position w:val="1"/>
        </w:rPr>
        <w:t>UV/H</w:t>
      </w:r>
      <w:r>
        <w:rPr>
          <w:sz w:val="16"/>
        </w:rPr>
        <w:t>2</w:t>
      </w:r>
      <w:r>
        <w:rPr>
          <w:position w:val="1"/>
        </w:rPr>
        <w:t>O</w:t>
      </w:r>
      <w:r>
        <w:rPr>
          <w:sz w:val="16"/>
        </w:rPr>
        <w:t>2 </w:t>
      </w:r>
      <w:r>
        <w:rPr/>
        <w:t>combined method generates </w:t>
      </w:r>
      <w:r>
        <w:rPr>
          <w:position w:val="8"/>
          <w:sz w:val="16"/>
        </w:rPr>
        <w:t>•</w:t>
      </w:r>
      <w:r>
        <w:rPr/>
        <w:t>OH radicals, capable of transforming various toxic organic compounds</w:t>
      </w:r>
      <w:r>
        <w:rPr>
          <w:spacing w:val="-13"/>
        </w:rPr>
        <w:t> </w:t>
      </w:r>
      <w:r>
        <w:rPr/>
        <w:t>into</w:t>
      </w:r>
      <w:r>
        <w:rPr>
          <w:spacing w:val="-14"/>
        </w:rPr>
        <w:t> </w:t>
      </w:r>
      <w:r>
        <w:rPr/>
        <w:t>less</w:t>
      </w:r>
      <w:r>
        <w:rPr>
          <w:spacing w:val="-14"/>
        </w:rPr>
        <w:t> </w:t>
      </w:r>
      <w:r>
        <w:rPr/>
        <w:t>dangerous,</w:t>
      </w:r>
      <w:r>
        <w:rPr>
          <w:spacing w:val="-14"/>
        </w:rPr>
        <w:t> </w:t>
      </w:r>
      <w:r>
        <w:rPr/>
        <w:t>biodegradable</w:t>
      </w:r>
      <w:r>
        <w:rPr>
          <w:spacing w:val="-12"/>
        </w:rPr>
        <w:t> </w:t>
      </w:r>
      <w:r>
        <w:rPr/>
        <w:t>products</w:t>
      </w:r>
      <w:r>
        <w:rPr>
          <w:spacing w:val="-14"/>
        </w:rPr>
        <w:t> </w:t>
      </w:r>
      <w:r>
        <w:rPr/>
        <w:t>[Gogate</w:t>
      </w:r>
      <w:r>
        <w:rPr>
          <w:spacing w:val="-14"/>
        </w:rPr>
        <w:t> </w:t>
      </w:r>
      <w:r>
        <w:rPr/>
        <w:t>et</w:t>
      </w:r>
      <w:r>
        <w:rPr>
          <w:spacing w:val="-12"/>
        </w:rPr>
        <w:t> </w:t>
      </w:r>
      <w:r>
        <w:rPr/>
        <w:t>al.</w:t>
      </w:r>
      <w:r>
        <w:rPr>
          <w:spacing w:val="-15"/>
        </w:rPr>
        <w:t> </w:t>
      </w:r>
      <w:r>
        <w:rPr/>
        <w:t>2004]</w:t>
      </w:r>
      <w:r>
        <w:rPr>
          <w:spacing w:val="-14"/>
        </w:rPr>
        <w:t> </w:t>
      </w:r>
      <w:r>
        <w:rPr/>
        <w:t>or</w:t>
      </w:r>
      <w:r>
        <w:rPr>
          <w:spacing w:val="-16"/>
        </w:rPr>
        <w:t> </w:t>
      </w:r>
      <w:r>
        <w:rPr/>
        <w:t>even</w:t>
      </w:r>
      <w:r>
        <w:rPr>
          <w:spacing w:val="-12"/>
        </w:rPr>
        <w:t> </w:t>
      </w:r>
      <w:r>
        <w:rPr/>
        <w:t>into </w:t>
      </w:r>
      <w:r>
        <w:rPr>
          <w:position w:val="1"/>
        </w:rPr>
        <w:t>CO</w:t>
      </w:r>
      <w:r>
        <w:rPr>
          <w:sz w:val="16"/>
        </w:rPr>
        <w:t>2</w:t>
      </w:r>
      <w:r>
        <w:rPr>
          <w:position w:val="1"/>
        </w:rPr>
        <w:t>.</w:t>
      </w:r>
      <w:r>
        <w:rPr>
          <w:spacing w:val="-9"/>
          <w:position w:val="1"/>
        </w:rPr>
        <w:t> </w:t>
      </w:r>
      <w:r>
        <w:rPr>
          <w:position w:val="1"/>
        </w:rPr>
        <w:t>In</w:t>
      </w:r>
      <w:r>
        <w:rPr>
          <w:spacing w:val="-13"/>
          <w:position w:val="1"/>
        </w:rPr>
        <w:t> </w:t>
      </w:r>
      <w:r>
        <w:rPr>
          <w:position w:val="1"/>
        </w:rPr>
        <w:t>fact,</w:t>
      </w:r>
      <w:r>
        <w:rPr>
          <w:spacing w:val="-8"/>
          <w:position w:val="1"/>
        </w:rPr>
        <w:t> </w:t>
      </w:r>
      <w:r>
        <w:rPr>
          <w:position w:val="1"/>
        </w:rPr>
        <w:t>Advanced</w:t>
      </w:r>
      <w:r>
        <w:rPr>
          <w:spacing w:val="-11"/>
          <w:position w:val="1"/>
        </w:rPr>
        <w:t> </w:t>
      </w:r>
      <w:r>
        <w:rPr>
          <w:position w:val="1"/>
        </w:rPr>
        <w:t>Oxidation</w:t>
      </w:r>
      <w:r>
        <w:rPr>
          <w:spacing w:val="-11"/>
          <w:position w:val="1"/>
        </w:rPr>
        <w:t> </w:t>
      </w:r>
      <w:r>
        <w:rPr>
          <w:position w:val="1"/>
        </w:rPr>
        <w:t>Processes</w:t>
      </w:r>
      <w:r>
        <w:rPr>
          <w:spacing w:val="-9"/>
          <w:position w:val="1"/>
        </w:rPr>
        <w:t> </w:t>
      </w:r>
      <w:r>
        <w:rPr>
          <w:position w:val="1"/>
        </w:rPr>
        <w:t>(AOPs)</w:t>
      </w:r>
      <w:r>
        <w:rPr>
          <w:spacing w:val="-10"/>
          <w:position w:val="1"/>
        </w:rPr>
        <w:t> </w:t>
      </w:r>
      <w:r>
        <w:rPr>
          <w:position w:val="1"/>
        </w:rPr>
        <w:t>rely</w:t>
      </w:r>
      <w:r>
        <w:rPr>
          <w:spacing w:val="-12"/>
          <w:position w:val="1"/>
        </w:rPr>
        <w:t> </w:t>
      </w:r>
      <w:r>
        <w:rPr>
          <w:position w:val="1"/>
        </w:rPr>
        <w:t>on</w:t>
      </w:r>
      <w:r>
        <w:rPr>
          <w:spacing w:val="-11"/>
          <w:position w:val="1"/>
        </w:rPr>
        <w:t> </w:t>
      </w:r>
      <w:r>
        <w:rPr>
          <w:position w:val="1"/>
        </w:rPr>
        <w:t>this</w:t>
      </w:r>
      <w:r>
        <w:rPr>
          <w:spacing w:val="-10"/>
          <w:position w:val="1"/>
        </w:rPr>
        <w:t> </w:t>
      </w:r>
      <w:r>
        <w:rPr>
          <w:position w:val="1"/>
        </w:rPr>
        <w:t>radical</w:t>
      </w:r>
      <w:r>
        <w:rPr>
          <w:spacing w:val="-10"/>
          <w:position w:val="1"/>
        </w:rPr>
        <w:t> </w:t>
      </w:r>
      <w:r>
        <w:rPr>
          <w:position w:val="1"/>
        </w:rPr>
        <w:t>generation</w:t>
      </w:r>
      <w:r>
        <w:rPr>
          <w:spacing w:val="-11"/>
          <w:position w:val="1"/>
        </w:rPr>
        <w:t> </w:t>
      </w:r>
      <w:r>
        <w:rPr>
          <w:position w:val="1"/>
        </w:rPr>
        <w:t>for</w:t>
      </w:r>
      <w:r>
        <w:rPr>
          <w:spacing w:val="-10"/>
          <w:position w:val="1"/>
        </w:rPr>
        <w:t> </w:t>
      </w:r>
      <w:r>
        <w:rPr>
          <w:position w:val="1"/>
        </w:rPr>
        <w:t>the treatment</w:t>
      </w:r>
      <w:r>
        <w:rPr>
          <w:spacing w:val="56"/>
          <w:position w:val="1"/>
        </w:rPr>
        <w:t> </w:t>
      </w:r>
      <w:r>
        <w:rPr>
          <w:position w:val="1"/>
        </w:rPr>
        <w:t>of</w:t>
      </w:r>
      <w:r>
        <w:rPr>
          <w:spacing w:val="58"/>
          <w:position w:val="1"/>
        </w:rPr>
        <w:t> </w:t>
      </w:r>
      <w:r>
        <w:rPr>
          <w:position w:val="1"/>
        </w:rPr>
        <w:t>effluents.</w:t>
      </w:r>
      <w:r>
        <w:rPr>
          <w:spacing w:val="54"/>
          <w:position w:val="1"/>
        </w:rPr>
        <w:t> </w:t>
      </w:r>
      <w:r>
        <w:rPr>
          <w:position w:val="1"/>
        </w:rPr>
        <w:t>Examples</w:t>
      </w:r>
      <w:r>
        <w:rPr>
          <w:spacing w:val="56"/>
          <w:position w:val="1"/>
        </w:rPr>
        <w:t> </w:t>
      </w:r>
      <w:r>
        <w:rPr>
          <w:position w:val="1"/>
        </w:rPr>
        <w:t>of</w:t>
      </w:r>
      <w:r>
        <w:rPr>
          <w:spacing w:val="56"/>
          <w:position w:val="1"/>
        </w:rPr>
        <w:t> </w:t>
      </w:r>
      <w:r>
        <w:rPr>
          <w:position w:val="1"/>
        </w:rPr>
        <w:t>AOPs</w:t>
      </w:r>
      <w:r>
        <w:rPr>
          <w:spacing w:val="56"/>
          <w:position w:val="1"/>
        </w:rPr>
        <w:t> </w:t>
      </w:r>
      <w:r>
        <w:rPr>
          <w:position w:val="1"/>
        </w:rPr>
        <w:t>include</w:t>
      </w:r>
      <w:r>
        <w:rPr>
          <w:spacing w:val="56"/>
          <w:position w:val="1"/>
        </w:rPr>
        <w:t> </w:t>
      </w:r>
      <w:r>
        <w:rPr>
          <w:position w:val="1"/>
        </w:rPr>
        <w:t>the</w:t>
      </w:r>
      <w:r>
        <w:rPr>
          <w:spacing w:val="54"/>
          <w:position w:val="1"/>
        </w:rPr>
        <w:t> </w:t>
      </w:r>
      <w:r>
        <w:rPr>
          <w:position w:val="1"/>
        </w:rPr>
        <w:t>use</w:t>
      </w:r>
      <w:r>
        <w:rPr>
          <w:spacing w:val="56"/>
          <w:position w:val="1"/>
        </w:rPr>
        <w:t> </w:t>
      </w:r>
      <w:r>
        <w:rPr>
          <w:position w:val="1"/>
        </w:rPr>
        <w:t>of</w:t>
      </w:r>
      <w:r>
        <w:rPr>
          <w:spacing w:val="56"/>
          <w:position w:val="1"/>
        </w:rPr>
        <w:t> </w:t>
      </w:r>
      <w:r>
        <w:rPr>
          <w:position w:val="1"/>
        </w:rPr>
        <w:t>ozone</w:t>
      </w:r>
      <w:r>
        <w:rPr>
          <w:spacing w:val="56"/>
          <w:position w:val="1"/>
        </w:rPr>
        <w:t> </w:t>
      </w:r>
      <w:r>
        <w:rPr>
          <w:position w:val="1"/>
        </w:rPr>
        <w:t>(O</w:t>
      </w:r>
      <w:r>
        <w:rPr>
          <w:sz w:val="16"/>
        </w:rPr>
        <w:t>3</w:t>
      </w:r>
      <w:r>
        <w:rPr>
          <w:position w:val="1"/>
        </w:rPr>
        <w:t>),</w:t>
      </w:r>
      <w:r>
        <w:rPr>
          <w:spacing w:val="55"/>
          <w:position w:val="1"/>
        </w:rPr>
        <w:t> </w:t>
      </w:r>
      <w:r>
        <w:rPr>
          <w:position w:val="1"/>
        </w:rPr>
        <w:t>hydrogen</w:t>
      </w:r>
    </w:p>
    <w:p>
      <w:pPr>
        <w:spacing w:after="0" w:line="360" w:lineRule="auto"/>
        <w:jc w:val="both"/>
        <w:sectPr>
          <w:pgSz w:w="12240" w:h="15840"/>
          <w:pgMar w:header="0" w:footer="654" w:top="1080" w:bottom="1060" w:left="1040" w:right="560"/>
        </w:sectPr>
      </w:pPr>
    </w:p>
    <w:p>
      <w:pPr>
        <w:pStyle w:val="BodyText"/>
        <w:spacing w:line="362" w:lineRule="auto" w:before="50"/>
        <w:ind w:left="662" w:right="573"/>
        <w:jc w:val="both"/>
      </w:pPr>
      <w:r>
        <w:rPr>
          <w:position w:val="1"/>
        </w:rPr>
        <w:t>peroxide</w:t>
      </w:r>
      <w:r>
        <w:rPr>
          <w:spacing w:val="46"/>
          <w:position w:val="1"/>
        </w:rPr>
        <w:t> </w:t>
      </w:r>
      <w:r>
        <w:rPr>
          <w:position w:val="1"/>
        </w:rPr>
        <w:t>(H</w:t>
      </w:r>
      <w:r>
        <w:rPr>
          <w:sz w:val="16"/>
        </w:rPr>
        <w:t>2</w:t>
      </w:r>
      <w:r>
        <w:rPr>
          <w:position w:val="1"/>
        </w:rPr>
        <w:t>O</w:t>
      </w:r>
      <w:r>
        <w:rPr>
          <w:sz w:val="16"/>
        </w:rPr>
        <w:t>2</w:t>
      </w:r>
      <w:r>
        <w:rPr>
          <w:position w:val="1"/>
        </w:rPr>
        <w:t>),</w:t>
      </w:r>
      <w:r>
        <w:rPr>
          <w:spacing w:val="-12"/>
          <w:position w:val="1"/>
        </w:rPr>
        <w:t> </w:t>
      </w:r>
      <w:r>
        <w:rPr>
          <w:position w:val="1"/>
        </w:rPr>
        <w:t>and</w:t>
      </w:r>
      <w:r>
        <w:rPr>
          <w:spacing w:val="-11"/>
          <w:position w:val="1"/>
        </w:rPr>
        <w:t> </w:t>
      </w:r>
      <w:r>
        <w:rPr>
          <w:position w:val="1"/>
        </w:rPr>
        <w:t>ultraviolet</w:t>
      </w:r>
      <w:r>
        <w:rPr>
          <w:spacing w:val="-11"/>
          <w:position w:val="1"/>
        </w:rPr>
        <w:t> </w:t>
      </w:r>
      <w:r>
        <w:rPr>
          <w:position w:val="1"/>
        </w:rPr>
        <w:t>radiation</w:t>
      </w:r>
      <w:r>
        <w:rPr>
          <w:spacing w:val="-10"/>
          <w:position w:val="1"/>
        </w:rPr>
        <w:t> </w:t>
      </w:r>
      <w:r>
        <w:rPr>
          <w:position w:val="1"/>
        </w:rPr>
        <w:t>(UV)</w:t>
      </w:r>
      <w:r>
        <w:rPr>
          <w:spacing w:val="-12"/>
          <w:position w:val="1"/>
        </w:rPr>
        <w:t> </w:t>
      </w:r>
      <w:r>
        <w:rPr>
          <w:position w:val="1"/>
        </w:rPr>
        <w:t>[Chidambara</w:t>
      </w:r>
      <w:r>
        <w:rPr>
          <w:spacing w:val="-14"/>
          <w:position w:val="1"/>
        </w:rPr>
        <w:t> </w:t>
      </w:r>
      <w:r>
        <w:rPr>
          <w:position w:val="1"/>
        </w:rPr>
        <w:t>et</w:t>
      </w:r>
      <w:r>
        <w:rPr>
          <w:spacing w:val="-11"/>
          <w:position w:val="1"/>
        </w:rPr>
        <w:t> </w:t>
      </w:r>
      <w:r>
        <w:rPr>
          <w:position w:val="1"/>
        </w:rPr>
        <w:t>al.</w:t>
      </w:r>
      <w:r>
        <w:rPr>
          <w:spacing w:val="-12"/>
          <w:position w:val="1"/>
        </w:rPr>
        <w:t> </w:t>
      </w:r>
      <w:r>
        <w:rPr>
          <w:position w:val="1"/>
        </w:rPr>
        <w:t>2005;</w:t>
      </w:r>
      <w:r>
        <w:rPr>
          <w:spacing w:val="-11"/>
          <w:position w:val="1"/>
        </w:rPr>
        <w:t> </w:t>
      </w:r>
      <w:r>
        <w:rPr>
          <w:position w:val="1"/>
        </w:rPr>
        <w:t>Kusic</w:t>
      </w:r>
      <w:r>
        <w:rPr>
          <w:spacing w:val="-12"/>
          <w:position w:val="1"/>
        </w:rPr>
        <w:t> </w:t>
      </w:r>
      <w:r>
        <w:rPr>
          <w:position w:val="1"/>
        </w:rPr>
        <w:t>et</w:t>
      </w:r>
      <w:r>
        <w:rPr>
          <w:spacing w:val="-11"/>
          <w:position w:val="1"/>
        </w:rPr>
        <w:t> </w:t>
      </w:r>
      <w:r>
        <w:rPr>
          <w:position w:val="1"/>
        </w:rPr>
        <w:t>al.</w:t>
      </w:r>
      <w:r>
        <w:rPr>
          <w:spacing w:val="-12"/>
          <w:position w:val="1"/>
        </w:rPr>
        <w:t> </w:t>
      </w:r>
      <w:r>
        <w:rPr>
          <w:position w:val="1"/>
        </w:rPr>
        <w:t>2006; </w:t>
      </w:r>
      <w:r>
        <w:rPr/>
        <w:t>Farmer and Cardona, 2009; Benitez et al.</w:t>
      </w:r>
      <w:r>
        <w:rPr>
          <w:spacing w:val="-21"/>
        </w:rPr>
        <w:t> </w:t>
      </w:r>
      <w:r>
        <w:rPr/>
        <w:t>2011].</w:t>
      </w:r>
    </w:p>
    <w:p>
      <w:pPr>
        <w:pStyle w:val="BodyText"/>
      </w:pPr>
    </w:p>
    <w:p>
      <w:pPr>
        <w:pStyle w:val="BodyText"/>
        <w:spacing w:line="360" w:lineRule="auto" w:before="139"/>
        <w:ind w:left="662" w:right="568"/>
        <w:jc w:val="both"/>
      </w:pPr>
      <w:r>
        <w:rPr/>
        <w:pict>
          <v:shape style="position:absolute;margin-left:268.970001pt;margin-top:194.000946pt;width:195.1pt;height:8.0500pt;mso-position-horizontal-relative:page;mso-position-vertical-relative:paragraph;z-index:-130504" type="#_x0000_t202" filled="false" stroked="false">
            <v:textbox inset="0,0,0,0">
              <w:txbxContent>
                <w:p>
                  <w:pPr>
                    <w:tabs>
                      <w:tab w:pos="3848" w:val="left" w:leader="none"/>
                    </w:tabs>
                    <w:spacing w:line="161" w:lineRule="exact" w:before="0"/>
                    <w:ind w:left="0" w:right="0" w:firstLine="0"/>
                    <w:jc w:val="left"/>
                    <w:rPr>
                      <w:sz w:val="16"/>
                    </w:rPr>
                  </w:pPr>
                  <w:r>
                    <w:rPr>
                      <w:sz w:val="16"/>
                    </w:rPr>
                    <w:t>•-</w:t>
                    <w:tab/>
                    <w:t>-</w:t>
                  </w:r>
                </w:p>
              </w:txbxContent>
            </v:textbox>
            <w10:wrap type="none"/>
          </v:shape>
        </w:pict>
      </w:r>
      <w:r>
        <w:rPr/>
        <w:t>Hydrogen</w:t>
      </w:r>
      <w:r>
        <w:rPr>
          <w:spacing w:val="-17"/>
        </w:rPr>
        <w:t> </w:t>
      </w:r>
      <w:r>
        <w:rPr/>
        <w:t>peroxide</w:t>
      </w:r>
      <w:r>
        <w:rPr>
          <w:spacing w:val="-16"/>
        </w:rPr>
        <w:t> </w:t>
      </w:r>
      <w:r>
        <w:rPr/>
        <w:t>has</w:t>
      </w:r>
      <w:r>
        <w:rPr>
          <w:spacing w:val="-20"/>
        </w:rPr>
        <w:t> </w:t>
      </w:r>
      <w:r>
        <w:rPr/>
        <w:t>been</w:t>
      </w:r>
      <w:r>
        <w:rPr>
          <w:spacing w:val="-19"/>
        </w:rPr>
        <w:t> </w:t>
      </w:r>
      <w:r>
        <w:rPr/>
        <w:t>used</w:t>
      </w:r>
      <w:r>
        <w:rPr>
          <w:spacing w:val="-21"/>
        </w:rPr>
        <w:t> </w:t>
      </w:r>
      <w:r>
        <w:rPr/>
        <w:t>for</w:t>
      </w:r>
      <w:r>
        <w:rPr>
          <w:spacing w:val="-20"/>
        </w:rPr>
        <w:t> </w:t>
      </w:r>
      <w:r>
        <w:rPr/>
        <w:t>several</w:t>
      </w:r>
      <w:r>
        <w:rPr>
          <w:spacing w:val="-20"/>
        </w:rPr>
        <w:t> </w:t>
      </w:r>
      <w:r>
        <w:rPr/>
        <w:t>years</w:t>
      </w:r>
      <w:r>
        <w:rPr>
          <w:spacing w:val="-18"/>
        </w:rPr>
        <w:t> </w:t>
      </w:r>
      <w:r>
        <w:rPr/>
        <w:t>for</w:t>
      </w:r>
      <w:r>
        <w:rPr>
          <w:spacing w:val="-18"/>
        </w:rPr>
        <w:t> </w:t>
      </w:r>
      <w:r>
        <w:rPr/>
        <w:t>the</w:t>
      </w:r>
      <w:r>
        <w:rPr>
          <w:spacing w:val="-19"/>
        </w:rPr>
        <w:t> </w:t>
      </w:r>
      <w:r>
        <w:rPr/>
        <w:t>treatment</w:t>
      </w:r>
      <w:r>
        <w:rPr>
          <w:spacing w:val="-22"/>
        </w:rPr>
        <w:t> </w:t>
      </w:r>
      <w:r>
        <w:rPr/>
        <w:t>of</w:t>
      </w:r>
      <w:r>
        <w:rPr>
          <w:spacing w:val="-15"/>
        </w:rPr>
        <w:t> </w:t>
      </w:r>
      <w:r>
        <w:rPr/>
        <w:t>industrial</w:t>
      </w:r>
      <w:r>
        <w:rPr>
          <w:spacing w:val="-20"/>
        </w:rPr>
        <w:t> </w:t>
      </w:r>
      <w:r>
        <w:rPr/>
        <w:t>effluents and potable water, mainly with the aim of removing organic matter [USP technologies, </w:t>
      </w:r>
      <w:r>
        <w:rPr>
          <w:position w:val="1"/>
        </w:rPr>
        <w:t>2015].</w:t>
      </w:r>
      <w:r>
        <w:rPr>
          <w:spacing w:val="-7"/>
          <w:position w:val="1"/>
        </w:rPr>
        <w:t> </w:t>
      </w:r>
      <w:r>
        <w:rPr>
          <w:position w:val="1"/>
        </w:rPr>
        <w:t>H</w:t>
      </w:r>
      <w:r>
        <w:rPr>
          <w:sz w:val="16"/>
        </w:rPr>
        <w:t>2</w:t>
      </w:r>
      <w:r>
        <w:rPr>
          <w:position w:val="1"/>
        </w:rPr>
        <w:t>O</w:t>
      </w:r>
      <w:r>
        <w:rPr>
          <w:sz w:val="16"/>
        </w:rPr>
        <w:t>2</w:t>
      </w:r>
      <w:r>
        <w:rPr>
          <w:spacing w:val="14"/>
          <w:sz w:val="16"/>
        </w:rPr>
        <w:t> </w:t>
      </w:r>
      <w:r>
        <w:rPr>
          <w:position w:val="1"/>
        </w:rPr>
        <w:t>is</w:t>
      </w:r>
      <w:r>
        <w:rPr>
          <w:spacing w:val="-11"/>
          <w:position w:val="1"/>
        </w:rPr>
        <w:t> </w:t>
      </w:r>
      <w:r>
        <w:rPr>
          <w:position w:val="1"/>
        </w:rPr>
        <w:t>a</w:t>
      </w:r>
      <w:r>
        <w:rPr>
          <w:spacing w:val="-7"/>
          <w:position w:val="1"/>
        </w:rPr>
        <w:t> </w:t>
      </w:r>
      <w:r>
        <w:rPr>
          <w:position w:val="1"/>
        </w:rPr>
        <w:t>versatile</w:t>
      </w:r>
      <w:r>
        <w:rPr>
          <w:spacing w:val="-7"/>
          <w:position w:val="1"/>
        </w:rPr>
        <w:t> </w:t>
      </w:r>
      <w:r>
        <w:rPr>
          <w:position w:val="1"/>
        </w:rPr>
        <w:t>oxidant,</w:t>
      </w:r>
      <w:r>
        <w:rPr>
          <w:spacing w:val="-7"/>
          <w:position w:val="1"/>
        </w:rPr>
        <w:t> </w:t>
      </w:r>
      <w:r>
        <w:rPr>
          <w:position w:val="1"/>
        </w:rPr>
        <w:t>with</w:t>
      </w:r>
      <w:r>
        <w:rPr>
          <w:spacing w:val="-7"/>
          <w:position w:val="1"/>
        </w:rPr>
        <w:t> </w:t>
      </w:r>
      <w:r>
        <w:rPr>
          <w:position w:val="1"/>
        </w:rPr>
        <w:t>an</w:t>
      </w:r>
      <w:r>
        <w:rPr>
          <w:spacing w:val="-7"/>
          <w:position w:val="1"/>
        </w:rPr>
        <w:t> </w:t>
      </w:r>
      <w:r>
        <w:rPr>
          <w:position w:val="1"/>
        </w:rPr>
        <w:t>oxidation</w:t>
      </w:r>
      <w:r>
        <w:rPr>
          <w:spacing w:val="-7"/>
          <w:position w:val="1"/>
        </w:rPr>
        <w:t> </w:t>
      </w:r>
      <w:r>
        <w:rPr>
          <w:position w:val="1"/>
        </w:rPr>
        <w:t>potential</w:t>
      </w:r>
      <w:r>
        <w:rPr>
          <w:spacing w:val="-8"/>
          <w:position w:val="1"/>
        </w:rPr>
        <w:t> </w:t>
      </w:r>
      <w:r>
        <w:rPr>
          <w:position w:val="1"/>
        </w:rPr>
        <w:t>greater</w:t>
      </w:r>
      <w:r>
        <w:rPr>
          <w:spacing w:val="-8"/>
          <w:position w:val="1"/>
        </w:rPr>
        <w:t> </w:t>
      </w:r>
      <w:r>
        <w:rPr>
          <w:position w:val="1"/>
        </w:rPr>
        <w:t>than</w:t>
      </w:r>
      <w:r>
        <w:rPr>
          <w:spacing w:val="-7"/>
          <w:position w:val="1"/>
        </w:rPr>
        <w:t> </w:t>
      </w:r>
      <w:r>
        <w:rPr>
          <w:position w:val="1"/>
        </w:rPr>
        <w:t>that</w:t>
      </w:r>
      <w:r>
        <w:rPr>
          <w:spacing w:val="-10"/>
          <w:position w:val="1"/>
        </w:rPr>
        <w:t> </w:t>
      </w:r>
      <w:r>
        <w:rPr>
          <w:position w:val="1"/>
        </w:rPr>
        <w:t>of</w:t>
      </w:r>
      <w:r>
        <w:rPr>
          <w:spacing w:val="-7"/>
          <w:position w:val="1"/>
        </w:rPr>
        <w:t> </w:t>
      </w:r>
      <w:r>
        <w:rPr>
          <w:position w:val="1"/>
        </w:rPr>
        <w:t>chlorine, </w:t>
      </w:r>
      <w:r>
        <w:rPr/>
        <w:t>chlorine</w:t>
      </w:r>
      <w:r>
        <w:rPr>
          <w:spacing w:val="-19"/>
        </w:rPr>
        <w:t> </w:t>
      </w:r>
      <w:r>
        <w:rPr/>
        <w:t>dioxide</w:t>
      </w:r>
      <w:r>
        <w:rPr>
          <w:spacing w:val="-19"/>
        </w:rPr>
        <w:t> </w:t>
      </w:r>
      <w:r>
        <w:rPr/>
        <w:t>or</w:t>
      </w:r>
      <w:r>
        <w:rPr>
          <w:spacing w:val="-20"/>
        </w:rPr>
        <w:t> </w:t>
      </w:r>
      <w:r>
        <w:rPr/>
        <w:t>potassium</w:t>
      </w:r>
      <w:r>
        <w:rPr>
          <w:spacing w:val="-18"/>
        </w:rPr>
        <w:t> </w:t>
      </w:r>
      <w:r>
        <w:rPr/>
        <w:t>permanganate</w:t>
      </w:r>
      <w:r>
        <w:rPr>
          <w:spacing w:val="-19"/>
        </w:rPr>
        <w:t> </w:t>
      </w:r>
      <w:r>
        <w:rPr/>
        <w:t>and</w:t>
      </w:r>
      <w:r>
        <w:rPr>
          <w:spacing w:val="-19"/>
        </w:rPr>
        <w:t> </w:t>
      </w:r>
      <w:r>
        <w:rPr/>
        <w:t>is</w:t>
      </w:r>
      <w:r>
        <w:rPr>
          <w:spacing w:val="-20"/>
        </w:rPr>
        <w:t> </w:t>
      </w:r>
      <w:r>
        <w:rPr/>
        <w:t>capable</w:t>
      </w:r>
      <w:r>
        <w:rPr>
          <w:spacing w:val="-19"/>
        </w:rPr>
        <w:t> </w:t>
      </w:r>
      <w:r>
        <w:rPr/>
        <w:t>of</w:t>
      </w:r>
      <w:r>
        <w:rPr>
          <w:spacing w:val="-17"/>
        </w:rPr>
        <w:t> </w:t>
      </w:r>
      <w:r>
        <w:rPr/>
        <w:t>producing</w:t>
      </w:r>
      <w:r>
        <w:rPr>
          <w:spacing w:val="-21"/>
        </w:rPr>
        <w:t> </w:t>
      </w:r>
      <w:r>
        <w:rPr/>
        <w:t>hydroxyl</w:t>
      </w:r>
      <w:r>
        <w:rPr>
          <w:spacing w:val="-18"/>
        </w:rPr>
        <w:t> </w:t>
      </w:r>
      <w:r>
        <w:rPr/>
        <w:t>radicals via catalysis either in the presence or absence of radiation [Luis de Mattos et al. 2003]. By simply adjusting factors such as pH, temperature, dose, reaction time and the nature </w:t>
      </w:r>
      <w:r>
        <w:rPr>
          <w:position w:val="1"/>
        </w:rPr>
        <w:t>and amount of catalysts, H</w:t>
      </w:r>
      <w:r>
        <w:rPr>
          <w:sz w:val="16"/>
        </w:rPr>
        <w:t>2</w:t>
      </w:r>
      <w:r>
        <w:rPr>
          <w:position w:val="1"/>
        </w:rPr>
        <w:t>O</w:t>
      </w:r>
      <w:r>
        <w:rPr>
          <w:sz w:val="16"/>
        </w:rPr>
        <w:t>2 </w:t>
      </w:r>
      <w:r>
        <w:rPr>
          <w:position w:val="1"/>
        </w:rPr>
        <w:t>can oxidize different complex organic compounds into </w:t>
      </w:r>
      <w:r>
        <w:rPr/>
        <w:t>simpler,</w:t>
      </w:r>
      <w:r>
        <w:rPr>
          <w:spacing w:val="-11"/>
        </w:rPr>
        <w:t> </w:t>
      </w:r>
      <w:r>
        <w:rPr/>
        <w:t>less</w:t>
      </w:r>
      <w:r>
        <w:rPr>
          <w:spacing w:val="-13"/>
        </w:rPr>
        <w:t> </w:t>
      </w:r>
      <w:r>
        <w:rPr/>
        <w:t>toxic</w:t>
      </w:r>
      <w:r>
        <w:rPr>
          <w:spacing w:val="-12"/>
        </w:rPr>
        <w:t> </w:t>
      </w:r>
      <w:r>
        <w:rPr/>
        <w:t>and</w:t>
      </w:r>
      <w:r>
        <w:rPr>
          <w:spacing w:val="-15"/>
        </w:rPr>
        <w:t> </w:t>
      </w:r>
      <w:r>
        <w:rPr/>
        <w:t>more</w:t>
      </w:r>
      <w:r>
        <w:rPr>
          <w:spacing w:val="-14"/>
        </w:rPr>
        <w:t> </w:t>
      </w:r>
      <w:r>
        <w:rPr/>
        <w:t>biodegradable</w:t>
      </w:r>
      <w:r>
        <w:rPr>
          <w:spacing w:val="-13"/>
        </w:rPr>
        <w:t> </w:t>
      </w:r>
      <w:r>
        <w:rPr/>
        <w:t>species</w:t>
      </w:r>
      <w:r>
        <w:rPr>
          <w:spacing w:val="-11"/>
        </w:rPr>
        <w:t> </w:t>
      </w:r>
      <w:r>
        <w:rPr/>
        <w:t>[Nilsun,</w:t>
      </w:r>
      <w:r>
        <w:rPr>
          <w:spacing w:val="-13"/>
        </w:rPr>
        <w:t> </w:t>
      </w:r>
      <w:r>
        <w:rPr/>
        <w:t>1999;</w:t>
      </w:r>
      <w:r>
        <w:rPr>
          <w:spacing w:val="-13"/>
        </w:rPr>
        <w:t> </w:t>
      </w:r>
      <w:r>
        <w:rPr/>
        <w:t>Alnaizy</w:t>
      </w:r>
      <w:r>
        <w:rPr>
          <w:spacing w:val="-14"/>
        </w:rPr>
        <w:t> </w:t>
      </w:r>
      <w:r>
        <w:rPr/>
        <w:t>and</w:t>
      </w:r>
      <w:r>
        <w:rPr>
          <w:spacing w:val="-11"/>
        </w:rPr>
        <w:t> </w:t>
      </w:r>
      <w:r>
        <w:rPr/>
        <w:t>Akgerman, 2000].</w:t>
      </w:r>
      <w:r>
        <w:rPr>
          <w:spacing w:val="-11"/>
        </w:rPr>
        <w:t> </w:t>
      </w:r>
      <w:r>
        <w:rPr/>
        <w:t>The</w:t>
      </w:r>
      <w:r>
        <w:rPr>
          <w:spacing w:val="-8"/>
        </w:rPr>
        <w:t> </w:t>
      </w:r>
      <w:r>
        <w:rPr/>
        <w:t>generation</w:t>
      </w:r>
      <w:r>
        <w:rPr>
          <w:spacing w:val="-8"/>
        </w:rPr>
        <w:t> </w:t>
      </w:r>
      <w:r>
        <w:rPr/>
        <w:t>of</w:t>
      </w:r>
      <w:r>
        <w:rPr>
          <w:spacing w:val="-7"/>
        </w:rPr>
        <w:t> </w:t>
      </w:r>
      <w:r>
        <w:rPr/>
        <w:t>highly</w:t>
      </w:r>
      <w:r>
        <w:rPr>
          <w:spacing w:val="-12"/>
        </w:rPr>
        <w:t> </w:t>
      </w:r>
      <w:r>
        <w:rPr/>
        <w:t>oxidizing</w:t>
      </w:r>
      <w:r>
        <w:rPr>
          <w:spacing w:val="-10"/>
        </w:rPr>
        <w:t> </w:t>
      </w:r>
      <w:r>
        <w:rPr/>
        <w:t>and</w:t>
      </w:r>
      <w:r>
        <w:rPr>
          <w:spacing w:val="-6"/>
        </w:rPr>
        <w:t> </w:t>
      </w:r>
      <w:r>
        <w:rPr/>
        <w:t>reactive</w:t>
      </w:r>
      <w:r>
        <w:rPr>
          <w:spacing w:val="-8"/>
        </w:rPr>
        <w:t> </w:t>
      </w:r>
      <w:r>
        <w:rPr/>
        <w:t>species</w:t>
      </w:r>
      <w:r>
        <w:rPr>
          <w:spacing w:val="-9"/>
        </w:rPr>
        <w:t> </w:t>
      </w:r>
      <w:r>
        <w:rPr/>
        <w:t>in</w:t>
      </w:r>
      <w:r>
        <w:rPr>
          <w:spacing w:val="-9"/>
        </w:rPr>
        <w:t> </w:t>
      </w:r>
      <w:r>
        <w:rPr/>
        <w:t>the</w:t>
      </w:r>
      <w:r>
        <w:rPr>
          <w:spacing w:val="-11"/>
        </w:rPr>
        <w:t> </w:t>
      </w:r>
      <w:r>
        <w:rPr/>
        <w:t>reaction</w:t>
      </w:r>
      <w:r>
        <w:rPr>
          <w:spacing w:val="-11"/>
        </w:rPr>
        <w:t> </w:t>
      </w:r>
      <w:r>
        <w:rPr/>
        <w:t>medium</w:t>
      </w:r>
      <w:r>
        <w:rPr>
          <w:spacing w:val="-8"/>
        </w:rPr>
        <w:t> </w:t>
      </w:r>
      <w:r>
        <w:rPr/>
        <w:t>like </w:t>
      </w:r>
      <w:r>
        <w:rPr>
          <w:position w:val="1"/>
        </w:rPr>
        <w:t>the superoxide anion radical (O</w:t>
      </w:r>
      <w:r>
        <w:rPr>
          <w:sz w:val="16"/>
        </w:rPr>
        <w:t>2 </w:t>
      </w:r>
      <w:r>
        <w:rPr>
          <w:position w:val="1"/>
        </w:rPr>
        <w:t>), the hydroperoxide anion (HOO ) and the highly </w:t>
      </w:r>
      <w:r>
        <w:rPr/>
        <w:t>reactive</w:t>
      </w:r>
      <w:r>
        <w:rPr>
          <w:spacing w:val="-19"/>
        </w:rPr>
        <w:t> </w:t>
      </w:r>
      <w:r>
        <w:rPr/>
        <w:t>and</w:t>
      </w:r>
      <w:r>
        <w:rPr>
          <w:spacing w:val="-19"/>
        </w:rPr>
        <w:t> </w:t>
      </w:r>
      <w:r>
        <w:rPr/>
        <w:t>non-selective</w:t>
      </w:r>
      <w:r>
        <w:rPr>
          <w:spacing w:val="-19"/>
        </w:rPr>
        <w:t> </w:t>
      </w:r>
      <w:r>
        <w:rPr/>
        <w:t>hydroxyl</w:t>
      </w:r>
      <w:r>
        <w:rPr>
          <w:spacing w:val="-18"/>
        </w:rPr>
        <w:t> </w:t>
      </w:r>
      <w:r>
        <w:rPr/>
        <w:t>radical</w:t>
      </w:r>
      <w:r>
        <w:rPr>
          <w:spacing w:val="-20"/>
        </w:rPr>
        <w:t> </w:t>
      </w:r>
      <w:r>
        <w:rPr/>
        <w:t>(</w:t>
      </w:r>
      <w:r>
        <w:rPr>
          <w:position w:val="8"/>
          <w:sz w:val="16"/>
        </w:rPr>
        <w:t>•</w:t>
      </w:r>
      <w:r>
        <w:rPr/>
        <w:t>OH)</w:t>
      </w:r>
      <w:r>
        <w:rPr>
          <w:spacing w:val="-20"/>
        </w:rPr>
        <w:t> </w:t>
      </w:r>
      <w:r>
        <w:rPr/>
        <w:t>increases</w:t>
      </w:r>
      <w:r>
        <w:rPr>
          <w:spacing w:val="-20"/>
        </w:rPr>
        <w:t> </w:t>
      </w:r>
      <w:r>
        <w:rPr/>
        <w:t>such</w:t>
      </w:r>
      <w:r>
        <w:rPr>
          <w:spacing w:val="-21"/>
        </w:rPr>
        <w:t> </w:t>
      </w:r>
      <w:r>
        <w:rPr/>
        <w:t>degradation</w:t>
      </w:r>
      <w:r>
        <w:rPr>
          <w:spacing w:val="-19"/>
        </w:rPr>
        <w:t> </w:t>
      </w:r>
      <w:r>
        <w:rPr/>
        <w:t>rates.</w:t>
      </w:r>
      <w:r>
        <w:rPr>
          <w:spacing w:val="-22"/>
        </w:rPr>
        <w:t> </w:t>
      </w:r>
      <w:r>
        <w:rPr/>
        <w:t>These species firstly attack unsaturated centers (e.g., chromophores) and then the rest of the organic moieties [Gogate</w:t>
      </w:r>
      <w:r>
        <w:rPr>
          <w:spacing w:val="-12"/>
        </w:rPr>
        <w:t> </w:t>
      </w:r>
      <w:r>
        <w:rPr/>
        <w:t>2004].</w:t>
      </w:r>
    </w:p>
    <w:p>
      <w:pPr>
        <w:pStyle w:val="BodyText"/>
      </w:pPr>
    </w:p>
    <w:p>
      <w:pPr>
        <w:pStyle w:val="BodyText"/>
        <w:spacing w:line="360" w:lineRule="auto" w:before="142"/>
        <w:ind w:left="662" w:right="571"/>
        <w:jc w:val="both"/>
      </w:pPr>
      <w:r>
        <w:rPr/>
        <w:t>The purpose of the present work was to verify the viability of using hydrogen peroxide as oxidizing agent for the COD determination in order to reduce reaction times with the help </w:t>
      </w:r>
      <w:r>
        <w:rPr>
          <w:position w:val="1"/>
        </w:rPr>
        <w:t>of UV light and to decrease the required amounts of the harmful Ag</w:t>
      </w:r>
      <w:r>
        <w:rPr>
          <w:sz w:val="16"/>
        </w:rPr>
        <w:t>2</w:t>
      </w:r>
      <w:r>
        <w:rPr>
          <w:position w:val="1"/>
        </w:rPr>
        <w:t>SO</w:t>
      </w:r>
      <w:r>
        <w:rPr>
          <w:sz w:val="16"/>
        </w:rPr>
        <w:t>4 </w:t>
      </w:r>
      <w:r>
        <w:rPr>
          <w:position w:val="1"/>
        </w:rPr>
        <w:t>catalyst.</w:t>
      </w:r>
    </w:p>
    <w:p>
      <w:pPr>
        <w:pStyle w:val="BodyText"/>
      </w:pPr>
    </w:p>
    <w:p>
      <w:pPr>
        <w:pStyle w:val="BodyText"/>
      </w:pPr>
    </w:p>
    <w:p>
      <w:pPr>
        <w:pStyle w:val="BodyText"/>
        <w:spacing w:before="3"/>
      </w:pPr>
    </w:p>
    <w:p>
      <w:pPr>
        <w:pStyle w:val="Heading6"/>
      </w:pPr>
      <w:r>
        <w:rPr/>
        <w:t>EXPERIMENTAL</w:t>
      </w:r>
    </w:p>
    <w:p>
      <w:pPr>
        <w:pStyle w:val="BodyText"/>
        <w:rPr>
          <w:b/>
        </w:rPr>
      </w:pPr>
    </w:p>
    <w:p>
      <w:pPr>
        <w:pStyle w:val="BodyText"/>
        <w:rPr>
          <w:b/>
        </w:rPr>
      </w:pPr>
    </w:p>
    <w:p>
      <w:pPr>
        <w:pStyle w:val="BodyText"/>
        <w:spacing w:line="360" w:lineRule="auto"/>
        <w:ind w:left="662" w:right="579"/>
        <w:jc w:val="both"/>
      </w:pPr>
      <w:r>
        <w:rPr/>
        <w:t>The preparation of solutions and the experimental procedures for the proposed COD determination are described next.</w:t>
      </w:r>
    </w:p>
    <w:p>
      <w:pPr>
        <w:pStyle w:val="BodyText"/>
      </w:pPr>
    </w:p>
    <w:p>
      <w:pPr>
        <w:pStyle w:val="Heading6"/>
        <w:numPr>
          <w:ilvl w:val="0"/>
          <w:numId w:val="8"/>
        </w:numPr>
        <w:tabs>
          <w:tab w:pos="1382" w:val="left" w:leader="none"/>
        </w:tabs>
        <w:spacing w:line="240" w:lineRule="auto" w:before="142" w:after="0"/>
        <w:ind w:left="1382" w:right="0" w:hanging="360"/>
        <w:jc w:val="left"/>
      </w:pPr>
      <w:r>
        <w:rPr/>
        <w:t>Preparation of</w:t>
      </w:r>
      <w:r>
        <w:rPr>
          <w:spacing w:val="-7"/>
        </w:rPr>
        <w:t> </w:t>
      </w:r>
      <w:r>
        <w:rPr/>
        <w:t>solutions.</w:t>
      </w:r>
    </w:p>
    <w:p>
      <w:pPr>
        <w:pStyle w:val="BodyText"/>
        <w:rPr>
          <w:b/>
        </w:rPr>
      </w:pPr>
    </w:p>
    <w:p>
      <w:pPr>
        <w:pStyle w:val="BodyText"/>
        <w:rPr>
          <w:b/>
        </w:rPr>
      </w:pPr>
    </w:p>
    <w:p>
      <w:pPr>
        <w:pStyle w:val="ListParagraph"/>
        <w:numPr>
          <w:ilvl w:val="1"/>
          <w:numId w:val="8"/>
        </w:numPr>
        <w:tabs>
          <w:tab w:pos="1823" w:val="left" w:leader="none"/>
        </w:tabs>
        <w:spacing w:line="360" w:lineRule="auto" w:before="0" w:after="5"/>
        <w:ind w:left="1370" w:right="567" w:firstLine="0"/>
        <w:jc w:val="both"/>
        <w:rPr>
          <w:sz w:val="24"/>
        </w:rPr>
      </w:pPr>
      <w:r>
        <w:rPr>
          <w:sz w:val="24"/>
        </w:rPr>
        <w:t>Method #1 (Standardized technique). The solutions for the standard COD determination were prepared in accordance with internationals standards [APHA, </w:t>
      </w:r>
      <w:r>
        <w:rPr>
          <w:position w:val="1"/>
          <w:sz w:val="24"/>
        </w:rPr>
        <w:t>1998] using K</w:t>
      </w:r>
      <w:r>
        <w:rPr>
          <w:sz w:val="16"/>
        </w:rPr>
        <w:t>2</w:t>
      </w:r>
      <w:r>
        <w:rPr>
          <w:position w:val="1"/>
          <w:sz w:val="24"/>
        </w:rPr>
        <w:t>Cr</w:t>
      </w:r>
      <w:r>
        <w:rPr>
          <w:sz w:val="16"/>
        </w:rPr>
        <w:t>2</w:t>
      </w:r>
      <w:r>
        <w:rPr>
          <w:position w:val="1"/>
          <w:sz w:val="24"/>
        </w:rPr>
        <w:t>O</w:t>
      </w:r>
      <w:r>
        <w:rPr>
          <w:sz w:val="16"/>
        </w:rPr>
        <w:t>7 </w:t>
      </w:r>
      <w:r>
        <w:rPr>
          <w:position w:val="1"/>
          <w:sz w:val="24"/>
        </w:rPr>
        <w:t>(Reasol, 99.0%), H</w:t>
      </w:r>
      <w:r>
        <w:rPr>
          <w:sz w:val="16"/>
        </w:rPr>
        <w:t>2</w:t>
      </w:r>
      <w:r>
        <w:rPr>
          <w:position w:val="1"/>
          <w:sz w:val="24"/>
        </w:rPr>
        <w:t>SO</w:t>
      </w:r>
      <w:r>
        <w:rPr>
          <w:sz w:val="16"/>
        </w:rPr>
        <w:t>4 </w:t>
      </w:r>
      <w:r>
        <w:rPr>
          <w:position w:val="1"/>
          <w:sz w:val="24"/>
        </w:rPr>
        <w:t>(Fermont, 96.1%), HgSO</w:t>
      </w:r>
      <w:r>
        <w:rPr>
          <w:sz w:val="16"/>
        </w:rPr>
        <w:t>4</w:t>
      </w:r>
      <w:r>
        <w:rPr>
          <w:spacing w:val="32"/>
          <w:sz w:val="16"/>
        </w:rPr>
        <w:t> </w:t>
      </w:r>
      <w:r>
        <w:rPr>
          <w:position w:val="1"/>
          <w:sz w:val="24"/>
        </w:rPr>
        <w:t>(Fermont,</w:t>
      </w:r>
    </w:p>
    <w:p>
      <w:pPr>
        <w:pStyle w:val="BodyText"/>
        <w:ind w:left="118"/>
        <w:rPr>
          <w:sz w:val="20"/>
        </w:rPr>
      </w:pPr>
      <w:r>
        <w:rPr>
          <w:sz w:val="20"/>
        </w:rPr>
        <w:pict>
          <v:group style="width:520.35pt;height:20.8pt;mso-position-horizontal-relative:char;mso-position-vertical-relative:line" coordorigin="0,0" coordsize="10407,416">
            <v:line style="position:absolute" from="9980,353" to="10386,353" stroked="true" strokeweight="2.1pt" strokecolor="#000000"/>
            <v:line style="position:absolute" from="21,353" to="1223,353" stroked="true" strokeweight="2.1pt" strokecolor="#000000"/>
            <v:line style="position:absolute" from="21,395" to="10386,395" stroked="true" strokeweight=".7pt" strokecolor="#000000"/>
            <v:rect style="position:absolute;left:1223;top:0;width:8757;height:415" filled="true" fillcolor="#ffffff" stroked="false">
              <v:fill type="solid"/>
            </v:rect>
            <v:rect style="position:absolute;left:1252;top:0;width:4182;height:276" filled="true" fillcolor="#ffffff" stroked="false">
              <v:fill type="solid"/>
            </v:rect>
            <v:shape style="position:absolute;left:0;top:0;width:10407;height:416" type="#_x0000_t202" filled="false" stroked="false">
              <v:textbox inset="0,0,0,0">
                <w:txbxContent>
                  <w:p>
                    <w:pPr>
                      <w:spacing w:line="274" w:lineRule="exact" w:before="0"/>
                      <w:ind w:left="1251" w:right="0" w:firstLine="0"/>
                      <w:jc w:val="left"/>
                      <w:rPr>
                        <w:sz w:val="24"/>
                      </w:rPr>
                    </w:pPr>
                    <w:r>
                      <w:rPr>
                        <w:position w:val="1"/>
                        <w:sz w:val="24"/>
                      </w:rPr>
                      <w:t>98.4%), and Ag</w:t>
                    </w:r>
                    <w:r>
                      <w:rPr>
                        <w:sz w:val="16"/>
                      </w:rPr>
                      <w:t>2</w:t>
                    </w:r>
                    <w:r>
                      <w:rPr>
                        <w:position w:val="1"/>
                        <w:sz w:val="24"/>
                      </w:rPr>
                      <w:t>SO</w:t>
                    </w:r>
                    <w:r>
                      <w:rPr>
                        <w:sz w:val="16"/>
                      </w:rPr>
                      <w:t>4 </w:t>
                    </w:r>
                    <w:r>
                      <w:rPr>
                        <w:position w:val="1"/>
                        <w:sz w:val="24"/>
                      </w:rPr>
                      <w:t>(Fermont, 98.4%).</w:t>
                    </w:r>
                  </w:p>
                </w:txbxContent>
              </v:textbox>
              <w10:wrap type="none"/>
            </v:shape>
          </v:group>
        </w:pict>
      </w:r>
      <w:r>
        <w:rPr>
          <w:sz w:val="20"/>
        </w:rPr>
      </w:r>
    </w:p>
    <w:p>
      <w:pPr>
        <w:spacing w:after="0"/>
        <w:rPr>
          <w:sz w:val="20"/>
        </w:rPr>
        <w:sectPr>
          <w:footerReference w:type="default" r:id="rId28"/>
          <w:pgSz w:w="12240" w:h="15840"/>
          <w:pgMar w:footer="714" w:header="0" w:top="1080" w:bottom="900" w:left="1040" w:right="560"/>
          <w:pgNumType w:start="61"/>
        </w:sectPr>
      </w:pPr>
    </w:p>
    <w:p>
      <w:pPr>
        <w:pStyle w:val="ListParagraph"/>
        <w:numPr>
          <w:ilvl w:val="1"/>
          <w:numId w:val="8"/>
        </w:numPr>
        <w:tabs>
          <w:tab w:pos="1793" w:val="left" w:leader="none"/>
        </w:tabs>
        <w:spacing w:line="360" w:lineRule="auto" w:before="46" w:after="0"/>
        <w:ind w:left="1370" w:right="565" w:firstLine="0"/>
        <w:jc w:val="both"/>
        <w:rPr>
          <w:sz w:val="24"/>
        </w:rPr>
      </w:pPr>
      <w:r>
        <w:rPr>
          <w:position w:val="1"/>
          <w:sz w:val="24"/>
        </w:rPr>
        <w:t>Method #2 (H</w:t>
      </w:r>
      <w:r>
        <w:rPr>
          <w:sz w:val="16"/>
        </w:rPr>
        <w:t>2</w:t>
      </w:r>
      <w:r>
        <w:rPr>
          <w:position w:val="1"/>
          <w:sz w:val="24"/>
        </w:rPr>
        <w:t>O</w:t>
      </w:r>
      <w:r>
        <w:rPr>
          <w:sz w:val="16"/>
        </w:rPr>
        <w:t>2 </w:t>
      </w:r>
      <w:r>
        <w:rPr>
          <w:position w:val="1"/>
          <w:sz w:val="24"/>
        </w:rPr>
        <w:t>as the oxidizing agent). Solutions were prepared as in 1.1, except that K</w:t>
      </w:r>
      <w:r>
        <w:rPr>
          <w:sz w:val="16"/>
        </w:rPr>
        <w:t>2</w:t>
      </w:r>
      <w:r>
        <w:rPr>
          <w:position w:val="1"/>
          <w:sz w:val="24"/>
        </w:rPr>
        <w:t>Cr</w:t>
      </w:r>
      <w:r>
        <w:rPr>
          <w:sz w:val="16"/>
        </w:rPr>
        <w:t>2</w:t>
      </w:r>
      <w:r>
        <w:rPr>
          <w:position w:val="1"/>
          <w:sz w:val="24"/>
        </w:rPr>
        <w:t>O</w:t>
      </w:r>
      <w:r>
        <w:rPr>
          <w:sz w:val="16"/>
        </w:rPr>
        <w:t>7 </w:t>
      </w:r>
      <w:r>
        <w:rPr>
          <w:position w:val="1"/>
          <w:sz w:val="24"/>
        </w:rPr>
        <w:t>was replaced by H</w:t>
      </w:r>
      <w:r>
        <w:rPr>
          <w:sz w:val="16"/>
        </w:rPr>
        <w:t>2</w:t>
      </w:r>
      <w:r>
        <w:rPr>
          <w:position w:val="1"/>
          <w:sz w:val="24"/>
        </w:rPr>
        <w:t>O</w:t>
      </w:r>
      <w:r>
        <w:rPr>
          <w:sz w:val="16"/>
        </w:rPr>
        <w:t>2</w:t>
      </w:r>
      <w:r>
        <w:rPr>
          <w:position w:val="1"/>
          <w:sz w:val="24"/>
        </w:rPr>
        <w:t>. The stoichiometric amount of H</w:t>
      </w:r>
      <w:r>
        <w:rPr>
          <w:sz w:val="16"/>
        </w:rPr>
        <w:t>2</w:t>
      </w:r>
      <w:r>
        <w:rPr>
          <w:position w:val="1"/>
          <w:sz w:val="24"/>
        </w:rPr>
        <w:t>O</w:t>
      </w:r>
      <w:r>
        <w:rPr>
          <w:sz w:val="16"/>
        </w:rPr>
        <w:t>2 </w:t>
      </w:r>
      <w:r>
        <w:rPr>
          <w:sz w:val="24"/>
        </w:rPr>
        <w:t>required</w:t>
      </w:r>
      <w:r>
        <w:rPr>
          <w:spacing w:val="-16"/>
          <w:sz w:val="24"/>
        </w:rPr>
        <w:t> </w:t>
      </w:r>
      <w:r>
        <w:rPr>
          <w:sz w:val="24"/>
        </w:rPr>
        <w:t>for</w:t>
      </w:r>
      <w:r>
        <w:rPr>
          <w:spacing w:val="-17"/>
          <w:sz w:val="24"/>
        </w:rPr>
        <w:t> </w:t>
      </w:r>
      <w:r>
        <w:rPr>
          <w:sz w:val="24"/>
        </w:rPr>
        <w:t>the</w:t>
      </w:r>
      <w:r>
        <w:rPr>
          <w:spacing w:val="-16"/>
          <w:sz w:val="24"/>
        </w:rPr>
        <w:t> </w:t>
      </w:r>
      <w:r>
        <w:rPr>
          <w:sz w:val="24"/>
        </w:rPr>
        <w:t>oxidation</w:t>
      </w:r>
      <w:r>
        <w:rPr>
          <w:spacing w:val="-16"/>
          <w:sz w:val="24"/>
        </w:rPr>
        <w:t> </w:t>
      </w:r>
      <w:r>
        <w:rPr>
          <w:sz w:val="24"/>
        </w:rPr>
        <w:t>of</w:t>
      </w:r>
      <w:r>
        <w:rPr>
          <w:spacing w:val="-14"/>
          <w:sz w:val="24"/>
        </w:rPr>
        <w:t> </w:t>
      </w:r>
      <w:r>
        <w:rPr>
          <w:sz w:val="24"/>
        </w:rPr>
        <w:t>the</w:t>
      </w:r>
      <w:r>
        <w:rPr>
          <w:spacing w:val="-16"/>
          <w:sz w:val="24"/>
        </w:rPr>
        <w:t> </w:t>
      </w:r>
      <w:r>
        <w:rPr>
          <w:sz w:val="24"/>
        </w:rPr>
        <w:t>sample</w:t>
      </w:r>
      <w:r>
        <w:rPr>
          <w:spacing w:val="-16"/>
          <w:sz w:val="24"/>
        </w:rPr>
        <w:t> </w:t>
      </w:r>
      <w:r>
        <w:rPr>
          <w:sz w:val="24"/>
        </w:rPr>
        <w:t>with</w:t>
      </w:r>
      <w:r>
        <w:rPr>
          <w:spacing w:val="-16"/>
          <w:sz w:val="24"/>
        </w:rPr>
        <w:t> </w:t>
      </w:r>
      <w:r>
        <w:rPr>
          <w:sz w:val="24"/>
        </w:rPr>
        <w:t>the</w:t>
      </w:r>
      <w:r>
        <w:rPr>
          <w:spacing w:val="-10"/>
          <w:sz w:val="24"/>
        </w:rPr>
        <w:t> </w:t>
      </w:r>
      <w:r>
        <w:rPr>
          <w:sz w:val="24"/>
        </w:rPr>
        <w:t>largest</w:t>
      </w:r>
      <w:r>
        <w:rPr>
          <w:spacing w:val="-16"/>
          <w:sz w:val="24"/>
        </w:rPr>
        <w:t> </w:t>
      </w:r>
      <w:r>
        <w:rPr>
          <w:sz w:val="24"/>
        </w:rPr>
        <w:t>COD</w:t>
      </w:r>
      <w:r>
        <w:rPr>
          <w:spacing w:val="-17"/>
          <w:sz w:val="24"/>
        </w:rPr>
        <w:t> </w:t>
      </w:r>
      <w:r>
        <w:rPr>
          <w:sz w:val="24"/>
        </w:rPr>
        <w:t>in</w:t>
      </w:r>
      <w:r>
        <w:rPr>
          <w:spacing w:val="-16"/>
          <w:sz w:val="24"/>
        </w:rPr>
        <w:t> </w:t>
      </w:r>
      <w:r>
        <w:rPr>
          <w:sz w:val="24"/>
        </w:rPr>
        <w:t>the</w:t>
      </w:r>
      <w:r>
        <w:rPr>
          <w:spacing w:val="-16"/>
          <w:sz w:val="24"/>
        </w:rPr>
        <w:t> </w:t>
      </w:r>
      <w:r>
        <w:rPr>
          <w:sz w:val="24"/>
        </w:rPr>
        <w:t>range</w:t>
      </w:r>
      <w:r>
        <w:rPr>
          <w:spacing w:val="-16"/>
          <w:sz w:val="24"/>
        </w:rPr>
        <w:t> </w:t>
      </w:r>
      <w:r>
        <w:rPr>
          <w:sz w:val="24"/>
        </w:rPr>
        <w:t>of</w:t>
      </w:r>
      <w:r>
        <w:rPr>
          <w:spacing w:val="-14"/>
          <w:sz w:val="24"/>
        </w:rPr>
        <w:t> </w:t>
      </w:r>
      <w:r>
        <w:rPr>
          <w:sz w:val="24"/>
        </w:rPr>
        <w:t>interest of this work was used throughout this procedure. The oxidizing solution was </w:t>
      </w:r>
      <w:r>
        <w:rPr>
          <w:position w:val="1"/>
          <w:sz w:val="24"/>
        </w:rPr>
        <w:t>prepared by adding 5.2 mL H</w:t>
      </w:r>
      <w:r>
        <w:rPr>
          <w:sz w:val="16"/>
        </w:rPr>
        <w:t>2</w:t>
      </w:r>
      <w:r>
        <w:rPr>
          <w:position w:val="1"/>
          <w:sz w:val="24"/>
        </w:rPr>
        <w:t>O</w:t>
      </w:r>
      <w:r>
        <w:rPr>
          <w:sz w:val="16"/>
        </w:rPr>
        <w:t>2 </w:t>
      </w:r>
      <w:r>
        <w:rPr>
          <w:position w:val="1"/>
          <w:sz w:val="24"/>
        </w:rPr>
        <w:t>(J. T. Baker, 30%) to 500.0 mL of the water sample,</w:t>
      </w:r>
      <w:r>
        <w:rPr>
          <w:spacing w:val="-13"/>
          <w:position w:val="1"/>
          <w:sz w:val="24"/>
        </w:rPr>
        <w:t> </w:t>
      </w:r>
      <w:r>
        <w:rPr>
          <w:position w:val="1"/>
          <w:sz w:val="24"/>
        </w:rPr>
        <w:t>followed</w:t>
      </w:r>
      <w:r>
        <w:rPr>
          <w:spacing w:val="-11"/>
          <w:position w:val="1"/>
          <w:sz w:val="24"/>
        </w:rPr>
        <w:t> </w:t>
      </w:r>
      <w:r>
        <w:rPr>
          <w:position w:val="1"/>
          <w:sz w:val="24"/>
        </w:rPr>
        <w:t>by</w:t>
      </w:r>
      <w:r>
        <w:rPr>
          <w:spacing w:val="-14"/>
          <w:position w:val="1"/>
          <w:sz w:val="24"/>
        </w:rPr>
        <w:t> </w:t>
      </w:r>
      <w:r>
        <w:rPr>
          <w:position w:val="1"/>
          <w:sz w:val="24"/>
        </w:rPr>
        <w:t>167.0</w:t>
      </w:r>
      <w:r>
        <w:rPr>
          <w:spacing w:val="-10"/>
          <w:position w:val="1"/>
          <w:sz w:val="24"/>
        </w:rPr>
        <w:t> </w:t>
      </w:r>
      <w:r>
        <w:rPr>
          <w:position w:val="1"/>
          <w:sz w:val="24"/>
        </w:rPr>
        <w:t>mL</w:t>
      </w:r>
      <w:r>
        <w:rPr>
          <w:spacing w:val="-11"/>
          <w:position w:val="1"/>
          <w:sz w:val="24"/>
        </w:rPr>
        <w:t> </w:t>
      </w:r>
      <w:r>
        <w:rPr>
          <w:position w:val="1"/>
          <w:sz w:val="24"/>
        </w:rPr>
        <w:t>of</w:t>
      </w:r>
      <w:r>
        <w:rPr>
          <w:spacing w:val="-9"/>
          <w:position w:val="1"/>
          <w:sz w:val="24"/>
        </w:rPr>
        <w:t> </w:t>
      </w:r>
      <w:r>
        <w:rPr>
          <w:position w:val="1"/>
          <w:sz w:val="24"/>
        </w:rPr>
        <w:t>H</w:t>
      </w:r>
      <w:r>
        <w:rPr>
          <w:sz w:val="16"/>
        </w:rPr>
        <w:t>2</w:t>
      </w:r>
      <w:r>
        <w:rPr>
          <w:position w:val="1"/>
          <w:sz w:val="24"/>
        </w:rPr>
        <w:t>SO</w:t>
      </w:r>
      <w:r>
        <w:rPr>
          <w:sz w:val="16"/>
        </w:rPr>
        <w:t>4</w:t>
      </w:r>
      <w:r>
        <w:rPr>
          <w:spacing w:val="10"/>
          <w:sz w:val="16"/>
        </w:rPr>
        <w:t> </w:t>
      </w:r>
      <w:r>
        <w:rPr>
          <w:position w:val="1"/>
          <w:sz w:val="24"/>
        </w:rPr>
        <w:t>and</w:t>
      </w:r>
      <w:r>
        <w:rPr>
          <w:spacing w:val="-11"/>
          <w:position w:val="1"/>
          <w:sz w:val="24"/>
        </w:rPr>
        <w:t> </w:t>
      </w:r>
      <w:r>
        <w:rPr>
          <w:position w:val="1"/>
          <w:sz w:val="24"/>
        </w:rPr>
        <w:t>33.3032</w:t>
      </w:r>
      <w:r>
        <w:rPr>
          <w:spacing w:val="-11"/>
          <w:position w:val="1"/>
          <w:sz w:val="24"/>
        </w:rPr>
        <w:t> </w:t>
      </w:r>
      <w:r>
        <w:rPr>
          <w:position w:val="1"/>
          <w:sz w:val="24"/>
        </w:rPr>
        <w:t>g</w:t>
      </w:r>
      <w:r>
        <w:rPr>
          <w:spacing w:val="-13"/>
          <w:position w:val="1"/>
          <w:sz w:val="24"/>
        </w:rPr>
        <w:t> </w:t>
      </w:r>
      <w:r>
        <w:rPr>
          <w:position w:val="1"/>
          <w:sz w:val="24"/>
        </w:rPr>
        <w:t>of</w:t>
      </w:r>
      <w:r>
        <w:rPr>
          <w:spacing w:val="-9"/>
          <w:position w:val="1"/>
          <w:sz w:val="24"/>
        </w:rPr>
        <w:t> </w:t>
      </w:r>
      <w:r>
        <w:rPr>
          <w:position w:val="1"/>
          <w:sz w:val="24"/>
        </w:rPr>
        <w:t>HgSO</w:t>
      </w:r>
      <w:r>
        <w:rPr>
          <w:sz w:val="16"/>
        </w:rPr>
        <w:t>4</w:t>
      </w:r>
      <w:r>
        <w:rPr>
          <w:position w:val="1"/>
          <w:sz w:val="24"/>
        </w:rPr>
        <w:t>.</w:t>
      </w:r>
      <w:r>
        <w:rPr>
          <w:spacing w:val="-11"/>
          <w:position w:val="1"/>
          <w:sz w:val="24"/>
        </w:rPr>
        <w:t> </w:t>
      </w:r>
      <w:r>
        <w:rPr>
          <w:position w:val="1"/>
          <w:sz w:val="24"/>
        </w:rPr>
        <w:t>This</w:t>
      </w:r>
      <w:r>
        <w:rPr>
          <w:spacing w:val="-12"/>
          <w:position w:val="1"/>
          <w:sz w:val="24"/>
        </w:rPr>
        <w:t> </w:t>
      </w:r>
      <w:r>
        <w:rPr>
          <w:position w:val="1"/>
          <w:sz w:val="24"/>
        </w:rPr>
        <w:t>mixture</w:t>
      </w:r>
      <w:r>
        <w:rPr>
          <w:spacing w:val="-11"/>
          <w:position w:val="1"/>
          <w:sz w:val="24"/>
        </w:rPr>
        <w:t> </w:t>
      </w:r>
      <w:r>
        <w:rPr>
          <w:position w:val="1"/>
          <w:sz w:val="24"/>
        </w:rPr>
        <w:t>was </w:t>
      </w:r>
      <w:r>
        <w:rPr>
          <w:sz w:val="24"/>
        </w:rPr>
        <w:t>then diluted to 1000 mL with distilled water [Carbajal-Palacios et al. 2012]. The acidic catalyst solution was prepared as in</w:t>
      </w:r>
      <w:r>
        <w:rPr>
          <w:spacing w:val="-12"/>
          <w:sz w:val="24"/>
        </w:rPr>
        <w:t> </w:t>
      </w:r>
      <w:r>
        <w:rPr>
          <w:sz w:val="24"/>
        </w:rPr>
        <w:t>1.1.</w:t>
      </w:r>
    </w:p>
    <w:p>
      <w:pPr>
        <w:pStyle w:val="BodyText"/>
      </w:pPr>
    </w:p>
    <w:p>
      <w:pPr>
        <w:pStyle w:val="ListParagraph"/>
        <w:numPr>
          <w:ilvl w:val="1"/>
          <w:numId w:val="8"/>
        </w:numPr>
        <w:tabs>
          <w:tab w:pos="1831" w:val="left" w:leader="none"/>
        </w:tabs>
        <w:spacing w:line="360" w:lineRule="auto" w:before="142" w:after="0"/>
        <w:ind w:left="1370" w:right="571" w:firstLine="0"/>
        <w:jc w:val="both"/>
        <w:rPr>
          <w:sz w:val="24"/>
        </w:rPr>
      </w:pPr>
      <w:r>
        <w:rPr>
          <w:position w:val="1"/>
          <w:sz w:val="24"/>
        </w:rPr>
        <w:t>Method #3 (Decreased amount of Ag</w:t>
      </w:r>
      <w:r>
        <w:rPr>
          <w:sz w:val="16"/>
        </w:rPr>
        <w:t>2</w:t>
      </w:r>
      <w:r>
        <w:rPr>
          <w:position w:val="1"/>
          <w:sz w:val="24"/>
        </w:rPr>
        <w:t>SO</w:t>
      </w:r>
      <w:r>
        <w:rPr>
          <w:sz w:val="16"/>
        </w:rPr>
        <w:t>4</w:t>
      </w:r>
      <w:r>
        <w:rPr>
          <w:position w:val="1"/>
          <w:sz w:val="24"/>
        </w:rPr>
        <w:t>). The catalytic solution for the </w:t>
      </w:r>
      <w:r>
        <w:rPr>
          <w:sz w:val="24"/>
        </w:rPr>
        <w:t>experiments aimed at achieving a silver sulfate decrease was prepared dissolving </w:t>
      </w:r>
      <w:r>
        <w:rPr>
          <w:position w:val="1"/>
          <w:sz w:val="24"/>
        </w:rPr>
        <w:t>7.5015 g of Ag</w:t>
      </w:r>
      <w:r>
        <w:rPr>
          <w:sz w:val="16"/>
        </w:rPr>
        <w:t>2</w:t>
      </w:r>
      <w:r>
        <w:rPr>
          <w:position w:val="1"/>
          <w:sz w:val="24"/>
        </w:rPr>
        <w:t>SO</w:t>
      </w:r>
      <w:r>
        <w:rPr>
          <w:sz w:val="16"/>
        </w:rPr>
        <w:t>4 </w:t>
      </w:r>
      <w:r>
        <w:rPr>
          <w:position w:val="1"/>
          <w:sz w:val="24"/>
        </w:rPr>
        <w:t>in 1 L of H</w:t>
      </w:r>
      <w:r>
        <w:rPr>
          <w:sz w:val="16"/>
        </w:rPr>
        <w:t>2</w:t>
      </w:r>
      <w:r>
        <w:rPr>
          <w:position w:val="1"/>
          <w:sz w:val="24"/>
        </w:rPr>
        <w:t>SO</w:t>
      </w:r>
      <w:r>
        <w:rPr>
          <w:sz w:val="16"/>
        </w:rPr>
        <w:t>4</w:t>
      </w:r>
      <w:r>
        <w:rPr>
          <w:position w:val="1"/>
          <w:sz w:val="24"/>
        </w:rPr>
        <w:t>. Complete dissolution was achieved after two </w:t>
      </w:r>
      <w:r>
        <w:rPr>
          <w:sz w:val="24"/>
        </w:rPr>
        <w:t>days and the resulting solution was stored in an opaque container to prevent its photodecomposition. The oxidizing solution was prepared as in</w:t>
      </w:r>
      <w:r>
        <w:rPr>
          <w:spacing w:val="-15"/>
          <w:sz w:val="24"/>
        </w:rPr>
        <w:t> </w:t>
      </w:r>
      <w:r>
        <w:rPr>
          <w:sz w:val="24"/>
        </w:rPr>
        <w:t>1.2.</w:t>
      </w:r>
    </w:p>
    <w:p>
      <w:pPr>
        <w:pStyle w:val="BodyText"/>
      </w:pPr>
    </w:p>
    <w:p>
      <w:pPr>
        <w:pStyle w:val="ListParagraph"/>
        <w:numPr>
          <w:ilvl w:val="1"/>
          <w:numId w:val="8"/>
        </w:numPr>
        <w:tabs>
          <w:tab w:pos="1785" w:val="left" w:leader="none"/>
        </w:tabs>
        <w:spacing w:line="360" w:lineRule="auto" w:before="142" w:after="0"/>
        <w:ind w:left="1370" w:right="569" w:firstLine="0"/>
        <w:jc w:val="both"/>
        <w:rPr>
          <w:sz w:val="24"/>
        </w:rPr>
      </w:pPr>
      <w:r>
        <w:rPr>
          <w:sz w:val="24"/>
        </w:rPr>
        <w:t>Method #4 (With UV irradiation). The oxidant solution was prepared as in 1.2 and the catalyst solution was prepared as in 1.3. UV light was then irradiated onto </w:t>
      </w:r>
      <w:r>
        <w:rPr>
          <w:position w:val="1"/>
          <w:sz w:val="24"/>
        </w:rPr>
        <w:t>the sample to decompose H</w:t>
      </w:r>
      <w:r>
        <w:rPr>
          <w:sz w:val="16"/>
        </w:rPr>
        <w:t>2</w:t>
      </w:r>
      <w:r>
        <w:rPr>
          <w:position w:val="1"/>
          <w:sz w:val="24"/>
        </w:rPr>
        <w:t>O</w:t>
      </w:r>
      <w:r>
        <w:rPr>
          <w:sz w:val="16"/>
        </w:rPr>
        <w:t>2 </w:t>
      </w:r>
      <w:r>
        <w:rPr>
          <w:position w:val="1"/>
          <w:sz w:val="24"/>
        </w:rPr>
        <w:t>and reduce reaction time (Mineral light camp, </w:t>
      </w:r>
      <w:r>
        <w:rPr>
          <w:sz w:val="24"/>
        </w:rPr>
        <w:t>model UVGL-58, multiband UV-254/366 nm, 18 </w:t>
      </w:r>
      <w:r>
        <w:rPr>
          <w:spacing w:val="2"/>
          <w:sz w:val="24"/>
        </w:rPr>
        <w:t>W). </w:t>
      </w:r>
      <w:r>
        <w:rPr>
          <w:sz w:val="24"/>
        </w:rPr>
        <w:t>Several exposure times were tested in triplicate: 30, 40, 50 and 60</w:t>
      </w:r>
      <w:r>
        <w:rPr>
          <w:spacing w:val="-18"/>
          <w:sz w:val="24"/>
        </w:rPr>
        <w:t> </w:t>
      </w:r>
      <w:r>
        <w:rPr>
          <w:sz w:val="24"/>
        </w:rPr>
        <w:t>min.</w:t>
      </w:r>
    </w:p>
    <w:p>
      <w:pPr>
        <w:pStyle w:val="BodyText"/>
      </w:pPr>
    </w:p>
    <w:p>
      <w:pPr>
        <w:pStyle w:val="BodyText"/>
      </w:pPr>
    </w:p>
    <w:p>
      <w:pPr>
        <w:pStyle w:val="BodyText"/>
        <w:spacing w:before="5"/>
      </w:pPr>
    </w:p>
    <w:p>
      <w:pPr>
        <w:pStyle w:val="Heading6"/>
        <w:numPr>
          <w:ilvl w:val="0"/>
          <w:numId w:val="8"/>
        </w:numPr>
        <w:tabs>
          <w:tab w:pos="1382" w:val="left" w:leader="none"/>
        </w:tabs>
        <w:spacing w:line="240" w:lineRule="auto" w:before="0" w:after="0"/>
        <w:ind w:left="1382" w:right="0" w:hanging="360"/>
        <w:jc w:val="left"/>
        <w:rPr>
          <w:rFonts w:ascii="Times New Roman"/>
          <w:color w:val="333333"/>
        </w:rPr>
      </w:pPr>
      <w:r>
        <w:rPr/>
        <w:t>COD</w:t>
      </w:r>
      <w:r>
        <w:rPr>
          <w:spacing w:val="-1"/>
        </w:rPr>
        <w:t> </w:t>
      </w:r>
      <w:r>
        <w:rPr/>
        <w:t>Determination</w:t>
      </w:r>
    </w:p>
    <w:p>
      <w:pPr>
        <w:pStyle w:val="BodyText"/>
        <w:rPr>
          <w:b/>
        </w:rPr>
      </w:pPr>
    </w:p>
    <w:p>
      <w:pPr>
        <w:pStyle w:val="BodyText"/>
        <w:spacing w:before="10"/>
        <w:rPr>
          <w:b/>
          <w:sz w:val="23"/>
        </w:rPr>
      </w:pPr>
    </w:p>
    <w:p>
      <w:pPr>
        <w:pStyle w:val="ListParagraph"/>
        <w:numPr>
          <w:ilvl w:val="1"/>
          <w:numId w:val="8"/>
        </w:numPr>
        <w:tabs>
          <w:tab w:pos="1742" w:val="left" w:leader="none"/>
        </w:tabs>
        <w:spacing w:line="240" w:lineRule="auto" w:before="0" w:after="0"/>
        <w:ind w:left="1370" w:right="0" w:firstLine="12"/>
        <w:jc w:val="both"/>
        <w:rPr>
          <w:rFonts w:ascii="Times New Roman"/>
          <w:sz w:val="24"/>
        </w:rPr>
      </w:pPr>
      <w:r>
        <w:rPr>
          <w:position w:val="1"/>
          <w:sz w:val="24"/>
        </w:rPr>
        <w:t>Decrease of the Ag</w:t>
      </w:r>
      <w:r>
        <w:rPr>
          <w:sz w:val="16"/>
        </w:rPr>
        <w:t>2</w:t>
      </w:r>
      <w:r>
        <w:rPr>
          <w:position w:val="1"/>
          <w:sz w:val="24"/>
        </w:rPr>
        <w:t>SO</w:t>
      </w:r>
      <w:r>
        <w:rPr>
          <w:sz w:val="16"/>
        </w:rPr>
        <w:t>4 </w:t>
      </w:r>
      <w:r>
        <w:rPr>
          <w:position w:val="1"/>
          <w:sz w:val="24"/>
        </w:rPr>
        <w:t>concentration (Method</w:t>
      </w:r>
      <w:r>
        <w:rPr>
          <w:spacing w:val="-19"/>
          <w:position w:val="1"/>
          <w:sz w:val="24"/>
        </w:rPr>
        <w:t> </w:t>
      </w:r>
      <w:r>
        <w:rPr>
          <w:position w:val="1"/>
          <w:sz w:val="24"/>
        </w:rPr>
        <w:t>#3).</w:t>
      </w:r>
    </w:p>
    <w:p>
      <w:pPr>
        <w:pStyle w:val="BodyText"/>
        <w:spacing w:line="362" w:lineRule="auto" w:before="136"/>
        <w:ind w:left="1370" w:right="568"/>
        <w:jc w:val="both"/>
      </w:pPr>
      <w:r>
        <w:rPr>
          <w:position w:val="1"/>
        </w:rPr>
        <w:t>Two different concentrations of Ag</w:t>
      </w:r>
      <w:r>
        <w:rPr>
          <w:sz w:val="16"/>
        </w:rPr>
        <w:t>2</w:t>
      </w:r>
      <w:r>
        <w:rPr>
          <w:position w:val="1"/>
        </w:rPr>
        <w:t>SO</w:t>
      </w:r>
      <w:r>
        <w:rPr>
          <w:sz w:val="16"/>
        </w:rPr>
        <w:t>4 </w:t>
      </w:r>
      <w:r>
        <w:rPr>
          <w:position w:val="1"/>
        </w:rPr>
        <w:t>were tested: 0.0481 M (standard </w:t>
      </w:r>
      <w:r>
        <w:rPr/>
        <w:t>concentration) and 0.0241 M.</w:t>
      </w:r>
    </w:p>
    <w:p>
      <w:pPr>
        <w:pStyle w:val="BodyText"/>
      </w:pPr>
    </w:p>
    <w:p>
      <w:pPr>
        <w:pStyle w:val="ListParagraph"/>
        <w:numPr>
          <w:ilvl w:val="1"/>
          <w:numId w:val="8"/>
        </w:numPr>
        <w:tabs>
          <w:tab w:pos="1742" w:val="left" w:leader="none"/>
        </w:tabs>
        <w:spacing w:line="357" w:lineRule="auto" w:before="139" w:after="0"/>
        <w:ind w:left="1370" w:right="2602" w:firstLine="12"/>
        <w:jc w:val="left"/>
        <w:rPr>
          <w:rFonts w:ascii="Times New Roman"/>
          <w:sz w:val="24"/>
        </w:rPr>
      </w:pPr>
      <w:r>
        <w:rPr>
          <w:sz w:val="24"/>
        </w:rPr>
        <w:t>Decrease of reaction time with UV light (Method #4). Samples were exposed to UV light during 30, 40, 50 or 60</w:t>
      </w:r>
      <w:r>
        <w:rPr>
          <w:spacing w:val="-27"/>
          <w:sz w:val="24"/>
        </w:rPr>
        <w:t> </w:t>
      </w:r>
      <w:r>
        <w:rPr>
          <w:sz w:val="24"/>
        </w:rPr>
        <w:t>min.</w:t>
      </w:r>
    </w:p>
    <w:p>
      <w:pPr>
        <w:pStyle w:val="BodyText"/>
      </w:pPr>
    </w:p>
    <w:p>
      <w:pPr>
        <w:pStyle w:val="ListParagraph"/>
        <w:numPr>
          <w:ilvl w:val="1"/>
          <w:numId w:val="8"/>
        </w:numPr>
        <w:tabs>
          <w:tab w:pos="1742" w:val="left" w:leader="none"/>
        </w:tabs>
        <w:spacing w:line="240" w:lineRule="auto" w:before="144" w:after="0"/>
        <w:ind w:left="1742" w:right="0" w:hanging="360"/>
        <w:jc w:val="both"/>
        <w:rPr>
          <w:rFonts w:ascii="Times New Roman"/>
          <w:sz w:val="24"/>
        </w:rPr>
      </w:pPr>
      <w:r>
        <w:rPr>
          <w:sz w:val="24"/>
        </w:rPr>
        <w:t>Tube preparation and absorbance</w:t>
      </w:r>
      <w:r>
        <w:rPr>
          <w:spacing w:val="-23"/>
          <w:sz w:val="24"/>
        </w:rPr>
        <w:t> </w:t>
      </w:r>
      <w:r>
        <w:rPr>
          <w:sz w:val="24"/>
        </w:rPr>
        <w:t>readings</w:t>
      </w:r>
    </w:p>
    <w:p>
      <w:pPr>
        <w:spacing w:after="0" w:line="240" w:lineRule="auto"/>
        <w:jc w:val="both"/>
        <w:rPr>
          <w:rFonts w:ascii="Times New Roman"/>
          <w:sz w:val="24"/>
        </w:rPr>
        <w:sectPr>
          <w:footerReference w:type="default" r:id="rId29"/>
          <w:pgSz w:w="12240" w:h="15840"/>
          <w:pgMar w:footer="654" w:header="0" w:top="1500" w:bottom="840" w:left="1040" w:right="560"/>
          <w:pgNumType w:start="62"/>
        </w:sectPr>
      </w:pPr>
    </w:p>
    <w:p>
      <w:pPr>
        <w:pStyle w:val="ListParagraph"/>
        <w:numPr>
          <w:ilvl w:val="0"/>
          <w:numId w:val="9"/>
        </w:numPr>
        <w:tabs>
          <w:tab w:pos="1629" w:val="left" w:leader="none"/>
        </w:tabs>
        <w:spacing w:line="360" w:lineRule="auto" w:before="46" w:after="0"/>
        <w:ind w:left="1370" w:right="569" w:firstLine="0"/>
        <w:jc w:val="both"/>
        <w:rPr>
          <w:sz w:val="24"/>
        </w:rPr>
      </w:pPr>
      <w:r>
        <w:rPr>
          <w:position w:val="1"/>
          <w:sz w:val="24"/>
        </w:rPr>
        <w:t>1000 mg</w:t>
      </w:r>
      <w:r>
        <w:rPr>
          <w:sz w:val="16"/>
        </w:rPr>
        <w:t>COD</w:t>
      </w:r>
      <w:r>
        <w:rPr>
          <w:position w:val="1"/>
          <w:sz w:val="24"/>
        </w:rPr>
        <w:t>/L-stock solutions were prepared for each of the four methods </w:t>
      </w:r>
      <w:r>
        <w:rPr>
          <w:sz w:val="24"/>
        </w:rPr>
        <w:t>described</w:t>
      </w:r>
      <w:r>
        <w:rPr>
          <w:spacing w:val="-12"/>
          <w:sz w:val="24"/>
        </w:rPr>
        <w:t> </w:t>
      </w:r>
      <w:r>
        <w:rPr>
          <w:sz w:val="24"/>
        </w:rPr>
        <w:t>above</w:t>
      </w:r>
      <w:r>
        <w:rPr>
          <w:spacing w:val="-12"/>
          <w:sz w:val="24"/>
        </w:rPr>
        <w:t> </w:t>
      </w:r>
      <w:r>
        <w:rPr>
          <w:sz w:val="24"/>
        </w:rPr>
        <w:t>by</w:t>
      </w:r>
      <w:r>
        <w:rPr>
          <w:spacing w:val="-13"/>
          <w:sz w:val="24"/>
        </w:rPr>
        <w:t> </w:t>
      </w:r>
      <w:r>
        <w:rPr>
          <w:sz w:val="24"/>
        </w:rPr>
        <w:t>drying</w:t>
      </w:r>
      <w:r>
        <w:rPr>
          <w:spacing w:val="-11"/>
          <w:sz w:val="24"/>
        </w:rPr>
        <w:t> </w:t>
      </w:r>
      <w:r>
        <w:rPr>
          <w:sz w:val="24"/>
        </w:rPr>
        <w:t>potassium</w:t>
      </w:r>
      <w:r>
        <w:rPr>
          <w:spacing w:val="-10"/>
          <w:sz w:val="24"/>
        </w:rPr>
        <w:t> </w:t>
      </w:r>
      <w:r>
        <w:rPr>
          <w:sz w:val="24"/>
        </w:rPr>
        <w:t>hydrogen</w:t>
      </w:r>
      <w:r>
        <w:rPr>
          <w:spacing w:val="-12"/>
          <w:sz w:val="24"/>
        </w:rPr>
        <w:t> </w:t>
      </w:r>
      <w:r>
        <w:rPr>
          <w:sz w:val="24"/>
        </w:rPr>
        <w:t>phthalate</w:t>
      </w:r>
      <w:r>
        <w:rPr>
          <w:spacing w:val="-11"/>
          <w:sz w:val="24"/>
        </w:rPr>
        <w:t> </w:t>
      </w:r>
      <w:r>
        <w:rPr>
          <w:sz w:val="24"/>
        </w:rPr>
        <w:t>(KHP,</w:t>
      </w:r>
      <w:r>
        <w:rPr>
          <w:spacing w:val="-12"/>
          <w:sz w:val="24"/>
        </w:rPr>
        <w:t> </w:t>
      </w:r>
      <w:r>
        <w:rPr>
          <w:sz w:val="24"/>
        </w:rPr>
        <w:t>100%,</w:t>
      </w:r>
      <w:r>
        <w:rPr>
          <w:spacing w:val="-9"/>
          <w:sz w:val="24"/>
        </w:rPr>
        <w:t> </w:t>
      </w:r>
      <w:r>
        <w:rPr>
          <w:sz w:val="24"/>
        </w:rPr>
        <w:t>J.T.</w:t>
      </w:r>
      <w:r>
        <w:rPr>
          <w:spacing w:val="-12"/>
          <w:sz w:val="24"/>
        </w:rPr>
        <w:t> </w:t>
      </w:r>
      <w:r>
        <w:rPr>
          <w:sz w:val="24"/>
        </w:rPr>
        <w:t>Baker) at 110 °C during 2 h and dissolving 0.8514 g in distilled water to a final volume of 1000.0 mL. Standard dilutions were then prepared from such stock solutions as follows: 30, 40, 50, 70, 90, 100, 200, 300, 400, 500, and 600 mg of COD /</w:t>
      </w:r>
      <w:r>
        <w:rPr>
          <w:spacing w:val="-35"/>
          <w:sz w:val="24"/>
        </w:rPr>
        <w:t> </w:t>
      </w:r>
      <w:r>
        <w:rPr>
          <w:sz w:val="24"/>
        </w:rPr>
        <w:t>L.</w:t>
      </w:r>
    </w:p>
    <w:p>
      <w:pPr>
        <w:pStyle w:val="BodyText"/>
      </w:pPr>
    </w:p>
    <w:p>
      <w:pPr>
        <w:pStyle w:val="ListParagraph"/>
        <w:numPr>
          <w:ilvl w:val="0"/>
          <w:numId w:val="9"/>
        </w:numPr>
        <w:tabs>
          <w:tab w:pos="1632" w:val="left" w:leader="none"/>
        </w:tabs>
        <w:spacing w:line="360" w:lineRule="auto" w:before="142" w:after="0"/>
        <w:ind w:left="1370" w:right="580" w:firstLine="0"/>
        <w:jc w:val="both"/>
        <w:rPr>
          <w:sz w:val="24"/>
        </w:rPr>
      </w:pPr>
      <w:r>
        <w:rPr>
          <w:sz w:val="24"/>
        </w:rPr>
        <w:t>The final digestion solution was prepared for each method by mixing 1.5 mL of the corresponding oxidizer, 3.5 mL of the catalyst solution and 2.5 mL of water or sample.</w:t>
      </w:r>
    </w:p>
    <w:p>
      <w:pPr>
        <w:pStyle w:val="BodyText"/>
      </w:pPr>
    </w:p>
    <w:p>
      <w:pPr>
        <w:pStyle w:val="ListParagraph"/>
        <w:numPr>
          <w:ilvl w:val="0"/>
          <w:numId w:val="9"/>
        </w:numPr>
        <w:tabs>
          <w:tab w:pos="1737" w:val="left" w:leader="none"/>
        </w:tabs>
        <w:spacing w:line="360" w:lineRule="auto" w:before="142" w:after="0"/>
        <w:ind w:left="1370" w:right="570" w:firstLine="0"/>
        <w:jc w:val="both"/>
        <w:rPr>
          <w:sz w:val="24"/>
        </w:rPr>
      </w:pPr>
      <w:r>
        <w:rPr>
          <w:sz w:val="24"/>
        </w:rPr>
        <w:t>For the standard COD determination a calibration curve was obtained as described in the international standard [APHA, 1998] using a UV-Vis spectrophotometer (Perkin Elmer, Lambda 25) as</w:t>
      </w:r>
      <w:r>
        <w:rPr>
          <w:spacing w:val="-26"/>
          <w:sz w:val="24"/>
        </w:rPr>
        <w:t> </w:t>
      </w:r>
      <w:r>
        <w:rPr>
          <w:sz w:val="24"/>
        </w:rPr>
        <w:t>follows:</w:t>
      </w:r>
    </w:p>
    <w:p>
      <w:pPr>
        <w:pStyle w:val="BodyText"/>
      </w:pPr>
    </w:p>
    <w:p>
      <w:pPr>
        <w:pStyle w:val="ListParagraph"/>
        <w:numPr>
          <w:ilvl w:val="1"/>
          <w:numId w:val="9"/>
        </w:numPr>
        <w:tabs>
          <w:tab w:pos="2437" w:val="left" w:leader="none"/>
          <w:tab w:pos="2438" w:val="left" w:leader="none"/>
        </w:tabs>
        <w:spacing w:line="350" w:lineRule="auto" w:before="142" w:after="0"/>
        <w:ind w:left="2438" w:right="568" w:hanging="360"/>
        <w:jc w:val="left"/>
        <w:rPr>
          <w:sz w:val="24"/>
        </w:rPr>
      </w:pPr>
      <w:r>
        <w:rPr>
          <w:sz w:val="24"/>
        </w:rPr>
        <w:t>Method #1: The solutions were digested for 2 h at 150 </w:t>
      </w:r>
      <w:r>
        <w:rPr>
          <w:position w:val="8"/>
          <w:sz w:val="16"/>
        </w:rPr>
        <w:t>o</w:t>
      </w:r>
      <w:r>
        <w:rPr>
          <w:sz w:val="24"/>
        </w:rPr>
        <w:t>C and their absorbances read at 620</w:t>
      </w:r>
      <w:r>
        <w:rPr>
          <w:spacing w:val="-12"/>
          <w:sz w:val="24"/>
        </w:rPr>
        <w:t> </w:t>
      </w:r>
      <w:r>
        <w:rPr>
          <w:sz w:val="24"/>
        </w:rPr>
        <w:t>nm.</w:t>
      </w:r>
    </w:p>
    <w:p>
      <w:pPr>
        <w:pStyle w:val="BodyText"/>
      </w:pPr>
    </w:p>
    <w:p>
      <w:pPr>
        <w:pStyle w:val="ListParagraph"/>
        <w:numPr>
          <w:ilvl w:val="1"/>
          <w:numId w:val="9"/>
        </w:numPr>
        <w:tabs>
          <w:tab w:pos="2437" w:val="left" w:leader="none"/>
          <w:tab w:pos="2438" w:val="left" w:leader="none"/>
          <w:tab w:pos="4863" w:val="left" w:leader="none"/>
        </w:tabs>
        <w:spacing w:line="350" w:lineRule="auto" w:before="153" w:after="0"/>
        <w:ind w:left="2438" w:right="580" w:hanging="360"/>
        <w:jc w:val="left"/>
        <w:rPr>
          <w:sz w:val="24"/>
        </w:rPr>
      </w:pPr>
      <w:r>
        <w:rPr>
          <w:sz w:val="24"/>
        </w:rPr>
        <w:t>Methods #2</w:t>
      </w:r>
      <w:r>
        <w:rPr>
          <w:spacing w:val="62"/>
          <w:sz w:val="24"/>
        </w:rPr>
        <w:t> </w:t>
      </w:r>
      <w:r>
        <w:rPr>
          <w:sz w:val="24"/>
        </w:rPr>
        <w:t>and</w:t>
      </w:r>
      <w:r>
        <w:rPr>
          <w:spacing w:val="32"/>
          <w:sz w:val="24"/>
        </w:rPr>
        <w:t> </w:t>
      </w:r>
      <w:r>
        <w:rPr>
          <w:sz w:val="24"/>
        </w:rPr>
        <w:t>#3:</w:t>
        <w:tab/>
        <w:t>The solutions were digested for 2 h   </w:t>
      </w:r>
      <w:r>
        <w:rPr>
          <w:spacing w:val="26"/>
          <w:sz w:val="24"/>
        </w:rPr>
        <w:t> </w:t>
      </w:r>
      <w:r>
        <w:rPr>
          <w:sz w:val="24"/>
        </w:rPr>
        <w:t>at</w:t>
      </w:r>
      <w:r>
        <w:rPr>
          <w:spacing w:val="30"/>
          <w:sz w:val="24"/>
        </w:rPr>
        <w:t> </w:t>
      </w:r>
      <w:r>
        <w:rPr>
          <w:sz w:val="24"/>
        </w:rPr>
        <w:t>ambient</w:t>
      </w:r>
      <w:r>
        <w:rPr>
          <w:w w:val="100"/>
          <w:sz w:val="24"/>
        </w:rPr>
        <w:t> </w:t>
      </w:r>
      <w:r>
        <w:rPr>
          <w:sz w:val="24"/>
        </w:rPr>
        <w:t>temperature.</w:t>
      </w:r>
    </w:p>
    <w:p>
      <w:pPr>
        <w:pStyle w:val="BodyText"/>
      </w:pPr>
    </w:p>
    <w:p>
      <w:pPr>
        <w:pStyle w:val="ListParagraph"/>
        <w:numPr>
          <w:ilvl w:val="1"/>
          <w:numId w:val="9"/>
        </w:numPr>
        <w:tabs>
          <w:tab w:pos="2437" w:val="left" w:leader="none"/>
          <w:tab w:pos="2438" w:val="left" w:leader="none"/>
        </w:tabs>
        <w:spacing w:line="350" w:lineRule="auto" w:before="153" w:after="0"/>
        <w:ind w:left="2438" w:right="570" w:hanging="360"/>
        <w:jc w:val="left"/>
        <w:rPr>
          <w:sz w:val="24"/>
        </w:rPr>
      </w:pPr>
      <w:r>
        <w:rPr>
          <w:sz w:val="24"/>
        </w:rPr>
        <w:t>Method #4: The solutions were digested for 1 h at ambient temperature under UV radiation and their absorbances read at 420</w:t>
      </w:r>
      <w:r>
        <w:rPr>
          <w:spacing w:val="-25"/>
          <w:sz w:val="24"/>
        </w:rPr>
        <w:t> </w:t>
      </w:r>
      <w:r>
        <w:rPr>
          <w:sz w:val="24"/>
        </w:rPr>
        <w:t>nm.</w:t>
      </w:r>
    </w:p>
    <w:p>
      <w:pPr>
        <w:pStyle w:val="BodyText"/>
      </w:pPr>
    </w:p>
    <w:p>
      <w:pPr>
        <w:pStyle w:val="ListParagraph"/>
        <w:numPr>
          <w:ilvl w:val="0"/>
          <w:numId w:val="9"/>
        </w:numPr>
        <w:tabs>
          <w:tab w:pos="1706" w:val="left" w:leader="none"/>
        </w:tabs>
        <w:spacing w:line="360" w:lineRule="auto" w:before="152" w:after="0"/>
        <w:ind w:left="1370" w:right="569" w:firstLine="0"/>
        <w:jc w:val="both"/>
        <w:rPr>
          <w:sz w:val="24"/>
        </w:rPr>
      </w:pPr>
      <w:r>
        <w:rPr>
          <w:sz w:val="24"/>
        </w:rPr>
        <w:t>A calibration curve was developed for each COD range (low/high, see below) by analyzing selected dilutions of the KHP standard solution using a 1-cm optical path quartz cell in the UV-Vis</w:t>
      </w:r>
      <w:r>
        <w:rPr>
          <w:spacing w:val="-15"/>
          <w:sz w:val="24"/>
        </w:rPr>
        <w:t> </w:t>
      </w:r>
      <w:r>
        <w:rPr>
          <w:sz w:val="24"/>
        </w:rPr>
        <w:t>spectrophotometer.</w:t>
      </w:r>
    </w:p>
    <w:p>
      <w:pPr>
        <w:pStyle w:val="BodyText"/>
      </w:pPr>
    </w:p>
    <w:p>
      <w:pPr>
        <w:pStyle w:val="ListParagraph"/>
        <w:numPr>
          <w:ilvl w:val="0"/>
          <w:numId w:val="9"/>
        </w:numPr>
        <w:tabs>
          <w:tab w:pos="1733" w:val="left" w:leader="none"/>
        </w:tabs>
        <w:spacing w:line="360" w:lineRule="auto" w:before="142" w:after="0"/>
        <w:ind w:left="1370" w:right="571" w:firstLine="0"/>
        <w:jc w:val="both"/>
        <w:rPr>
          <w:sz w:val="24"/>
        </w:rPr>
      </w:pPr>
      <w:r>
        <w:rPr>
          <w:sz w:val="24"/>
        </w:rPr>
        <w:t>These four COD determination methods were applied to real industrial wastewater samples and the results are compared</w:t>
      </w:r>
      <w:r>
        <w:rPr>
          <w:spacing w:val="-21"/>
          <w:sz w:val="24"/>
        </w:rPr>
        <w:t> </w:t>
      </w:r>
      <w:r>
        <w:rPr>
          <w:sz w:val="24"/>
        </w:rPr>
        <w:t>below.</w:t>
      </w:r>
    </w:p>
    <w:p>
      <w:pPr>
        <w:pStyle w:val="Heading4"/>
        <w:spacing w:before="1"/>
        <w:ind w:left="662" w:right="286" w:firstLine="0"/>
      </w:pPr>
      <w:r>
        <w:rPr/>
        <w:t>RESULTS AND DISCUSSION</w:t>
      </w:r>
    </w:p>
    <w:p>
      <w:pPr>
        <w:spacing w:after="0"/>
        <w:sectPr>
          <w:pgSz w:w="12240" w:h="15840"/>
          <w:pgMar w:header="0" w:footer="654" w:top="1500" w:bottom="1060" w:left="1040" w:right="560"/>
        </w:sectPr>
      </w:pPr>
    </w:p>
    <w:p>
      <w:pPr>
        <w:pStyle w:val="BodyText"/>
        <w:spacing w:before="50"/>
        <w:ind w:left="1382" w:right="286"/>
      </w:pPr>
      <w:r>
        <w:rPr>
          <w:position w:val="1"/>
        </w:rPr>
        <w:t>Decrease of the Ag</w:t>
      </w:r>
      <w:r>
        <w:rPr>
          <w:sz w:val="16"/>
        </w:rPr>
        <w:t>2</w:t>
      </w:r>
      <w:r>
        <w:rPr>
          <w:position w:val="1"/>
        </w:rPr>
        <w:t>SO</w:t>
      </w:r>
      <w:r>
        <w:rPr>
          <w:sz w:val="16"/>
        </w:rPr>
        <w:t>4 </w:t>
      </w:r>
      <w:r>
        <w:rPr>
          <w:position w:val="1"/>
        </w:rPr>
        <w:t>concentration</w:t>
      </w:r>
    </w:p>
    <w:p>
      <w:pPr>
        <w:pStyle w:val="BodyText"/>
      </w:pPr>
    </w:p>
    <w:p>
      <w:pPr>
        <w:pStyle w:val="BodyText"/>
      </w:pPr>
    </w:p>
    <w:p>
      <w:pPr>
        <w:pStyle w:val="BodyText"/>
        <w:spacing w:line="360" w:lineRule="auto"/>
        <w:ind w:left="662" w:right="567"/>
        <w:jc w:val="both"/>
      </w:pPr>
      <w:r>
        <w:rPr>
          <w:position w:val="1"/>
        </w:rPr>
        <w:t>Quintuplicate tests were performed with each of the two different Ag</w:t>
      </w:r>
      <w:r>
        <w:rPr>
          <w:sz w:val="16"/>
        </w:rPr>
        <w:t>2</w:t>
      </w:r>
      <w:r>
        <w:rPr>
          <w:position w:val="1"/>
        </w:rPr>
        <w:t>SO</w:t>
      </w:r>
      <w:r>
        <w:rPr>
          <w:sz w:val="16"/>
        </w:rPr>
        <w:t>4 </w:t>
      </w:r>
      <w:r>
        <w:rPr>
          <w:position w:val="1"/>
        </w:rPr>
        <w:t>concentrations. </w:t>
      </w:r>
      <w:r>
        <w:rPr/>
        <w:t>Halving the original concentration to 0.024 M yielded a very good linear correlation, as </w:t>
      </w:r>
      <w:r>
        <w:rPr>
          <w:position w:val="1"/>
        </w:rPr>
        <w:t>shown in Figures 1a (low COD range, 30-90 mg O</w:t>
      </w:r>
      <w:r>
        <w:rPr>
          <w:sz w:val="16"/>
        </w:rPr>
        <w:t>2</w:t>
      </w:r>
      <w:r>
        <w:rPr>
          <w:position w:val="1"/>
        </w:rPr>
        <w:t>/L) and 1b (high COD range, 100-600 mg O</w:t>
      </w:r>
      <w:r>
        <w:rPr>
          <w:sz w:val="16"/>
        </w:rPr>
        <w:t>2</w:t>
      </w:r>
      <w:r>
        <w:rPr>
          <w:position w:val="1"/>
        </w:rPr>
        <w:t>/L). It is noteworthy that the standard deviations are larger in the low range </w:t>
      </w:r>
      <w:r>
        <w:rPr/>
        <w:t>determinations; nonetheless these values are still small.</w:t>
      </w:r>
    </w:p>
    <w:p>
      <w:pPr>
        <w:pStyle w:val="Heading6"/>
        <w:spacing w:before="5"/>
      </w:pPr>
      <w:r>
        <w:rPr/>
        <w:pict>
          <v:group style="position:absolute;margin-left:158.554993pt;margin-top:20.640831pt;width:322.45pt;height:173.85pt;mso-position-horizontal-relative:page;mso-position-vertical-relative:paragraph;z-index:1552" coordorigin="3171,413" coordsize="6449,3477">
            <v:shape style="position:absolute;left:4092;top:599;width:5189;height:2604" coordorigin="4092,599" coordsize="5189,2604" path="m4157,3141l4157,599m4092,3141l4157,3141m4092,2632l4157,2632m4092,2123l4157,2123m4092,1615l4157,1615m4092,1106l4157,1106m4092,599l4157,599m4157,3141l9281,3141m4157,3141l4157,3203m5438,3141l5438,3203m6718,3141l6718,3203m7999,3141l7999,3203m9281,3141l9281,3203e" filled="false" stroked="true" strokeweight=".72pt" strokecolor="#858585">
              <v:path arrowok="t"/>
            </v:shape>
            <v:shape style="position:absolute;left:4752;top:873;width:3934;height:1892" coordorigin="4752,873" coordsize="3934,1892" path="m4798,2563l4798,2764m4798,2563l4798,2359m4752,2764l4841,2764m4752,2359l4841,2359m5438,2313l5438,2474m5438,2313l5438,2152m5393,2474l5482,2474m5393,2152l5482,2152m6077,1991l6077,2121m6077,1991l6077,1862m6034,2121l6122,2121m6034,1862l6122,1862m7358,1557l7358,1663m7358,1557l7358,1451m7313,1663l7404,1663m7313,1451l7404,1451m8640,969l8640,1067m8640,969l8640,873m8594,1067l8686,1067m8594,873l8686,873e" filled="false" stroked="true" strokeweight=".72pt" strokecolor="#000000">
              <v:path arrowok="t"/>
            </v:shape>
            <v:shape style="position:absolute;left:4760;top:2525;width:77;height:77" coordorigin="4760,2525" coordsize="77,77" path="m4799,2525l4760,2564,4799,2602,4837,2564,4799,2525xe" filled="true" fillcolor="#606060" stroked="false">
              <v:path arrowok="t"/>
              <v:fill type="solid"/>
            </v:shape>
            <v:shape style="position:absolute;left:4760;top:2525;width:77;height:77" coordorigin="4760,2525" coordsize="77,77" path="m4799,2525l4837,2564,4799,2602,4760,2564,4799,2525xe" filled="false" stroked="true" strokeweight=".72pt" strokecolor="#5f5f5f">
              <v:path arrowok="t"/>
            </v:shape>
            <v:shape style="position:absolute;left:5401;top:2276;width:77;height:77" coordorigin="5401,2276" coordsize="77,77" path="m5439,2276l5401,2314,5439,2352,5478,2314,5439,2276xe" filled="true" fillcolor="#606060" stroked="false">
              <v:path arrowok="t"/>
              <v:fill type="solid"/>
            </v:shape>
            <v:shape style="position:absolute;left:5401;top:2276;width:77;height:77" coordorigin="5401,2276" coordsize="77,77" path="m5439,2276l5478,2314,5439,2352,5401,2314,5439,2276xe" filled="false" stroked="true" strokeweight=".72pt" strokecolor="#5f5f5f">
              <v:path arrowok="t"/>
            </v:shape>
            <v:shape style="position:absolute;left:6039;top:1954;width:77;height:77" coordorigin="6039,1954" coordsize="77,77" path="m6078,1954l6039,1992,6078,2031,6116,1992,6078,1954xe" filled="true" fillcolor="#606060" stroked="false">
              <v:path arrowok="t"/>
              <v:fill type="solid"/>
            </v:shape>
            <v:shape style="position:absolute;left:6039;top:1954;width:77;height:77" coordorigin="6039,1954" coordsize="77,77" path="m6078,1954l6116,1992,6078,2031,6039,1992,6078,1954xe" filled="false" stroked="true" strokeweight=".72pt" strokecolor="#5f5f5f">
              <v:path arrowok="t"/>
            </v:shape>
            <v:shape style="position:absolute;left:7321;top:1520;width:77;height:77" coordorigin="7321,1520" coordsize="77,77" path="m7359,1520l7321,1558,7359,1596,7398,1558,7359,1520xe" filled="true" fillcolor="#606060" stroked="false">
              <v:path arrowok="t"/>
              <v:fill type="solid"/>
            </v:shape>
            <v:shape style="position:absolute;left:7321;top:1520;width:77;height:77" coordorigin="7321,1520" coordsize="77,77" path="m7359,1520l7398,1558,7359,1596,7321,1558,7359,1520xe" filled="false" stroked="true" strokeweight=".72pt" strokecolor="#5f5f5f">
              <v:path arrowok="t"/>
            </v:shape>
            <v:shape style="position:absolute;left:8603;top:932;width:77;height:77" coordorigin="8603,932" coordsize="77,77" path="m8641,932l8603,970,8641,1008,8679,970,8641,932xe" filled="true" fillcolor="#606060" stroked="false">
              <v:path arrowok="t"/>
              <v:fill type="solid"/>
            </v:shape>
            <v:shape style="position:absolute;left:8603;top:932;width:77;height:77" coordorigin="8603,932" coordsize="77,77" path="m8641,932l8679,970,8641,1008,8603,970,8641,932xe" filled="false" stroked="true" strokeweight=".72pt" strokecolor="#5f5f5f">
              <v:path arrowok="t"/>
            </v:shape>
            <v:line style="position:absolute" from="4798,2560" to="8640,988" stroked="true" strokeweight=".72pt" strokecolor="#000000"/>
            <v:rect style="position:absolute;left:3179;top:420;width:6434;height:3462" filled="false" stroked="true" strokeweight=".75pt" strokecolor="#858585"/>
            <v:shape style="position:absolute;left:3617;top:506;width:356;height:2234" type="#_x0000_t202" filled="false" stroked="false">
              <v:textbox inset="0,0,0,0">
                <w:txbxContent>
                  <w:p>
                    <w:pPr>
                      <w:spacing w:line="203" w:lineRule="exact" w:before="0"/>
                      <w:ind w:left="0" w:right="0" w:firstLine="0"/>
                      <w:jc w:val="center"/>
                      <w:rPr>
                        <w:rFonts w:ascii="Calibri"/>
                        <w:sz w:val="20"/>
                      </w:rPr>
                    </w:pPr>
                    <w:r>
                      <w:rPr>
                        <w:rFonts w:ascii="Calibri"/>
                        <w:sz w:val="20"/>
                      </w:rPr>
                      <w:t>0.25</w:t>
                    </w:r>
                  </w:p>
                  <w:p>
                    <w:pPr>
                      <w:spacing w:line="240" w:lineRule="auto" w:before="11"/>
                      <w:rPr>
                        <w:sz w:val="22"/>
                      </w:rPr>
                    </w:pPr>
                  </w:p>
                  <w:p>
                    <w:pPr>
                      <w:spacing w:before="0"/>
                      <w:ind w:left="99" w:right="0" w:firstLine="0"/>
                      <w:jc w:val="center"/>
                      <w:rPr>
                        <w:rFonts w:ascii="Calibri"/>
                        <w:sz w:val="20"/>
                      </w:rPr>
                    </w:pPr>
                    <w:r>
                      <w:rPr>
                        <w:rFonts w:ascii="Calibri"/>
                        <w:sz w:val="20"/>
                      </w:rPr>
                      <w:t>0.2</w:t>
                    </w:r>
                  </w:p>
                  <w:p>
                    <w:pPr>
                      <w:spacing w:line="240" w:lineRule="auto" w:before="0"/>
                      <w:rPr>
                        <w:sz w:val="23"/>
                      </w:rPr>
                    </w:pPr>
                  </w:p>
                  <w:p>
                    <w:pPr>
                      <w:spacing w:before="0"/>
                      <w:ind w:left="0" w:right="0" w:firstLine="0"/>
                      <w:jc w:val="center"/>
                      <w:rPr>
                        <w:rFonts w:ascii="Calibri"/>
                        <w:sz w:val="20"/>
                      </w:rPr>
                    </w:pPr>
                    <w:r>
                      <w:rPr>
                        <w:rFonts w:ascii="Calibri"/>
                        <w:sz w:val="20"/>
                      </w:rPr>
                      <w:t>0.15</w:t>
                    </w:r>
                  </w:p>
                  <w:p>
                    <w:pPr>
                      <w:spacing w:line="240" w:lineRule="auto" w:before="0"/>
                      <w:rPr>
                        <w:sz w:val="23"/>
                      </w:rPr>
                    </w:pPr>
                  </w:p>
                  <w:p>
                    <w:pPr>
                      <w:spacing w:before="0"/>
                      <w:ind w:left="99" w:right="0" w:firstLine="0"/>
                      <w:jc w:val="center"/>
                      <w:rPr>
                        <w:rFonts w:ascii="Calibri"/>
                        <w:sz w:val="20"/>
                      </w:rPr>
                    </w:pPr>
                    <w:r>
                      <w:rPr>
                        <w:rFonts w:ascii="Calibri"/>
                        <w:sz w:val="20"/>
                      </w:rPr>
                      <w:t>0.1</w:t>
                    </w:r>
                  </w:p>
                  <w:p>
                    <w:pPr>
                      <w:spacing w:line="240" w:lineRule="auto" w:before="11"/>
                      <w:rPr>
                        <w:sz w:val="22"/>
                      </w:rPr>
                    </w:pPr>
                  </w:p>
                  <w:p>
                    <w:pPr>
                      <w:spacing w:line="240" w:lineRule="exact" w:before="0"/>
                      <w:ind w:left="0" w:right="0" w:firstLine="0"/>
                      <w:jc w:val="center"/>
                      <w:rPr>
                        <w:rFonts w:ascii="Calibri"/>
                        <w:sz w:val="20"/>
                      </w:rPr>
                    </w:pPr>
                    <w:r>
                      <w:rPr>
                        <w:rFonts w:ascii="Calibri"/>
                        <w:sz w:val="20"/>
                      </w:rPr>
                      <w:t>0.05</w:t>
                    </w:r>
                  </w:p>
                </w:txbxContent>
              </v:textbox>
              <w10:wrap type="none"/>
            </v:shape>
            <v:shape style="position:absolute;left:6898;top:2172;width:2030;height:444" type="#_x0000_t202" filled="false" stroked="false">
              <v:textbox inset="0,0,0,0">
                <w:txbxContent>
                  <w:p>
                    <w:pPr>
                      <w:spacing w:line="203" w:lineRule="exact" w:before="0"/>
                      <w:ind w:left="0" w:right="0" w:firstLine="0"/>
                      <w:jc w:val="center"/>
                      <w:rPr>
                        <w:rFonts w:ascii="Calibri"/>
                        <w:sz w:val="20"/>
                      </w:rPr>
                    </w:pPr>
                    <w:r>
                      <w:rPr>
                        <w:rFonts w:ascii="Calibri"/>
                        <w:sz w:val="20"/>
                      </w:rPr>
                      <w:t>y = 0.0026[COD] -</w:t>
                    </w:r>
                    <w:r>
                      <w:rPr>
                        <w:rFonts w:ascii="Calibri"/>
                        <w:spacing w:val="-9"/>
                        <w:sz w:val="20"/>
                      </w:rPr>
                      <w:t> </w:t>
                    </w:r>
                    <w:r>
                      <w:rPr>
                        <w:rFonts w:ascii="Calibri"/>
                        <w:sz w:val="20"/>
                      </w:rPr>
                      <w:t>0.0202</w:t>
                    </w:r>
                  </w:p>
                  <w:p>
                    <w:pPr>
                      <w:spacing w:line="240" w:lineRule="exact" w:before="0"/>
                      <w:ind w:left="0" w:right="1" w:firstLine="0"/>
                      <w:jc w:val="center"/>
                      <w:rPr>
                        <w:rFonts w:ascii="Calibri" w:hAnsi="Calibri"/>
                        <w:sz w:val="20"/>
                      </w:rPr>
                    </w:pPr>
                    <w:r>
                      <w:rPr>
                        <w:rFonts w:ascii="Calibri" w:hAnsi="Calibri"/>
                        <w:sz w:val="20"/>
                      </w:rPr>
                      <w:t>r² = 0.9971</w:t>
                    </w:r>
                  </w:p>
                </w:txbxContent>
              </v:textbox>
              <w10:wrap type="none"/>
            </v:shape>
            <v:shape style="position:absolute;left:3870;top:304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4056;top:3308;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20</w:t>
                    </w:r>
                  </w:p>
                </w:txbxContent>
              </v:textbox>
              <w10:wrap type="none"/>
            </v:shape>
            <v:shape style="position:absolute;left:5337;top:3308;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40</w:t>
                    </w:r>
                  </w:p>
                </w:txbxContent>
              </v:textbox>
              <w10:wrap type="none"/>
            </v:shape>
            <v:shape style="position:absolute;left:6097;top:3308;width:1245;height:504" type="#_x0000_t202" filled="false" stroked="false">
              <v:textbox inset="0,0,0,0">
                <w:txbxContent>
                  <w:p>
                    <w:pPr>
                      <w:spacing w:line="203" w:lineRule="exact" w:before="0"/>
                      <w:ind w:left="0" w:right="0" w:firstLine="0"/>
                      <w:jc w:val="center"/>
                      <w:rPr>
                        <w:rFonts w:ascii="Calibri"/>
                        <w:sz w:val="20"/>
                      </w:rPr>
                    </w:pPr>
                    <w:r>
                      <w:rPr>
                        <w:rFonts w:ascii="Calibri"/>
                        <w:sz w:val="20"/>
                      </w:rPr>
                      <w:t>60</w:t>
                    </w:r>
                  </w:p>
                  <w:p>
                    <w:pPr>
                      <w:spacing w:line="240" w:lineRule="exact" w:before="60"/>
                      <w:ind w:left="0" w:right="0" w:firstLine="0"/>
                      <w:jc w:val="center"/>
                      <w:rPr>
                        <w:rFonts w:ascii="Calibri"/>
                        <w:b/>
                        <w:sz w:val="20"/>
                      </w:rPr>
                    </w:pPr>
                    <w:r>
                      <w:rPr>
                        <w:rFonts w:ascii="Calibri"/>
                        <w:b/>
                        <w:sz w:val="20"/>
                      </w:rPr>
                      <w:t>COD (mg</w:t>
                    </w:r>
                    <w:r>
                      <w:rPr>
                        <w:rFonts w:ascii="Calibri"/>
                        <w:b/>
                        <w:spacing w:val="-8"/>
                        <w:sz w:val="20"/>
                      </w:rPr>
                      <w:t> </w:t>
                    </w:r>
                    <w:r>
                      <w:rPr>
                        <w:rFonts w:ascii="Calibri"/>
                        <w:b/>
                        <w:sz w:val="20"/>
                      </w:rPr>
                      <w:t>O2/L)</w:t>
                    </w:r>
                  </w:p>
                </w:txbxContent>
              </v:textbox>
              <w10:wrap type="none"/>
            </v:shape>
            <v:shape style="position:absolute;left:7899;top:3308;width:202;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80</w:t>
                    </w:r>
                  </w:p>
                </w:txbxContent>
              </v:textbox>
              <w10:wrap type="none"/>
            </v:shape>
            <v:shape style="position:absolute;left:9130;top:3308;width:306;height:200" type="#_x0000_t202" filled="false" stroked="false">
              <v:textbox inset="0,0,0,0">
                <w:txbxContent>
                  <w:p>
                    <w:pPr>
                      <w:spacing w:line="200" w:lineRule="exact" w:before="0"/>
                      <w:ind w:left="0" w:right="-19" w:firstLine="0"/>
                      <w:jc w:val="left"/>
                      <w:rPr>
                        <w:rFonts w:ascii="Calibri"/>
                        <w:sz w:val="20"/>
                      </w:rPr>
                    </w:pPr>
                    <w:r>
                      <w:rPr>
                        <w:rFonts w:ascii="Calibri"/>
                        <w:sz w:val="20"/>
                      </w:rPr>
                      <w:t>100</w:t>
                    </w:r>
                  </w:p>
                </w:txbxContent>
              </v:textbox>
              <w10:wrap type="none"/>
            </v:shape>
            <w10:wrap type="none"/>
          </v:group>
        </w:pict>
      </w:r>
      <w:r>
        <w:rPr/>
        <w:pict>
          <v:shape style="position:absolute;margin-left:166.660004pt;margin-top:67.999382pt;width:12pt;height:51.25pt;mso-position-horizontal-relative:page;mso-position-vertical-relative:paragraph;z-index:1696" type="#_x0000_t202" filled="false" stroked="false">
            <v:textbox inset="0,0,0,0" style="layout-flow:vertical;mso-layout-flow-alt:bottom-to-top">
              <w:txbxContent>
                <w:p>
                  <w:pPr>
                    <w:spacing w:line="223" w:lineRule="exact" w:before="0"/>
                    <w:ind w:left="20" w:right="-781" w:firstLine="0"/>
                    <w:jc w:val="left"/>
                    <w:rPr>
                      <w:rFonts w:ascii="Calibri"/>
                      <w:b/>
                      <w:sz w:val="20"/>
                    </w:rPr>
                  </w:pPr>
                  <w:r>
                    <w:rPr>
                      <w:rFonts w:ascii="Calibri"/>
                      <w:b/>
                      <w:spacing w:val="-1"/>
                      <w:w w:val="99"/>
                      <w:sz w:val="20"/>
                    </w:rPr>
                    <w:t>A</w:t>
                  </w:r>
                  <w:r>
                    <w:rPr>
                      <w:rFonts w:ascii="Calibri"/>
                      <w:b/>
                      <w:w w:val="99"/>
                      <w:sz w:val="20"/>
                    </w:rPr>
                    <w:t>bso</w:t>
                  </w:r>
                  <w:r>
                    <w:rPr>
                      <w:rFonts w:ascii="Calibri"/>
                      <w:b/>
                      <w:spacing w:val="1"/>
                      <w:w w:val="99"/>
                      <w:sz w:val="20"/>
                    </w:rPr>
                    <w:t>r</w:t>
                  </w:r>
                  <w:r>
                    <w:rPr>
                      <w:rFonts w:ascii="Calibri"/>
                      <w:b/>
                      <w:w w:val="99"/>
                      <w:sz w:val="20"/>
                    </w:rPr>
                    <w:t>bance</w:t>
                  </w:r>
                </w:p>
              </w:txbxContent>
            </v:textbox>
            <w10:wrap type="none"/>
          </v:shape>
        </w:pict>
      </w:r>
      <w:r>
        <w:rPr/>
        <w:t>(a)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
        <w:rPr>
          <w:b/>
          <w:sz w:val="26"/>
        </w:rPr>
      </w:pPr>
    </w:p>
    <w:p>
      <w:pPr>
        <w:pStyle w:val="Heading6"/>
      </w:pPr>
      <w:r>
        <w:rPr/>
        <w:pict>
          <v:group style="position:absolute;margin-left:161.554993pt;margin-top:20.390852pt;width:316.3pt;height:170.75pt;mso-position-horizontal-relative:page;mso-position-vertical-relative:paragraph;z-index:1672" coordorigin="3231,408" coordsize="6326,3415">
            <v:shape style="position:absolute;left:4169;top:637;width:5009;height:2316" coordorigin="4169,637" coordsize="5009,2316" path="m4231,2890l4231,637m4169,2890l4231,2890m4169,2609l4231,2609m4169,2326l4231,2326m4169,2045l4231,2045m4169,1765l4231,1765m4169,1481l4231,1481m4169,1201l4231,1201m4169,920l4231,920m4169,637l4231,637m4231,2890l9178,2890m4231,2890l4231,2953m4937,2890l4937,2953m5645,2890l5645,2953m6350,2890l6350,2953m7058,2890l7058,2953m7764,2890l7764,2953m8472,2890l8472,2953m9178,2890l9178,2953e" filled="false" stroked="true" strokeweight=".72pt" strokecolor="#858585">
              <v:path arrowok="t"/>
            </v:shape>
            <v:shape style="position:absolute;left:4930;top:2163;width:15;height:51" coordorigin="4930,2163" coordsize="15,51" path="m4944,2163l4930,2163,4930,2189,4930,2213,4944,2213,4944,2189,4944,2163e" filled="true" fillcolor="#000000" stroked="false">
              <v:path arrowok="t"/>
              <v:fill type="solid"/>
            </v:shape>
            <v:shape style="position:absolute;left:4894;top:1589;width:1503;height:624" coordorigin="4894,1589" coordsize="1503,624" path="m4894,2213l4982,2213m4894,2163l4982,2163m5645,1923l5645,1954m5645,1923l5645,1892m5599,1954l5690,1954m5599,1892l5690,1892m6350,1647l6350,1702m6350,1647l6350,1589m6307,1702l6396,1702m6307,1589l6396,1589e" filled="false" stroked="true" strokeweight=".72pt" strokecolor="#000000">
              <v:path arrowok="t"/>
            </v:shape>
            <v:line style="position:absolute" from="7051,1483" to="7066,1483" stroked="true" strokeweight=".84pt" strokecolor="#000000"/>
            <v:line style="position:absolute" from="7051,1466" to="7066,1466" stroked="true" strokeweight=".84pt" strokecolor="#000000"/>
            <v:shape style="position:absolute;left:7013;top:1011;width:1503;height:480" coordorigin="7013,1011" coordsize="1503,480" path="m7013,1491l7102,1491m7013,1457l7102,1457m7764,1301l7764,1342m7764,1301l7764,1258m7718,1342l7810,1342m7718,1258l7810,1258m8472,1078l8472,1145m8472,1078l8472,1011m8426,1145l8515,1145e" filled="false" stroked="true" strokeweight=".72pt" strokecolor="#000000">
              <v:path arrowok="t"/>
            </v:shape>
            <v:line style="position:absolute" from="4934,2182" to="4934,2197" stroked="true" strokeweight=".24pt" strokecolor="#000000"/>
            <v:line style="position:absolute" from="4940,2182" to="4940,2197" stroked="true" strokeweight=".36pt" strokecolor="#000000"/>
            <v:shape style="position:absolute;left:4932;top:1877;width:720;height:358" coordorigin="4932,1877" coordsize="720,358" path="m4932,2144l4932,2235m4944,2144l4944,2235m5645,1923l5638,1923m5645,1923l5652,1923m5638,1877l5638,1966m5652,1877l5652,1966e" filled="false" stroked="true" strokeweight=".72pt" strokecolor="#000000">
              <v:path arrowok="t"/>
            </v:shape>
            <v:line style="position:absolute" from="6347,1640" to="6347,1654" stroked="true" strokeweight=".36pt" strokecolor="#000000"/>
            <v:shape style="position:absolute;left:6343;top:1474;width:716;height:219" coordorigin="6343,1474" coordsize="716,219" path="m6350,1647l6358,1647m6343,1601l6343,1693m6358,1601l6358,1693m7058,1474l7051,1474e" filled="false" stroked="true" strokeweight=".72pt" strokecolor="#000000">
              <v:path arrowok="t"/>
            </v:shape>
            <v:line style="position:absolute" from="7062,1467" to="7062,1481" stroked="true" strokeweight=".36pt" strokecolor="#000000"/>
            <v:shape style="position:absolute;left:7051;top:1078;width:1421;height:442" coordorigin="7051,1078" coordsize="1421,442" path="m7051,1429l7051,1520m7066,1429l7066,1520m7764,1301l7757,1301m7764,1301l7771,1301m7757,1256l7757,1345m7771,1256l7771,1345m8472,1078l8465,1078e" filled="false" stroked="true" strokeweight=".72pt" strokecolor="#000000">
              <v:path arrowok="t"/>
            </v:shape>
            <v:line style="position:absolute" from="8474,1071" to="8474,1085" stroked="true" strokeweight=".24pt" strokecolor="#000000"/>
            <v:shape style="position:absolute;left:8465;top:1033;width:12;height:92" coordorigin="8465,1033" coordsize="12,92" path="m8465,1033l8465,1124m8477,1033l8477,1124e" filled="false" stroked="true" strokeweight=".72pt" strokecolor="#000000">
              <v:path arrowok="t"/>
            </v:shape>
            <v:line style="position:absolute" from="4897,2188" to="4976,2188" stroked="true" strokeweight="3.96pt" strokecolor="#585858"/>
            <v:rect style="position:absolute;left:4897;top:2148;width:79;height:79" filled="false" stroked="true" strokeweight=".72pt" strokecolor="#aeaeae"/>
            <v:line style="position:absolute" from="5605,1921" to="5684,1921" stroked="true" strokeweight="3.96pt" strokecolor="#585858"/>
            <v:rect style="position:absolute;left:5605;top:1882;width:79;height:79" filled="false" stroked="true" strokeweight=".72pt" strokecolor="#aeaeae"/>
            <v:line style="position:absolute" from="6310,1645" to="6390,1645" stroked="true" strokeweight="3.96pt" strokecolor="#585858"/>
            <v:rect style="position:absolute;left:6310;top:1606;width:79;height:79" filled="false" stroked="true" strokeweight=".72pt" strokecolor="#aeaeae"/>
            <v:line style="position:absolute" from="7019,1473" to="7098,1473" stroked="true" strokeweight="3.96pt" strokecolor="#585858"/>
            <v:rect style="position:absolute;left:7019;top:1433;width:79;height:79" filled="false" stroked="true" strokeweight=".72pt" strokecolor="#aeaeae"/>
            <v:line style="position:absolute" from="7724,1300" to="7803,1300" stroked="true" strokeweight="3.96pt" strokecolor="#585858"/>
            <v:rect style="position:absolute;left:7724;top:1260;width:79;height:79" filled="false" stroked="true" strokeweight=".72pt" strokecolor="#aeaeae"/>
            <v:line style="position:absolute" from="8432,1077" to="8511,1077" stroked="true" strokeweight="3.96pt" strokecolor="#585858"/>
            <v:rect style="position:absolute;left:8432;top:1037;width:79;height:79" filled="false" stroked="true" strokeweight=".72pt" strokecolor="#aeaeae"/>
            <v:line style="position:absolute" from="4937,2144" to="8472,1059" stroked="true" strokeweight=".72pt" strokecolor="#000000"/>
            <v:rect style="position:absolute;left:3239;top:415;width:6311;height:3400" filled="false" stroked="true" strokeweight=".75pt" strokecolor="#858585"/>
            <v:shape style="position:absolute;left:3793;top:546;width:253;height:2453" type="#_x0000_t202" filled="false" stroked="false">
              <v:textbox inset="0,0,0,0">
                <w:txbxContent>
                  <w:p>
                    <w:pPr>
                      <w:spacing w:line="203" w:lineRule="exact" w:before="0"/>
                      <w:ind w:left="-1" w:right="0" w:firstLine="0"/>
                      <w:jc w:val="center"/>
                      <w:rPr>
                        <w:rFonts w:ascii="Calibri"/>
                        <w:sz w:val="20"/>
                      </w:rPr>
                    </w:pPr>
                    <w:r>
                      <w:rPr>
                        <w:rFonts w:ascii="Calibri"/>
                        <w:w w:val="95"/>
                        <w:sz w:val="20"/>
                      </w:rPr>
                      <w:t>0.8</w:t>
                    </w:r>
                  </w:p>
                  <w:p>
                    <w:pPr>
                      <w:spacing w:before="37"/>
                      <w:ind w:left="-1" w:right="0" w:firstLine="0"/>
                      <w:jc w:val="center"/>
                      <w:rPr>
                        <w:rFonts w:ascii="Calibri"/>
                        <w:sz w:val="20"/>
                      </w:rPr>
                    </w:pPr>
                    <w:r>
                      <w:rPr>
                        <w:rFonts w:ascii="Calibri"/>
                        <w:w w:val="95"/>
                        <w:sz w:val="20"/>
                      </w:rPr>
                      <w:t>0.7</w:t>
                    </w:r>
                  </w:p>
                  <w:p>
                    <w:pPr>
                      <w:spacing w:before="37"/>
                      <w:ind w:left="-1" w:right="0" w:firstLine="0"/>
                      <w:jc w:val="center"/>
                      <w:rPr>
                        <w:rFonts w:ascii="Calibri"/>
                        <w:sz w:val="20"/>
                      </w:rPr>
                    </w:pPr>
                    <w:r>
                      <w:rPr>
                        <w:rFonts w:ascii="Calibri"/>
                        <w:w w:val="95"/>
                        <w:sz w:val="20"/>
                      </w:rPr>
                      <w:t>0.6</w:t>
                    </w:r>
                  </w:p>
                  <w:p>
                    <w:pPr>
                      <w:spacing w:before="37"/>
                      <w:ind w:left="-1" w:right="0" w:firstLine="0"/>
                      <w:jc w:val="center"/>
                      <w:rPr>
                        <w:rFonts w:ascii="Calibri"/>
                        <w:sz w:val="20"/>
                      </w:rPr>
                    </w:pPr>
                    <w:r>
                      <w:rPr>
                        <w:rFonts w:ascii="Calibri"/>
                        <w:w w:val="95"/>
                        <w:sz w:val="20"/>
                      </w:rPr>
                      <w:t>0.5</w:t>
                    </w:r>
                  </w:p>
                  <w:p>
                    <w:pPr>
                      <w:spacing w:before="37"/>
                      <w:ind w:left="-1" w:right="0" w:firstLine="0"/>
                      <w:jc w:val="center"/>
                      <w:rPr>
                        <w:rFonts w:ascii="Calibri"/>
                        <w:sz w:val="20"/>
                      </w:rPr>
                    </w:pPr>
                    <w:r>
                      <w:rPr>
                        <w:rFonts w:ascii="Calibri"/>
                        <w:w w:val="95"/>
                        <w:sz w:val="20"/>
                      </w:rPr>
                      <w:t>0.4</w:t>
                    </w:r>
                  </w:p>
                  <w:p>
                    <w:pPr>
                      <w:spacing w:before="37"/>
                      <w:ind w:left="-1" w:right="0" w:firstLine="0"/>
                      <w:jc w:val="center"/>
                      <w:rPr>
                        <w:rFonts w:ascii="Calibri"/>
                        <w:sz w:val="20"/>
                      </w:rPr>
                    </w:pPr>
                    <w:r>
                      <w:rPr>
                        <w:rFonts w:ascii="Calibri"/>
                        <w:w w:val="95"/>
                        <w:sz w:val="20"/>
                      </w:rPr>
                      <w:t>0.3</w:t>
                    </w:r>
                  </w:p>
                  <w:p>
                    <w:pPr>
                      <w:spacing w:before="37"/>
                      <w:ind w:left="-1" w:right="0" w:firstLine="0"/>
                      <w:jc w:val="center"/>
                      <w:rPr>
                        <w:rFonts w:ascii="Calibri"/>
                        <w:sz w:val="20"/>
                      </w:rPr>
                    </w:pPr>
                    <w:r>
                      <w:rPr>
                        <w:rFonts w:ascii="Calibri"/>
                        <w:w w:val="95"/>
                        <w:sz w:val="20"/>
                      </w:rPr>
                      <w:t>0.2</w:t>
                    </w:r>
                  </w:p>
                  <w:p>
                    <w:pPr>
                      <w:spacing w:before="37"/>
                      <w:ind w:left="-1" w:right="0" w:firstLine="0"/>
                      <w:jc w:val="center"/>
                      <w:rPr>
                        <w:rFonts w:ascii="Calibri"/>
                        <w:sz w:val="20"/>
                      </w:rPr>
                    </w:pPr>
                    <w:r>
                      <w:rPr>
                        <w:rFonts w:ascii="Calibri"/>
                        <w:w w:val="95"/>
                        <w:sz w:val="20"/>
                      </w:rPr>
                      <w:t>0.1</w:t>
                    </w:r>
                  </w:p>
                  <w:p>
                    <w:pPr>
                      <w:spacing w:line="240" w:lineRule="exact" w:before="37"/>
                      <w:ind w:left="151" w:right="0" w:firstLine="0"/>
                      <w:jc w:val="center"/>
                      <w:rPr>
                        <w:rFonts w:ascii="Calibri"/>
                        <w:sz w:val="20"/>
                      </w:rPr>
                    </w:pPr>
                    <w:r>
                      <w:rPr>
                        <w:rFonts w:ascii="Calibri"/>
                        <w:w w:val="99"/>
                        <w:sz w:val="20"/>
                      </w:rPr>
                      <w:t>0</w:t>
                    </w:r>
                  </w:p>
                </w:txbxContent>
              </v:textbox>
              <w10:wrap type="none"/>
            </v:shape>
            <v:shape style="position:absolute;left:5678;top:809;width:2067;height:444" type="#_x0000_t202" filled="false" stroked="false">
              <v:textbox inset="0,0,0,0">
                <w:txbxContent>
                  <w:p>
                    <w:pPr>
                      <w:spacing w:line="203" w:lineRule="exact" w:before="0"/>
                      <w:ind w:left="0" w:right="0" w:firstLine="0"/>
                      <w:jc w:val="center"/>
                      <w:rPr>
                        <w:rFonts w:ascii="Calibri"/>
                        <w:sz w:val="20"/>
                      </w:rPr>
                    </w:pPr>
                    <w:r>
                      <w:rPr>
                        <w:rFonts w:ascii="Calibri"/>
                        <w:sz w:val="20"/>
                      </w:rPr>
                      <w:t>y = 0.0008[COD] +</w:t>
                    </w:r>
                    <w:r>
                      <w:rPr>
                        <w:rFonts w:ascii="Calibri"/>
                        <w:spacing w:val="-10"/>
                        <w:sz w:val="20"/>
                      </w:rPr>
                      <w:t> </w:t>
                    </w:r>
                    <w:r>
                      <w:rPr>
                        <w:rFonts w:ascii="Calibri"/>
                        <w:sz w:val="20"/>
                      </w:rPr>
                      <w:t>0.1881</w:t>
                    </w:r>
                  </w:p>
                  <w:p>
                    <w:pPr>
                      <w:spacing w:line="240" w:lineRule="exact" w:before="0"/>
                      <w:ind w:left="0" w:right="0" w:firstLine="0"/>
                      <w:jc w:val="center"/>
                      <w:rPr>
                        <w:rFonts w:ascii="Calibri" w:hAnsi="Calibri"/>
                        <w:sz w:val="20"/>
                      </w:rPr>
                    </w:pPr>
                    <w:r>
                      <w:rPr>
                        <w:rFonts w:ascii="Calibri" w:hAnsi="Calibri"/>
                        <w:sz w:val="20"/>
                      </w:rPr>
                      <w:t>r² = 0.9911</w:t>
                    </w:r>
                  </w:p>
                </w:txbxContent>
              </v:textbox>
              <w10:wrap type="none"/>
            </v:shape>
            <v:shape style="position:absolute;left:8426;top:809;width:130;height:200" type="#_x0000_t202" filled="false" stroked="false">
              <v:textbox inset="0,0,0,0">
                <w:txbxContent>
                  <w:p>
                    <w:pPr>
                      <w:spacing w:line="199" w:lineRule="exact" w:before="0"/>
                      <w:ind w:left="0" w:right="0" w:firstLine="0"/>
                      <w:jc w:val="left"/>
                      <w:rPr>
                        <w:rFonts w:ascii="Calibri"/>
                        <w:sz w:val="20"/>
                      </w:rPr>
                    </w:pPr>
                    <w:r>
                      <w:rPr>
                        <w:rFonts w:ascii="Calibri"/>
                        <w:w w:val="99"/>
                        <w:sz w:val="20"/>
                        <w:u w:val="single"/>
                      </w:rPr>
                      <w:t> </w:t>
                    </w:r>
                    <w:r>
                      <w:rPr>
                        <w:rFonts w:ascii="Calibri"/>
                        <w:spacing w:val="-7"/>
                        <w:sz w:val="20"/>
                        <w:u w:val="single"/>
                      </w:rPr>
                      <w:t> </w:t>
                    </w:r>
                  </w:p>
                </w:txbxContent>
              </v:textbox>
              <w10:wrap type="none"/>
            </v:shape>
            <v:shape style="position:absolute;left:4181;top:3059;width:5151;height:504" type="#_x0000_t202" filled="false" stroked="false">
              <v:textbox inset="0,0,0,0">
                <w:txbxContent>
                  <w:p>
                    <w:pPr>
                      <w:tabs>
                        <w:tab w:pos="605" w:val="left" w:leader="none"/>
                        <w:tab w:pos="1312" w:val="left" w:leader="none"/>
                        <w:tab w:pos="2018" w:val="left" w:leader="none"/>
                        <w:tab w:pos="2725" w:val="left" w:leader="none"/>
                        <w:tab w:pos="3432" w:val="left" w:leader="none"/>
                        <w:tab w:pos="4139" w:val="left" w:leader="none"/>
                        <w:tab w:pos="4845" w:val="left" w:leader="none"/>
                      </w:tabs>
                      <w:spacing w:line="203" w:lineRule="exact" w:before="0"/>
                      <w:ind w:left="0" w:right="0" w:firstLine="0"/>
                      <w:jc w:val="center"/>
                      <w:rPr>
                        <w:rFonts w:ascii="Calibri"/>
                        <w:sz w:val="20"/>
                      </w:rPr>
                    </w:pPr>
                    <w:r>
                      <w:rPr>
                        <w:rFonts w:ascii="Calibri"/>
                        <w:sz w:val="20"/>
                      </w:rPr>
                      <w:t>0</w:t>
                      <w:tab/>
                      <w:t>100</w:t>
                      <w:tab/>
                      <w:t>200</w:t>
                      <w:tab/>
                      <w:t>300</w:t>
                      <w:tab/>
                      <w:t>400</w:t>
                      <w:tab/>
                      <w:t>500</w:t>
                      <w:tab/>
                      <w:t>600</w:t>
                      <w:tab/>
                      <w:t>700</w:t>
                    </w:r>
                  </w:p>
                  <w:p>
                    <w:pPr>
                      <w:spacing w:line="240" w:lineRule="exact" w:before="60"/>
                      <w:ind w:left="0" w:right="101" w:firstLine="0"/>
                      <w:jc w:val="center"/>
                      <w:rPr>
                        <w:rFonts w:ascii="Calibri"/>
                        <w:b/>
                        <w:sz w:val="20"/>
                      </w:rPr>
                    </w:pPr>
                    <w:r>
                      <w:rPr>
                        <w:rFonts w:ascii="Calibri"/>
                        <w:b/>
                        <w:sz w:val="20"/>
                      </w:rPr>
                      <w:t>COD (mg O2/L)</w:t>
                    </w:r>
                  </w:p>
                </w:txbxContent>
              </v:textbox>
              <w10:wrap type="none"/>
            </v:shape>
            <w10:wrap type="none"/>
          </v:group>
        </w:pict>
      </w:r>
      <w:r>
        <w:rPr/>
        <w:pict>
          <v:shape style="position:absolute;margin-left:175.470001pt;margin-top:62.709408pt;width:12pt;height:51.25pt;mso-position-horizontal-relative:page;mso-position-vertical-relative:paragraph;z-index:1720" type="#_x0000_t202" filled="false" stroked="false">
            <v:textbox inset="0,0,0,0" style="layout-flow:vertical;mso-layout-flow-alt:bottom-to-top">
              <w:txbxContent>
                <w:p>
                  <w:pPr>
                    <w:spacing w:line="223" w:lineRule="exact" w:before="0"/>
                    <w:ind w:left="20" w:right="-781" w:firstLine="0"/>
                    <w:jc w:val="left"/>
                    <w:rPr>
                      <w:rFonts w:ascii="Calibri"/>
                      <w:b/>
                      <w:sz w:val="20"/>
                    </w:rPr>
                  </w:pPr>
                  <w:r>
                    <w:rPr>
                      <w:rFonts w:ascii="Calibri"/>
                      <w:b/>
                      <w:spacing w:val="-1"/>
                      <w:w w:val="99"/>
                      <w:sz w:val="20"/>
                    </w:rPr>
                    <w:t>A</w:t>
                  </w:r>
                  <w:r>
                    <w:rPr>
                      <w:rFonts w:ascii="Calibri"/>
                      <w:b/>
                      <w:w w:val="99"/>
                      <w:sz w:val="20"/>
                    </w:rPr>
                    <w:t>bso</w:t>
                  </w:r>
                  <w:r>
                    <w:rPr>
                      <w:rFonts w:ascii="Calibri"/>
                      <w:b/>
                      <w:spacing w:val="1"/>
                      <w:w w:val="99"/>
                      <w:sz w:val="20"/>
                    </w:rPr>
                    <w:t>r</w:t>
                  </w:r>
                  <w:r>
                    <w:rPr>
                      <w:rFonts w:ascii="Calibri"/>
                      <w:b/>
                      <w:w w:val="99"/>
                      <w:sz w:val="20"/>
                    </w:rPr>
                    <w:t>bance</w:t>
                  </w:r>
                </w:p>
              </w:txbxContent>
            </v:textbox>
            <w10:wrap type="none"/>
          </v:shape>
        </w:pict>
      </w:r>
      <w:r>
        <w:rPr/>
        <w:t>(b)</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21"/>
        </w:rPr>
      </w:pPr>
    </w:p>
    <w:p>
      <w:pPr>
        <w:pStyle w:val="BodyText"/>
        <w:ind w:left="2769" w:right="286"/>
      </w:pPr>
      <w:r>
        <w:rPr/>
        <w:t>Figure 1: Calibration curves for two COD ranges:</w:t>
      </w:r>
    </w:p>
    <w:p>
      <w:pPr>
        <w:pStyle w:val="BodyText"/>
        <w:spacing w:before="136"/>
        <w:ind w:left="1259" w:right="286"/>
      </w:pPr>
      <w:r>
        <w:rPr>
          <w:position w:val="1"/>
        </w:rPr>
        <w:t>a) low COD range, 30-90 mg O</w:t>
      </w:r>
      <w:r>
        <w:rPr>
          <w:sz w:val="16"/>
        </w:rPr>
        <w:t>2</w:t>
      </w:r>
      <w:r>
        <w:rPr>
          <w:position w:val="1"/>
        </w:rPr>
        <w:t>/L and b) (high COD range, 100-600 mg O</w:t>
      </w:r>
      <w:r>
        <w:rPr>
          <w:sz w:val="16"/>
        </w:rPr>
        <w:t>2</w:t>
      </w:r>
      <w:r>
        <w:rPr>
          <w:position w:val="1"/>
        </w:rPr>
        <w:t>/L)</w:t>
      </w:r>
    </w:p>
    <w:p>
      <w:pPr>
        <w:spacing w:after="0"/>
        <w:sectPr>
          <w:pgSz w:w="12240" w:h="15840"/>
          <w:pgMar w:header="0" w:footer="654" w:top="1080" w:bottom="1060" w:left="1040" w:right="560"/>
        </w:sectPr>
      </w:pPr>
    </w:p>
    <w:p>
      <w:pPr>
        <w:pStyle w:val="BodyText"/>
        <w:spacing w:line="362" w:lineRule="auto" w:before="50"/>
        <w:ind w:left="662" w:right="573"/>
        <w:jc w:val="both"/>
      </w:pPr>
      <w:r>
        <w:rPr>
          <w:position w:val="1"/>
        </w:rPr>
        <w:t>Attempts to halve the standard HgSO</w:t>
      </w:r>
      <w:r>
        <w:rPr>
          <w:sz w:val="16"/>
        </w:rPr>
        <w:t>4 </w:t>
      </w:r>
      <w:r>
        <w:rPr>
          <w:position w:val="1"/>
        </w:rPr>
        <w:t>concentration yielded a nonlinear response with </w:t>
      </w:r>
      <w:r>
        <w:rPr/>
        <w:t>COD concentration and therefore were not pursued any further.</w:t>
      </w:r>
    </w:p>
    <w:p>
      <w:pPr>
        <w:pStyle w:val="BodyText"/>
      </w:pPr>
    </w:p>
    <w:p>
      <w:pPr>
        <w:pStyle w:val="BodyText"/>
      </w:pPr>
    </w:p>
    <w:p>
      <w:pPr>
        <w:pStyle w:val="BodyText"/>
      </w:pPr>
    </w:p>
    <w:p>
      <w:pPr>
        <w:pStyle w:val="Heading6"/>
      </w:pPr>
      <w:r>
        <w:rPr/>
        <w:t>Industrial samples</w:t>
      </w:r>
    </w:p>
    <w:p>
      <w:pPr>
        <w:pStyle w:val="BodyText"/>
        <w:rPr>
          <w:b/>
        </w:rPr>
      </w:pPr>
    </w:p>
    <w:p>
      <w:pPr>
        <w:pStyle w:val="BodyText"/>
        <w:rPr>
          <w:b/>
        </w:rPr>
      </w:pPr>
    </w:p>
    <w:p>
      <w:pPr>
        <w:pStyle w:val="BodyText"/>
        <w:ind w:left="662"/>
        <w:jc w:val="both"/>
      </w:pPr>
      <w:r>
        <w:rPr/>
        <w:t>The following industrial wastewater samples were tested from: (a) cattle slaughterhouse,</w:t>
      </w:r>
    </w:p>
    <w:p>
      <w:pPr>
        <w:pStyle w:val="BodyText"/>
        <w:spacing w:line="360" w:lineRule="auto" w:before="139"/>
        <w:ind w:left="662" w:right="571"/>
        <w:jc w:val="both"/>
      </w:pPr>
      <w:r>
        <w:rPr/>
        <w:t>(b)</w:t>
      </w:r>
      <w:r>
        <w:rPr>
          <w:spacing w:val="-17"/>
        </w:rPr>
        <w:t> </w:t>
      </w:r>
      <w:r>
        <w:rPr/>
        <w:t>municipal</w:t>
      </w:r>
      <w:r>
        <w:rPr>
          <w:spacing w:val="-17"/>
        </w:rPr>
        <w:t> </w:t>
      </w:r>
      <w:r>
        <w:rPr/>
        <w:t>wastewater</w:t>
      </w:r>
      <w:r>
        <w:rPr>
          <w:spacing w:val="-17"/>
        </w:rPr>
        <w:t> </w:t>
      </w:r>
      <w:r>
        <w:rPr/>
        <w:t>plant</w:t>
      </w:r>
      <w:r>
        <w:rPr>
          <w:spacing w:val="-18"/>
        </w:rPr>
        <w:t> </w:t>
      </w:r>
      <w:r>
        <w:rPr/>
        <w:t>(Toluca</w:t>
      </w:r>
      <w:r>
        <w:rPr>
          <w:spacing w:val="-15"/>
        </w:rPr>
        <w:t> </w:t>
      </w:r>
      <w:r>
        <w:rPr/>
        <w:t>North</w:t>
      </w:r>
      <w:r>
        <w:rPr>
          <w:spacing w:val="-18"/>
        </w:rPr>
        <w:t> </w:t>
      </w:r>
      <w:r>
        <w:rPr/>
        <w:t>Plant),</w:t>
      </w:r>
      <w:r>
        <w:rPr>
          <w:spacing w:val="-16"/>
        </w:rPr>
        <w:t> </w:t>
      </w:r>
      <w:r>
        <w:rPr/>
        <w:t>(c)</w:t>
      </w:r>
      <w:r>
        <w:rPr>
          <w:spacing w:val="-18"/>
        </w:rPr>
        <w:t> </w:t>
      </w:r>
      <w:r>
        <w:rPr/>
        <w:t>municipal</w:t>
      </w:r>
      <w:r>
        <w:rPr>
          <w:spacing w:val="-17"/>
        </w:rPr>
        <w:t> </w:t>
      </w:r>
      <w:r>
        <w:rPr/>
        <w:t>wastewater</w:t>
      </w:r>
      <w:r>
        <w:rPr>
          <w:spacing w:val="-17"/>
        </w:rPr>
        <w:t> </w:t>
      </w:r>
      <w:r>
        <w:rPr/>
        <w:t>plant</w:t>
      </w:r>
      <w:r>
        <w:rPr>
          <w:spacing w:val="-18"/>
        </w:rPr>
        <w:t> </w:t>
      </w:r>
      <w:r>
        <w:rPr/>
        <w:t>(Cerro de la Estrella), (d) chocolate production, and (e) wastewater combined from diverse industries (undisclosed upon request). (Due to the high COD concentrations, a 1/10 dilution had to be performed before analysis. COD results (including averages and standard deviations) are shown in Table</w:t>
      </w:r>
      <w:r>
        <w:rPr>
          <w:spacing w:val="-16"/>
        </w:rPr>
        <w:t> </w:t>
      </w:r>
      <w:r>
        <w:rPr/>
        <w:t>1.</w:t>
      </w:r>
    </w:p>
    <w:p>
      <w:pPr>
        <w:pStyle w:val="BodyText"/>
      </w:pPr>
    </w:p>
    <w:p>
      <w:pPr>
        <w:pStyle w:val="BodyText"/>
      </w:pPr>
    </w:p>
    <w:p>
      <w:pPr>
        <w:pStyle w:val="BodyText"/>
      </w:pPr>
    </w:p>
    <w:p>
      <w:pPr>
        <w:pStyle w:val="BodyText"/>
      </w:pPr>
    </w:p>
    <w:p>
      <w:pPr>
        <w:pStyle w:val="BodyText"/>
        <w:spacing w:before="142"/>
        <w:ind w:left="662"/>
        <w:jc w:val="both"/>
      </w:pPr>
      <w:r>
        <w:rPr/>
        <w:t>Table 1. Quintuplicate COD determinations of industrial wastewater samples  </w:t>
      </w:r>
      <w:r>
        <w:rPr>
          <w:spacing w:val="62"/>
        </w:rPr>
        <w:t> </w:t>
      </w:r>
      <w:r>
        <w:rPr/>
        <w:t>(methods</w:t>
      </w:r>
    </w:p>
    <w:p>
      <w:pPr>
        <w:pStyle w:val="BodyText"/>
        <w:spacing w:before="137"/>
        <w:ind w:left="662"/>
        <w:jc w:val="both"/>
      </w:pPr>
      <w:r>
        <w:rPr/>
        <w:t>#1, 2 and 3).</w:t>
      </w:r>
    </w:p>
    <w:p>
      <w:pPr>
        <w:spacing w:after="0"/>
        <w:jc w:val="both"/>
        <w:sectPr>
          <w:pgSz w:w="12240" w:h="15840"/>
          <w:pgMar w:header="0" w:footer="654" w:top="1080" w:bottom="1060" w:left="1040" w:right="560"/>
        </w:sectPr>
      </w:pPr>
    </w:p>
    <w:tbl>
      <w:tblPr>
        <w:tblW w:w="0" w:type="auto"/>
        <w:jc w:val="left"/>
        <w:tblInd w:w="14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24"/>
        <w:gridCol w:w="1771"/>
        <w:gridCol w:w="1984"/>
        <w:gridCol w:w="1987"/>
      </w:tblGrid>
      <w:tr>
        <w:trPr>
          <w:trHeight w:val="534" w:hRule="exact"/>
        </w:trPr>
        <w:tc>
          <w:tcPr>
            <w:tcW w:w="2024" w:type="dxa"/>
          </w:tcPr>
          <w:p>
            <w:pPr/>
          </w:p>
        </w:tc>
        <w:tc>
          <w:tcPr>
            <w:tcW w:w="1771" w:type="dxa"/>
          </w:tcPr>
          <w:p>
            <w:pPr/>
          </w:p>
        </w:tc>
        <w:tc>
          <w:tcPr>
            <w:tcW w:w="1984" w:type="dxa"/>
          </w:tcPr>
          <w:p>
            <w:pPr>
              <w:pStyle w:val="TableParagraph"/>
              <w:spacing w:line="245" w:lineRule="exact"/>
              <w:ind w:left="352" w:right="350"/>
              <w:jc w:val="center"/>
              <w:rPr>
                <w:b/>
                <w:sz w:val="24"/>
              </w:rPr>
            </w:pPr>
            <w:r>
              <w:rPr>
                <w:b/>
                <w:sz w:val="24"/>
              </w:rPr>
              <w:t>COD, mg/L</w:t>
            </w:r>
          </w:p>
        </w:tc>
        <w:tc>
          <w:tcPr>
            <w:tcW w:w="1987" w:type="dxa"/>
          </w:tcPr>
          <w:p>
            <w:pPr/>
          </w:p>
        </w:tc>
      </w:tr>
      <w:tr>
        <w:trPr>
          <w:trHeight w:val="685" w:hRule="exact"/>
        </w:trPr>
        <w:tc>
          <w:tcPr>
            <w:tcW w:w="2024" w:type="dxa"/>
            <w:tcBorders>
              <w:bottom w:val="single" w:sz="4" w:space="0" w:color="000000"/>
            </w:tcBorders>
          </w:tcPr>
          <w:p>
            <w:pPr/>
          </w:p>
        </w:tc>
        <w:tc>
          <w:tcPr>
            <w:tcW w:w="1771" w:type="dxa"/>
            <w:tcBorders>
              <w:bottom w:val="single" w:sz="4" w:space="0" w:color="000000"/>
            </w:tcBorders>
          </w:tcPr>
          <w:p>
            <w:pPr>
              <w:pStyle w:val="TableParagraph"/>
              <w:spacing w:before="10"/>
              <w:rPr>
                <w:sz w:val="22"/>
              </w:rPr>
            </w:pPr>
          </w:p>
          <w:p>
            <w:pPr>
              <w:pStyle w:val="TableParagraph"/>
              <w:ind w:left="232" w:right="444"/>
              <w:jc w:val="center"/>
              <w:rPr>
                <w:b/>
                <w:sz w:val="24"/>
              </w:rPr>
            </w:pPr>
            <w:r>
              <w:rPr>
                <w:b/>
                <w:sz w:val="24"/>
              </w:rPr>
              <w:t>Method 1</w:t>
            </w:r>
          </w:p>
        </w:tc>
        <w:tc>
          <w:tcPr>
            <w:tcW w:w="1984" w:type="dxa"/>
            <w:tcBorders>
              <w:bottom w:val="single" w:sz="4" w:space="0" w:color="000000"/>
            </w:tcBorders>
          </w:tcPr>
          <w:p>
            <w:pPr>
              <w:pStyle w:val="TableParagraph"/>
              <w:spacing w:before="10"/>
              <w:rPr>
                <w:sz w:val="22"/>
              </w:rPr>
            </w:pPr>
          </w:p>
          <w:p>
            <w:pPr>
              <w:pStyle w:val="TableParagraph"/>
              <w:ind w:left="351" w:right="350"/>
              <w:jc w:val="center"/>
              <w:rPr>
                <w:b/>
                <w:sz w:val="24"/>
              </w:rPr>
            </w:pPr>
            <w:r>
              <w:rPr>
                <w:b/>
                <w:sz w:val="24"/>
              </w:rPr>
              <w:t>Method 2</w:t>
            </w:r>
          </w:p>
        </w:tc>
        <w:tc>
          <w:tcPr>
            <w:tcW w:w="1987" w:type="dxa"/>
            <w:tcBorders>
              <w:bottom w:val="single" w:sz="4" w:space="0" w:color="000000"/>
            </w:tcBorders>
          </w:tcPr>
          <w:p>
            <w:pPr>
              <w:pStyle w:val="TableParagraph"/>
              <w:spacing w:before="10"/>
              <w:rPr>
                <w:sz w:val="22"/>
              </w:rPr>
            </w:pPr>
          </w:p>
          <w:p>
            <w:pPr>
              <w:pStyle w:val="TableParagraph"/>
              <w:ind w:left="445" w:right="447"/>
              <w:jc w:val="center"/>
              <w:rPr>
                <w:b/>
                <w:sz w:val="24"/>
              </w:rPr>
            </w:pPr>
            <w:r>
              <w:rPr>
                <w:b/>
                <w:sz w:val="24"/>
              </w:rPr>
              <w:t>Method 3</w:t>
            </w:r>
          </w:p>
        </w:tc>
      </w:tr>
      <w:tr>
        <w:trPr>
          <w:trHeight w:val="361" w:hRule="exact"/>
        </w:trPr>
        <w:tc>
          <w:tcPr>
            <w:tcW w:w="7765" w:type="dxa"/>
            <w:gridSpan w:val="4"/>
            <w:tcBorders>
              <w:top w:val="single" w:sz="4" w:space="0" w:color="000000"/>
            </w:tcBorders>
          </w:tcPr>
          <w:p>
            <w:pPr>
              <w:pStyle w:val="TableParagraph"/>
              <w:spacing w:line="274" w:lineRule="exact"/>
              <w:ind w:left="107"/>
              <w:rPr>
                <w:b/>
                <w:sz w:val="24"/>
              </w:rPr>
            </w:pPr>
            <w:r>
              <w:rPr>
                <w:b/>
                <w:sz w:val="24"/>
              </w:rPr>
              <w:t>(a) Cattle slaughterhouse</w:t>
            </w:r>
          </w:p>
        </w:tc>
      </w:tr>
      <w:tr>
        <w:trPr>
          <w:trHeight w:val="414" w:hRule="exact"/>
        </w:trPr>
        <w:tc>
          <w:tcPr>
            <w:tcW w:w="2024" w:type="dxa"/>
          </w:tcPr>
          <w:p>
            <w:pPr>
              <w:pStyle w:val="TableParagraph"/>
              <w:spacing w:before="57"/>
              <w:ind w:left="377" w:right="589"/>
              <w:jc w:val="center"/>
              <w:rPr>
                <w:b/>
                <w:sz w:val="24"/>
              </w:rPr>
            </w:pPr>
            <w:r>
              <w:rPr>
                <w:b/>
                <w:sz w:val="24"/>
              </w:rPr>
              <w:t>test1</w:t>
            </w:r>
          </w:p>
        </w:tc>
        <w:tc>
          <w:tcPr>
            <w:tcW w:w="1771" w:type="dxa"/>
          </w:tcPr>
          <w:p>
            <w:pPr>
              <w:pStyle w:val="TableParagraph"/>
              <w:spacing w:before="57"/>
              <w:ind w:left="232" w:right="444"/>
              <w:jc w:val="center"/>
              <w:rPr>
                <w:b/>
                <w:sz w:val="24"/>
              </w:rPr>
            </w:pPr>
            <w:r>
              <w:rPr>
                <w:b/>
                <w:sz w:val="24"/>
              </w:rPr>
              <w:t>1880</w:t>
            </w:r>
          </w:p>
        </w:tc>
        <w:tc>
          <w:tcPr>
            <w:tcW w:w="1984" w:type="dxa"/>
          </w:tcPr>
          <w:p>
            <w:pPr>
              <w:pStyle w:val="TableParagraph"/>
              <w:spacing w:before="57"/>
              <w:ind w:left="351" w:right="350"/>
              <w:jc w:val="center"/>
              <w:rPr>
                <w:b/>
                <w:sz w:val="24"/>
              </w:rPr>
            </w:pPr>
            <w:r>
              <w:rPr>
                <w:b/>
                <w:sz w:val="24"/>
              </w:rPr>
              <w:t>1823</w:t>
            </w:r>
          </w:p>
        </w:tc>
        <w:tc>
          <w:tcPr>
            <w:tcW w:w="1987" w:type="dxa"/>
          </w:tcPr>
          <w:p>
            <w:pPr>
              <w:pStyle w:val="TableParagraph"/>
              <w:spacing w:before="57"/>
              <w:ind w:left="445" w:right="447"/>
              <w:jc w:val="center"/>
              <w:rPr>
                <w:b/>
                <w:sz w:val="24"/>
              </w:rPr>
            </w:pPr>
            <w:r>
              <w:rPr>
                <w:b/>
                <w:sz w:val="24"/>
              </w:rPr>
              <w:t>1723</w:t>
            </w:r>
          </w:p>
        </w:tc>
      </w:tr>
      <w:tr>
        <w:trPr>
          <w:trHeight w:val="414" w:hRule="exact"/>
        </w:trPr>
        <w:tc>
          <w:tcPr>
            <w:tcW w:w="2024" w:type="dxa"/>
          </w:tcPr>
          <w:p>
            <w:pPr>
              <w:pStyle w:val="TableParagraph"/>
              <w:spacing w:before="55"/>
              <w:ind w:left="377" w:right="589"/>
              <w:jc w:val="center"/>
              <w:rPr>
                <w:b/>
                <w:sz w:val="24"/>
              </w:rPr>
            </w:pPr>
            <w:r>
              <w:rPr>
                <w:b/>
                <w:sz w:val="24"/>
              </w:rPr>
              <w:t>test 2</w:t>
            </w:r>
          </w:p>
        </w:tc>
        <w:tc>
          <w:tcPr>
            <w:tcW w:w="1771" w:type="dxa"/>
          </w:tcPr>
          <w:p>
            <w:pPr>
              <w:pStyle w:val="TableParagraph"/>
              <w:spacing w:before="55"/>
              <w:ind w:left="232" w:right="444"/>
              <w:jc w:val="center"/>
              <w:rPr>
                <w:b/>
                <w:sz w:val="24"/>
              </w:rPr>
            </w:pPr>
            <w:r>
              <w:rPr>
                <w:b/>
                <w:sz w:val="24"/>
              </w:rPr>
              <w:t>1743</w:t>
            </w:r>
          </w:p>
        </w:tc>
        <w:tc>
          <w:tcPr>
            <w:tcW w:w="1984" w:type="dxa"/>
          </w:tcPr>
          <w:p>
            <w:pPr>
              <w:pStyle w:val="TableParagraph"/>
              <w:spacing w:before="55"/>
              <w:ind w:left="351" w:right="350"/>
              <w:jc w:val="center"/>
              <w:rPr>
                <w:b/>
                <w:sz w:val="24"/>
              </w:rPr>
            </w:pPr>
            <w:r>
              <w:rPr>
                <w:b/>
                <w:sz w:val="24"/>
              </w:rPr>
              <w:t>1810</w:t>
            </w:r>
          </w:p>
        </w:tc>
        <w:tc>
          <w:tcPr>
            <w:tcW w:w="1987" w:type="dxa"/>
          </w:tcPr>
          <w:p>
            <w:pPr>
              <w:pStyle w:val="TableParagraph"/>
              <w:spacing w:before="55"/>
              <w:ind w:left="445" w:right="447"/>
              <w:jc w:val="center"/>
              <w:rPr>
                <w:b/>
                <w:sz w:val="24"/>
              </w:rPr>
            </w:pPr>
            <w:r>
              <w:rPr>
                <w:b/>
                <w:sz w:val="24"/>
              </w:rPr>
              <w:t>1823</w:t>
            </w:r>
          </w:p>
        </w:tc>
      </w:tr>
      <w:tr>
        <w:trPr>
          <w:trHeight w:val="414" w:hRule="exact"/>
        </w:trPr>
        <w:tc>
          <w:tcPr>
            <w:tcW w:w="2024" w:type="dxa"/>
          </w:tcPr>
          <w:p>
            <w:pPr>
              <w:pStyle w:val="TableParagraph"/>
              <w:spacing w:before="57"/>
              <w:ind w:left="377" w:right="589"/>
              <w:jc w:val="center"/>
              <w:rPr>
                <w:b/>
                <w:sz w:val="24"/>
              </w:rPr>
            </w:pPr>
            <w:r>
              <w:rPr>
                <w:b/>
                <w:sz w:val="24"/>
              </w:rPr>
              <w:t>test 3</w:t>
            </w:r>
          </w:p>
        </w:tc>
        <w:tc>
          <w:tcPr>
            <w:tcW w:w="1771" w:type="dxa"/>
          </w:tcPr>
          <w:p>
            <w:pPr>
              <w:pStyle w:val="TableParagraph"/>
              <w:spacing w:before="57"/>
              <w:ind w:left="232" w:right="444"/>
              <w:jc w:val="center"/>
              <w:rPr>
                <w:b/>
                <w:sz w:val="24"/>
              </w:rPr>
            </w:pPr>
            <w:r>
              <w:rPr>
                <w:b/>
                <w:sz w:val="24"/>
              </w:rPr>
              <w:t>1620</w:t>
            </w:r>
          </w:p>
        </w:tc>
        <w:tc>
          <w:tcPr>
            <w:tcW w:w="1984" w:type="dxa"/>
          </w:tcPr>
          <w:p>
            <w:pPr>
              <w:pStyle w:val="TableParagraph"/>
              <w:spacing w:before="57"/>
              <w:ind w:left="351" w:right="350"/>
              <w:jc w:val="center"/>
              <w:rPr>
                <w:b/>
                <w:sz w:val="24"/>
              </w:rPr>
            </w:pPr>
            <w:r>
              <w:rPr>
                <w:b/>
                <w:sz w:val="24"/>
              </w:rPr>
              <w:t>1692</w:t>
            </w:r>
          </w:p>
        </w:tc>
        <w:tc>
          <w:tcPr>
            <w:tcW w:w="1987" w:type="dxa"/>
          </w:tcPr>
          <w:p>
            <w:pPr>
              <w:pStyle w:val="TableParagraph"/>
              <w:spacing w:before="57"/>
              <w:ind w:left="445" w:right="447"/>
              <w:jc w:val="center"/>
              <w:rPr>
                <w:b/>
                <w:sz w:val="24"/>
              </w:rPr>
            </w:pPr>
            <w:r>
              <w:rPr>
                <w:b/>
                <w:sz w:val="24"/>
              </w:rPr>
              <w:t>1637</w:t>
            </w:r>
          </w:p>
        </w:tc>
      </w:tr>
      <w:tr>
        <w:trPr>
          <w:trHeight w:val="414" w:hRule="exact"/>
        </w:trPr>
        <w:tc>
          <w:tcPr>
            <w:tcW w:w="2024" w:type="dxa"/>
          </w:tcPr>
          <w:p>
            <w:pPr>
              <w:pStyle w:val="TableParagraph"/>
              <w:spacing w:before="55"/>
              <w:ind w:left="377" w:right="589"/>
              <w:jc w:val="center"/>
              <w:rPr>
                <w:b/>
                <w:sz w:val="24"/>
              </w:rPr>
            </w:pPr>
            <w:r>
              <w:rPr>
                <w:b/>
                <w:sz w:val="24"/>
              </w:rPr>
              <w:t>test 4</w:t>
            </w:r>
          </w:p>
        </w:tc>
        <w:tc>
          <w:tcPr>
            <w:tcW w:w="1771" w:type="dxa"/>
          </w:tcPr>
          <w:p>
            <w:pPr>
              <w:pStyle w:val="TableParagraph"/>
              <w:spacing w:before="55"/>
              <w:ind w:left="232" w:right="444"/>
              <w:jc w:val="center"/>
              <w:rPr>
                <w:b/>
                <w:sz w:val="24"/>
              </w:rPr>
            </w:pPr>
            <w:r>
              <w:rPr>
                <w:b/>
                <w:sz w:val="24"/>
              </w:rPr>
              <w:t>1586</w:t>
            </w:r>
          </w:p>
        </w:tc>
        <w:tc>
          <w:tcPr>
            <w:tcW w:w="1984" w:type="dxa"/>
          </w:tcPr>
          <w:p>
            <w:pPr>
              <w:pStyle w:val="TableParagraph"/>
              <w:spacing w:before="55"/>
              <w:ind w:left="351" w:right="350"/>
              <w:jc w:val="center"/>
              <w:rPr>
                <w:b/>
                <w:sz w:val="24"/>
              </w:rPr>
            </w:pPr>
            <w:r>
              <w:rPr>
                <w:b/>
                <w:sz w:val="24"/>
              </w:rPr>
              <w:t>1743</w:t>
            </w:r>
          </w:p>
        </w:tc>
        <w:tc>
          <w:tcPr>
            <w:tcW w:w="1987" w:type="dxa"/>
          </w:tcPr>
          <w:p>
            <w:pPr>
              <w:pStyle w:val="TableParagraph"/>
              <w:spacing w:before="55"/>
              <w:ind w:left="445" w:right="447"/>
              <w:jc w:val="center"/>
              <w:rPr>
                <w:b/>
                <w:sz w:val="24"/>
              </w:rPr>
            </w:pPr>
            <w:r>
              <w:rPr>
                <w:b/>
                <w:sz w:val="24"/>
              </w:rPr>
              <w:t>1586</w:t>
            </w:r>
          </w:p>
        </w:tc>
      </w:tr>
      <w:tr>
        <w:trPr>
          <w:trHeight w:val="414" w:hRule="exact"/>
        </w:trPr>
        <w:tc>
          <w:tcPr>
            <w:tcW w:w="2024" w:type="dxa"/>
          </w:tcPr>
          <w:p>
            <w:pPr>
              <w:pStyle w:val="TableParagraph"/>
              <w:spacing w:before="57"/>
              <w:ind w:left="377" w:right="589"/>
              <w:jc w:val="center"/>
              <w:rPr>
                <w:b/>
                <w:sz w:val="24"/>
              </w:rPr>
            </w:pPr>
            <w:r>
              <w:rPr>
                <w:b/>
                <w:sz w:val="24"/>
              </w:rPr>
              <w:t>test 5</w:t>
            </w:r>
          </w:p>
        </w:tc>
        <w:tc>
          <w:tcPr>
            <w:tcW w:w="1771" w:type="dxa"/>
          </w:tcPr>
          <w:p>
            <w:pPr>
              <w:pStyle w:val="TableParagraph"/>
              <w:spacing w:before="57"/>
              <w:ind w:left="232" w:right="444"/>
              <w:jc w:val="center"/>
              <w:rPr>
                <w:b/>
                <w:sz w:val="24"/>
              </w:rPr>
            </w:pPr>
            <w:r>
              <w:rPr>
                <w:b/>
                <w:sz w:val="24"/>
              </w:rPr>
              <w:t>1734</w:t>
            </w:r>
          </w:p>
        </w:tc>
        <w:tc>
          <w:tcPr>
            <w:tcW w:w="1984" w:type="dxa"/>
          </w:tcPr>
          <w:p>
            <w:pPr>
              <w:pStyle w:val="TableParagraph"/>
              <w:spacing w:before="57"/>
              <w:ind w:left="351" w:right="350"/>
              <w:jc w:val="center"/>
              <w:rPr>
                <w:b/>
                <w:sz w:val="24"/>
              </w:rPr>
            </w:pPr>
            <w:r>
              <w:rPr>
                <w:b/>
                <w:sz w:val="24"/>
              </w:rPr>
              <w:t>1702</w:t>
            </w:r>
          </w:p>
        </w:tc>
        <w:tc>
          <w:tcPr>
            <w:tcW w:w="1987" w:type="dxa"/>
          </w:tcPr>
          <w:p>
            <w:pPr>
              <w:pStyle w:val="TableParagraph"/>
              <w:spacing w:before="57"/>
              <w:ind w:left="445" w:right="447"/>
              <w:jc w:val="center"/>
              <w:rPr>
                <w:b/>
                <w:sz w:val="24"/>
              </w:rPr>
            </w:pPr>
            <w:r>
              <w:rPr>
                <w:b/>
                <w:sz w:val="24"/>
              </w:rPr>
              <w:t>1578</w:t>
            </w:r>
          </w:p>
        </w:tc>
      </w:tr>
      <w:tr>
        <w:trPr>
          <w:trHeight w:val="414" w:hRule="exact"/>
        </w:trPr>
        <w:tc>
          <w:tcPr>
            <w:tcW w:w="2024" w:type="dxa"/>
          </w:tcPr>
          <w:p>
            <w:pPr>
              <w:pStyle w:val="TableParagraph"/>
              <w:spacing w:before="56"/>
              <w:ind w:left="411" w:right="554"/>
              <w:jc w:val="center"/>
              <w:rPr>
                <w:b/>
                <w:i/>
                <w:sz w:val="24"/>
              </w:rPr>
            </w:pPr>
            <w:r>
              <w:rPr>
                <w:b/>
                <w:i/>
                <w:sz w:val="24"/>
              </w:rPr>
              <w:t>Average</w:t>
            </w:r>
          </w:p>
        </w:tc>
        <w:tc>
          <w:tcPr>
            <w:tcW w:w="1771" w:type="dxa"/>
          </w:tcPr>
          <w:p>
            <w:pPr>
              <w:pStyle w:val="TableParagraph"/>
              <w:spacing w:before="56"/>
              <w:ind w:left="232" w:right="444"/>
              <w:jc w:val="center"/>
              <w:rPr>
                <w:b/>
                <w:sz w:val="24"/>
              </w:rPr>
            </w:pPr>
            <w:r>
              <w:rPr>
                <w:b/>
                <w:sz w:val="24"/>
              </w:rPr>
              <w:t>1712</w:t>
            </w:r>
          </w:p>
        </w:tc>
        <w:tc>
          <w:tcPr>
            <w:tcW w:w="1984" w:type="dxa"/>
          </w:tcPr>
          <w:p>
            <w:pPr>
              <w:pStyle w:val="TableParagraph"/>
              <w:spacing w:before="56"/>
              <w:ind w:left="351" w:right="350"/>
              <w:jc w:val="center"/>
              <w:rPr>
                <w:b/>
                <w:sz w:val="24"/>
              </w:rPr>
            </w:pPr>
            <w:r>
              <w:rPr>
                <w:b/>
                <w:sz w:val="24"/>
              </w:rPr>
              <w:t>1754</w:t>
            </w:r>
          </w:p>
        </w:tc>
        <w:tc>
          <w:tcPr>
            <w:tcW w:w="1987" w:type="dxa"/>
          </w:tcPr>
          <w:p>
            <w:pPr>
              <w:pStyle w:val="TableParagraph"/>
              <w:spacing w:before="56"/>
              <w:ind w:left="445" w:right="447"/>
              <w:jc w:val="center"/>
              <w:rPr>
                <w:b/>
                <w:sz w:val="24"/>
              </w:rPr>
            </w:pPr>
            <w:r>
              <w:rPr>
                <w:b/>
                <w:sz w:val="24"/>
              </w:rPr>
              <w:t>1669</w:t>
            </w:r>
          </w:p>
        </w:tc>
      </w:tr>
      <w:tr>
        <w:trPr>
          <w:trHeight w:val="1189" w:hRule="exact"/>
        </w:trPr>
        <w:tc>
          <w:tcPr>
            <w:tcW w:w="2024" w:type="dxa"/>
            <w:tcBorders>
              <w:bottom w:val="single" w:sz="4" w:space="0" w:color="000000"/>
            </w:tcBorders>
          </w:tcPr>
          <w:p>
            <w:pPr>
              <w:pStyle w:val="TableParagraph"/>
              <w:spacing w:line="360" w:lineRule="auto" w:before="57"/>
              <w:ind w:left="494" w:right="456" w:firstLine="4"/>
              <w:rPr>
                <w:b/>
                <w:sz w:val="24"/>
              </w:rPr>
            </w:pPr>
            <w:r>
              <w:rPr>
                <w:b/>
                <w:sz w:val="24"/>
              </w:rPr>
              <w:t>Standard deviation</w:t>
            </w:r>
          </w:p>
        </w:tc>
        <w:tc>
          <w:tcPr>
            <w:tcW w:w="1771" w:type="dxa"/>
            <w:tcBorders>
              <w:bottom w:val="single" w:sz="4" w:space="0" w:color="000000"/>
            </w:tcBorders>
          </w:tcPr>
          <w:p>
            <w:pPr>
              <w:pStyle w:val="TableParagraph"/>
              <w:spacing w:before="10"/>
              <w:rPr>
                <w:sz w:val="22"/>
              </w:rPr>
            </w:pPr>
          </w:p>
          <w:p>
            <w:pPr>
              <w:pStyle w:val="TableParagraph"/>
              <w:ind w:left="232" w:right="444"/>
              <w:jc w:val="center"/>
              <w:rPr>
                <w:b/>
                <w:sz w:val="24"/>
              </w:rPr>
            </w:pPr>
            <w:r>
              <w:rPr>
                <w:b/>
                <w:sz w:val="24"/>
              </w:rPr>
              <w:t>116.0</w:t>
            </w:r>
          </w:p>
        </w:tc>
        <w:tc>
          <w:tcPr>
            <w:tcW w:w="1984" w:type="dxa"/>
            <w:tcBorders>
              <w:bottom w:val="single" w:sz="4" w:space="0" w:color="000000"/>
            </w:tcBorders>
          </w:tcPr>
          <w:p>
            <w:pPr>
              <w:pStyle w:val="TableParagraph"/>
              <w:spacing w:before="10"/>
              <w:rPr>
                <w:sz w:val="22"/>
              </w:rPr>
            </w:pPr>
          </w:p>
          <w:p>
            <w:pPr>
              <w:pStyle w:val="TableParagraph"/>
              <w:ind w:left="352" w:right="349"/>
              <w:jc w:val="center"/>
              <w:rPr>
                <w:b/>
                <w:sz w:val="24"/>
              </w:rPr>
            </w:pPr>
            <w:r>
              <w:rPr>
                <w:b/>
                <w:sz w:val="24"/>
              </w:rPr>
              <w:t>60.5</w:t>
            </w:r>
          </w:p>
        </w:tc>
        <w:tc>
          <w:tcPr>
            <w:tcW w:w="1987" w:type="dxa"/>
            <w:tcBorders>
              <w:bottom w:val="single" w:sz="4" w:space="0" w:color="000000"/>
            </w:tcBorders>
          </w:tcPr>
          <w:p>
            <w:pPr>
              <w:pStyle w:val="TableParagraph"/>
              <w:spacing w:before="10"/>
              <w:rPr>
                <w:sz w:val="22"/>
              </w:rPr>
            </w:pPr>
          </w:p>
          <w:p>
            <w:pPr>
              <w:pStyle w:val="TableParagraph"/>
              <w:ind w:left="444" w:right="447"/>
              <w:jc w:val="center"/>
              <w:rPr>
                <w:b/>
                <w:sz w:val="24"/>
              </w:rPr>
            </w:pPr>
            <w:r>
              <w:rPr>
                <w:b/>
                <w:sz w:val="24"/>
              </w:rPr>
              <w:t>103.5</w:t>
            </w:r>
          </w:p>
        </w:tc>
      </w:tr>
      <w:tr>
        <w:trPr>
          <w:trHeight w:val="570" w:hRule="exact"/>
        </w:trPr>
        <w:tc>
          <w:tcPr>
            <w:tcW w:w="7765" w:type="dxa"/>
            <w:gridSpan w:val="4"/>
            <w:tcBorders>
              <w:top w:val="single" w:sz="4" w:space="0" w:color="000000"/>
            </w:tcBorders>
          </w:tcPr>
          <w:p>
            <w:pPr>
              <w:pStyle w:val="TableParagraph"/>
              <w:ind w:left="107"/>
              <w:rPr>
                <w:b/>
                <w:sz w:val="24"/>
              </w:rPr>
            </w:pPr>
            <w:r>
              <w:rPr>
                <w:b/>
                <w:sz w:val="24"/>
              </w:rPr>
              <w:t>(b)  Municipal wastewater plant (Toluca North Plant)</w:t>
            </w:r>
          </w:p>
        </w:tc>
      </w:tr>
      <w:tr>
        <w:trPr>
          <w:trHeight w:val="620" w:hRule="exact"/>
        </w:trPr>
        <w:tc>
          <w:tcPr>
            <w:tcW w:w="2024" w:type="dxa"/>
          </w:tcPr>
          <w:p>
            <w:pPr>
              <w:pStyle w:val="TableParagraph"/>
              <w:spacing w:before="10"/>
              <w:rPr>
                <w:sz w:val="22"/>
              </w:rPr>
            </w:pPr>
          </w:p>
          <w:p>
            <w:pPr>
              <w:pStyle w:val="TableParagraph"/>
              <w:ind w:left="377" w:right="589"/>
              <w:jc w:val="center"/>
              <w:rPr>
                <w:b/>
                <w:sz w:val="24"/>
              </w:rPr>
            </w:pPr>
            <w:r>
              <w:rPr>
                <w:b/>
                <w:sz w:val="24"/>
              </w:rPr>
              <w:t>test1</w:t>
            </w:r>
          </w:p>
        </w:tc>
        <w:tc>
          <w:tcPr>
            <w:tcW w:w="1771" w:type="dxa"/>
          </w:tcPr>
          <w:p>
            <w:pPr>
              <w:pStyle w:val="TableParagraph"/>
              <w:spacing w:before="10"/>
              <w:rPr>
                <w:sz w:val="22"/>
              </w:rPr>
            </w:pPr>
          </w:p>
          <w:p>
            <w:pPr>
              <w:pStyle w:val="TableParagraph"/>
              <w:ind w:left="232" w:right="444"/>
              <w:jc w:val="center"/>
              <w:rPr>
                <w:b/>
                <w:sz w:val="24"/>
              </w:rPr>
            </w:pPr>
            <w:r>
              <w:rPr>
                <w:b/>
                <w:sz w:val="24"/>
              </w:rPr>
              <w:t>1093</w:t>
            </w:r>
          </w:p>
        </w:tc>
        <w:tc>
          <w:tcPr>
            <w:tcW w:w="1984" w:type="dxa"/>
          </w:tcPr>
          <w:p>
            <w:pPr>
              <w:pStyle w:val="TableParagraph"/>
              <w:spacing w:before="10"/>
              <w:rPr>
                <w:sz w:val="22"/>
              </w:rPr>
            </w:pPr>
          </w:p>
          <w:p>
            <w:pPr>
              <w:pStyle w:val="TableParagraph"/>
              <w:ind w:left="351" w:right="350"/>
              <w:jc w:val="center"/>
              <w:rPr>
                <w:b/>
                <w:sz w:val="24"/>
              </w:rPr>
            </w:pPr>
            <w:r>
              <w:rPr>
                <w:b/>
                <w:sz w:val="24"/>
              </w:rPr>
              <w:t>1234</w:t>
            </w:r>
          </w:p>
        </w:tc>
        <w:tc>
          <w:tcPr>
            <w:tcW w:w="1987" w:type="dxa"/>
          </w:tcPr>
          <w:p>
            <w:pPr>
              <w:pStyle w:val="TableParagraph"/>
              <w:spacing w:before="10"/>
              <w:rPr>
                <w:sz w:val="22"/>
              </w:rPr>
            </w:pPr>
          </w:p>
          <w:p>
            <w:pPr>
              <w:pStyle w:val="TableParagraph"/>
              <w:ind w:left="445" w:right="447"/>
              <w:jc w:val="center"/>
              <w:rPr>
                <w:b/>
                <w:sz w:val="24"/>
              </w:rPr>
            </w:pPr>
            <w:r>
              <w:rPr>
                <w:b/>
                <w:sz w:val="24"/>
              </w:rPr>
              <w:t>1035</w:t>
            </w:r>
          </w:p>
        </w:tc>
      </w:tr>
      <w:tr>
        <w:trPr>
          <w:trHeight w:val="414" w:hRule="exact"/>
        </w:trPr>
        <w:tc>
          <w:tcPr>
            <w:tcW w:w="2024" w:type="dxa"/>
          </w:tcPr>
          <w:p>
            <w:pPr>
              <w:pStyle w:val="TableParagraph"/>
              <w:spacing w:before="55"/>
              <w:ind w:left="377" w:right="589"/>
              <w:jc w:val="center"/>
              <w:rPr>
                <w:b/>
                <w:sz w:val="24"/>
              </w:rPr>
            </w:pPr>
            <w:r>
              <w:rPr>
                <w:b/>
                <w:sz w:val="24"/>
              </w:rPr>
              <w:t>test 2</w:t>
            </w:r>
          </w:p>
        </w:tc>
        <w:tc>
          <w:tcPr>
            <w:tcW w:w="1771" w:type="dxa"/>
          </w:tcPr>
          <w:p>
            <w:pPr>
              <w:pStyle w:val="TableParagraph"/>
              <w:spacing w:before="55"/>
              <w:ind w:left="232" w:right="444"/>
              <w:jc w:val="center"/>
              <w:rPr>
                <w:b/>
                <w:sz w:val="24"/>
              </w:rPr>
            </w:pPr>
            <w:r>
              <w:rPr>
                <w:b/>
                <w:sz w:val="24"/>
              </w:rPr>
              <w:t>1283</w:t>
            </w:r>
          </w:p>
        </w:tc>
        <w:tc>
          <w:tcPr>
            <w:tcW w:w="1984" w:type="dxa"/>
          </w:tcPr>
          <w:p>
            <w:pPr>
              <w:pStyle w:val="TableParagraph"/>
              <w:spacing w:before="55"/>
              <w:ind w:left="351" w:right="350"/>
              <w:jc w:val="center"/>
              <w:rPr>
                <w:b/>
                <w:sz w:val="24"/>
              </w:rPr>
            </w:pPr>
            <w:r>
              <w:rPr>
                <w:b/>
                <w:sz w:val="24"/>
              </w:rPr>
              <w:t>1178</w:t>
            </w:r>
          </w:p>
        </w:tc>
        <w:tc>
          <w:tcPr>
            <w:tcW w:w="1987" w:type="dxa"/>
          </w:tcPr>
          <w:p>
            <w:pPr>
              <w:pStyle w:val="TableParagraph"/>
              <w:spacing w:before="55"/>
              <w:ind w:left="445" w:right="447"/>
              <w:jc w:val="center"/>
              <w:rPr>
                <w:b/>
                <w:sz w:val="24"/>
              </w:rPr>
            </w:pPr>
            <w:r>
              <w:rPr>
                <w:b/>
                <w:sz w:val="24"/>
              </w:rPr>
              <w:t>1321</w:t>
            </w:r>
          </w:p>
        </w:tc>
      </w:tr>
      <w:tr>
        <w:trPr>
          <w:trHeight w:val="414" w:hRule="exact"/>
        </w:trPr>
        <w:tc>
          <w:tcPr>
            <w:tcW w:w="2024" w:type="dxa"/>
          </w:tcPr>
          <w:p>
            <w:pPr>
              <w:pStyle w:val="TableParagraph"/>
              <w:spacing w:before="57"/>
              <w:ind w:left="377" w:right="589"/>
              <w:jc w:val="center"/>
              <w:rPr>
                <w:b/>
                <w:sz w:val="24"/>
              </w:rPr>
            </w:pPr>
            <w:r>
              <w:rPr>
                <w:b/>
                <w:sz w:val="24"/>
              </w:rPr>
              <w:t>test 3</w:t>
            </w:r>
          </w:p>
        </w:tc>
        <w:tc>
          <w:tcPr>
            <w:tcW w:w="1771" w:type="dxa"/>
          </w:tcPr>
          <w:p>
            <w:pPr>
              <w:pStyle w:val="TableParagraph"/>
              <w:spacing w:before="57"/>
              <w:ind w:left="232" w:right="444"/>
              <w:jc w:val="center"/>
              <w:rPr>
                <w:b/>
                <w:sz w:val="24"/>
              </w:rPr>
            </w:pPr>
            <w:r>
              <w:rPr>
                <w:b/>
                <w:sz w:val="24"/>
              </w:rPr>
              <w:t>950.0</w:t>
            </w:r>
          </w:p>
        </w:tc>
        <w:tc>
          <w:tcPr>
            <w:tcW w:w="1984" w:type="dxa"/>
          </w:tcPr>
          <w:p>
            <w:pPr>
              <w:pStyle w:val="TableParagraph"/>
              <w:spacing w:before="57"/>
              <w:ind w:left="351" w:right="350"/>
              <w:jc w:val="center"/>
              <w:rPr>
                <w:b/>
                <w:sz w:val="24"/>
              </w:rPr>
            </w:pPr>
            <w:r>
              <w:rPr>
                <w:b/>
                <w:sz w:val="24"/>
              </w:rPr>
              <w:t>1235</w:t>
            </w:r>
          </w:p>
        </w:tc>
        <w:tc>
          <w:tcPr>
            <w:tcW w:w="1987" w:type="dxa"/>
          </w:tcPr>
          <w:p>
            <w:pPr>
              <w:pStyle w:val="TableParagraph"/>
              <w:spacing w:before="57"/>
              <w:ind w:left="445" w:right="447"/>
              <w:jc w:val="center"/>
              <w:rPr>
                <w:b/>
                <w:sz w:val="24"/>
              </w:rPr>
            </w:pPr>
            <w:r>
              <w:rPr>
                <w:b/>
                <w:sz w:val="24"/>
              </w:rPr>
              <w:t>1173</w:t>
            </w:r>
          </w:p>
        </w:tc>
      </w:tr>
      <w:tr>
        <w:trPr>
          <w:trHeight w:val="414" w:hRule="exact"/>
        </w:trPr>
        <w:tc>
          <w:tcPr>
            <w:tcW w:w="2024" w:type="dxa"/>
          </w:tcPr>
          <w:p>
            <w:pPr>
              <w:pStyle w:val="TableParagraph"/>
              <w:spacing w:before="56"/>
              <w:ind w:left="377" w:right="589"/>
              <w:jc w:val="center"/>
              <w:rPr>
                <w:b/>
                <w:sz w:val="24"/>
              </w:rPr>
            </w:pPr>
            <w:r>
              <w:rPr>
                <w:b/>
                <w:sz w:val="24"/>
              </w:rPr>
              <w:t>test 4</w:t>
            </w:r>
          </w:p>
        </w:tc>
        <w:tc>
          <w:tcPr>
            <w:tcW w:w="1771" w:type="dxa"/>
          </w:tcPr>
          <w:p>
            <w:pPr>
              <w:pStyle w:val="TableParagraph"/>
              <w:spacing w:before="56"/>
              <w:ind w:left="232" w:right="444"/>
              <w:jc w:val="center"/>
              <w:rPr>
                <w:b/>
                <w:sz w:val="24"/>
              </w:rPr>
            </w:pPr>
            <w:r>
              <w:rPr>
                <w:b/>
                <w:sz w:val="24"/>
              </w:rPr>
              <w:t>1132</w:t>
            </w:r>
          </w:p>
        </w:tc>
        <w:tc>
          <w:tcPr>
            <w:tcW w:w="1984" w:type="dxa"/>
          </w:tcPr>
          <w:p>
            <w:pPr>
              <w:pStyle w:val="TableParagraph"/>
              <w:spacing w:before="56"/>
              <w:ind w:left="351" w:right="350"/>
              <w:jc w:val="center"/>
              <w:rPr>
                <w:b/>
                <w:sz w:val="24"/>
              </w:rPr>
            </w:pPr>
            <w:r>
              <w:rPr>
                <w:b/>
                <w:sz w:val="24"/>
              </w:rPr>
              <w:t>1089</w:t>
            </w:r>
          </w:p>
        </w:tc>
        <w:tc>
          <w:tcPr>
            <w:tcW w:w="1987" w:type="dxa"/>
          </w:tcPr>
          <w:p>
            <w:pPr>
              <w:pStyle w:val="TableParagraph"/>
              <w:spacing w:before="56"/>
              <w:ind w:left="445" w:right="447"/>
              <w:jc w:val="center"/>
              <w:rPr>
                <w:b/>
                <w:sz w:val="24"/>
              </w:rPr>
            </w:pPr>
            <w:r>
              <w:rPr>
                <w:b/>
                <w:sz w:val="24"/>
              </w:rPr>
              <w:t>1245</w:t>
            </w:r>
          </w:p>
        </w:tc>
      </w:tr>
      <w:tr>
        <w:trPr>
          <w:trHeight w:val="414" w:hRule="exact"/>
        </w:trPr>
        <w:tc>
          <w:tcPr>
            <w:tcW w:w="2024" w:type="dxa"/>
          </w:tcPr>
          <w:p>
            <w:pPr>
              <w:pStyle w:val="TableParagraph"/>
              <w:spacing w:before="57"/>
              <w:ind w:left="377" w:right="589"/>
              <w:jc w:val="center"/>
              <w:rPr>
                <w:b/>
                <w:sz w:val="24"/>
              </w:rPr>
            </w:pPr>
            <w:r>
              <w:rPr>
                <w:b/>
                <w:sz w:val="24"/>
              </w:rPr>
              <w:t>test 5</w:t>
            </w:r>
          </w:p>
        </w:tc>
        <w:tc>
          <w:tcPr>
            <w:tcW w:w="1771" w:type="dxa"/>
          </w:tcPr>
          <w:p>
            <w:pPr>
              <w:pStyle w:val="TableParagraph"/>
              <w:spacing w:before="57"/>
              <w:ind w:left="232" w:right="444"/>
              <w:jc w:val="center"/>
              <w:rPr>
                <w:b/>
                <w:sz w:val="24"/>
              </w:rPr>
            </w:pPr>
            <w:r>
              <w:rPr>
                <w:b/>
                <w:sz w:val="24"/>
              </w:rPr>
              <w:t>1265</w:t>
            </w:r>
          </w:p>
        </w:tc>
        <w:tc>
          <w:tcPr>
            <w:tcW w:w="1984" w:type="dxa"/>
          </w:tcPr>
          <w:p>
            <w:pPr>
              <w:pStyle w:val="TableParagraph"/>
              <w:spacing w:before="57"/>
              <w:ind w:left="351" w:right="350"/>
              <w:jc w:val="center"/>
              <w:rPr>
                <w:b/>
                <w:sz w:val="24"/>
              </w:rPr>
            </w:pPr>
            <w:r>
              <w:rPr>
                <w:b/>
                <w:sz w:val="24"/>
              </w:rPr>
              <w:t>1157</w:t>
            </w:r>
          </w:p>
        </w:tc>
        <w:tc>
          <w:tcPr>
            <w:tcW w:w="1987" w:type="dxa"/>
          </w:tcPr>
          <w:p>
            <w:pPr>
              <w:pStyle w:val="TableParagraph"/>
              <w:spacing w:before="57"/>
              <w:ind w:left="445" w:right="447"/>
              <w:jc w:val="center"/>
              <w:rPr>
                <w:b/>
                <w:sz w:val="24"/>
              </w:rPr>
            </w:pPr>
            <w:r>
              <w:rPr>
                <w:b/>
                <w:sz w:val="24"/>
              </w:rPr>
              <w:t>1087</w:t>
            </w:r>
          </w:p>
        </w:tc>
      </w:tr>
      <w:tr>
        <w:trPr>
          <w:trHeight w:val="414" w:hRule="exact"/>
        </w:trPr>
        <w:tc>
          <w:tcPr>
            <w:tcW w:w="2024" w:type="dxa"/>
          </w:tcPr>
          <w:p>
            <w:pPr>
              <w:pStyle w:val="TableParagraph"/>
              <w:spacing w:before="55"/>
              <w:ind w:left="376" w:right="589"/>
              <w:jc w:val="center"/>
              <w:rPr>
                <w:b/>
                <w:i/>
                <w:sz w:val="24"/>
              </w:rPr>
            </w:pPr>
            <w:r>
              <w:rPr>
                <w:b/>
                <w:i/>
                <w:sz w:val="24"/>
              </w:rPr>
              <w:t>Average</w:t>
            </w:r>
          </w:p>
        </w:tc>
        <w:tc>
          <w:tcPr>
            <w:tcW w:w="1771" w:type="dxa"/>
          </w:tcPr>
          <w:p>
            <w:pPr>
              <w:pStyle w:val="TableParagraph"/>
              <w:spacing w:before="55"/>
              <w:ind w:left="232" w:right="444"/>
              <w:jc w:val="center"/>
              <w:rPr>
                <w:b/>
                <w:sz w:val="24"/>
              </w:rPr>
            </w:pPr>
            <w:r>
              <w:rPr>
                <w:b/>
                <w:sz w:val="24"/>
              </w:rPr>
              <w:t>1144</w:t>
            </w:r>
          </w:p>
        </w:tc>
        <w:tc>
          <w:tcPr>
            <w:tcW w:w="1984" w:type="dxa"/>
          </w:tcPr>
          <w:p>
            <w:pPr>
              <w:pStyle w:val="TableParagraph"/>
              <w:spacing w:before="55"/>
              <w:ind w:left="351" w:right="350"/>
              <w:jc w:val="center"/>
              <w:rPr>
                <w:b/>
                <w:sz w:val="24"/>
              </w:rPr>
            </w:pPr>
            <w:r>
              <w:rPr>
                <w:b/>
                <w:sz w:val="24"/>
              </w:rPr>
              <w:t>1179</w:t>
            </w:r>
          </w:p>
        </w:tc>
        <w:tc>
          <w:tcPr>
            <w:tcW w:w="1987" w:type="dxa"/>
          </w:tcPr>
          <w:p>
            <w:pPr>
              <w:pStyle w:val="TableParagraph"/>
              <w:spacing w:before="55"/>
              <w:ind w:left="445" w:right="447"/>
              <w:jc w:val="center"/>
              <w:rPr>
                <w:b/>
                <w:sz w:val="24"/>
              </w:rPr>
            </w:pPr>
            <w:r>
              <w:rPr>
                <w:b/>
                <w:sz w:val="24"/>
              </w:rPr>
              <w:t>1172</w:t>
            </w:r>
          </w:p>
        </w:tc>
      </w:tr>
      <w:tr>
        <w:trPr>
          <w:trHeight w:val="1192" w:hRule="exact"/>
        </w:trPr>
        <w:tc>
          <w:tcPr>
            <w:tcW w:w="2024" w:type="dxa"/>
            <w:tcBorders>
              <w:bottom w:val="single" w:sz="4" w:space="0" w:color="000000"/>
            </w:tcBorders>
          </w:tcPr>
          <w:p>
            <w:pPr>
              <w:pStyle w:val="TableParagraph"/>
              <w:spacing w:line="360" w:lineRule="auto" w:before="57"/>
              <w:ind w:left="376" w:right="574" w:firstLine="7"/>
              <w:rPr>
                <w:b/>
                <w:sz w:val="24"/>
              </w:rPr>
            </w:pPr>
            <w:r>
              <w:rPr>
                <w:b/>
                <w:sz w:val="24"/>
              </w:rPr>
              <w:t>Standard deviation</w:t>
            </w:r>
          </w:p>
        </w:tc>
        <w:tc>
          <w:tcPr>
            <w:tcW w:w="1771" w:type="dxa"/>
            <w:tcBorders>
              <w:bottom w:val="single" w:sz="4" w:space="0" w:color="000000"/>
            </w:tcBorders>
          </w:tcPr>
          <w:p>
            <w:pPr>
              <w:pStyle w:val="TableParagraph"/>
              <w:spacing w:before="10"/>
              <w:rPr>
                <w:sz w:val="22"/>
              </w:rPr>
            </w:pPr>
          </w:p>
          <w:p>
            <w:pPr>
              <w:pStyle w:val="TableParagraph"/>
              <w:ind w:left="232" w:right="444"/>
              <w:jc w:val="center"/>
              <w:rPr>
                <w:b/>
                <w:sz w:val="24"/>
              </w:rPr>
            </w:pPr>
            <w:r>
              <w:rPr>
                <w:b/>
                <w:sz w:val="24"/>
              </w:rPr>
              <w:t>136.5</w:t>
            </w:r>
          </w:p>
        </w:tc>
        <w:tc>
          <w:tcPr>
            <w:tcW w:w="1984" w:type="dxa"/>
            <w:tcBorders>
              <w:bottom w:val="single" w:sz="4" w:space="0" w:color="000000"/>
            </w:tcBorders>
          </w:tcPr>
          <w:p>
            <w:pPr>
              <w:pStyle w:val="TableParagraph"/>
              <w:spacing w:before="10"/>
              <w:rPr>
                <w:sz w:val="22"/>
              </w:rPr>
            </w:pPr>
          </w:p>
          <w:p>
            <w:pPr>
              <w:pStyle w:val="TableParagraph"/>
              <w:ind w:left="352" w:right="349"/>
              <w:jc w:val="center"/>
              <w:rPr>
                <w:b/>
                <w:sz w:val="24"/>
              </w:rPr>
            </w:pPr>
            <w:r>
              <w:rPr>
                <w:b/>
                <w:sz w:val="24"/>
              </w:rPr>
              <w:t>60.8</w:t>
            </w:r>
          </w:p>
        </w:tc>
        <w:tc>
          <w:tcPr>
            <w:tcW w:w="1987" w:type="dxa"/>
            <w:tcBorders>
              <w:bottom w:val="single" w:sz="4" w:space="0" w:color="000000"/>
            </w:tcBorders>
          </w:tcPr>
          <w:p>
            <w:pPr>
              <w:pStyle w:val="TableParagraph"/>
              <w:spacing w:before="10"/>
              <w:rPr>
                <w:sz w:val="22"/>
              </w:rPr>
            </w:pPr>
          </w:p>
          <w:p>
            <w:pPr>
              <w:pStyle w:val="TableParagraph"/>
              <w:ind w:left="444" w:right="447"/>
              <w:jc w:val="center"/>
              <w:rPr>
                <w:b/>
                <w:sz w:val="24"/>
              </w:rPr>
            </w:pPr>
            <w:r>
              <w:rPr>
                <w:b/>
                <w:sz w:val="24"/>
              </w:rPr>
              <w:t>115.5</w:t>
            </w:r>
          </w:p>
        </w:tc>
      </w:tr>
      <w:tr>
        <w:trPr>
          <w:trHeight w:val="360" w:hRule="exact"/>
        </w:trPr>
        <w:tc>
          <w:tcPr>
            <w:tcW w:w="7765" w:type="dxa"/>
            <w:gridSpan w:val="4"/>
            <w:tcBorders>
              <w:top w:val="single" w:sz="4" w:space="0" w:color="000000"/>
            </w:tcBorders>
          </w:tcPr>
          <w:p>
            <w:pPr>
              <w:pStyle w:val="TableParagraph"/>
              <w:spacing w:line="274" w:lineRule="exact"/>
              <w:ind w:left="107"/>
              <w:rPr>
                <w:b/>
                <w:sz w:val="24"/>
              </w:rPr>
            </w:pPr>
            <w:r>
              <w:rPr>
                <w:b/>
                <w:sz w:val="24"/>
              </w:rPr>
              <w:t>(c) Municipal wastewater plant (Cerro de la Estrella)</w:t>
            </w:r>
          </w:p>
        </w:tc>
      </w:tr>
      <w:tr>
        <w:trPr>
          <w:trHeight w:val="414" w:hRule="exact"/>
        </w:trPr>
        <w:tc>
          <w:tcPr>
            <w:tcW w:w="2024" w:type="dxa"/>
          </w:tcPr>
          <w:p>
            <w:pPr>
              <w:pStyle w:val="TableParagraph"/>
              <w:spacing w:before="55"/>
              <w:ind w:left="377" w:right="589"/>
              <w:jc w:val="center"/>
              <w:rPr>
                <w:b/>
                <w:sz w:val="24"/>
              </w:rPr>
            </w:pPr>
            <w:r>
              <w:rPr>
                <w:b/>
                <w:sz w:val="24"/>
              </w:rPr>
              <w:t>test1</w:t>
            </w:r>
          </w:p>
        </w:tc>
        <w:tc>
          <w:tcPr>
            <w:tcW w:w="1771" w:type="dxa"/>
          </w:tcPr>
          <w:p>
            <w:pPr>
              <w:pStyle w:val="TableParagraph"/>
              <w:spacing w:before="55"/>
              <w:ind w:left="232" w:right="444"/>
              <w:jc w:val="center"/>
              <w:rPr>
                <w:b/>
                <w:sz w:val="24"/>
              </w:rPr>
            </w:pPr>
            <w:r>
              <w:rPr>
                <w:b/>
                <w:sz w:val="24"/>
              </w:rPr>
              <w:t>1616</w:t>
            </w:r>
          </w:p>
        </w:tc>
        <w:tc>
          <w:tcPr>
            <w:tcW w:w="1984" w:type="dxa"/>
          </w:tcPr>
          <w:p>
            <w:pPr>
              <w:pStyle w:val="TableParagraph"/>
              <w:spacing w:before="55"/>
              <w:ind w:left="351" w:right="350"/>
              <w:jc w:val="center"/>
              <w:rPr>
                <w:b/>
                <w:sz w:val="24"/>
              </w:rPr>
            </w:pPr>
            <w:r>
              <w:rPr>
                <w:b/>
                <w:sz w:val="24"/>
              </w:rPr>
              <w:t>1734</w:t>
            </w:r>
          </w:p>
        </w:tc>
        <w:tc>
          <w:tcPr>
            <w:tcW w:w="1987" w:type="dxa"/>
          </w:tcPr>
          <w:p>
            <w:pPr>
              <w:pStyle w:val="TableParagraph"/>
              <w:spacing w:before="55"/>
              <w:ind w:left="445" w:right="447"/>
              <w:jc w:val="center"/>
              <w:rPr>
                <w:b/>
                <w:sz w:val="24"/>
              </w:rPr>
            </w:pPr>
            <w:r>
              <w:rPr>
                <w:b/>
                <w:sz w:val="24"/>
              </w:rPr>
              <w:t>2135</w:t>
            </w:r>
          </w:p>
        </w:tc>
      </w:tr>
      <w:tr>
        <w:trPr>
          <w:trHeight w:val="414" w:hRule="exact"/>
        </w:trPr>
        <w:tc>
          <w:tcPr>
            <w:tcW w:w="2024" w:type="dxa"/>
          </w:tcPr>
          <w:p>
            <w:pPr>
              <w:pStyle w:val="TableParagraph"/>
              <w:spacing w:before="57"/>
              <w:ind w:left="377" w:right="589"/>
              <w:jc w:val="center"/>
              <w:rPr>
                <w:b/>
                <w:sz w:val="24"/>
              </w:rPr>
            </w:pPr>
            <w:r>
              <w:rPr>
                <w:b/>
                <w:sz w:val="24"/>
              </w:rPr>
              <w:t>test 2</w:t>
            </w:r>
          </w:p>
        </w:tc>
        <w:tc>
          <w:tcPr>
            <w:tcW w:w="1771" w:type="dxa"/>
          </w:tcPr>
          <w:p>
            <w:pPr>
              <w:pStyle w:val="TableParagraph"/>
              <w:spacing w:before="57"/>
              <w:ind w:left="232" w:right="444"/>
              <w:jc w:val="center"/>
              <w:rPr>
                <w:b/>
                <w:sz w:val="24"/>
              </w:rPr>
            </w:pPr>
            <w:r>
              <w:rPr>
                <w:b/>
                <w:sz w:val="24"/>
              </w:rPr>
              <w:t>2023</w:t>
            </w:r>
          </w:p>
        </w:tc>
        <w:tc>
          <w:tcPr>
            <w:tcW w:w="1984" w:type="dxa"/>
          </w:tcPr>
          <w:p>
            <w:pPr>
              <w:pStyle w:val="TableParagraph"/>
              <w:spacing w:before="57"/>
              <w:ind w:left="351" w:right="350"/>
              <w:jc w:val="center"/>
              <w:rPr>
                <w:b/>
                <w:sz w:val="24"/>
              </w:rPr>
            </w:pPr>
            <w:r>
              <w:rPr>
                <w:b/>
                <w:sz w:val="24"/>
              </w:rPr>
              <w:t>1823</w:t>
            </w:r>
          </w:p>
        </w:tc>
        <w:tc>
          <w:tcPr>
            <w:tcW w:w="1987" w:type="dxa"/>
          </w:tcPr>
          <w:p>
            <w:pPr>
              <w:pStyle w:val="TableParagraph"/>
              <w:spacing w:before="57"/>
              <w:ind w:left="445" w:right="447"/>
              <w:jc w:val="center"/>
              <w:rPr>
                <w:b/>
                <w:sz w:val="24"/>
              </w:rPr>
            </w:pPr>
            <w:r>
              <w:rPr>
                <w:b/>
                <w:sz w:val="24"/>
              </w:rPr>
              <w:t>2046</w:t>
            </w:r>
          </w:p>
        </w:tc>
      </w:tr>
      <w:tr>
        <w:trPr>
          <w:trHeight w:val="414" w:hRule="exact"/>
        </w:trPr>
        <w:tc>
          <w:tcPr>
            <w:tcW w:w="2024" w:type="dxa"/>
          </w:tcPr>
          <w:p>
            <w:pPr>
              <w:pStyle w:val="TableParagraph"/>
              <w:spacing w:before="56"/>
              <w:ind w:left="377" w:right="589"/>
              <w:jc w:val="center"/>
              <w:rPr>
                <w:b/>
                <w:sz w:val="24"/>
              </w:rPr>
            </w:pPr>
            <w:r>
              <w:rPr>
                <w:b/>
                <w:sz w:val="24"/>
              </w:rPr>
              <w:t>test 3</w:t>
            </w:r>
          </w:p>
        </w:tc>
        <w:tc>
          <w:tcPr>
            <w:tcW w:w="1771" w:type="dxa"/>
          </w:tcPr>
          <w:p>
            <w:pPr>
              <w:pStyle w:val="TableParagraph"/>
              <w:spacing w:before="56"/>
              <w:ind w:left="232" w:right="444"/>
              <w:jc w:val="center"/>
              <w:rPr>
                <w:b/>
                <w:sz w:val="24"/>
              </w:rPr>
            </w:pPr>
            <w:r>
              <w:rPr>
                <w:b/>
                <w:sz w:val="24"/>
              </w:rPr>
              <w:t>1784</w:t>
            </w:r>
          </w:p>
        </w:tc>
        <w:tc>
          <w:tcPr>
            <w:tcW w:w="1984" w:type="dxa"/>
          </w:tcPr>
          <w:p>
            <w:pPr>
              <w:pStyle w:val="TableParagraph"/>
              <w:spacing w:before="56"/>
              <w:ind w:left="351" w:right="350"/>
              <w:jc w:val="center"/>
              <w:rPr>
                <w:b/>
                <w:sz w:val="24"/>
              </w:rPr>
            </w:pPr>
            <w:r>
              <w:rPr>
                <w:b/>
                <w:sz w:val="24"/>
              </w:rPr>
              <w:t>1935</w:t>
            </w:r>
          </w:p>
        </w:tc>
        <w:tc>
          <w:tcPr>
            <w:tcW w:w="1987" w:type="dxa"/>
          </w:tcPr>
          <w:p>
            <w:pPr>
              <w:pStyle w:val="TableParagraph"/>
              <w:spacing w:before="56"/>
              <w:ind w:left="445" w:right="447"/>
              <w:jc w:val="center"/>
              <w:rPr>
                <w:b/>
                <w:sz w:val="24"/>
              </w:rPr>
            </w:pPr>
            <w:r>
              <w:rPr>
                <w:b/>
                <w:sz w:val="24"/>
              </w:rPr>
              <w:t>1939</w:t>
            </w:r>
          </w:p>
        </w:tc>
      </w:tr>
      <w:tr>
        <w:trPr>
          <w:trHeight w:val="414" w:hRule="exact"/>
        </w:trPr>
        <w:tc>
          <w:tcPr>
            <w:tcW w:w="2024" w:type="dxa"/>
          </w:tcPr>
          <w:p>
            <w:pPr>
              <w:pStyle w:val="TableParagraph"/>
              <w:spacing w:before="57"/>
              <w:ind w:left="377" w:right="589"/>
              <w:jc w:val="center"/>
              <w:rPr>
                <w:b/>
                <w:sz w:val="24"/>
              </w:rPr>
            </w:pPr>
            <w:r>
              <w:rPr>
                <w:b/>
                <w:sz w:val="24"/>
              </w:rPr>
              <w:t>test 4</w:t>
            </w:r>
          </w:p>
        </w:tc>
        <w:tc>
          <w:tcPr>
            <w:tcW w:w="1771" w:type="dxa"/>
          </w:tcPr>
          <w:p>
            <w:pPr>
              <w:pStyle w:val="TableParagraph"/>
              <w:spacing w:before="57"/>
              <w:ind w:left="232" w:right="444"/>
              <w:jc w:val="center"/>
              <w:rPr>
                <w:b/>
                <w:sz w:val="24"/>
              </w:rPr>
            </w:pPr>
            <w:r>
              <w:rPr>
                <w:b/>
                <w:sz w:val="24"/>
              </w:rPr>
              <w:t>1801</w:t>
            </w:r>
          </w:p>
        </w:tc>
        <w:tc>
          <w:tcPr>
            <w:tcW w:w="1984" w:type="dxa"/>
          </w:tcPr>
          <w:p>
            <w:pPr>
              <w:pStyle w:val="TableParagraph"/>
              <w:spacing w:before="57"/>
              <w:ind w:left="351" w:right="350"/>
              <w:jc w:val="center"/>
              <w:rPr>
                <w:b/>
                <w:sz w:val="24"/>
              </w:rPr>
            </w:pPr>
            <w:r>
              <w:rPr>
                <w:b/>
                <w:sz w:val="24"/>
              </w:rPr>
              <w:t>2021</w:t>
            </w:r>
          </w:p>
        </w:tc>
        <w:tc>
          <w:tcPr>
            <w:tcW w:w="1987" w:type="dxa"/>
          </w:tcPr>
          <w:p>
            <w:pPr>
              <w:pStyle w:val="TableParagraph"/>
              <w:spacing w:before="57"/>
              <w:ind w:left="445" w:right="447"/>
              <w:jc w:val="center"/>
              <w:rPr>
                <w:b/>
                <w:sz w:val="24"/>
              </w:rPr>
            </w:pPr>
            <w:r>
              <w:rPr>
                <w:b/>
                <w:sz w:val="24"/>
              </w:rPr>
              <w:t>2178</w:t>
            </w:r>
          </w:p>
        </w:tc>
      </w:tr>
      <w:tr>
        <w:trPr>
          <w:trHeight w:val="414" w:hRule="exact"/>
        </w:trPr>
        <w:tc>
          <w:tcPr>
            <w:tcW w:w="2024" w:type="dxa"/>
          </w:tcPr>
          <w:p>
            <w:pPr>
              <w:pStyle w:val="TableParagraph"/>
              <w:spacing w:before="55"/>
              <w:ind w:left="377" w:right="589"/>
              <w:jc w:val="center"/>
              <w:rPr>
                <w:b/>
                <w:sz w:val="24"/>
              </w:rPr>
            </w:pPr>
            <w:r>
              <w:rPr>
                <w:b/>
                <w:sz w:val="24"/>
              </w:rPr>
              <w:t>test 5</w:t>
            </w:r>
          </w:p>
        </w:tc>
        <w:tc>
          <w:tcPr>
            <w:tcW w:w="1771" w:type="dxa"/>
          </w:tcPr>
          <w:p>
            <w:pPr>
              <w:pStyle w:val="TableParagraph"/>
              <w:spacing w:before="55"/>
              <w:ind w:left="232" w:right="444"/>
              <w:jc w:val="center"/>
              <w:rPr>
                <w:b/>
                <w:sz w:val="24"/>
              </w:rPr>
            </w:pPr>
            <w:r>
              <w:rPr>
                <w:b/>
                <w:sz w:val="24"/>
              </w:rPr>
              <w:t>1698</w:t>
            </w:r>
          </w:p>
        </w:tc>
        <w:tc>
          <w:tcPr>
            <w:tcW w:w="1984" w:type="dxa"/>
          </w:tcPr>
          <w:p>
            <w:pPr>
              <w:pStyle w:val="TableParagraph"/>
              <w:spacing w:before="55"/>
              <w:ind w:left="351" w:right="350"/>
              <w:jc w:val="center"/>
              <w:rPr>
                <w:b/>
                <w:sz w:val="24"/>
              </w:rPr>
            </w:pPr>
            <w:r>
              <w:rPr>
                <w:b/>
                <w:sz w:val="24"/>
              </w:rPr>
              <w:t>1690</w:t>
            </w:r>
          </w:p>
        </w:tc>
        <w:tc>
          <w:tcPr>
            <w:tcW w:w="1987" w:type="dxa"/>
          </w:tcPr>
          <w:p>
            <w:pPr>
              <w:pStyle w:val="TableParagraph"/>
              <w:spacing w:before="55"/>
              <w:ind w:left="445" w:right="447"/>
              <w:jc w:val="center"/>
              <w:rPr>
                <w:b/>
                <w:sz w:val="24"/>
              </w:rPr>
            </w:pPr>
            <w:r>
              <w:rPr>
                <w:b/>
                <w:sz w:val="24"/>
              </w:rPr>
              <w:t>1724</w:t>
            </w:r>
          </w:p>
        </w:tc>
      </w:tr>
      <w:tr>
        <w:trPr>
          <w:trHeight w:val="414" w:hRule="exact"/>
        </w:trPr>
        <w:tc>
          <w:tcPr>
            <w:tcW w:w="2024" w:type="dxa"/>
          </w:tcPr>
          <w:p>
            <w:pPr>
              <w:pStyle w:val="TableParagraph"/>
              <w:spacing w:before="57"/>
              <w:ind w:left="376" w:right="589"/>
              <w:jc w:val="center"/>
              <w:rPr>
                <w:b/>
                <w:i/>
                <w:sz w:val="24"/>
              </w:rPr>
            </w:pPr>
            <w:r>
              <w:rPr>
                <w:b/>
                <w:i/>
                <w:sz w:val="24"/>
              </w:rPr>
              <w:t>Average</w:t>
            </w:r>
          </w:p>
        </w:tc>
        <w:tc>
          <w:tcPr>
            <w:tcW w:w="1771" w:type="dxa"/>
          </w:tcPr>
          <w:p>
            <w:pPr>
              <w:pStyle w:val="TableParagraph"/>
              <w:spacing w:before="57"/>
              <w:ind w:left="232" w:right="444"/>
              <w:jc w:val="center"/>
              <w:rPr>
                <w:b/>
                <w:sz w:val="24"/>
              </w:rPr>
            </w:pPr>
            <w:r>
              <w:rPr>
                <w:b/>
                <w:sz w:val="24"/>
              </w:rPr>
              <w:t>1784</w:t>
            </w:r>
          </w:p>
        </w:tc>
        <w:tc>
          <w:tcPr>
            <w:tcW w:w="1984" w:type="dxa"/>
          </w:tcPr>
          <w:p>
            <w:pPr>
              <w:pStyle w:val="TableParagraph"/>
              <w:spacing w:before="57"/>
              <w:ind w:left="351" w:right="350"/>
              <w:jc w:val="center"/>
              <w:rPr>
                <w:b/>
                <w:sz w:val="24"/>
              </w:rPr>
            </w:pPr>
            <w:r>
              <w:rPr>
                <w:b/>
                <w:sz w:val="24"/>
              </w:rPr>
              <w:t>1841</w:t>
            </w:r>
          </w:p>
        </w:tc>
        <w:tc>
          <w:tcPr>
            <w:tcW w:w="1987" w:type="dxa"/>
          </w:tcPr>
          <w:p>
            <w:pPr>
              <w:pStyle w:val="TableParagraph"/>
              <w:spacing w:before="57"/>
              <w:ind w:left="445" w:right="447"/>
              <w:jc w:val="center"/>
              <w:rPr>
                <w:b/>
                <w:sz w:val="24"/>
              </w:rPr>
            </w:pPr>
            <w:r>
              <w:rPr>
                <w:b/>
                <w:sz w:val="24"/>
              </w:rPr>
              <w:t>2004</w:t>
            </w:r>
          </w:p>
        </w:tc>
      </w:tr>
      <w:tr>
        <w:trPr>
          <w:trHeight w:val="742" w:hRule="exact"/>
        </w:trPr>
        <w:tc>
          <w:tcPr>
            <w:tcW w:w="2024" w:type="dxa"/>
          </w:tcPr>
          <w:p>
            <w:pPr>
              <w:pStyle w:val="TableParagraph"/>
              <w:spacing w:before="55"/>
              <w:ind w:left="376" w:right="456" w:firstLine="7"/>
              <w:rPr>
                <w:b/>
                <w:sz w:val="24"/>
              </w:rPr>
            </w:pPr>
            <w:r>
              <w:rPr>
                <w:b/>
                <w:sz w:val="24"/>
              </w:rPr>
              <w:t>Standard</w:t>
            </w:r>
          </w:p>
          <w:p>
            <w:pPr>
              <w:pStyle w:val="TableParagraph"/>
              <w:spacing w:before="139"/>
              <w:ind w:left="376" w:right="456"/>
              <w:rPr>
                <w:b/>
                <w:sz w:val="24"/>
              </w:rPr>
            </w:pPr>
            <w:r>
              <w:rPr>
                <w:b/>
                <w:sz w:val="24"/>
              </w:rPr>
              <w:t>deviation</w:t>
            </w:r>
          </w:p>
        </w:tc>
        <w:tc>
          <w:tcPr>
            <w:tcW w:w="1771" w:type="dxa"/>
          </w:tcPr>
          <w:p>
            <w:pPr>
              <w:pStyle w:val="TableParagraph"/>
              <w:spacing w:before="9"/>
              <w:rPr>
                <w:sz w:val="22"/>
              </w:rPr>
            </w:pPr>
          </w:p>
          <w:p>
            <w:pPr>
              <w:pStyle w:val="TableParagraph"/>
              <w:ind w:left="232" w:right="444"/>
              <w:jc w:val="center"/>
              <w:rPr>
                <w:b/>
                <w:sz w:val="24"/>
              </w:rPr>
            </w:pPr>
            <w:r>
              <w:rPr>
                <w:b/>
                <w:sz w:val="24"/>
              </w:rPr>
              <w:t>152.3</w:t>
            </w:r>
          </w:p>
        </w:tc>
        <w:tc>
          <w:tcPr>
            <w:tcW w:w="1984" w:type="dxa"/>
          </w:tcPr>
          <w:p>
            <w:pPr>
              <w:pStyle w:val="TableParagraph"/>
              <w:spacing w:before="9"/>
              <w:rPr>
                <w:sz w:val="22"/>
              </w:rPr>
            </w:pPr>
          </w:p>
          <w:p>
            <w:pPr>
              <w:pStyle w:val="TableParagraph"/>
              <w:ind w:left="350" w:right="350"/>
              <w:jc w:val="center"/>
              <w:rPr>
                <w:b/>
                <w:sz w:val="24"/>
              </w:rPr>
            </w:pPr>
            <w:r>
              <w:rPr>
                <w:b/>
                <w:sz w:val="24"/>
              </w:rPr>
              <w:t>137.3</w:t>
            </w:r>
          </w:p>
        </w:tc>
        <w:tc>
          <w:tcPr>
            <w:tcW w:w="1987" w:type="dxa"/>
          </w:tcPr>
          <w:p>
            <w:pPr>
              <w:pStyle w:val="TableParagraph"/>
              <w:spacing w:before="9"/>
              <w:rPr>
                <w:sz w:val="22"/>
              </w:rPr>
            </w:pPr>
          </w:p>
          <w:p>
            <w:pPr>
              <w:pStyle w:val="TableParagraph"/>
              <w:ind w:left="444" w:right="447"/>
              <w:jc w:val="center"/>
              <w:rPr>
                <w:b/>
                <w:sz w:val="24"/>
              </w:rPr>
            </w:pPr>
            <w:r>
              <w:rPr>
                <w:b/>
                <w:sz w:val="24"/>
              </w:rPr>
              <w:t>181.5</w:t>
            </w:r>
          </w:p>
        </w:tc>
      </w:tr>
    </w:tbl>
    <w:p>
      <w:pPr>
        <w:rPr>
          <w:sz w:val="2"/>
          <w:szCs w:val="2"/>
        </w:rPr>
      </w:pPr>
      <w:r>
        <w:rPr/>
        <w:pict>
          <v:line style="position:absolute;mso-position-horizontal-relative:page;mso-position-vertical-relative:page;z-index:-130096" from="126.550003pt,84.699997pt" to="513.550003pt,81.699997pt" stroked="true" strokeweight=".5pt" strokecolor="#000000">
            <w10:wrap type="none"/>
          </v:line>
        </w:pict>
      </w:r>
    </w:p>
    <w:p>
      <w:pPr>
        <w:spacing w:after="0"/>
        <w:rPr>
          <w:sz w:val="2"/>
          <w:szCs w:val="2"/>
        </w:rPr>
        <w:sectPr>
          <w:pgSz w:w="12240" w:h="15840"/>
          <w:pgMar w:header="0" w:footer="654" w:top="1160" w:bottom="840" w:left="1040" w:right="560"/>
        </w:sectPr>
      </w:pPr>
    </w:p>
    <w:tbl>
      <w:tblPr>
        <w:tblW w:w="0" w:type="auto"/>
        <w:jc w:val="left"/>
        <w:tblInd w:w="14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68"/>
        <w:gridCol w:w="1809"/>
        <w:gridCol w:w="2000"/>
        <w:gridCol w:w="1987"/>
      </w:tblGrid>
      <w:tr>
        <w:trPr>
          <w:trHeight w:val="363" w:hRule="exact"/>
        </w:trPr>
        <w:tc>
          <w:tcPr>
            <w:tcW w:w="7765" w:type="dxa"/>
            <w:gridSpan w:val="4"/>
            <w:tcBorders>
              <w:left w:val="nil"/>
              <w:bottom w:val="nil"/>
              <w:right w:val="nil"/>
            </w:tcBorders>
          </w:tcPr>
          <w:p>
            <w:pPr>
              <w:pStyle w:val="TableParagraph"/>
              <w:spacing w:line="270" w:lineRule="exact"/>
              <w:ind w:left="107"/>
              <w:rPr>
                <w:b/>
                <w:sz w:val="24"/>
              </w:rPr>
            </w:pPr>
            <w:r>
              <w:rPr>
                <w:b/>
                <w:sz w:val="24"/>
              </w:rPr>
              <w:t>(d) Chocolate production wastewater</w:t>
            </w:r>
          </w:p>
        </w:tc>
      </w:tr>
      <w:tr>
        <w:trPr>
          <w:trHeight w:val="414" w:hRule="exact"/>
        </w:trPr>
        <w:tc>
          <w:tcPr>
            <w:tcW w:w="1968" w:type="dxa"/>
            <w:tcBorders>
              <w:top w:val="nil"/>
              <w:left w:val="nil"/>
              <w:bottom w:val="nil"/>
              <w:right w:val="nil"/>
            </w:tcBorders>
          </w:tcPr>
          <w:p>
            <w:pPr>
              <w:pStyle w:val="TableParagraph"/>
              <w:spacing w:before="48"/>
              <w:ind w:left="385" w:right="542"/>
              <w:jc w:val="center"/>
              <w:rPr>
                <w:b/>
                <w:sz w:val="24"/>
              </w:rPr>
            </w:pPr>
            <w:r>
              <w:rPr>
                <w:b/>
                <w:sz w:val="24"/>
              </w:rPr>
              <w:t>test1</w:t>
            </w:r>
          </w:p>
        </w:tc>
        <w:tc>
          <w:tcPr>
            <w:tcW w:w="1809" w:type="dxa"/>
            <w:tcBorders>
              <w:top w:val="nil"/>
              <w:left w:val="nil"/>
              <w:bottom w:val="nil"/>
              <w:right w:val="nil"/>
            </w:tcBorders>
          </w:tcPr>
          <w:p>
            <w:pPr>
              <w:pStyle w:val="TableParagraph"/>
              <w:spacing w:before="48"/>
              <w:ind w:left="566"/>
              <w:rPr>
                <w:b/>
                <w:sz w:val="24"/>
              </w:rPr>
            </w:pPr>
            <w:r>
              <w:rPr>
                <w:b/>
                <w:sz w:val="24"/>
              </w:rPr>
              <w:t>3303</w:t>
            </w:r>
          </w:p>
        </w:tc>
        <w:tc>
          <w:tcPr>
            <w:tcW w:w="2000" w:type="dxa"/>
            <w:tcBorders>
              <w:top w:val="nil"/>
              <w:left w:val="nil"/>
              <w:bottom w:val="nil"/>
              <w:right w:val="nil"/>
            </w:tcBorders>
          </w:tcPr>
          <w:p>
            <w:pPr>
              <w:pStyle w:val="TableParagraph"/>
              <w:spacing w:before="48"/>
              <w:ind w:left="688" w:right="670"/>
              <w:jc w:val="center"/>
              <w:rPr>
                <w:b/>
                <w:sz w:val="24"/>
              </w:rPr>
            </w:pPr>
            <w:r>
              <w:rPr>
                <w:b/>
                <w:sz w:val="24"/>
              </w:rPr>
              <w:t>3358</w:t>
            </w:r>
          </w:p>
        </w:tc>
        <w:tc>
          <w:tcPr>
            <w:tcW w:w="1987" w:type="dxa"/>
            <w:tcBorders>
              <w:top w:val="nil"/>
              <w:left w:val="nil"/>
              <w:bottom w:val="nil"/>
              <w:right w:val="nil"/>
            </w:tcBorders>
          </w:tcPr>
          <w:p>
            <w:pPr>
              <w:pStyle w:val="TableParagraph"/>
              <w:spacing w:before="48"/>
              <w:ind w:left="724"/>
              <w:rPr>
                <w:b/>
                <w:sz w:val="24"/>
              </w:rPr>
            </w:pPr>
            <w:r>
              <w:rPr>
                <w:b/>
                <w:sz w:val="24"/>
              </w:rPr>
              <w:t>3548</w:t>
            </w:r>
          </w:p>
        </w:tc>
      </w:tr>
      <w:tr>
        <w:trPr>
          <w:trHeight w:val="414" w:hRule="exact"/>
        </w:trPr>
        <w:tc>
          <w:tcPr>
            <w:tcW w:w="1968" w:type="dxa"/>
            <w:tcBorders>
              <w:top w:val="nil"/>
              <w:left w:val="nil"/>
              <w:bottom w:val="nil"/>
              <w:right w:val="nil"/>
            </w:tcBorders>
          </w:tcPr>
          <w:p>
            <w:pPr>
              <w:pStyle w:val="TableParagraph"/>
              <w:spacing w:before="49"/>
              <w:ind w:left="385" w:right="542"/>
              <w:jc w:val="center"/>
              <w:rPr>
                <w:b/>
                <w:sz w:val="24"/>
              </w:rPr>
            </w:pPr>
            <w:r>
              <w:rPr>
                <w:b/>
                <w:sz w:val="24"/>
              </w:rPr>
              <w:t>test 2</w:t>
            </w:r>
          </w:p>
        </w:tc>
        <w:tc>
          <w:tcPr>
            <w:tcW w:w="1809" w:type="dxa"/>
            <w:tcBorders>
              <w:top w:val="nil"/>
              <w:left w:val="nil"/>
              <w:bottom w:val="nil"/>
              <w:right w:val="nil"/>
            </w:tcBorders>
          </w:tcPr>
          <w:p>
            <w:pPr>
              <w:pStyle w:val="TableParagraph"/>
              <w:spacing w:before="49"/>
              <w:ind w:left="566"/>
              <w:rPr>
                <w:b/>
                <w:sz w:val="24"/>
              </w:rPr>
            </w:pPr>
            <w:r>
              <w:rPr>
                <w:b/>
                <w:sz w:val="24"/>
              </w:rPr>
              <w:t>3440</w:t>
            </w:r>
          </w:p>
        </w:tc>
        <w:tc>
          <w:tcPr>
            <w:tcW w:w="2000" w:type="dxa"/>
            <w:tcBorders>
              <w:top w:val="nil"/>
              <w:left w:val="nil"/>
              <w:bottom w:val="nil"/>
              <w:right w:val="nil"/>
            </w:tcBorders>
          </w:tcPr>
          <w:p>
            <w:pPr>
              <w:pStyle w:val="TableParagraph"/>
              <w:spacing w:before="49"/>
              <w:ind w:left="688" w:right="670"/>
              <w:jc w:val="center"/>
              <w:rPr>
                <w:b/>
                <w:sz w:val="24"/>
              </w:rPr>
            </w:pPr>
            <w:r>
              <w:rPr>
                <w:b/>
                <w:sz w:val="24"/>
              </w:rPr>
              <w:t>3194</w:t>
            </w:r>
          </w:p>
        </w:tc>
        <w:tc>
          <w:tcPr>
            <w:tcW w:w="1987" w:type="dxa"/>
            <w:tcBorders>
              <w:top w:val="nil"/>
              <w:left w:val="nil"/>
              <w:bottom w:val="nil"/>
              <w:right w:val="nil"/>
            </w:tcBorders>
          </w:tcPr>
          <w:p>
            <w:pPr>
              <w:pStyle w:val="TableParagraph"/>
              <w:spacing w:before="49"/>
              <w:ind w:left="724"/>
              <w:rPr>
                <w:b/>
                <w:sz w:val="24"/>
              </w:rPr>
            </w:pPr>
            <w:r>
              <w:rPr>
                <w:b/>
                <w:sz w:val="24"/>
              </w:rPr>
              <w:t>3465</w:t>
            </w:r>
          </w:p>
        </w:tc>
      </w:tr>
      <w:tr>
        <w:trPr>
          <w:trHeight w:val="414" w:hRule="exact"/>
        </w:trPr>
        <w:tc>
          <w:tcPr>
            <w:tcW w:w="1968" w:type="dxa"/>
            <w:tcBorders>
              <w:top w:val="nil"/>
              <w:left w:val="nil"/>
              <w:bottom w:val="nil"/>
              <w:right w:val="nil"/>
            </w:tcBorders>
          </w:tcPr>
          <w:p>
            <w:pPr>
              <w:pStyle w:val="TableParagraph"/>
              <w:spacing w:before="48"/>
              <w:ind w:left="385" w:right="542"/>
              <w:jc w:val="center"/>
              <w:rPr>
                <w:b/>
                <w:sz w:val="24"/>
              </w:rPr>
            </w:pPr>
            <w:r>
              <w:rPr>
                <w:b/>
                <w:sz w:val="24"/>
              </w:rPr>
              <w:t>test 3</w:t>
            </w:r>
          </w:p>
        </w:tc>
        <w:tc>
          <w:tcPr>
            <w:tcW w:w="1809" w:type="dxa"/>
            <w:tcBorders>
              <w:top w:val="nil"/>
              <w:left w:val="nil"/>
              <w:bottom w:val="nil"/>
              <w:right w:val="nil"/>
            </w:tcBorders>
          </w:tcPr>
          <w:p>
            <w:pPr>
              <w:pStyle w:val="TableParagraph"/>
              <w:spacing w:before="48"/>
              <w:ind w:left="566"/>
              <w:rPr>
                <w:b/>
                <w:sz w:val="24"/>
              </w:rPr>
            </w:pPr>
            <w:r>
              <w:rPr>
                <w:b/>
                <w:sz w:val="24"/>
              </w:rPr>
              <w:t>3270</w:t>
            </w:r>
          </w:p>
        </w:tc>
        <w:tc>
          <w:tcPr>
            <w:tcW w:w="2000" w:type="dxa"/>
            <w:tcBorders>
              <w:top w:val="nil"/>
              <w:left w:val="nil"/>
              <w:bottom w:val="nil"/>
              <w:right w:val="nil"/>
            </w:tcBorders>
          </w:tcPr>
          <w:p>
            <w:pPr>
              <w:pStyle w:val="TableParagraph"/>
              <w:spacing w:before="48"/>
              <w:ind w:left="688" w:right="670"/>
              <w:jc w:val="center"/>
              <w:rPr>
                <w:b/>
                <w:sz w:val="24"/>
              </w:rPr>
            </w:pPr>
            <w:r>
              <w:rPr>
                <w:b/>
                <w:sz w:val="24"/>
              </w:rPr>
              <w:t>3254</w:t>
            </w:r>
          </w:p>
        </w:tc>
        <w:tc>
          <w:tcPr>
            <w:tcW w:w="1987" w:type="dxa"/>
            <w:tcBorders>
              <w:top w:val="nil"/>
              <w:left w:val="nil"/>
              <w:bottom w:val="nil"/>
              <w:right w:val="nil"/>
            </w:tcBorders>
          </w:tcPr>
          <w:p>
            <w:pPr>
              <w:pStyle w:val="TableParagraph"/>
              <w:spacing w:before="48"/>
              <w:ind w:left="724"/>
              <w:rPr>
                <w:b/>
                <w:sz w:val="24"/>
              </w:rPr>
            </w:pPr>
            <w:r>
              <w:rPr>
                <w:b/>
                <w:sz w:val="24"/>
              </w:rPr>
              <w:t>3239</w:t>
            </w:r>
          </w:p>
        </w:tc>
      </w:tr>
      <w:tr>
        <w:trPr>
          <w:trHeight w:val="414" w:hRule="exact"/>
        </w:trPr>
        <w:tc>
          <w:tcPr>
            <w:tcW w:w="1968" w:type="dxa"/>
            <w:tcBorders>
              <w:top w:val="nil"/>
              <w:left w:val="nil"/>
              <w:bottom w:val="nil"/>
              <w:right w:val="nil"/>
            </w:tcBorders>
          </w:tcPr>
          <w:p>
            <w:pPr>
              <w:pStyle w:val="TableParagraph"/>
              <w:spacing w:before="49"/>
              <w:ind w:left="385" w:right="542"/>
              <w:jc w:val="center"/>
              <w:rPr>
                <w:b/>
                <w:sz w:val="24"/>
              </w:rPr>
            </w:pPr>
            <w:r>
              <w:rPr>
                <w:b/>
                <w:sz w:val="24"/>
              </w:rPr>
              <w:t>test 4</w:t>
            </w:r>
          </w:p>
        </w:tc>
        <w:tc>
          <w:tcPr>
            <w:tcW w:w="1809" w:type="dxa"/>
            <w:tcBorders>
              <w:top w:val="nil"/>
              <w:left w:val="nil"/>
              <w:bottom w:val="nil"/>
              <w:right w:val="nil"/>
            </w:tcBorders>
          </w:tcPr>
          <w:p>
            <w:pPr>
              <w:pStyle w:val="TableParagraph"/>
              <w:spacing w:before="49"/>
              <w:ind w:left="566"/>
              <w:rPr>
                <w:b/>
                <w:sz w:val="24"/>
              </w:rPr>
            </w:pPr>
            <w:r>
              <w:rPr>
                <w:b/>
                <w:sz w:val="24"/>
              </w:rPr>
              <w:t>3281</w:t>
            </w:r>
          </w:p>
        </w:tc>
        <w:tc>
          <w:tcPr>
            <w:tcW w:w="2000" w:type="dxa"/>
            <w:tcBorders>
              <w:top w:val="nil"/>
              <w:left w:val="nil"/>
              <w:bottom w:val="nil"/>
              <w:right w:val="nil"/>
            </w:tcBorders>
          </w:tcPr>
          <w:p>
            <w:pPr>
              <w:pStyle w:val="TableParagraph"/>
              <w:spacing w:before="49"/>
              <w:ind w:left="688" w:right="670"/>
              <w:jc w:val="center"/>
              <w:rPr>
                <w:b/>
                <w:sz w:val="24"/>
              </w:rPr>
            </w:pPr>
            <w:r>
              <w:rPr>
                <w:b/>
                <w:sz w:val="24"/>
              </w:rPr>
              <w:t>3246</w:t>
            </w:r>
          </w:p>
        </w:tc>
        <w:tc>
          <w:tcPr>
            <w:tcW w:w="1987" w:type="dxa"/>
            <w:tcBorders>
              <w:top w:val="nil"/>
              <w:left w:val="nil"/>
              <w:bottom w:val="nil"/>
              <w:right w:val="nil"/>
            </w:tcBorders>
          </w:tcPr>
          <w:p>
            <w:pPr>
              <w:pStyle w:val="TableParagraph"/>
              <w:spacing w:before="49"/>
              <w:ind w:left="724"/>
              <w:rPr>
                <w:b/>
                <w:sz w:val="24"/>
              </w:rPr>
            </w:pPr>
            <w:r>
              <w:rPr>
                <w:b/>
                <w:sz w:val="24"/>
              </w:rPr>
              <w:t>3294</w:t>
            </w:r>
          </w:p>
        </w:tc>
      </w:tr>
      <w:tr>
        <w:trPr>
          <w:trHeight w:val="414" w:hRule="exact"/>
        </w:trPr>
        <w:tc>
          <w:tcPr>
            <w:tcW w:w="1968" w:type="dxa"/>
            <w:tcBorders>
              <w:top w:val="nil"/>
              <w:left w:val="nil"/>
              <w:bottom w:val="nil"/>
              <w:right w:val="nil"/>
            </w:tcBorders>
          </w:tcPr>
          <w:p>
            <w:pPr>
              <w:pStyle w:val="TableParagraph"/>
              <w:spacing w:before="48"/>
              <w:ind w:left="385" w:right="542"/>
              <w:jc w:val="center"/>
              <w:rPr>
                <w:b/>
                <w:sz w:val="24"/>
              </w:rPr>
            </w:pPr>
            <w:r>
              <w:rPr>
                <w:b/>
                <w:sz w:val="24"/>
              </w:rPr>
              <w:t>test 5</w:t>
            </w:r>
          </w:p>
        </w:tc>
        <w:tc>
          <w:tcPr>
            <w:tcW w:w="1809" w:type="dxa"/>
            <w:tcBorders>
              <w:top w:val="nil"/>
              <w:left w:val="nil"/>
              <w:bottom w:val="nil"/>
              <w:right w:val="nil"/>
            </w:tcBorders>
          </w:tcPr>
          <w:p>
            <w:pPr>
              <w:pStyle w:val="TableParagraph"/>
              <w:spacing w:before="48"/>
              <w:ind w:left="566"/>
              <w:rPr>
                <w:b/>
                <w:sz w:val="24"/>
              </w:rPr>
            </w:pPr>
            <w:r>
              <w:rPr>
                <w:b/>
                <w:sz w:val="24"/>
              </w:rPr>
              <w:t>3343</w:t>
            </w:r>
          </w:p>
        </w:tc>
        <w:tc>
          <w:tcPr>
            <w:tcW w:w="2000" w:type="dxa"/>
            <w:tcBorders>
              <w:top w:val="nil"/>
              <w:left w:val="nil"/>
              <w:bottom w:val="nil"/>
              <w:right w:val="nil"/>
            </w:tcBorders>
          </w:tcPr>
          <w:p>
            <w:pPr>
              <w:pStyle w:val="TableParagraph"/>
              <w:spacing w:before="48"/>
              <w:ind w:left="688" w:right="670"/>
              <w:jc w:val="center"/>
              <w:rPr>
                <w:b/>
                <w:sz w:val="24"/>
              </w:rPr>
            </w:pPr>
            <w:r>
              <w:rPr>
                <w:b/>
                <w:sz w:val="24"/>
              </w:rPr>
              <w:t>3134</w:t>
            </w:r>
          </w:p>
        </w:tc>
        <w:tc>
          <w:tcPr>
            <w:tcW w:w="1987" w:type="dxa"/>
            <w:tcBorders>
              <w:top w:val="nil"/>
              <w:left w:val="nil"/>
              <w:bottom w:val="nil"/>
              <w:right w:val="nil"/>
            </w:tcBorders>
          </w:tcPr>
          <w:p>
            <w:pPr>
              <w:pStyle w:val="TableParagraph"/>
              <w:spacing w:before="48"/>
              <w:ind w:left="724"/>
              <w:rPr>
                <w:b/>
                <w:sz w:val="24"/>
              </w:rPr>
            </w:pPr>
            <w:r>
              <w:rPr>
                <w:b/>
                <w:sz w:val="24"/>
              </w:rPr>
              <w:t>3198</w:t>
            </w:r>
          </w:p>
        </w:tc>
      </w:tr>
      <w:tr>
        <w:trPr>
          <w:trHeight w:val="517" w:hRule="exact"/>
        </w:trPr>
        <w:tc>
          <w:tcPr>
            <w:tcW w:w="1968" w:type="dxa"/>
            <w:tcBorders>
              <w:top w:val="nil"/>
              <w:left w:val="nil"/>
              <w:bottom w:val="nil"/>
              <w:right w:val="nil"/>
            </w:tcBorders>
          </w:tcPr>
          <w:p>
            <w:pPr>
              <w:pStyle w:val="TableParagraph"/>
              <w:spacing w:before="49"/>
              <w:ind w:left="385" w:right="543"/>
              <w:jc w:val="center"/>
              <w:rPr>
                <w:b/>
                <w:i/>
                <w:sz w:val="24"/>
              </w:rPr>
            </w:pPr>
            <w:r>
              <w:rPr>
                <w:b/>
                <w:i/>
                <w:sz w:val="24"/>
              </w:rPr>
              <w:t>Average</w:t>
            </w:r>
          </w:p>
        </w:tc>
        <w:tc>
          <w:tcPr>
            <w:tcW w:w="1809" w:type="dxa"/>
            <w:tcBorders>
              <w:top w:val="nil"/>
              <w:left w:val="nil"/>
              <w:bottom w:val="nil"/>
              <w:right w:val="nil"/>
            </w:tcBorders>
          </w:tcPr>
          <w:p>
            <w:pPr>
              <w:pStyle w:val="TableParagraph"/>
              <w:spacing w:before="49"/>
              <w:ind w:left="566"/>
              <w:rPr>
                <w:b/>
                <w:sz w:val="24"/>
              </w:rPr>
            </w:pPr>
            <w:r>
              <w:rPr>
                <w:b/>
                <w:sz w:val="24"/>
              </w:rPr>
              <w:t>3327</w:t>
            </w:r>
          </w:p>
        </w:tc>
        <w:tc>
          <w:tcPr>
            <w:tcW w:w="2000" w:type="dxa"/>
            <w:tcBorders>
              <w:top w:val="nil"/>
              <w:left w:val="nil"/>
              <w:bottom w:val="nil"/>
              <w:right w:val="nil"/>
            </w:tcBorders>
          </w:tcPr>
          <w:p>
            <w:pPr>
              <w:pStyle w:val="TableParagraph"/>
              <w:spacing w:before="49"/>
              <w:ind w:left="688" w:right="670"/>
              <w:jc w:val="center"/>
              <w:rPr>
                <w:b/>
                <w:sz w:val="24"/>
              </w:rPr>
            </w:pPr>
            <w:r>
              <w:rPr>
                <w:b/>
                <w:sz w:val="24"/>
              </w:rPr>
              <w:t>3237</w:t>
            </w:r>
          </w:p>
        </w:tc>
        <w:tc>
          <w:tcPr>
            <w:tcW w:w="1987" w:type="dxa"/>
            <w:tcBorders>
              <w:top w:val="nil"/>
              <w:left w:val="nil"/>
              <w:bottom w:val="nil"/>
              <w:right w:val="nil"/>
            </w:tcBorders>
          </w:tcPr>
          <w:p>
            <w:pPr>
              <w:pStyle w:val="TableParagraph"/>
              <w:spacing w:before="49"/>
              <w:ind w:left="724"/>
              <w:rPr>
                <w:b/>
                <w:sz w:val="24"/>
              </w:rPr>
            </w:pPr>
            <w:r>
              <w:rPr>
                <w:b/>
                <w:sz w:val="24"/>
              </w:rPr>
              <w:t>3349</w:t>
            </w:r>
          </w:p>
        </w:tc>
      </w:tr>
      <w:tr>
        <w:trPr>
          <w:trHeight w:val="1503" w:hRule="exact"/>
        </w:trPr>
        <w:tc>
          <w:tcPr>
            <w:tcW w:w="1968" w:type="dxa"/>
            <w:tcBorders>
              <w:top w:val="nil"/>
              <w:left w:val="nil"/>
              <w:right w:val="nil"/>
            </w:tcBorders>
          </w:tcPr>
          <w:p>
            <w:pPr>
              <w:pStyle w:val="TableParagraph"/>
              <w:spacing w:line="362" w:lineRule="auto" w:before="151"/>
              <w:ind w:left="376" w:right="518" w:firstLine="7"/>
              <w:rPr>
                <w:b/>
                <w:sz w:val="24"/>
              </w:rPr>
            </w:pPr>
            <w:r>
              <w:rPr>
                <w:b/>
                <w:sz w:val="24"/>
              </w:rPr>
              <w:t>Standard deviation</w:t>
            </w:r>
          </w:p>
        </w:tc>
        <w:tc>
          <w:tcPr>
            <w:tcW w:w="1809" w:type="dxa"/>
            <w:tcBorders>
              <w:top w:val="nil"/>
              <w:left w:val="nil"/>
              <w:right w:val="nil"/>
            </w:tcBorders>
          </w:tcPr>
          <w:p>
            <w:pPr>
              <w:pStyle w:val="TableParagraph"/>
              <w:spacing w:before="4"/>
              <w:rPr>
                <w:sz w:val="31"/>
              </w:rPr>
            </w:pPr>
          </w:p>
          <w:p>
            <w:pPr>
              <w:pStyle w:val="TableParagraph"/>
              <w:ind w:left="600"/>
              <w:rPr>
                <w:b/>
                <w:sz w:val="24"/>
              </w:rPr>
            </w:pPr>
            <w:r>
              <w:rPr>
                <w:b/>
                <w:sz w:val="24"/>
              </w:rPr>
              <w:t>68.8</w:t>
            </w:r>
          </w:p>
        </w:tc>
        <w:tc>
          <w:tcPr>
            <w:tcW w:w="2000" w:type="dxa"/>
            <w:tcBorders>
              <w:top w:val="nil"/>
              <w:left w:val="nil"/>
              <w:right w:val="nil"/>
            </w:tcBorders>
          </w:tcPr>
          <w:p>
            <w:pPr>
              <w:pStyle w:val="TableParagraph"/>
              <w:spacing w:before="4"/>
              <w:rPr>
                <w:sz w:val="31"/>
              </w:rPr>
            </w:pPr>
          </w:p>
          <w:p>
            <w:pPr>
              <w:pStyle w:val="TableParagraph"/>
              <w:ind w:left="688" w:right="668"/>
              <w:jc w:val="center"/>
              <w:rPr>
                <w:b/>
                <w:sz w:val="24"/>
              </w:rPr>
            </w:pPr>
            <w:r>
              <w:rPr>
                <w:b/>
                <w:sz w:val="24"/>
              </w:rPr>
              <w:t>82.8</w:t>
            </w:r>
          </w:p>
        </w:tc>
        <w:tc>
          <w:tcPr>
            <w:tcW w:w="1987" w:type="dxa"/>
            <w:tcBorders>
              <w:top w:val="nil"/>
              <w:left w:val="nil"/>
              <w:right w:val="nil"/>
            </w:tcBorders>
          </w:tcPr>
          <w:p>
            <w:pPr>
              <w:pStyle w:val="TableParagraph"/>
              <w:spacing w:before="4"/>
              <w:rPr>
                <w:sz w:val="31"/>
              </w:rPr>
            </w:pPr>
          </w:p>
          <w:p>
            <w:pPr>
              <w:pStyle w:val="TableParagraph"/>
              <w:ind w:left="690"/>
              <w:rPr>
                <w:b/>
                <w:sz w:val="24"/>
              </w:rPr>
            </w:pPr>
            <w:r>
              <w:rPr>
                <w:b/>
                <w:sz w:val="24"/>
              </w:rPr>
              <w:t>151.0</w:t>
            </w:r>
          </w:p>
        </w:tc>
      </w:tr>
      <w:tr>
        <w:trPr>
          <w:trHeight w:val="568" w:hRule="exact"/>
        </w:trPr>
        <w:tc>
          <w:tcPr>
            <w:tcW w:w="7765" w:type="dxa"/>
            <w:gridSpan w:val="4"/>
            <w:tcBorders>
              <w:left w:val="nil"/>
              <w:bottom w:val="nil"/>
              <w:right w:val="nil"/>
            </w:tcBorders>
          </w:tcPr>
          <w:p>
            <w:pPr>
              <w:pStyle w:val="TableParagraph"/>
              <w:spacing w:line="267" w:lineRule="exact"/>
              <w:ind w:left="107"/>
              <w:rPr>
                <w:b/>
                <w:sz w:val="24"/>
              </w:rPr>
            </w:pPr>
            <w:r>
              <w:rPr>
                <w:b/>
                <w:sz w:val="24"/>
              </w:rPr>
              <w:t>(e) Wastewaters combined from diverse industries</w:t>
            </w:r>
          </w:p>
        </w:tc>
      </w:tr>
      <w:tr>
        <w:trPr>
          <w:trHeight w:val="620" w:hRule="exact"/>
        </w:trPr>
        <w:tc>
          <w:tcPr>
            <w:tcW w:w="1968" w:type="dxa"/>
            <w:tcBorders>
              <w:top w:val="nil"/>
              <w:left w:val="nil"/>
              <w:bottom w:val="nil"/>
              <w:right w:val="nil"/>
            </w:tcBorders>
          </w:tcPr>
          <w:p>
            <w:pPr>
              <w:pStyle w:val="TableParagraph"/>
              <w:spacing w:before="3"/>
              <w:rPr>
                <w:sz w:val="22"/>
              </w:rPr>
            </w:pPr>
          </w:p>
          <w:p>
            <w:pPr>
              <w:pStyle w:val="TableParagraph"/>
              <w:ind w:left="359" w:right="569"/>
              <w:jc w:val="center"/>
              <w:rPr>
                <w:b/>
                <w:sz w:val="24"/>
              </w:rPr>
            </w:pPr>
            <w:r>
              <w:rPr>
                <w:b/>
                <w:sz w:val="24"/>
              </w:rPr>
              <w:t>test1</w:t>
            </w:r>
          </w:p>
        </w:tc>
        <w:tc>
          <w:tcPr>
            <w:tcW w:w="1809" w:type="dxa"/>
            <w:tcBorders>
              <w:top w:val="nil"/>
              <w:left w:val="nil"/>
              <w:bottom w:val="nil"/>
              <w:right w:val="nil"/>
            </w:tcBorders>
          </w:tcPr>
          <w:p>
            <w:pPr>
              <w:pStyle w:val="TableParagraph"/>
              <w:spacing w:before="3"/>
              <w:rPr>
                <w:sz w:val="22"/>
              </w:rPr>
            </w:pPr>
          </w:p>
          <w:p>
            <w:pPr>
              <w:pStyle w:val="TableParagraph"/>
              <w:ind w:left="540"/>
              <w:rPr>
                <w:b/>
                <w:sz w:val="24"/>
              </w:rPr>
            </w:pPr>
            <w:r>
              <w:rPr>
                <w:b/>
                <w:sz w:val="24"/>
              </w:rPr>
              <w:t>2126</w:t>
            </w:r>
          </w:p>
        </w:tc>
        <w:tc>
          <w:tcPr>
            <w:tcW w:w="2000" w:type="dxa"/>
            <w:tcBorders>
              <w:top w:val="nil"/>
              <w:left w:val="nil"/>
              <w:bottom w:val="nil"/>
              <w:right w:val="nil"/>
            </w:tcBorders>
          </w:tcPr>
          <w:p>
            <w:pPr>
              <w:pStyle w:val="TableParagraph"/>
              <w:spacing w:before="3"/>
              <w:rPr>
                <w:sz w:val="22"/>
              </w:rPr>
            </w:pPr>
          </w:p>
          <w:p>
            <w:pPr>
              <w:pStyle w:val="TableParagraph"/>
              <w:ind w:left="688" w:right="670"/>
              <w:jc w:val="center"/>
              <w:rPr>
                <w:b/>
                <w:sz w:val="24"/>
              </w:rPr>
            </w:pPr>
            <w:r>
              <w:rPr>
                <w:b/>
                <w:sz w:val="24"/>
              </w:rPr>
              <w:t>2135</w:t>
            </w:r>
          </w:p>
        </w:tc>
        <w:tc>
          <w:tcPr>
            <w:tcW w:w="1987" w:type="dxa"/>
            <w:tcBorders>
              <w:top w:val="nil"/>
              <w:left w:val="nil"/>
              <w:bottom w:val="nil"/>
              <w:right w:val="nil"/>
            </w:tcBorders>
          </w:tcPr>
          <w:p>
            <w:pPr>
              <w:pStyle w:val="TableParagraph"/>
              <w:spacing w:before="3"/>
              <w:rPr>
                <w:sz w:val="22"/>
              </w:rPr>
            </w:pPr>
          </w:p>
          <w:p>
            <w:pPr>
              <w:pStyle w:val="TableParagraph"/>
              <w:ind w:left="724"/>
              <w:rPr>
                <w:b/>
                <w:sz w:val="24"/>
              </w:rPr>
            </w:pPr>
            <w:r>
              <w:rPr>
                <w:b/>
                <w:sz w:val="24"/>
              </w:rPr>
              <w:t>2235</w:t>
            </w:r>
          </w:p>
        </w:tc>
      </w:tr>
      <w:tr>
        <w:trPr>
          <w:trHeight w:val="414" w:hRule="exact"/>
        </w:trPr>
        <w:tc>
          <w:tcPr>
            <w:tcW w:w="1968" w:type="dxa"/>
            <w:tcBorders>
              <w:top w:val="nil"/>
              <w:left w:val="nil"/>
              <w:bottom w:val="nil"/>
              <w:right w:val="nil"/>
            </w:tcBorders>
          </w:tcPr>
          <w:p>
            <w:pPr>
              <w:pStyle w:val="TableParagraph"/>
              <w:spacing w:before="48"/>
              <w:ind w:left="359" w:right="569"/>
              <w:jc w:val="center"/>
              <w:rPr>
                <w:b/>
                <w:sz w:val="24"/>
              </w:rPr>
            </w:pPr>
            <w:r>
              <w:rPr>
                <w:b/>
                <w:sz w:val="24"/>
              </w:rPr>
              <w:t>test 2</w:t>
            </w:r>
          </w:p>
        </w:tc>
        <w:tc>
          <w:tcPr>
            <w:tcW w:w="1809" w:type="dxa"/>
            <w:tcBorders>
              <w:top w:val="nil"/>
              <w:left w:val="nil"/>
              <w:bottom w:val="nil"/>
              <w:right w:val="nil"/>
            </w:tcBorders>
          </w:tcPr>
          <w:p>
            <w:pPr>
              <w:pStyle w:val="TableParagraph"/>
              <w:spacing w:before="48"/>
              <w:ind w:left="540"/>
              <w:rPr>
                <w:b/>
                <w:sz w:val="24"/>
              </w:rPr>
            </w:pPr>
            <w:r>
              <w:rPr>
                <w:b/>
                <w:sz w:val="24"/>
              </w:rPr>
              <w:t>2116</w:t>
            </w:r>
          </w:p>
        </w:tc>
        <w:tc>
          <w:tcPr>
            <w:tcW w:w="2000" w:type="dxa"/>
            <w:tcBorders>
              <w:top w:val="nil"/>
              <w:left w:val="nil"/>
              <w:bottom w:val="nil"/>
              <w:right w:val="nil"/>
            </w:tcBorders>
          </w:tcPr>
          <w:p>
            <w:pPr>
              <w:pStyle w:val="TableParagraph"/>
              <w:spacing w:before="48"/>
              <w:ind w:left="688" w:right="670"/>
              <w:jc w:val="center"/>
              <w:rPr>
                <w:b/>
                <w:sz w:val="24"/>
              </w:rPr>
            </w:pPr>
            <w:r>
              <w:rPr>
                <w:b/>
                <w:sz w:val="24"/>
              </w:rPr>
              <w:t>2198</w:t>
            </w:r>
          </w:p>
        </w:tc>
        <w:tc>
          <w:tcPr>
            <w:tcW w:w="1987" w:type="dxa"/>
            <w:tcBorders>
              <w:top w:val="nil"/>
              <w:left w:val="nil"/>
              <w:bottom w:val="nil"/>
              <w:right w:val="nil"/>
            </w:tcBorders>
          </w:tcPr>
          <w:p>
            <w:pPr>
              <w:pStyle w:val="TableParagraph"/>
              <w:spacing w:before="48"/>
              <w:ind w:left="724"/>
              <w:rPr>
                <w:b/>
                <w:sz w:val="24"/>
              </w:rPr>
            </w:pPr>
            <w:r>
              <w:rPr>
                <w:b/>
                <w:sz w:val="24"/>
              </w:rPr>
              <w:t>1944</w:t>
            </w:r>
          </w:p>
        </w:tc>
      </w:tr>
      <w:tr>
        <w:trPr>
          <w:trHeight w:val="414" w:hRule="exact"/>
        </w:trPr>
        <w:tc>
          <w:tcPr>
            <w:tcW w:w="1968" w:type="dxa"/>
            <w:tcBorders>
              <w:top w:val="nil"/>
              <w:left w:val="nil"/>
              <w:bottom w:val="nil"/>
              <w:right w:val="nil"/>
            </w:tcBorders>
          </w:tcPr>
          <w:p>
            <w:pPr>
              <w:pStyle w:val="TableParagraph"/>
              <w:spacing w:before="49"/>
              <w:ind w:left="359" w:right="569"/>
              <w:jc w:val="center"/>
              <w:rPr>
                <w:b/>
                <w:sz w:val="24"/>
              </w:rPr>
            </w:pPr>
            <w:r>
              <w:rPr>
                <w:b/>
                <w:sz w:val="24"/>
              </w:rPr>
              <w:t>test 3</w:t>
            </w:r>
          </w:p>
        </w:tc>
        <w:tc>
          <w:tcPr>
            <w:tcW w:w="1809" w:type="dxa"/>
            <w:tcBorders>
              <w:top w:val="nil"/>
              <w:left w:val="nil"/>
              <w:bottom w:val="nil"/>
              <w:right w:val="nil"/>
            </w:tcBorders>
          </w:tcPr>
          <w:p>
            <w:pPr>
              <w:pStyle w:val="TableParagraph"/>
              <w:spacing w:before="49"/>
              <w:ind w:left="540"/>
              <w:rPr>
                <w:b/>
                <w:sz w:val="24"/>
              </w:rPr>
            </w:pPr>
            <w:r>
              <w:rPr>
                <w:b/>
                <w:sz w:val="24"/>
              </w:rPr>
              <w:t>1906</w:t>
            </w:r>
          </w:p>
        </w:tc>
        <w:tc>
          <w:tcPr>
            <w:tcW w:w="2000" w:type="dxa"/>
            <w:tcBorders>
              <w:top w:val="nil"/>
              <w:left w:val="nil"/>
              <w:bottom w:val="nil"/>
              <w:right w:val="nil"/>
            </w:tcBorders>
          </w:tcPr>
          <w:p>
            <w:pPr>
              <w:pStyle w:val="TableParagraph"/>
              <w:spacing w:before="49"/>
              <w:ind w:left="688" w:right="670"/>
              <w:jc w:val="center"/>
              <w:rPr>
                <w:b/>
                <w:sz w:val="24"/>
              </w:rPr>
            </w:pPr>
            <w:r>
              <w:rPr>
                <w:b/>
                <w:sz w:val="24"/>
              </w:rPr>
              <w:t>2045</w:t>
            </w:r>
          </w:p>
        </w:tc>
        <w:tc>
          <w:tcPr>
            <w:tcW w:w="1987" w:type="dxa"/>
            <w:tcBorders>
              <w:top w:val="nil"/>
              <w:left w:val="nil"/>
              <w:bottom w:val="nil"/>
              <w:right w:val="nil"/>
            </w:tcBorders>
          </w:tcPr>
          <w:p>
            <w:pPr>
              <w:pStyle w:val="TableParagraph"/>
              <w:spacing w:before="49"/>
              <w:ind w:left="724"/>
              <w:rPr>
                <w:b/>
                <w:sz w:val="24"/>
              </w:rPr>
            </w:pPr>
            <w:r>
              <w:rPr>
                <w:b/>
                <w:sz w:val="24"/>
              </w:rPr>
              <w:t>2176</w:t>
            </w:r>
          </w:p>
        </w:tc>
      </w:tr>
      <w:tr>
        <w:trPr>
          <w:trHeight w:val="414" w:hRule="exact"/>
        </w:trPr>
        <w:tc>
          <w:tcPr>
            <w:tcW w:w="1968" w:type="dxa"/>
            <w:tcBorders>
              <w:top w:val="nil"/>
              <w:left w:val="nil"/>
              <w:bottom w:val="nil"/>
              <w:right w:val="nil"/>
            </w:tcBorders>
          </w:tcPr>
          <w:p>
            <w:pPr>
              <w:pStyle w:val="TableParagraph"/>
              <w:spacing w:before="48"/>
              <w:ind w:left="359" w:right="569"/>
              <w:jc w:val="center"/>
              <w:rPr>
                <w:b/>
                <w:sz w:val="24"/>
              </w:rPr>
            </w:pPr>
            <w:r>
              <w:rPr>
                <w:b/>
                <w:sz w:val="24"/>
              </w:rPr>
              <w:t>test 4</w:t>
            </w:r>
          </w:p>
        </w:tc>
        <w:tc>
          <w:tcPr>
            <w:tcW w:w="1809" w:type="dxa"/>
            <w:tcBorders>
              <w:top w:val="nil"/>
              <w:left w:val="nil"/>
              <w:bottom w:val="nil"/>
              <w:right w:val="nil"/>
            </w:tcBorders>
          </w:tcPr>
          <w:p>
            <w:pPr>
              <w:pStyle w:val="TableParagraph"/>
              <w:spacing w:before="48"/>
              <w:ind w:left="540"/>
              <w:rPr>
                <w:b/>
                <w:sz w:val="24"/>
              </w:rPr>
            </w:pPr>
            <w:r>
              <w:rPr>
                <w:b/>
                <w:sz w:val="24"/>
              </w:rPr>
              <w:t>1973</w:t>
            </w:r>
          </w:p>
        </w:tc>
        <w:tc>
          <w:tcPr>
            <w:tcW w:w="2000" w:type="dxa"/>
            <w:tcBorders>
              <w:top w:val="nil"/>
              <w:left w:val="nil"/>
              <w:bottom w:val="nil"/>
              <w:right w:val="nil"/>
            </w:tcBorders>
          </w:tcPr>
          <w:p>
            <w:pPr>
              <w:pStyle w:val="TableParagraph"/>
              <w:spacing w:before="48"/>
              <w:ind w:left="688" w:right="670"/>
              <w:jc w:val="center"/>
              <w:rPr>
                <w:b/>
                <w:sz w:val="24"/>
              </w:rPr>
            </w:pPr>
            <w:r>
              <w:rPr>
                <w:b/>
                <w:sz w:val="24"/>
              </w:rPr>
              <w:t>1987</w:t>
            </w:r>
          </w:p>
        </w:tc>
        <w:tc>
          <w:tcPr>
            <w:tcW w:w="1987" w:type="dxa"/>
            <w:tcBorders>
              <w:top w:val="nil"/>
              <w:left w:val="nil"/>
              <w:bottom w:val="nil"/>
              <w:right w:val="nil"/>
            </w:tcBorders>
          </w:tcPr>
          <w:p>
            <w:pPr>
              <w:pStyle w:val="TableParagraph"/>
              <w:spacing w:before="48"/>
              <w:ind w:left="724"/>
              <w:rPr>
                <w:b/>
                <w:sz w:val="24"/>
              </w:rPr>
            </w:pPr>
            <w:r>
              <w:rPr>
                <w:b/>
                <w:sz w:val="24"/>
              </w:rPr>
              <w:t>2198</w:t>
            </w:r>
          </w:p>
        </w:tc>
      </w:tr>
      <w:tr>
        <w:trPr>
          <w:trHeight w:val="414" w:hRule="exact"/>
        </w:trPr>
        <w:tc>
          <w:tcPr>
            <w:tcW w:w="1968" w:type="dxa"/>
            <w:tcBorders>
              <w:top w:val="nil"/>
              <w:left w:val="nil"/>
              <w:bottom w:val="nil"/>
              <w:right w:val="nil"/>
            </w:tcBorders>
          </w:tcPr>
          <w:p>
            <w:pPr>
              <w:pStyle w:val="TableParagraph"/>
              <w:spacing w:before="50"/>
              <w:ind w:left="359" w:right="569"/>
              <w:jc w:val="center"/>
              <w:rPr>
                <w:b/>
                <w:sz w:val="24"/>
              </w:rPr>
            </w:pPr>
            <w:r>
              <w:rPr>
                <w:b/>
                <w:sz w:val="24"/>
              </w:rPr>
              <w:t>test 5</w:t>
            </w:r>
          </w:p>
        </w:tc>
        <w:tc>
          <w:tcPr>
            <w:tcW w:w="1809" w:type="dxa"/>
            <w:tcBorders>
              <w:top w:val="nil"/>
              <w:left w:val="nil"/>
              <w:bottom w:val="nil"/>
              <w:right w:val="nil"/>
            </w:tcBorders>
          </w:tcPr>
          <w:p>
            <w:pPr>
              <w:pStyle w:val="TableParagraph"/>
              <w:spacing w:before="50"/>
              <w:ind w:left="540"/>
              <w:rPr>
                <w:b/>
                <w:sz w:val="24"/>
              </w:rPr>
            </w:pPr>
            <w:r>
              <w:rPr>
                <w:b/>
                <w:sz w:val="24"/>
              </w:rPr>
              <w:t>2054</w:t>
            </w:r>
          </w:p>
        </w:tc>
        <w:tc>
          <w:tcPr>
            <w:tcW w:w="2000" w:type="dxa"/>
            <w:tcBorders>
              <w:top w:val="nil"/>
              <w:left w:val="nil"/>
              <w:bottom w:val="nil"/>
              <w:right w:val="nil"/>
            </w:tcBorders>
          </w:tcPr>
          <w:p>
            <w:pPr>
              <w:pStyle w:val="TableParagraph"/>
              <w:spacing w:before="50"/>
              <w:ind w:left="688" w:right="670"/>
              <w:jc w:val="center"/>
              <w:rPr>
                <w:b/>
                <w:sz w:val="24"/>
              </w:rPr>
            </w:pPr>
            <w:r>
              <w:rPr>
                <w:b/>
                <w:sz w:val="24"/>
              </w:rPr>
              <w:t>2233</w:t>
            </w:r>
          </w:p>
        </w:tc>
        <w:tc>
          <w:tcPr>
            <w:tcW w:w="1987" w:type="dxa"/>
            <w:tcBorders>
              <w:top w:val="nil"/>
              <w:left w:val="nil"/>
              <w:bottom w:val="nil"/>
              <w:right w:val="nil"/>
            </w:tcBorders>
          </w:tcPr>
          <w:p>
            <w:pPr>
              <w:pStyle w:val="TableParagraph"/>
              <w:spacing w:before="50"/>
              <w:ind w:left="724"/>
              <w:rPr>
                <w:b/>
                <w:sz w:val="24"/>
              </w:rPr>
            </w:pPr>
            <w:r>
              <w:rPr>
                <w:b/>
                <w:sz w:val="24"/>
              </w:rPr>
              <w:t>2231</w:t>
            </w:r>
          </w:p>
        </w:tc>
      </w:tr>
      <w:tr>
        <w:trPr>
          <w:trHeight w:val="414" w:hRule="exact"/>
        </w:trPr>
        <w:tc>
          <w:tcPr>
            <w:tcW w:w="1968" w:type="dxa"/>
            <w:tcBorders>
              <w:top w:val="nil"/>
              <w:left w:val="nil"/>
              <w:bottom w:val="nil"/>
              <w:right w:val="nil"/>
            </w:tcBorders>
          </w:tcPr>
          <w:p>
            <w:pPr>
              <w:pStyle w:val="TableParagraph"/>
              <w:spacing w:before="48"/>
              <w:ind w:left="359" w:right="569"/>
              <w:jc w:val="center"/>
              <w:rPr>
                <w:b/>
                <w:i/>
                <w:sz w:val="24"/>
              </w:rPr>
            </w:pPr>
            <w:r>
              <w:rPr>
                <w:b/>
                <w:i/>
                <w:sz w:val="24"/>
              </w:rPr>
              <w:t>Average</w:t>
            </w:r>
          </w:p>
        </w:tc>
        <w:tc>
          <w:tcPr>
            <w:tcW w:w="1809" w:type="dxa"/>
            <w:tcBorders>
              <w:top w:val="nil"/>
              <w:left w:val="nil"/>
              <w:bottom w:val="nil"/>
              <w:right w:val="nil"/>
            </w:tcBorders>
          </w:tcPr>
          <w:p>
            <w:pPr>
              <w:pStyle w:val="TableParagraph"/>
              <w:spacing w:before="48"/>
              <w:ind w:left="540"/>
              <w:rPr>
                <w:b/>
                <w:sz w:val="24"/>
              </w:rPr>
            </w:pPr>
            <w:r>
              <w:rPr>
                <w:b/>
                <w:sz w:val="24"/>
              </w:rPr>
              <w:t>2035</w:t>
            </w:r>
          </w:p>
        </w:tc>
        <w:tc>
          <w:tcPr>
            <w:tcW w:w="2000" w:type="dxa"/>
            <w:tcBorders>
              <w:top w:val="nil"/>
              <w:left w:val="nil"/>
              <w:bottom w:val="nil"/>
              <w:right w:val="nil"/>
            </w:tcBorders>
          </w:tcPr>
          <w:p>
            <w:pPr>
              <w:pStyle w:val="TableParagraph"/>
              <w:spacing w:before="48"/>
              <w:ind w:left="688" w:right="670"/>
              <w:jc w:val="center"/>
              <w:rPr>
                <w:b/>
                <w:sz w:val="24"/>
              </w:rPr>
            </w:pPr>
            <w:r>
              <w:rPr>
                <w:b/>
                <w:sz w:val="24"/>
              </w:rPr>
              <w:t>2120</w:t>
            </w:r>
          </w:p>
        </w:tc>
        <w:tc>
          <w:tcPr>
            <w:tcW w:w="1987" w:type="dxa"/>
            <w:tcBorders>
              <w:top w:val="nil"/>
              <w:left w:val="nil"/>
              <w:bottom w:val="nil"/>
              <w:right w:val="nil"/>
            </w:tcBorders>
          </w:tcPr>
          <w:p>
            <w:pPr>
              <w:pStyle w:val="TableParagraph"/>
              <w:spacing w:before="48"/>
              <w:ind w:left="724"/>
              <w:rPr>
                <w:b/>
                <w:sz w:val="24"/>
              </w:rPr>
            </w:pPr>
            <w:r>
              <w:rPr>
                <w:b/>
                <w:sz w:val="24"/>
              </w:rPr>
              <w:t>2157</w:t>
            </w:r>
          </w:p>
        </w:tc>
      </w:tr>
      <w:tr>
        <w:trPr>
          <w:trHeight w:val="740" w:hRule="exact"/>
        </w:trPr>
        <w:tc>
          <w:tcPr>
            <w:tcW w:w="1968" w:type="dxa"/>
            <w:tcBorders>
              <w:top w:val="nil"/>
              <w:left w:val="nil"/>
              <w:bottom w:val="nil"/>
              <w:right w:val="nil"/>
            </w:tcBorders>
          </w:tcPr>
          <w:p>
            <w:pPr>
              <w:pStyle w:val="TableParagraph"/>
              <w:spacing w:before="49"/>
              <w:ind w:left="350" w:right="518" w:firstLine="7"/>
              <w:rPr>
                <w:b/>
                <w:sz w:val="24"/>
              </w:rPr>
            </w:pPr>
            <w:r>
              <w:rPr>
                <w:b/>
                <w:sz w:val="24"/>
              </w:rPr>
              <w:t>Standard</w:t>
            </w:r>
          </w:p>
          <w:p>
            <w:pPr>
              <w:pStyle w:val="TableParagraph"/>
              <w:spacing w:before="137"/>
              <w:ind w:left="350" w:right="518"/>
              <w:rPr>
                <w:b/>
                <w:sz w:val="24"/>
              </w:rPr>
            </w:pPr>
            <w:r>
              <w:rPr>
                <w:b/>
                <w:sz w:val="24"/>
              </w:rPr>
              <w:t>deviation</w:t>
            </w:r>
          </w:p>
        </w:tc>
        <w:tc>
          <w:tcPr>
            <w:tcW w:w="1809" w:type="dxa"/>
            <w:tcBorders>
              <w:top w:val="nil"/>
              <w:left w:val="nil"/>
              <w:bottom w:val="nil"/>
              <w:right w:val="nil"/>
            </w:tcBorders>
          </w:tcPr>
          <w:p>
            <w:pPr>
              <w:pStyle w:val="TableParagraph"/>
              <w:spacing w:before="3"/>
              <w:rPr>
                <w:sz w:val="22"/>
              </w:rPr>
            </w:pPr>
          </w:p>
          <w:p>
            <w:pPr>
              <w:pStyle w:val="TableParagraph"/>
              <w:ind w:left="573"/>
              <w:rPr>
                <w:b/>
                <w:sz w:val="24"/>
              </w:rPr>
            </w:pPr>
            <w:r>
              <w:rPr>
                <w:b/>
                <w:sz w:val="24"/>
              </w:rPr>
              <w:t>94.5</w:t>
            </w:r>
          </w:p>
        </w:tc>
        <w:tc>
          <w:tcPr>
            <w:tcW w:w="2000" w:type="dxa"/>
            <w:tcBorders>
              <w:top w:val="nil"/>
              <w:left w:val="nil"/>
              <w:bottom w:val="nil"/>
              <w:right w:val="nil"/>
            </w:tcBorders>
          </w:tcPr>
          <w:p>
            <w:pPr>
              <w:pStyle w:val="TableParagraph"/>
              <w:spacing w:before="3"/>
              <w:rPr>
                <w:sz w:val="22"/>
              </w:rPr>
            </w:pPr>
          </w:p>
          <w:p>
            <w:pPr>
              <w:pStyle w:val="TableParagraph"/>
              <w:ind w:left="688" w:right="670"/>
              <w:jc w:val="center"/>
              <w:rPr>
                <w:b/>
                <w:sz w:val="24"/>
              </w:rPr>
            </w:pPr>
            <w:r>
              <w:rPr>
                <w:b/>
                <w:sz w:val="24"/>
              </w:rPr>
              <w:t>102.9</w:t>
            </w:r>
          </w:p>
        </w:tc>
        <w:tc>
          <w:tcPr>
            <w:tcW w:w="1987" w:type="dxa"/>
            <w:tcBorders>
              <w:top w:val="nil"/>
              <w:left w:val="nil"/>
              <w:bottom w:val="nil"/>
              <w:right w:val="nil"/>
            </w:tcBorders>
          </w:tcPr>
          <w:p>
            <w:pPr>
              <w:pStyle w:val="TableParagraph"/>
              <w:spacing w:before="3"/>
              <w:rPr>
                <w:sz w:val="22"/>
              </w:rPr>
            </w:pPr>
          </w:p>
          <w:p>
            <w:pPr>
              <w:pStyle w:val="TableParagraph"/>
              <w:ind w:left="690"/>
              <w:rPr>
                <w:b/>
                <w:sz w:val="24"/>
              </w:rPr>
            </w:pPr>
            <w:r>
              <w:rPr>
                <w:b/>
                <w:sz w:val="24"/>
              </w:rPr>
              <w:t>121.4</w:t>
            </w:r>
          </w:p>
        </w:tc>
      </w:tr>
    </w:tbl>
    <w:p>
      <w:pPr>
        <w:pStyle w:val="BodyText"/>
        <w:rPr>
          <w:sz w:val="20"/>
        </w:rPr>
      </w:pPr>
    </w:p>
    <w:p>
      <w:pPr>
        <w:pStyle w:val="BodyText"/>
        <w:rPr>
          <w:sz w:val="20"/>
        </w:rPr>
      </w:pPr>
    </w:p>
    <w:p>
      <w:pPr>
        <w:pStyle w:val="BodyText"/>
        <w:rPr>
          <w:sz w:val="20"/>
        </w:rPr>
      </w:pPr>
    </w:p>
    <w:p>
      <w:pPr>
        <w:pStyle w:val="BodyText"/>
        <w:spacing w:before="10"/>
        <w:rPr>
          <w:sz w:val="17"/>
        </w:rPr>
      </w:pPr>
    </w:p>
    <w:p>
      <w:pPr>
        <w:pStyle w:val="BodyText"/>
        <w:spacing w:line="360" w:lineRule="auto" w:before="70"/>
        <w:ind w:left="662" w:right="575"/>
        <w:jc w:val="both"/>
      </w:pPr>
      <w:r>
        <w:rPr/>
        <w:t>The results obtained with methods #2 and #3 are compared below to those with the standard method #1 by means</w:t>
      </w:r>
      <w:r>
        <w:rPr>
          <w:spacing w:val="-46"/>
        </w:rPr>
        <w:t> </w:t>
      </w:r>
      <w:r>
        <w:rPr/>
        <w:t>of Fisher´s test (i.e., comparison of variances) to evaluate their</w:t>
      </w:r>
      <w:r>
        <w:rPr>
          <w:spacing w:val="-9"/>
        </w:rPr>
        <w:t> </w:t>
      </w:r>
      <w:r>
        <w:rPr/>
        <w:t>performance</w:t>
      </w:r>
      <w:r>
        <w:rPr>
          <w:spacing w:val="-7"/>
        </w:rPr>
        <w:t> </w:t>
      </w:r>
      <w:r>
        <w:rPr/>
        <w:t>with</w:t>
      </w:r>
      <w:r>
        <w:rPr>
          <w:spacing w:val="-9"/>
        </w:rPr>
        <w:t> </w:t>
      </w:r>
      <w:r>
        <w:rPr/>
        <w:t>respect</w:t>
      </w:r>
      <w:r>
        <w:rPr>
          <w:spacing w:val="-7"/>
        </w:rPr>
        <w:t> </w:t>
      </w:r>
      <w:r>
        <w:rPr/>
        <w:t>to</w:t>
      </w:r>
      <w:r>
        <w:rPr>
          <w:spacing w:val="-7"/>
        </w:rPr>
        <w:t> </w:t>
      </w:r>
      <w:r>
        <w:rPr/>
        <w:t>the</w:t>
      </w:r>
      <w:r>
        <w:rPr>
          <w:spacing w:val="-7"/>
        </w:rPr>
        <w:t> </w:t>
      </w:r>
      <w:r>
        <w:rPr/>
        <w:t>standardized</w:t>
      </w:r>
      <w:r>
        <w:rPr>
          <w:spacing w:val="-7"/>
        </w:rPr>
        <w:t> </w:t>
      </w:r>
      <w:r>
        <w:rPr/>
        <w:t>test.</w:t>
      </w:r>
      <w:r>
        <w:rPr>
          <w:spacing w:val="-9"/>
        </w:rPr>
        <w:t> </w:t>
      </w:r>
      <w:r>
        <w:rPr/>
        <w:t>The</w:t>
      </w:r>
      <w:r>
        <w:rPr>
          <w:spacing w:val="-7"/>
        </w:rPr>
        <w:t> </w:t>
      </w:r>
      <w:r>
        <w:rPr/>
        <w:t>results</w:t>
      </w:r>
      <w:r>
        <w:rPr>
          <w:spacing w:val="-9"/>
        </w:rPr>
        <w:t> </w:t>
      </w:r>
      <w:r>
        <w:rPr/>
        <w:t>are</w:t>
      </w:r>
      <w:r>
        <w:rPr>
          <w:spacing w:val="-8"/>
        </w:rPr>
        <w:t> </w:t>
      </w:r>
      <w:r>
        <w:rPr/>
        <w:t>shown</w:t>
      </w:r>
      <w:r>
        <w:rPr>
          <w:spacing w:val="-7"/>
        </w:rPr>
        <w:t> </w:t>
      </w:r>
      <w:r>
        <w:rPr/>
        <w:t>in</w:t>
      </w:r>
      <w:r>
        <w:rPr>
          <w:spacing w:val="-9"/>
        </w:rPr>
        <w:t> </w:t>
      </w:r>
      <w:r>
        <w:rPr/>
        <w:t>Table</w:t>
      </w:r>
      <w:r>
        <w:rPr>
          <w:spacing w:val="-7"/>
        </w:rPr>
        <w:t> </w:t>
      </w:r>
      <w:r>
        <w:rPr/>
        <w:t>2.</w:t>
      </w:r>
    </w:p>
    <w:p>
      <w:pPr>
        <w:pStyle w:val="BodyText"/>
      </w:pPr>
    </w:p>
    <w:p>
      <w:pPr>
        <w:pStyle w:val="BodyText"/>
        <w:spacing w:line="360" w:lineRule="auto" w:before="142"/>
        <w:ind w:left="677" w:right="587"/>
        <w:jc w:val="center"/>
      </w:pPr>
      <w:r>
        <w:rPr/>
        <w:t>Table 2. F-values from Fisher´s tests methods #2 and #3 with different wastewater samples</w:t>
      </w:r>
    </w:p>
    <w:p>
      <w:pPr>
        <w:pStyle w:val="BodyText"/>
        <w:spacing w:before="2"/>
        <w:ind w:left="1563" w:right="1475"/>
        <w:jc w:val="center"/>
      </w:pPr>
      <w:r>
        <w:rPr/>
        <w:t>(F from reference tables at the 95% confidence level = 6.388).</w:t>
      </w:r>
    </w:p>
    <w:p>
      <w:pPr>
        <w:spacing w:after="0"/>
        <w:jc w:val="center"/>
        <w:sectPr>
          <w:pgSz w:w="12240" w:h="15840"/>
          <w:pgMar w:header="0" w:footer="654" w:top="1440" w:bottom="840" w:left="1040" w:right="560"/>
        </w:sectPr>
      </w:pPr>
    </w:p>
    <w:tbl>
      <w:tblPr>
        <w:tblW w:w="0" w:type="auto"/>
        <w:jc w:val="left"/>
        <w:tblInd w:w="5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70"/>
        <w:gridCol w:w="2170"/>
        <w:gridCol w:w="1131"/>
        <w:gridCol w:w="1679"/>
        <w:gridCol w:w="1497"/>
        <w:gridCol w:w="1338"/>
      </w:tblGrid>
      <w:tr>
        <w:trPr>
          <w:trHeight w:val="942" w:hRule="exact"/>
        </w:trPr>
        <w:tc>
          <w:tcPr>
            <w:tcW w:w="1670" w:type="dxa"/>
            <w:tcBorders>
              <w:bottom w:val="single" w:sz="14" w:space="0" w:color="497DBA"/>
            </w:tcBorders>
          </w:tcPr>
          <w:p>
            <w:pPr>
              <w:pStyle w:val="TableParagraph"/>
              <w:spacing w:before="5"/>
              <w:rPr>
                <w:sz w:val="33"/>
              </w:rPr>
            </w:pPr>
          </w:p>
          <w:p>
            <w:pPr>
              <w:pStyle w:val="TableParagraph"/>
              <w:ind w:left="39"/>
              <w:rPr>
                <w:b/>
                <w:sz w:val="24"/>
              </w:rPr>
            </w:pPr>
            <w:r>
              <w:rPr>
                <w:b/>
                <w:sz w:val="24"/>
              </w:rPr>
              <w:t>Plant/Method</w:t>
            </w:r>
          </w:p>
        </w:tc>
        <w:tc>
          <w:tcPr>
            <w:tcW w:w="2170" w:type="dxa"/>
            <w:tcBorders>
              <w:bottom w:val="single" w:sz="14" w:space="0" w:color="497DBA"/>
            </w:tcBorders>
          </w:tcPr>
          <w:p>
            <w:pPr>
              <w:pStyle w:val="TableParagraph"/>
              <w:spacing w:before="5"/>
              <w:rPr>
                <w:sz w:val="33"/>
              </w:rPr>
            </w:pPr>
          </w:p>
          <w:p>
            <w:pPr>
              <w:pStyle w:val="TableParagraph"/>
              <w:ind w:left="105" w:right="211"/>
              <w:jc w:val="center"/>
              <w:rPr>
                <w:b/>
                <w:sz w:val="24"/>
              </w:rPr>
            </w:pPr>
            <w:r>
              <w:rPr>
                <w:b/>
                <w:sz w:val="24"/>
              </w:rPr>
              <w:t>Slaughterhouse</w:t>
            </w:r>
          </w:p>
        </w:tc>
        <w:tc>
          <w:tcPr>
            <w:tcW w:w="1131" w:type="dxa"/>
            <w:tcBorders>
              <w:bottom w:val="single" w:sz="14" w:space="0" w:color="497DBA"/>
            </w:tcBorders>
          </w:tcPr>
          <w:p>
            <w:pPr>
              <w:pStyle w:val="TableParagraph"/>
              <w:spacing w:line="245" w:lineRule="exact"/>
              <w:ind w:left="255" w:hanging="24"/>
              <w:rPr>
                <w:b/>
                <w:sz w:val="24"/>
              </w:rPr>
            </w:pPr>
            <w:r>
              <w:rPr>
                <w:b/>
                <w:sz w:val="24"/>
              </w:rPr>
              <w:t>North</w:t>
            </w:r>
          </w:p>
          <w:p>
            <w:pPr>
              <w:pStyle w:val="TableParagraph"/>
              <w:spacing w:before="139"/>
              <w:ind w:left="255"/>
              <w:rPr>
                <w:b/>
                <w:sz w:val="24"/>
              </w:rPr>
            </w:pPr>
            <w:r>
              <w:rPr>
                <w:b/>
                <w:sz w:val="24"/>
              </w:rPr>
              <w:t>Plant</w:t>
            </w:r>
          </w:p>
        </w:tc>
        <w:tc>
          <w:tcPr>
            <w:tcW w:w="1679" w:type="dxa"/>
            <w:tcBorders>
              <w:bottom w:val="single" w:sz="14" w:space="0" w:color="497DBA"/>
            </w:tcBorders>
          </w:tcPr>
          <w:p>
            <w:pPr>
              <w:pStyle w:val="TableParagraph"/>
              <w:spacing w:line="245" w:lineRule="exact"/>
              <w:ind w:left="240" w:right="145"/>
              <w:jc w:val="center"/>
              <w:rPr>
                <w:b/>
                <w:sz w:val="24"/>
              </w:rPr>
            </w:pPr>
            <w:r>
              <w:rPr>
                <w:b/>
                <w:sz w:val="24"/>
              </w:rPr>
              <w:t>Cerro de la</w:t>
            </w:r>
          </w:p>
          <w:p>
            <w:pPr>
              <w:pStyle w:val="TableParagraph"/>
              <w:spacing w:before="139"/>
              <w:ind w:left="240" w:right="143"/>
              <w:jc w:val="center"/>
              <w:rPr>
                <w:b/>
                <w:sz w:val="24"/>
              </w:rPr>
            </w:pPr>
            <w:r>
              <w:rPr>
                <w:b/>
                <w:sz w:val="24"/>
              </w:rPr>
              <w:t>Estrella</w:t>
            </w:r>
          </w:p>
        </w:tc>
        <w:tc>
          <w:tcPr>
            <w:tcW w:w="1497" w:type="dxa"/>
            <w:tcBorders>
              <w:bottom w:val="single" w:sz="14" w:space="0" w:color="497DBA"/>
            </w:tcBorders>
          </w:tcPr>
          <w:p>
            <w:pPr>
              <w:pStyle w:val="TableParagraph"/>
              <w:spacing w:line="245" w:lineRule="exact"/>
              <w:ind w:left="198" w:hanging="34"/>
              <w:rPr>
                <w:b/>
                <w:sz w:val="24"/>
              </w:rPr>
            </w:pPr>
            <w:r>
              <w:rPr>
                <w:b/>
                <w:sz w:val="24"/>
              </w:rPr>
              <w:t>Chocolate</w:t>
            </w:r>
          </w:p>
          <w:p>
            <w:pPr>
              <w:pStyle w:val="TableParagraph"/>
              <w:spacing w:before="139"/>
              <w:ind w:left="198"/>
              <w:rPr>
                <w:b/>
                <w:sz w:val="24"/>
              </w:rPr>
            </w:pPr>
            <w:r>
              <w:rPr>
                <w:b/>
                <w:sz w:val="24"/>
              </w:rPr>
              <w:t>Company</w:t>
            </w:r>
          </w:p>
        </w:tc>
        <w:tc>
          <w:tcPr>
            <w:tcW w:w="1338" w:type="dxa"/>
            <w:tcBorders>
              <w:bottom w:val="single" w:sz="14" w:space="0" w:color="497DBA"/>
            </w:tcBorders>
          </w:tcPr>
          <w:p>
            <w:pPr>
              <w:pStyle w:val="TableParagraph"/>
              <w:spacing w:line="245" w:lineRule="exact"/>
              <w:ind w:left="149"/>
              <w:jc w:val="center"/>
              <w:rPr>
                <w:b/>
                <w:sz w:val="24"/>
              </w:rPr>
            </w:pPr>
            <w:r>
              <w:rPr>
                <w:b/>
                <w:sz w:val="24"/>
              </w:rPr>
              <w:t>Diverse</w:t>
            </w:r>
          </w:p>
          <w:p>
            <w:pPr>
              <w:pStyle w:val="TableParagraph"/>
              <w:spacing w:before="139"/>
              <w:ind w:left="152"/>
              <w:jc w:val="center"/>
              <w:rPr>
                <w:b/>
                <w:sz w:val="24"/>
              </w:rPr>
            </w:pPr>
            <w:r>
              <w:rPr>
                <w:b/>
                <w:sz w:val="24"/>
              </w:rPr>
              <w:t>Industries</w:t>
            </w:r>
          </w:p>
        </w:tc>
      </w:tr>
      <w:tr>
        <w:trPr>
          <w:trHeight w:val="514" w:hRule="exact"/>
        </w:trPr>
        <w:tc>
          <w:tcPr>
            <w:tcW w:w="1670" w:type="dxa"/>
            <w:tcBorders>
              <w:top w:val="single" w:sz="14" w:space="0" w:color="497DBA"/>
            </w:tcBorders>
          </w:tcPr>
          <w:p>
            <w:pPr>
              <w:pStyle w:val="TableParagraph"/>
              <w:spacing w:before="137"/>
              <w:ind w:left="31"/>
              <w:rPr>
                <w:b/>
                <w:sz w:val="24"/>
              </w:rPr>
            </w:pPr>
            <w:r>
              <w:rPr>
                <w:b/>
                <w:sz w:val="24"/>
              </w:rPr>
              <w:t>Method 2</w:t>
            </w:r>
          </w:p>
        </w:tc>
        <w:tc>
          <w:tcPr>
            <w:tcW w:w="2170" w:type="dxa"/>
            <w:tcBorders>
              <w:top w:val="single" w:sz="14" w:space="0" w:color="497DBA"/>
            </w:tcBorders>
          </w:tcPr>
          <w:p>
            <w:pPr>
              <w:pStyle w:val="TableParagraph"/>
              <w:spacing w:before="137"/>
              <w:ind w:left="105" w:right="209"/>
              <w:jc w:val="center"/>
              <w:rPr>
                <w:b/>
                <w:sz w:val="24"/>
              </w:rPr>
            </w:pPr>
            <w:r>
              <w:rPr>
                <w:b/>
                <w:sz w:val="24"/>
              </w:rPr>
              <w:t>3.681</w:t>
            </w:r>
          </w:p>
        </w:tc>
        <w:tc>
          <w:tcPr>
            <w:tcW w:w="1131" w:type="dxa"/>
            <w:tcBorders>
              <w:top w:val="single" w:sz="14" w:space="0" w:color="497DBA"/>
            </w:tcBorders>
          </w:tcPr>
          <w:p>
            <w:pPr>
              <w:pStyle w:val="TableParagraph"/>
              <w:spacing w:before="137"/>
              <w:ind w:left="232" w:right="258"/>
              <w:jc w:val="center"/>
              <w:rPr>
                <w:b/>
                <w:sz w:val="24"/>
              </w:rPr>
            </w:pPr>
            <w:r>
              <w:rPr>
                <w:b/>
                <w:sz w:val="24"/>
              </w:rPr>
              <w:t>5.042</w:t>
            </w:r>
          </w:p>
        </w:tc>
        <w:tc>
          <w:tcPr>
            <w:tcW w:w="1679" w:type="dxa"/>
            <w:tcBorders>
              <w:top w:val="single" w:sz="14" w:space="0" w:color="497DBA"/>
            </w:tcBorders>
          </w:tcPr>
          <w:p>
            <w:pPr>
              <w:pStyle w:val="TableParagraph"/>
              <w:spacing w:before="137"/>
              <w:ind w:right="487"/>
              <w:jc w:val="right"/>
              <w:rPr>
                <w:b/>
                <w:sz w:val="24"/>
              </w:rPr>
            </w:pPr>
            <w:r>
              <w:rPr>
                <w:b/>
                <w:sz w:val="24"/>
              </w:rPr>
              <w:t>1.231</w:t>
            </w:r>
          </w:p>
        </w:tc>
        <w:tc>
          <w:tcPr>
            <w:tcW w:w="1497" w:type="dxa"/>
            <w:tcBorders>
              <w:top w:val="single" w:sz="14" w:space="0" w:color="497DBA"/>
            </w:tcBorders>
          </w:tcPr>
          <w:p>
            <w:pPr>
              <w:pStyle w:val="TableParagraph"/>
              <w:spacing w:before="137"/>
              <w:ind w:left="427" w:right="429"/>
              <w:jc w:val="center"/>
              <w:rPr>
                <w:b/>
                <w:sz w:val="24"/>
              </w:rPr>
            </w:pPr>
            <w:r>
              <w:rPr>
                <w:b/>
                <w:sz w:val="24"/>
              </w:rPr>
              <w:t>1.450</w:t>
            </w:r>
          </w:p>
        </w:tc>
        <w:tc>
          <w:tcPr>
            <w:tcW w:w="1338" w:type="dxa"/>
            <w:tcBorders>
              <w:top w:val="single" w:sz="14" w:space="0" w:color="497DBA"/>
            </w:tcBorders>
          </w:tcPr>
          <w:p>
            <w:pPr>
              <w:pStyle w:val="TableParagraph"/>
              <w:spacing w:before="137"/>
              <w:ind w:right="290"/>
              <w:jc w:val="right"/>
              <w:rPr>
                <w:b/>
                <w:sz w:val="24"/>
              </w:rPr>
            </w:pPr>
            <w:r>
              <w:rPr>
                <w:b/>
                <w:sz w:val="24"/>
              </w:rPr>
              <w:t>1.187</w:t>
            </w:r>
          </w:p>
        </w:tc>
      </w:tr>
      <w:tr>
        <w:trPr>
          <w:trHeight w:val="328" w:hRule="exact"/>
        </w:trPr>
        <w:tc>
          <w:tcPr>
            <w:tcW w:w="1670" w:type="dxa"/>
          </w:tcPr>
          <w:p>
            <w:pPr>
              <w:pStyle w:val="TableParagraph"/>
              <w:spacing w:before="57"/>
              <w:ind w:left="31"/>
              <w:rPr>
                <w:b/>
                <w:sz w:val="24"/>
              </w:rPr>
            </w:pPr>
            <w:r>
              <w:rPr>
                <w:b/>
                <w:sz w:val="24"/>
              </w:rPr>
              <w:t>Method 3</w:t>
            </w:r>
          </w:p>
        </w:tc>
        <w:tc>
          <w:tcPr>
            <w:tcW w:w="2170" w:type="dxa"/>
          </w:tcPr>
          <w:p>
            <w:pPr>
              <w:pStyle w:val="TableParagraph"/>
              <w:spacing w:before="57"/>
              <w:ind w:left="105" w:right="209"/>
              <w:jc w:val="center"/>
              <w:rPr>
                <w:b/>
                <w:sz w:val="24"/>
              </w:rPr>
            </w:pPr>
            <w:r>
              <w:rPr>
                <w:b/>
                <w:sz w:val="24"/>
              </w:rPr>
              <w:t>1.256</w:t>
            </w:r>
          </w:p>
        </w:tc>
        <w:tc>
          <w:tcPr>
            <w:tcW w:w="1131" w:type="dxa"/>
          </w:tcPr>
          <w:p>
            <w:pPr>
              <w:pStyle w:val="TableParagraph"/>
              <w:spacing w:before="57"/>
              <w:ind w:left="232" w:right="258"/>
              <w:jc w:val="center"/>
              <w:rPr>
                <w:b/>
                <w:sz w:val="24"/>
              </w:rPr>
            </w:pPr>
            <w:r>
              <w:rPr>
                <w:b/>
                <w:sz w:val="24"/>
              </w:rPr>
              <w:t>1.396</w:t>
            </w:r>
          </w:p>
        </w:tc>
        <w:tc>
          <w:tcPr>
            <w:tcW w:w="1679" w:type="dxa"/>
          </w:tcPr>
          <w:p>
            <w:pPr>
              <w:pStyle w:val="TableParagraph"/>
              <w:spacing w:before="57"/>
              <w:ind w:right="487"/>
              <w:jc w:val="right"/>
              <w:rPr>
                <w:b/>
                <w:sz w:val="24"/>
              </w:rPr>
            </w:pPr>
            <w:r>
              <w:rPr>
                <w:b/>
                <w:sz w:val="24"/>
              </w:rPr>
              <w:t>1.419</w:t>
            </w:r>
          </w:p>
        </w:tc>
        <w:tc>
          <w:tcPr>
            <w:tcW w:w="1497" w:type="dxa"/>
          </w:tcPr>
          <w:p>
            <w:pPr>
              <w:pStyle w:val="TableParagraph"/>
              <w:spacing w:before="57"/>
              <w:ind w:left="427" w:right="429"/>
              <w:jc w:val="center"/>
              <w:rPr>
                <w:b/>
                <w:sz w:val="24"/>
              </w:rPr>
            </w:pPr>
            <w:r>
              <w:rPr>
                <w:b/>
                <w:sz w:val="24"/>
              </w:rPr>
              <w:t>0.207</w:t>
            </w:r>
          </w:p>
        </w:tc>
        <w:tc>
          <w:tcPr>
            <w:tcW w:w="1338" w:type="dxa"/>
          </w:tcPr>
          <w:p>
            <w:pPr>
              <w:pStyle w:val="TableParagraph"/>
              <w:spacing w:before="57"/>
              <w:ind w:right="290"/>
              <w:jc w:val="right"/>
              <w:rPr>
                <w:b/>
                <w:sz w:val="24"/>
              </w:rPr>
            </w:pPr>
            <w:r>
              <w:rPr>
                <w:b/>
                <w:sz w:val="24"/>
              </w:rPr>
              <w:t>1.651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line="360" w:lineRule="auto"/>
        <w:ind w:left="662" w:right="567"/>
        <w:jc w:val="both"/>
      </w:pPr>
      <w:r>
        <w:rPr/>
        <w:t>As</w:t>
      </w:r>
      <w:r>
        <w:rPr>
          <w:spacing w:val="-16"/>
        </w:rPr>
        <w:t> </w:t>
      </w:r>
      <w:r>
        <w:rPr/>
        <w:t>observed</w:t>
      </w:r>
      <w:r>
        <w:rPr>
          <w:spacing w:val="-16"/>
        </w:rPr>
        <w:t> </w:t>
      </w:r>
      <w:r>
        <w:rPr/>
        <w:t>in</w:t>
      </w:r>
      <w:r>
        <w:rPr>
          <w:spacing w:val="-21"/>
        </w:rPr>
        <w:t> </w:t>
      </w:r>
      <w:r>
        <w:rPr/>
        <w:t>Table</w:t>
      </w:r>
      <w:r>
        <w:rPr>
          <w:spacing w:val="-18"/>
        </w:rPr>
        <w:t> </w:t>
      </w:r>
      <w:r>
        <w:rPr/>
        <w:t>2,</w:t>
      </w:r>
      <w:r>
        <w:rPr>
          <w:spacing w:val="-16"/>
        </w:rPr>
        <w:t> </w:t>
      </w:r>
      <w:r>
        <w:rPr/>
        <w:t>all</w:t>
      </w:r>
      <w:r>
        <w:rPr>
          <w:spacing w:val="-20"/>
        </w:rPr>
        <w:t> </w:t>
      </w:r>
      <w:r>
        <w:rPr/>
        <w:t>of</w:t>
      </w:r>
      <w:r>
        <w:rPr>
          <w:spacing w:val="-16"/>
        </w:rPr>
        <w:t> </w:t>
      </w:r>
      <w:r>
        <w:rPr/>
        <w:t>the</w:t>
      </w:r>
      <w:r>
        <w:rPr>
          <w:spacing w:val="-18"/>
        </w:rPr>
        <w:t> </w:t>
      </w:r>
      <w:r>
        <w:rPr/>
        <w:t>F-values</w:t>
      </w:r>
      <w:r>
        <w:rPr>
          <w:spacing w:val="-16"/>
        </w:rPr>
        <w:t> </w:t>
      </w:r>
      <w:r>
        <w:rPr/>
        <w:t>obtained</w:t>
      </w:r>
      <w:r>
        <w:rPr>
          <w:spacing w:val="-20"/>
        </w:rPr>
        <w:t> </w:t>
      </w:r>
      <w:r>
        <w:rPr/>
        <w:t>from</w:t>
      </w:r>
      <w:r>
        <w:rPr>
          <w:spacing w:val="-17"/>
        </w:rPr>
        <w:t> </w:t>
      </w:r>
      <w:r>
        <w:rPr/>
        <w:t>the</w:t>
      </w:r>
      <w:r>
        <w:rPr>
          <w:spacing w:val="-18"/>
        </w:rPr>
        <w:t> </w:t>
      </w:r>
      <w:r>
        <w:rPr/>
        <w:t>experiments</w:t>
      </w:r>
      <w:r>
        <w:rPr>
          <w:spacing w:val="-18"/>
        </w:rPr>
        <w:t> </w:t>
      </w:r>
      <w:r>
        <w:rPr/>
        <w:t>are</w:t>
      </w:r>
      <w:r>
        <w:rPr>
          <w:spacing w:val="-19"/>
        </w:rPr>
        <w:t> </w:t>
      </w:r>
      <w:r>
        <w:rPr/>
        <w:t>considerably smaller than the reference value obtained from tables (i.e., F = 6.388 at the 95% confidence level) which validates the procedures of the proposed greener methods that </w:t>
      </w:r>
      <w:r>
        <w:rPr>
          <w:position w:val="1"/>
        </w:rPr>
        <w:t>use H</w:t>
      </w:r>
      <w:r>
        <w:rPr>
          <w:sz w:val="16"/>
        </w:rPr>
        <w:t>2</w:t>
      </w:r>
      <w:r>
        <w:rPr>
          <w:position w:val="1"/>
        </w:rPr>
        <w:t>O</w:t>
      </w:r>
      <w:r>
        <w:rPr>
          <w:sz w:val="16"/>
        </w:rPr>
        <w:t>2 </w:t>
      </w:r>
      <w:r>
        <w:rPr>
          <w:position w:val="1"/>
        </w:rPr>
        <w:t>and reduce the Ag</w:t>
      </w:r>
      <w:r>
        <w:rPr>
          <w:sz w:val="16"/>
        </w:rPr>
        <w:t>2</w:t>
      </w:r>
      <w:r>
        <w:rPr>
          <w:position w:val="1"/>
        </w:rPr>
        <w:t>SO</w:t>
      </w:r>
      <w:r>
        <w:rPr>
          <w:sz w:val="16"/>
        </w:rPr>
        <w:t>4</w:t>
      </w:r>
      <w:r>
        <w:rPr>
          <w:spacing w:val="2"/>
          <w:sz w:val="16"/>
        </w:rPr>
        <w:t> </w:t>
      </w:r>
      <w:r>
        <w:rPr>
          <w:position w:val="1"/>
        </w:rPr>
        <w:t>requirement.</w:t>
      </w:r>
    </w:p>
    <w:p>
      <w:pPr>
        <w:pStyle w:val="Heading6"/>
        <w:spacing w:before="5"/>
      </w:pPr>
      <w:r>
        <w:rPr/>
        <w:t>Decrease of reaction time with UV light</w:t>
      </w:r>
    </w:p>
    <w:p>
      <w:pPr>
        <w:pStyle w:val="BodyText"/>
        <w:rPr>
          <w:b/>
        </w:rPr>
      </w:pPr>
    </w:p>
    <w:p>
      <w:pPr>
        <w:pStyle w:val="BodyText"/>
        <w:rPr>
          <w:b/>
        </w:rPr>
      </w:pPr>
    </w:p>
    <w:p>
      <w:pPr>
        <w:pStyle w:val="BodyText"/>
        <w:spacing w:line="360" w:lineRule="auto"/>
        <w:ind w:left="662" w:right="568"/>
        <w:jc w:val="both"/>
      </w:pPr>
      <w:r>
        <w:rPr/>
        <w:t>In order to decrease the reaction time required for method #3, samples were irradiated with</w:t>
      </w:r>
      <w:r>
        <w:rPr>
          <w:spacing w:val="-6"/>
        </w:rPr>
        <w:t> </w:t>
      </w:r>
      <w:r>
        <w:rPr/>
        <w:t>UV</w:t>
      </w:r>
      <w:r>
        <w:rPr>
          <w:spacing w:val="-7"/>
        </w:rPr>
        <w:t> </w:t>
      </w:r>
      <w:r>
        <w:rPr/>
        <w:t>light</w:t>
      </w:r>
      <w:r>
        <w:rPr>
          <w:spacing w:val="-6"/>
        </w:rPr>
        <w:t> </w:t>
      </w:r>
      <w:r>
        <w:rPr/>
        <w:t>(i.e.,</w:t>
      </w:r>
      <w:r>
        <w:rPr>
          <w:spacing w:val="-6"/>
        </w:rPr>
        <w:t> </w:t>
      </w:r>
      <w:r>
        <w:rPr/>
        <w:t>method</w:t>
      </w:r>
      <w:r>
        <w:rPr>
          <w:spacing w:val="-6"/>
        </w:rPr>
        <w:t> </w:t>
      </w:r>
      <w:r>
        <w:rPr/>
        <w:t>#4)</w:t>
      </w:r>
      <w:r>
        <w:rPr>
          <w:spacing w:val="-7"/>
        </w:rPr>
        <w:t> </w:t>
      </w:r>
      <w:r>
        <w:rPr/>
        <w:t>during</w:t>
      </w:r>
      <w:r>
        <w:rPr>
          <w:spacing w:val="-8"/>
        </w:rPr>
        <w:t> </w:t>
      </w:r>
      <w:r>
        <w:rPr/>
        <w:t>different</w:t>
      </w:r>
      <w:r>
        <w:rPr>
          <w:spacing w:val="-9"/>
        </w:rPr>
        <w:t> </w:t>
      </w:r>
      <w:r>
        <w:rPr/>
        <w:t>times:</w:t>
      </w:r>
      <w:r>
        <w:rPr>
          <w:spacing w:val="-9"/>
        </w:rPr>
        <w:t> </w:t>
      </w:r>
      <w:r>
        <w:rPr/>
        <w:t>30,</w:t>
      </w:r>
      <w:r>
        <w:rPr>
          <w:spacing w:val="-6"/>
        </w:rPr>
        <w:t> </w:t>
      </w:r>
      <w:r>
        <w:rPr/>
        <w:t>40,</w:t>
      </w:r>
      <w:r>
        <w:rPr>
          <w:spacing w:val="-6"/>
        </w:rPr>
        <w:t> </w:t>
      </w:r>
      <w:r>
        <w:rPr/>
        <w:t>50</w:t>
      </w:r>
      <w:r>
        <w:rPr>
          <w:spacing w:val="-8"/>
        </w:rPr>
        <w:t> </w:t>
      </w:r>
      <w:r>
        <w:rPr/>
        <w:t>and</w:t>
      </w:r>
      <w:r>
        <w:rPr>
          <w:spacing w:val="-3"/>
        </w:rPr>
        <w:t> </w:t>
      </w:r>
      <w:r>
        <w:rPr/>
        <w:t>60</w:t>
      </w:r>
      <w:r>
        <w:rPr>
          <w:spacing w:val="-6"/>
        </w:rPr>
        <w:t> </w:t>
      </w:r>
      <w:r>
        <w:rPr/>
        <w:t>min.</w:t>
      </w:r>
      <w:r>
        <w:rPr>
          <w:spacing w:val="-6"/>
        </w:rPr>
        <w:t> </w:t>
      </w:r>
      <w:r>
        <w:rPr/>
        <w:t>Linear</w:t>
      </w:r>
      <w:r>
        <w:rPr>
          <w:spacing w:val="-7"/>
        </w:rPr>
        <w:t> </w:t>
      </w:r>
      <w:r>
        <w:rPr/>
        <w:t>results were only obtained at 60-min irradiation times. Calibration curves were obtained for both </w:t>
      </w:r>
      <w:r>
        <w:rPr>
          <w:position w:val="1"/>
        </w:rPr>
        <w:t>COD</w:t>
      </w:r>
      <w:r>
        <w:rPr>
          <w:spacing w:val="-9"/>
          <w:position w:val="1"/>
        </w:rPr>
        <w:t> </w:t>
      </w:r>
      <w:r>
        <w:rPr>
          <w:position w:val="1"/>
        </w:rPr>
        <w:t>ranges:</w:t>
      </w:r>
      <w:r>
        <w:rPr>
          <w:spacing w:val="-8"/>
          <w:position w:val="1"/>
        </w:rPr>
        <w:t> </w:t>
      </w:r>
      <w:r>
        <w:rPr>
          <w:position w:val="1"/>
        </w:rPr>
        <w:t>(a)</w:t>
      </w:r>
      <w:r>
        <w:rPr>
          <w:spacing w:val="-9"/>
          <w:position w:val="1"/>
        </w:rPr>
        <w:t> </w:t>
      </w:r>
      <w:r>
        <w:rPr>
          <w:position w:val="1"/>
        </w:rPr>
        <w:t>low</w:t>
      </w:r>
      <w:r>
        <w:rPr>
          <w:spacing w:val="-11"/>
          <w:position w:val="1"/>
        </w:rPr>
        <w:t> </w:t>
      </w:r>
      <w:r>
        <w:rPr>
          <w:position w:val="1"/>
        </w:rPr>
        <w:t>range,</w:t>
      </w:r>
      <w:r>
        <w:rPr>
          <w:spacing w:val="-8"/>
          <w:position w:val="1"/>
        </w:rPr>
        <w:t> </w:t>
      </w:r>
      <w:r>
        <w:rPr>
          <w:position w:val="1"/>
        </w:rPr>
        <w:t>30-90</w:t>
      </w:r>
      <w:r>
        <w:rPr>
          <w:spacing w:val="-10"/>
          <w:position w:val="1"/>
        </w:rPr>
        <w:t> </w:t>
      </w:r>
      <w:r>
        <w:rPr>
          <w:position w:val="1"/>
        </w:rPr>
        <w:t>mg</w:t>
      </w:r>
      <w:r>
        <w:rPr>
          <w:spacing w:val="-10"/>
          <w:position w:val="1"/>
        </w:rPr>
        <w:t> </w:t>
      </w:r>
      <w:r>
        <w:rPr>
          <w:position w:val="1"/>
        </w:rPr>
        <w:t>O</w:t>
      </w:r>
      <w:r>
        <w:rPr>
          <w:sz w:val="16"/>
        </w:rPr>
        <w:t>2</w:t>
      </w:r>
      <w:r>
        <w:rPr>
          <w:position w:val="1"/>
        </w:rPr>
        <w:t>/L,</w:t>
      </w:r>
      <w:r>
        <w:rPr>
          <w:spacing w:val="-8"/>
          <w:position w:val="1"/>
        </w:rPr>
        <w:t> </w:t>
      </w:r>
      <w:r>
        <w:rPr>
          <w:position w:val="1"/>
        </w:rPr>
        <w:t>and</w:t>
      </w:r>
      <w:r>
        <w:rPr>
          <w:spacing w:val="-7"/>
          <w:position w:val="1"/>
        </w:rPr>
        <w:t> </w:t>
      </w:r>
      <w:r>
        <w:rPr>
          <w:position w:val="1"/>
        </w:rPr>
        <w:t>(b)</w:t>
      </w:r>
      <w:r>
        <w:rPr>
          <w:spacing w:val="-9"/>
          <w:position w:val="1"/>
        </w:rPr>
        <w:t> </w:t>
      </w:r>
      <w:r>
        <w:rPr>
          <w:position w:val="1"/>
        </w:rPr>
        <w:t>high</w:t>
      </w:r>
      <w:r>
        <w:rPr>
          <w:spacing w:val="-7"/>
          <w:position w:val="1"/>
        </w:rPr>
        <w:t> </w:t>
      </w:r>
      <w:r>
        <w:rPr>
          <w:position w:val="1"/>
        </w:rPr>
        <w:t>range,</w:t>
      </w:r>
      <w:r>
        <w:rPr>
          <w:spacing w:val="-8"/>
          <w:position w:val="1"/>
        </w:rPr>
        <w:t> </w:t>
      </w:r>
      <w:r>
        <w:rPr>
          <w:position w:val="1"/>
        </w:rPr>
        <w:t>100-600</w:t>
      </w:r>
      <w:r>
        <w:rPr>
          <w:spacing w:val="-10"/>
          <w:position w:val="1"/>
        </w:rPr>
        <w:t> </w:t>
      </w:r>
      <w:r>
        <w:rPr>
          <w:position w:val="1"/>
        </w:rPr>
        <w:t>mg</w:t>
      </w:r>
      <w:r>
        <w:rPr>
          <w:spacing w:val="-10"/>
          <w:position w:val="1"/>
        </w:rPr>
        <w:t> </w:t>
      </w:r>
      <w:r>
        <w:rPr>
          <w:position w:val="1"/>
        </w:rPr>
        <w:t>O</w:t>
      </w:r>
      <w:r>
        <w:rPr>
          <w:sz w:val="16"/>
        </w:rPr>
        <w:t>2</w:t>
      </w:r>
      <w:r>
        <w:rPr>
          <w:position w:val="1"/>
        </w:rPr>
        <w:t>/L</w:t>
      </w:r>
      <w:r>
        <w:rPr>
          <w:spacing w:val="-7"/>
          <w:position w:val="1"/>
        </w:rPr>
        <w:t> </w:t>
      </w:r>
      <w:r>
        <w:rPr>
          <w:position w:val="1"/>
        </w:rPr>
        <w:t>with</w:t>
      </w:r>
      <w:r>
        <w:rPr>
          <w:spacing w:val="-7"/>
          <w:position w:val="1"/>
        </w:rPr>
        <w:t> </w:t>
      </w:r>
      <w:r>
        <w:rPr>
          <w:position w:val="1"/>
        </w:rPr>
        <w:t>the </w:t>
      </w:r>
      <w:r>
        <w:rPr/>
        <w:t>corresponding standard solutions. Good linear correlations were obtained, as shown in Figures 2a and 2b. Again, it is noteworthy that the standard deviations are larger in the low range determinations; nonetheless these values are still</w:t>
      </w:r>
      <w:r>
        <w:rPr>
          <w:spacing w:val="-22"/>
        </w:rPr>
        <w:t> </w:t>
      </w:r>
      <w:r>
        <w:rPr/>
        <w:t>small.</w:t>
      </w:r>
    </w:p>
    <w:p>
      <w:pPr>
        <w:pStyle w:val="Heading6"/>
        <w:spacing w:before="2"/>
      </w:pPr>
      <w:r>
        <w:rPr/>
        <w:pict>
          <v:group style="position:absolute;margin-left:166.054993pt;margin-top:20.470863pt;width:307.1pt;height:158.5pt;mso-position-horizontal-relative:page;mso-position-vertical-relative:paragraph;z-index:1936" coordorigin="3321,409" coordsize="6142,3170">
            <v:shape style="position:absolute;left:4358;top:639;width:4726;height:2072" coordorigin="4358,639" coordsize="4726,2072" path="m4423,2647l4423,639m4358,2647l4423,2647m4358,2244l4423,2244m4358,1843l4423,1843m4358,1443l4423,1443m4358,1042l4423,1042m4358,639l4423,639m4423,2647l9084,2647m4423,2647l4423,2710m5198,2647l5198,2710m5976,2647l5976,2710m6754,2647l6754,2710m7529,2647l7529,2710m8306,2647l8306,2710m9084,2647l9084,2710e" filled="false" stroked="true" strokeweight=".72pt" strokecolor="#858585">
              <v:path arrowok="t"/>
            </v:shape>
            <v:shape style="position:absolute;left:5544;top:1056;width:2808;height:1208" coordorigin="5544,1056" coordsize="2808,1208" path="m5587,2203l5587,2263m5587,2203l5587,2146m5544,2263l5633,2263m5544,2146l5633,2146m5976,2043l5976,2076m5976,2043l5976,2009m5930,2076l6022,2076m5930,2009l6022,2009m6365,1812l6365,1867m6365,1812l6365,1757m6319,1867l6410,1867m6319,1757l6410,1757m7142,1546l7142,1579m7142,1546l7142,1512m7097,1579l7186,1579m7097,1512l7186,1512m7918,1296l7918,1378m7918,1296l7918,1217m7874,1378l7963,1378m7874,1217l7963,1217m8306,1092l8306,1128m8306,1092l8306,1056m8261,1128l8352,1128m8261,1056l8352,1056e" filled="false" stroked="true" strokeweight=".72pt" strokecolor="#000000">
              <v:path arrowok="t"/>
            </v:shape>
            <v:shape style="position:absolute;left:5549;top:2164;width:77;height:77" coordorigin="5549,2164" coordsize="77,77" path="m5587,2164l5549,2203,5587,2241,5625,2203,5587,2164xe" filled="true" fillcolor="#606060" stroked="false">
              <v:path arrowok="t"/>
              <v:fill type="solid"/>
            </v:shape>
            <v:shape style="position:absolute;left:5549;top:2164;width:77;height:77" coordorigin="5549,2164" coordsize="77,77" path="m5587,2164l5625,2203,5587,2241,5549,2203,5587,2164xe" filled="false" stroked="true" strokeweight=".72pt" strokecolor="#5f5f5f">
              <v:path arrowok="t"/>
            </v:shape>
            <v:shape style="position:absolute;left:5937;top:2003;width:77;height:77" coordorigin="5937,2003" coordsize="77,77" path="m5976,2003l5937,2042,5976,2080,6014,2042,5976,2003xe" filled="true" fillcolor="#606060" stroked="false">
              <v:path arrowok="t"/>
              <v:fill type="solid"/>
            </v:shape>
            <v:shape style="position:absolute;left:5937;top:2003;width:77;height:77" coordorigin="5937,2003" coordsize="77,77" path="m5976,2003l6014,2042,5976,2080,5937,2042,5976,2003xe" filled="false" stroked="true" strokeweight=".72pt" strokecolor="#5f5f5f">
              <v:path arrowok="t"/>
            </v:shape>
            <v:shape style="position:absolute;left:6326;top:1773;width:77;height:77" coordorigin="6326,1773" coordsize="77,77" path="m6365,1773l6326,1811,6365,1850,6403,1811,6365,1773xe" filled="true" fillcolor="#606060" stroked="false">
              <v:path arrowok="t"/>
              <v:fill type="solid"/>
            </v:shape>
            <v:shape style="position:absolute;left:6326;top:1773;width:77;height:77" coordorigin="6326,1773" coordsize="77,77" path="m6365,1773l6403,1811,6365,1850,6326,1811,6365,1773xe" filled="false" stroked="true" strokeweight=".72pt" strokecolor="#5f5f5f">
              <v:path arrowok="t"/>
            </v:shape>
            <v:shape style="position:absolute;left:7104;top:1507;width:77;height:77" coordorigin="7104,1507" coordsize="77,77" path="m7142,1507l7104,1545,7142,1583,7180,1545,7142,1507xe" filled="true" fillcolor="#606060" stroked="false">
              <v:path arrowok="t"/>
              <v:fill type="solid"/>
            </v:shape>
            <v:shape style="position:absolute;left:7104;top:1507;width:77;height:77" coordorigin="7104,1507" coordsize="77,77" path="m7142,1507l7180,1545,7142,1583,7104,1545,7142,1507xe" filled="false" stroked="true" strokeweight=".72pt" strokecolor="#5f5f5f">
              <v:path arrowok="t"/>
            </v:shape>
            <v:shape style="position:absolute;left:7879;top:1257;width:77;height:77" coordorigin="7879,1257" coordsize="77,77" path="m7917,1257l7879,1295,7917,1334,7956,1295,7917,1257xe" filled="true" fillcolor="#606060" stroked="false">
              <v:path arrowok="t"/>
              <v:fill type="solid"/>
            </v:shape>
            <v:shape style="position:absolute;left:7879;top:1257;width:77;height:77" coordorigin="7879,1257" coordsize="77,77" path="m7917,1257l7956,1295,7917,1334,7879,1295,7917,1257xe" filled="false" stroked="true" strokeweight=".72pt" strokecolor="#5f5f5f">
              <v:path arrowok="t"/>
            </v:shape>
            <v:shape style="position:absolute;left:8268;top:1053;width:77;height:77" coordorigin="8268,1053" coordsize="77,77" path="m8306,1053l8268,1091,8306,1130,8345,1091,8306,1053xe" filled="true" fillcolor="#606060" stroked="false">
              <v:path arrowok="t"/>
              <v:fill type="solid"/>
            </v:shape>
            <v:shape style="position:absolute;left:8268;top:1053;width:77;height:77" coordorigin="8268,1053" coordsize="77,77" path="m8306,1053l8345,1091,8306,1130,8268,1091,8306,1053xe" filled="false" stroked="true" strokeweight=".72pt" strokecolor="#5f5f5f">
              <v:path arrowok="t"/>
            </v:shape>
            <v:line style="position:absolute" from="5587,2177" to="8306,1104" stroked="true" strokeweight=".72pt" strokecolor="#000000"/>
            <v:rect style="position:absolute;left:3329;top:417;width:6127;height:3155" filled="false" stroked="true" strokeweight=".75pt" strokecolor="#858585"/>
            <v:shape style="position:absolute;left:3883;top:548;width:356;height:2207" type="#_x0000_t202" filled="false" stroked="false">
              <v:textbox inset="0,0,0,0">
                <w:txbxContent>
                  <w:p>
                    <w:pPr>
                      <w:spacing w:line="203" w:lineRule="exact" w:before="0"/>
                      <w:ind w:left="0" w:right="0" w:firstLine="0"/>
                      <w:jc w:val="center"/>
                      <w:rPr>
                        <w:rFonts w:ascii="Calibri"/>
                        <w:sz w:val="20"/>
                      </w:rPr>
                    </w:pPr>
                    <w:r>
                      <w:rPr>
                        <w:rFonts w:ascii="Calibri"/>
                        <w:sz w:val="20"/>
                      </w:rPr>
                      <w:t>0.25</w:t>
                    </w:r>
                  </w:p>
                  <w:p>
                    <w:pPr>
                      <w:spacing w:before="157"/>
                      <w:ind w:left="100" w:right="0" w:firstLine="0"/>
                      <w:jc w:val="center"/>
                      <w:rPr>
                        <w:rFonts w:ascii="Calibri"/>
                        <w:sz w:val="20"/>
                      </w:rPr>
                    </w:pPr>
                    <w:r>
                      <w:rPr>
                        <w:rFonts w:ascii="Calibri"/>
                        <w:sz w:val="20"/>
                      </w:rPr>
                      <w:t>0.2</w:t>
                    </w:r>
                  </w:p>
                  <w:p>
                    <w:pPr>
                      <w:spacing w:before="157"/>
                      <w:ind w:left="0" w:right="0" w:firstLine="0"/>
                      <w:jc w:val="center"/>
                      <w:rPr>
                        <w:rFonts w:ascii="Calibri"/>
                        <w:sz w:val="20"/>
                      </w:rPr>
                    </w:pPr>
                    <w:r>
                      <w:rPr>
                        <w:rFonts w:ascii="Calibri"/>
                        <w:sz w:val="20"/>
                      </w:rPr>
                      <w:t>0.15</w:t>
                    </w:r>
                  </w:p>
                  <w:p>
                    <w:pPr>
                      <w:spacing w:before="157"/>
                      <w:ind w:left="100" w:right="0" w:firstLine="0"/>
                      <w:jc w:val="center"/>
                      <w:rPr>
                        <w:rFonts w:ascii="Calibri"/>
                        <w:sz w:val="20"/>
                      </w:rPr>
                    </w:pPr>
                    <w:r>
                      <w:rPr>
                        <w:rFonts w:ascii="Calibri"/>
                        <w:sz w:val="20"/>
                      </w:rPr>
                      <w:t>0.1</w:t>
                    </w:r>
                  </w:p>
                  <w:p>
                    <w:pPr>
                      <w:spacing w:before="157"/>
                      <w:ind w:left="0" w:right="0" w:firstLine="0"/>
                      <w:jc w:val="center"/>
                      <w:rPr>
                        <w:rFonts w:ascii="Calibri"/>
                        <w:sz w:val="20"/>
                      </w:rPr>
                    </w:pPr>
                    <w:r>
                      <w:rPr>
                        <w:rFonts w:ascii="Calibri"/>
                        <w:sz w:val="20"/>
                      </w:rPr>
                      <w:t>0.05</w:t>
                    </w:r>
                  </w:p>
                  <w:p>
                    <w:pPr>
                      <w:spacing w:line="240" w:lineRule="exact" w:before="157"/>
                      <w:ind w:left="0" w:right="0" w:firstLine="0"/>
                      <w:jc w:val="right"/>
                      <w:rPr>
                        <w:rFonts w:ascii="Calibri"/>
                        <w:sz w:val="20"/>
                      </w:rPr>
                    </w:pPr>
                    <w:r>
                      <w:rPr>
                        <w:rFonts w:ascii="Calibri"/>
                        <w:w w:val="99"/>
                        <w:sz w:val="20"/>
                      </w:rPr>
                      <w:t>0</w:t>
                    </w:r>
                  </w:p>
                </w:txbxContent>
              </v:textbox>
              <w10:wrap type="none"/>
            </v:shape>
            <v:shape style="position:absolute;left:6059;top:901;width:2067;height:445" type="#_x0000_t202" filled="false" stroked="false">
              <v:textbox inset="0,0,0,0">
                <w:txbxContent>
                  <w:p>
                    <w:pPr>
                      <w:spacing w:line="203" w:lineRule="exact" w:before="0"/>
                      <w:ind w:left="0" w:right="0" w:firstLine="0"/>
                      <w:jc w:val="center"/>
                      <w:rPr>
                        <w:rFonts w:ascii="Calibri"/>
                        <w:sz w:val="20"/>
                      </w:rPr>
                    </w:pPr>
                    <w:r>
                      <w:rPr>
                        <w:rFonts w:ascii="Calibri"/>
                        <w:sz w:val="20"/>
                      </w:rPr>
                      <w:t>y = 0.0019[COD] +</w:t>
                    </w:r>
                    <w:r>
                      <w:rPr>
                        <w:rFonts w:ascii="Calibri"/>
                        <w:spacing w:val="-10"/>
                        <w:sz w:val="20"/>
                      </w:rPr>
                      <w:t> </w:t>
                    </w:r>
                    <w:r>
                      <w:rPr>
                        <w:rFonts w:ascii="Calibri"/>
                        <w:sz w:val="20"/>
                      </w:rPr>
                      <w:t>0.0012</w:t>
                    </w:r>
                  </w:p>
                  <w:p>
                    <w:pPr>
                      <w:spacing w:line="240" w:lineRule="exact" w:before="0"/>
                      <w:ind w:left="0" w:right="0" w:firstLine="0"/>
                      <w:jc w:val="center"/>
                      <w:rPr>
                        <w:rFonts w:ascii="Calibri" w:hAnsi="Calibri"/>
                        <w:sz w:val="20"/>
                      </w:rPr>
                    </w:pPr>
                    <w:r>
                      <w:rPr>
                        <w:rFonts w:ascii="Calibri" w:hAnsi="Calibri"/>
                        <w:sz w:val="20"/>
                      </w:rPr>
                      <w:t>r² = 0.9929</w:t>
                    </w:r>
                  </w:p>
                </w:txbxContent>
              </v:textbox>
              <w10:wrap type="none"/>
            </v:shape>
            <v:shape style="position:absolute;left:4373;top:2816;width:1705;height:200" type="#_x0000_t202" filled="false" stroked="false">
              <v:textbox inset="0,0,0,0">
                <w:txbxContent>
                  <w:p>
                    <w:pPr>
                      <w:tabs>
                        <w:tab w:pos="726" w:val="left" w:leader="none"/>
                        <w:tab w:pos="1503" w:val="left" w:leader="none"/>
                      </w:tabs>
                      <w:spacing w:line="199" w:lineRule="exact" w:before="0"/>
                      <w:ind w:left="0" w:right="0" w:firstLine="0"/>
                      <w:jc w:val="left"/>
                      <w:rPr>
                        <w:rFonts w:ascii="Calibri"/>
                        <w:sz w:val="20"/>
                      </w:rPr>
                    </w:pPr>
                    <w:r>
                      <w:rPr>
                        <w:rFonts w:ascii="Calibri"/>
                        <w:sz w:val="20"/>
                      </w:rPr>
                      <w:t>0</w:t>
                      <w:tab/>
                      <w:t>20</w:t>
                      <w:tab/>
                    </w:r>
                    <w:r>
                      <w:rPr>
                        <w:rFonts w:ascii="Calibri"/>
                        <w:spacing w:val="-1"/>
                        <w:sz w:val="20"/>
                      </w:rPr>
                      <w:t>40</w:t>
                    </w:r>
                  </w:p>
                </w:txbxContent>
              </v:textbox>
              <w10:wrap type="none"/>
            </v:shape>
            <v:shape style="position:absolute;left:6130;top:2816;width:1249;height:504" type="#_x0000_t202" filled="false" stroked="false">
              <v:textbox inset="0,0,0,0">
                <w:txbxContent>
                  <w:p>
                    <w:pPr>
                      <w:spacing w:line="203" w:lineRule="exact" w:before="0"/>
                      <w:ind w:left="0" w:right="0" w:firstLine="0"/>
                      <w:jc w:val="center"/>
                      <w:rPr>
                        <w:rFonts w:ascii="Calibri"/>
                        <w:sz w:val="20"/>
                      </w:rPr>
                    </w:pPr>
                    <w:r>
                      <w:rPr>
                        <w:rFonts w:ascii="Calibri"/>
                        <w:sz w:val="20"/>
                      </w:rPr>
                      <w:t>60</w:t>
                    </w:r>
                  </w:p>
                  <w:p>
                    <w:pPr>
                      <w:spacing w:line="240" w:lineRule="exact" w:before="60"/>
                      <w:ind w:left="-1" w:right="0" w:firstLine="0"/>
                      <w:jc w:val="center"/>
                      <w:rPr>
                        <w:rFonts w:ascii="Calibri"/>
                        <w:b/>
                        <w:sz w:val="20"/>
                      </w:rPr>
                    </w:pPr>
                    <w:r>
                      <w:rPr>
                        <w:rFonts w:ascii="Calibri"/>
                        <w:b/>
                        <w:sz w:val="20"/>
                      </w:rPr>
                      <w:t>COD (mg</w:t>
                    </w:r>
                    <w:r>
                      <w:rPr>
                        <w:rFonts w:ascii="Calibri"/>
                        <w:b/>
                        <w:spacing w:val="-4"/>
                        <w:sz w:val="20"/>
                      </w:rPr>
                      <w:t> </w:t>
                    </w:r>
                    <w:r>
                      <w:rPr>
                        <w:rFonts w:ascii="Calibri"/>
                        <w:b/>
                        <w:sz w:val="20"/>
                      </w:rPr>
                      <w:t>O2/L)</w:t>
                    </w:r>
                  </w:p>
                </w:txbxContent>
              </v:textbox>
              <w10:wrap type="none"/>
            </v:shape>
            <v:shape style="position:absolute;left:7430;top:281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8156;top:2816;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100</w:t>
                    </w:r>
                  </w:p>
                </w:txbxContent>
              </v:textbox>
              <w10:wrap type="none"/>
            </v:shape>
            <v:shape style="position:absolute;left:8933;top:2816;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120</w:t>
                    </w:r>
                  </w:p>
                </w:txbxContent>
              </v:textbox>
              <w10:wrap type="none"/>
            </v:shape>
            <w10:wrap type="none"/>
          </v:group>
        </w:pict>
      </w:r>
      <w:r>
        <w:rPr/>
        <w:pict>
          <v:shape style="position:absolute;margin-left:179.979996pt;margin-top:56.689419pt;width:12pt;height:51.25pt;mso-position-horizontal-relative:page;mso-position-vertical-relative:paragraph;z-index:1960" type="#_x0000_t202" filled="false" stroked="false">
            <v:textbox inset="0,0,0,0" style="layout-flow:vertical;mso-layout-flow-alt:bottom-to-top">
              <w:txbxContent>
                <w:p>
                  <w:pPr>
                    <w:spacing w:line="223" w:lineRule="exact" w:before="0"/>
                    <w:ind w:left="20" w:right="-781" w:firstLine="0"/>
                    <w:jc w:val="left"/>
                    <w:rPr>
                      <w:rFonts w:ascii="Calibri"/>
                      <w:b/>
                      <w:sz w:val="20"/>
                    </w:rPr>
                  </w:pPr>
                  <w:r>
                    <w:rPr>
                      <w:rFonts w:ascii="Calibri"/>
                      <w:b/>
                      <w:spacing w:val="-1"/>
                      <w:w w:val="99"/>
                      <w:sz w:val="20"/>
                    </w:rPr>
                    <w:t>A</w:t>
                  </w:r>
                  <w:r>
                    <w:rPr>
                      <w:rFonts w:ascii="Calibri"/>
                      <w:b/>
                      <w:w w:val="99"/>
                      <w:sz w:val="20"/>
                    </w:rPr>
                    <w:t>bso</w:t>
                  </w:r>
                  <w:r>
                    <w:rPr>
                      <w:rFonts w:ascii="Calibri"/>
                      <w:b/>
                      <w:spacing w:val="1"/>
                      <w:w w:val="99"/>
                      <w:sz w:val="20"/>
                    </w:rPr>
                    <w:t>r</w:t>
                  </w:r>
                  <w:r>
                    <w:rPr>
                      <w:rFonts w:ascii="Calibri"/>
                      <w:b/>
                      <w:w w:val="99"/>
                      <w:sz w:val="20"/>
                    </w:rPr>
                    <w:t>bance</w:t>
                  </w:r>
                </w:p>
              </w:txbxContent>
            </v:textbox>
            <w10:wrap type="none"/>
          </v:shape>
        </w:pict>
      </w:r>
      <w:r>
        <w:rPr/>
        <w:t>(a)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rPr>
      </w:pPr>
    </w:p>
    <w:p>
      <w:pPr>
        <w:spacing w:before="0"/>
        <w:ind w:left="662" w:right="0" w:firstLine="0"/>
        <w:jc w:val="both"/>
        <w:rPr>
          <w:b/>
          <w:sz w:val="24"/>
        </w:rPr>
      </w:pPr>
      <w:r>
        <w:rPr>
          <w:b/>
          <w:sz w:val="24"/>
        </w:rPr>
        <w:t>(b)</w:t>
      </w:r>
    </w:p>
    <w:p>
      <w:pPr>
        <w:spacing w:after="0"/>
        <w:jc w:val="both"/>
        <w:rPr>
          <w:sz w:val="24"/>
        </w:rPr>
        <w:sectPr>
          <w:pgSz w:w="12240" w:h="15840"/>
          <w:pgMar w:header="0" w:footer="654" w:top="1160" w:bottom="1060" w:left="1040" w:right="560"/>
        </w:sectPr>
      </w:pPr>
    </w:p>
    <w:p>
      <w:pPr>
        <w:pStyle w:val="BodyText"/>
        <w:rPr>
          <w:b/>
          <w:sz w:val="20"/>
        </w:rPr>
      </w:pPr>
      <w:r>
        <w:rPr/>
        <w:pict>
          <v:shape style="position:absolute;margin-left:183.649994pt;margin-top:98.583557pt;width:12pt;height:51.25pt;mso-position-horizontal-relative:page;mso-position-vertical-relative:page;z-index:2104" type="#_x0000_t202" filled="false" stroked="false">
            <v:textbox inset="0,0,0,0" style="layout-flow:vertical;mso-layout-flow-alt:bottom-to-top">
              <w:txbxContent>
                <w:p>
                  <w:pPr>
                    <w:spacing w:line="223" w:lineRule="exact" w:before="0"/>
                    <w:ind w:left="20" w:right="-781" w:firstLine="0"/>
                    <w:jc w:val="left"/>
                    <w:rPr>
                      <w:rFonts w:ascii="Calibri"/>
                      <w:b/>
                      <w:sz w:val="20"/>
                    </w:rPr>
                  </w:pPr>
                  <w:r>
                    <w:rPr>
                      <w:rFonts w:ascii="Calibri"/>
                      <w:b/>
                      <w:spacing w:val="-1"/>
                      <w:w w:val="99"/>
                      <w:sz w:val="20"/>
                    </w:rPr>
                    <w:t>A</w:t>
                  </w:r>
                  <w:r>
                    <w:rPr>
                      <w:rFonts w:ascii="Calibri"/>
                      <w:b/>
                      <w:w w:val="99"/>
                      <w:sz w:val="20"/>
                    </w:rPr>
                    <w:t>bso</w:t>
                  </w:r>
                  <w:r>
                    <w:rPr>
                      <w:rFonts w:ascii="Calibri"/>
                      <w:b/>
                      <w:spacing w:val="1"/>
                      <w:w w:val="99"/>
                      <w:sz w:val="20"/>
                    </w:rPr>
                    <w:t>r</w:t>
                  </w:r>
                  <w:r>
                    <w:rPr>
                      <w:rFonts w:ascii="Calibri"/>
                      <w:b/>
                      <w:w w:val="99"/>
                      <w:sz w:val="20"/>
                    </w:rPr>
                    <w:t>bance</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rPr>
      </w:pPr>
    </w:p>
    <w:p>
      <w:pPr>
        <w:pStyle w:val="BodyText"/>
        <w:spacing w:before="70"/>
        <w:ind w:left="982" w:right="1453"/>
        <w:jc w:val="center"/>
      </w:pPr>
      <w:r>
        <w:rPr/>
        <w:pict>
          <v:group style="position:absolute;margin-left:169.725006pt;margin-top:-209.169144pt;width:314.75pt;height:170.75pt;mso-position-horizontal-relative:page;mso-position-vertical-relative:paragraph;z-index:2080" coordorigin="3395,-4183" coordsize="6295,3415">
            <v:shape style="position:absolute;left:4332;top:-3954;width:4978;height:2316" coordorigin="4332,-3954" coordsize="4978,2316" path="m4394,-1700l4394,-3954m4332,-1700l4394,-1700m4332,-2022l4394,-2022m4332,-2343l4394,-2343m4332,-2667l4394,-2667m4332,-2989l4394,-2989m4332,-3311l4394,-3311m4332,-3632l4394,-3632m4332,-3954l4394,-3954m4394,-1700l9310,-1700m4394,-1700l4394,-1638m5098,-1700l5098,-1638m5798,-1700l5798,-1638m6502,-1700l6502,-1638m7202,-1700l7202,-1638m7906,-1700l7906,-1638m8609,-1700l8609,-1638m9310,-1700l9310,-1638e" filled="false" stroked="true" strokeweight=".72pt" strokecolor="#858585">
              <v:path arrowok="t"/>
            </v:shape>
            <v:shape style="position:absolute;left:5755;top:-3371;width:2196;height:732" coordorigin="5755,-3371" coordsize="2196,732" path="m5798,-2670l5798,-2639m5798,-2670l5798,-2703m5755,-2639l5844,-2639m5755,-2703l5844,-2703m6502,-2893l6502,-2855m6502,-2893l6502,-2929m6456,-2855l6547,-2855m6456,-2929l6547,-2929m7202,-3162l7202,-3119m7202,-3162l7202,-3203m7159,-3119l7248,-3119m7159,-3203l7248,-3203m7860,-3371l7951,-3371e" filled="false" stroked="true" strokeweight=".72pt" strokecolor="#000000">
              <v:path arrowok="t"/>
            </v:shape>
            <v:line style="position:absolute" from="8602,-3596" to="8616,-3596" stroked="true" strokeweight=".72pt" strokecolor="#000000"/>
            <v:line style="position:absolute" from="8602,-3611" to="8616,-3611" stroked="true" strokeweight=".72pt" strokecolor="#000000"/>
            <v:shape style="position:absolute;left:5791;top:-3618;width:2861;height:948" coordorigin="5791,-3618" coordsize="2861,948" path="m8563,-3589l8652,-3589m8563,-3618l8652,-3618m5798,-2670l5791,-2670e" filled="false" stroked="true" strokeweight=".72pt" strokecolor="#000000">
              <v:path arrowok="t"/>
            </v:shape>
            <v:line style="position:absolute" from="5802,-2677" to="5802,-2663" stroked="true" strokeweight=".36pt" strokecolor="#000000"/>
            <v:shape style="position:absolute;left:5791;top:-2715;width:15;height:89" coordorigin="5791,-2715" coordsize="15,89" path="m5791,-2715l5791,-2627m5806,-2715l5806,-2627e" filled="false" stroked="true" strokeweight=".72pt" strokecolor="#000000">
              <v:path arrowok="t"/>
            </v:shape>
            <v:line style="position:absolute" from="6498,-2900" to="6498,-2886" stroked="true" strokeweight=".36pt" strokecolor="#000000"/>
            <v:shape style="position:absolute;left:6494;top:-2936;width:15;height:89" coordorigin="6494,-2936" coordsize="15,89" path="m6502,-2893l6509,-2893m6494,-2936l6494,-2847m6509,-2936l6509,-2847e" filled="false" stroked="true" strokeweight=".72pt" strokecolor="#000000">
              <v:path arrowok="t"/>
            </v:shape>
            <v:line style="position:absolute" from="7200,-3169" to="7200,-3155" stroked="true" strokeweight=".24pt" strokecolor="#000000"/>
            <v:shape style="position:absolute;left:7198;top:-3603;width:1412;height:488" coordorigin="7198,-3603" coordsize="1412,488" path="m7202,-3162l7210,-3162m7198,-3205l7198,-3116m7210,-3205l7210,-3116m8609,-3603l8602,-3603e" filled="false" stroked="true" strokeweight=".72pt" strokecolor="#000000">
              <v:path arrowok="t"/>
            </v:shape>
            <v:line style="position:absolute" from="8611,-3611" to="8611,-3596" stroked="true" strokeweight=".24pt" strokecolor="#000000"/>
            <v:shape style="position:absolute;left:8602;top:-3649;width:12;height:92" coordorigin="8602,-3649" coordsize="12,92" path="m8602,-3649l8602,-3558m8614,-3649l8614,-3558e" filled="false" stroked="true" strokeweight=".72pt" strokecolor="#000000">
              <v:path arrowok="t"/>
            </v:shape>
            <v:shape style="position:absolute;left:5747;top:-2719;width:101;height:101" coordorigin="5747,-2719" coordsize="101,101" path="m5797,-2719l5747,-2669,5797,-2618,5848,-2669,5797,-2719xe" filled="true" fillcolor="#606060" stroked="false">
              <v:path arrowok="t"/>
              <v:fill type="solid"/>
            </v:shape>
            <v:shape style="position:absolute;left:5747;top:-2719;width:101;height:101" coordorigin="5747,-2719" coordsize="101,101" path="m5797,-2719l5848,-2669,5797,-2618,5747,-2669,5797,-2719xe" filled="false" stroked="true" strokeweight=".72pt" strokecolor="#5f5f5f">
              <v:path arrowok="t"/>
            </v:shape>
            <v:shape style="position:absolute;left:6450;top:-2942;width:101;height:101" coordorigin="6450,-2942" coordsize="101,101" path="m6500,-2942l6450,-2892,6500,-2841,6551,-2892,6500,-2942xe" filled="true" fillcolor="#606060" stroked="false">
              <v:path arrowok="t"/>
              <v:fill type="solid"/>
            </v:shape>
            <v:shape style="position:absolute;left:6450;top:-2942;width:101;height:101" coordorigin="6450,-2942" coordsize="101,101" path="m6500,-2942l6551,-2892,6500,-2841,6450,-2892,6500,-2942xe" filled="false" stroked="true" strokeweight=".72pt" strokecolor="#5f5f5f">
              <v:path arrowok="t"/>
            </v:shape>
            <v:shape style="position:absolute;left:7151;top:-3211;width:101;height:101" coordorigin="7151,-3211" coordsize="101,101" path="m7201,-3211l7151,-3161,7201,-3110,7252,-3161,7201,-3211xe" filled="true" fillcolor="#606060" stroked="false">
              <v:path arrowok="t"/>
              <v:fill type="solid"/>
            </v:shape>
            <v:shape style="position:absolute;left:7151;top:-3211;width:101;height:101" coordorigin="7151,-3211" coordsize="101,101" path="m7201,-3211l7252,-3161,7201,-3110,7151,-3161,7201,-3211xe" filled="false" stroked="true" strokeweight=".72pt" strokecolor="#5f5f5f">
              <v:path arrowok="t"/>
            </v:shape>
            <v:shape style="position:absolute;left:7854;top:-3401;width:101;height:101" coordorigin="7854,-3401" coordsize="101,101" path="m7904,-3401l7854,-3350,7904,-3300,7955,-3350,7904,-3401xe" filled="true" fillcolor="#606060" stroked="false">
              <v:path arrowok="t"/>
              <v:fill type="solid"/>
            </v:shape>
            <v:shape style="position:absolute;left:7854;top:-3401;width:101;height:101" coordorigin="7854,-3401" coordsize="101,101" path="m7904,-3401l7955,-3350,7904,-3300,7854,-3350,7904,-3401xe" filled="false" stroked="true" strokeweight=".72pt" strokecolor="#5f5f5f">
              <v:path arrowok="t"/>
            </v:shape>
            <v:shape style="position:absolute;left:8557;top:-3653;width:101;height:101" coordorigin="8557,-3653" coordsize="101,101" path="m8608,-3653l8557,-3602,8608,-3552,8658,-3602,8608,-3653xe" filled="true" fillcolor="#606060" stroked="false">
              <v:path arrowok="t"/>
              <v:fill type="solid"/>
            </v:shape>
            <v:shape style="position:absolute;left:8557;top:-3653;width:101;height:101" coordorigin="8557,-3653" coordsize="101,101" path="m8608,-3653l8658,-3602,8608,-3552,8557,-3602,8608,-3653xe" filled="false" stroked="true" strokeweight=".72pt" strokecolor="#5f5f5f">
              <v:path arrowok="t"/>
            </v:shape>
            <v:line style="position:absolute" from="5798,-2670" to="8609,-3601" stroked="true" strokeweight=".72pt" strokecolor="#000000"/>
            <v:rect style="position:absolute;left:3402;top:-4176;width:6280;height:3400" filled="false" stroked="true" strokeweight=".75pt" strokecolor="#858585"/>
            <v:shape style="position:absolute;left:3957;top:-4047;width:254;height:2453" type="#_x0000_t202" filled="false" stroked="false">
              <v:textbox inset="0,0,0,0">
                <w:txbxContent>
                  <w:p>
                    <w:pPr>
                      <w:spacing w:line="203" w:lineRule="exact" w:before="0"/>
                      <w:ind w:left="-1" w:right="0" w:firstLine="0"/>
                      <w:jc w:val="center"/>
                      <w:rPr>
                        <w:rFonts w:ascii="Calibri"/>
                        <w:sz w:val="20"/>
                      </w:rPr>
                    </w:pPr>
                    <w:r>
                      <w:rPr>
                        <w:rFonts w:ascii="Calibri"/>
                        <w:w w:val="95"/>
                        <w:sz w:val="20"/>
                      </w:rPr>
                      <w:t>0.7</w:t>
                    </w:r>
                  </w:p>
                  <w:p>
                    <w:pPr>
                      <w:spacing w:before="78"/>
                      <w:ind w:left="-1" w:right="0" w:firstLine="0"/>
                      <w:jc w:val="center"/>
                      <w:rPr>
                        <w:rFonts w:ascii="Calibri"/>
                        <w:sz w:val="20"/>
                      </w:rPr>
                    </w:pPr>
                    <w:r>
                      <w:rPr>
                        <w:rFonts w:ascii="Calibri"/>
                        <w:w w:val="95"/>
                        <w:sz w:val="20"/>
                      </w:rPr>
                      <w:t>0.6</w:t>
                    </w:r>
                  </w:p>
                  <w:p>
                    <w:pPr>
                      <w:spacing w:before="77"/>
                      <w:ind w:left="-1" w:right="0" w:firstLine="0"/>
                      <w:jc w:val="center"/>
                      <w:rPr>
                        <w:rFonts w:ascii="Calibri"/>
                        <w:sz w:val="20"/>
                      </w:rPr>
                    </w:pPr>
                    <w:r>
                      <w:rPr>
                        <w:rFonts w:ascii="Calibri"/>
                        <w:sz w:val="20"/>
                      </w:rPr>
                      <w:t>0.5</w:t>
                    </w:r>
                  </w:p>
                  <w:p>
                    <w:pPr>
                      <w:spacing w:before="78"/>
                      <w:ind w:left="-1" w:right="0" w:firstLine="0"/>
                      <w:jc w:val="center"/>
                      <w:rPr>
                        <w:rFonts w:ascii="Calibri"/>
                        <w:sz w:val="20"/>
                      </w:rPr>
                    </w:pPr>
                    <w:r>
                      <w:rPr>
                        <w:rFonts w:ascii="Calibri"/>
                        <w:w w:val="95"/>
                        <w:sz w:val="20"/>
                      </w:rPr>
                      <w:t>0.4</w:t>
                    </w:r>
                  </w:p>
                  <w:p>
                    <w:pPr>
                      <w:spacing w:before="78"/>
                      <w:ind w:left="-1" w:right="0" w:firstLine="0"/>
                      <w:jc w:val="center"/>
                      <w:rPr>
                        <w:rFonts w:ascii="Calibri"/>
                        <w:sz w:val="20"/>
                      </w:rPr>
                    </w:pPr>
                    <w:r>
                      <w:rPr>
                        <w:rFonts w:ascii="Calibri"/>
                        <w:w w:val="95"/>
                        <w:sz w:val="20"/>
                      </w:rPr>
                      <w:t>0.3</w:t>
                    </w:r>
                  </w:p>
                  <w:p>
                    <w:pPr>
                      <w:spacing w:before="77"/>
                      <w:ind w:left="-1" w:right="0" w:firstLine="0"/>
                      <w:jc w:val="center"/>
                      <w:rPr>
                        <w:rFonts w:ascii="Calibri"/>
                        <w:sz w:val="20"/>
                      </w:rPr>
                    </w:pPr>
                    <w:r>
                      <w:rPr>
                        <w:rFonts w:ascii="Calibri"/>
                        <w:w w:val="95"/>
                        <w:sz w:val="20"/>
                      </w:rPr>
                      <w:t>0.2</w:t>
                    </w:r>
                  </w:p>
                  <w:p>
                    <w:pPr>
                      <w:spacing w:before="78"/>
                      <w:ind w:left="-1" w:right="0" w:firstLine="0"/>
                      <w:jc w:val="center"/>
                      <w:rPr>
                        <w:rFonts w:ascii="Calibri"/>
                        <w:sz w:val="20"/>
                      </w:rPr>
                    </w:pPr>
                    <w:r>
                      <w:rPr>
                        <w:rFonts w:ascii="Calibri"/>
                        <w:w w:val="95"/>
                        <w:sz w:val="20"/>
                      </w:rPr>
                      <w:t>0.1</w:t>
                    </w:r>
                  </w:p>
                  <w:p>
                    <w:pPr>
                      <w:spacing w:line="240" w:lineRule="exact" w:before="77"/>
                      <w:ind w:left="152" w:right="0" w:firstLine="0"/>
                      <w:jc w:val="center"/>
                      <w:rPr>
                        <w:rFonts w:ascii="Calibri"/>
                        <w:sz w:val="20"/>
                      </w:rPr>
                    </w:pPr>
                    <w:r>
                      <w:rPr>
                        <w:rFonts w:ascii="Calibri"/>
                        <w:w w:val="99"/>
                        <w:sz w:val="20"/>
                      </w:rPr>
                      <w:t>0</w:t>
                    </w:r>
                  </w:p>
                </w:txbxContent>
              </v:textbox>
              <w10:wrap type="none"/>
            </v:shape>
            <v:shape style="position:absolute;left:6360;top:-3763;width:2067;height:444" type="#_x0000_t202" filled="false" stroked="false">
              <v:textbox inset="0,0,0,0">
                <w:txbxContent>
                  <w:p>
                    <w:pPr>
                      <w:spacing w:line="203" w:lineRule="exact" w:before="0"/>
                      <w:ind w:left="0" w:right="-13" w:firstLine="0"/>
                      <w:jc w:val="left"/>
                      <w:rPr>
                        <w:rFonts w:ascii="Calibri"/>
                        <w:sz w:val="20"/>
                      </w:rPr>
                    </w:pPr>
                    <w:r>
                      <w:rPr>
                        <w:rFonts w:ascii="Calibri"/>
                        <w:sz w:val="20"/>
                      </w:rPr>
                      <w:t>y = 0.0007[COD] +</w:t>
                    </w:r>
                    <w:r>
                      <w:rPr>
                        <w:rFonts w:ascii="Calibri"/>
                        <w:spacing w:val="-10"/>
                        <w:sz w:val="20"/>
                      </w:rPr>
                      <w:t> </w:t>
                    </w:r>
                    <w:r>
                      <w:rPr>
                        <w:rFonts w:ascii="Calibri"/>
                        <w:sz w:val="20"/>
                      </w:rPr>
                      <w:t>0.1567</w:t>
                    </w:r>
                  </w:p>
                  <w:p>
                    <w:pPr>
                      <w:spacing w:line="240" w:lineRule="exact" w:before="0"/>
                      <w:ind w:left="592" w:right="-13" w:firstLine="0"/>
                      <w:jc w:val="left"/>
                      <w:rPr>
                        <w:rFonts w:ascii="Calibri" w:hAnsi="Calibri"/>
                        <w:sz w:val="20"/>
                      </w:rPr>
                    </w:pPr>
                    <w:r>
                      <w:rPr>
                        <w:rFonts w:ascii="Calibri" w:hAnsi="Calibri"/>
                        <w:sz w:val="20"/>
                      </w:rPr>
                      <w:t>r² = 0.9981 </w:t>
                    </w:r>
                    <w:r>
                      <w:rPr>
                        <w:rFonts w:ascii="Calibri" w:hAnsi="Calibri"/>
                        <w:w w:val="99"/>
                        <w:sz w:val="20"/>
                        <w:u w:val="single"/>
                      </w:rPr>
                      <w:t> </w:t>
                    </w:r>
                    <w:r>
                      <w:rPr>
                        <w:rFonts w:ascii="Calibri" w:hAnsi="Calibri"/>
                        <w:sz w:val="20"/>
                        <w:u w:val="single"/>
                      </w:rPr>
                      <w:t> </w:t>
                    </w:r>
                  </w:p>
                </w:txbxContent>
              </v:textbox>
              <w10:wrap type="none"/>
            </v:shape>
            <v:shape style="position:absolute;left:4345;top:-1533;width:5120;height:504" type="#_x0000_t202" filled="false" stroked="false">
              <v:textbox inset="0,0,0,0">
                <w:txbxContent>
                  <w:p>
                    <w:pPr>
                      <w:tabs>
                        <w:tab w:pos="600" w:val="left" w:leader="none"/>
                        <w:tab w:pos="1303" w:val="left" w:leader="none"/>
                        <w:tab w:pos="2005" w:val="left" w:leader="none"/>
                        <w:tab w:pos="2707" w:val="left" w:leader="none"/>
                        <w:tab w:pos="3409" w:val="left" w:leader="none"/>
                        <w:tab w:pos="4112" w:val="left" w:leader="none"/>
                        <w:tab w:pos="4814" w:val="left" w:leader="none"/>
                      </w:tabs>
                      <w:spacing w:line="203" w:lineRule="exact" w:before="0"/>
                      <w:ind w:left="0" w:right="0" w:firstLine="0"/>
                      <w:jc w:val="center"/>
                      <w:rPr>
                        <w:rFonts w:ascii="Calibri"/>
                        <w:sz w:val="20"/>
                      </w:rPr>
                    </w:pPr>
                    <w:r>
                      <w:rPr>
                        <w:rFonts w:ascii="Calibri"/>
                        <w:sz w:val="20"/>
                      </w:rPr>
                      <w:t>0</w:t>
                      <w:tab/>
                      <w:t>100</w:t>
                      <w:tab/>
                      <w:t>200</w:t>
                      <w:tab/>
                      <w:t>300</w:t>
                      <w:tab/>
                      <w:t>400</w:t>
                      <w:tab/>
                      <w:t>500</w:t>
                      <w:tab/>
                      <w:t>600</w:t>
                      <w:tab/>
                      <w:t>700</w:t>
                    </w:r>
                  </w:p>
                  <w:p>
                    <w:pPr>
                      <w:spacing w:line="240" w:lineRule="exact" w:before="60"/>
                      <w:ind w:left="0" w:right="101" w:firstLine="0"/>
                      <w:jc w:val="center"/>
                      <w:rPr>
                        <w:rFonts w:ascii="Calibri"/>
                        <w:b/>
                        <w:sz w:val="20"/>
                      </w:rPr>
                    </w:pPr>
                    <w:r>
                      <w:rPr>
                        <w:rFonts w:ascii="Calibri"/>
                        <w:b/>
                        <w:sz w:val="20"/>
                      </w:rPr>
                      <w:t>COD (mg O2/L)</w:t>
                    </w:r>
                  </w:p>
                </w:txbxContent>
              </v:textbox>
              <w10:wrap type="none"/>
            </v:shape>
            <w10:wrap type="none"/>
          </v:group>
        </w:pict>
      </w:r>
      <w:r>
        <w:rPr/>
        <w:t>Figure 2: Calibration curves for the UV-irradiated (60 min) samples for two ranges:</w:t>
      </w:r>
    </w:p>
    <w:p>
      <w:pPr>
        <w:pStyle w:val="BodyText"/>
        <w:spacing w:line="360" w:lineRule="auto" w:before="139"/>
        <w:ind w:left="662" w:right="993" w:firstLine="103"/>
      </w:pPr>
      <w:r>
        <w:rPr>
          <w:position w:val="1"/>
        </w:rPr>
        <w:t>a) low COD range (30-100 mg O</w:t>
      </w:r>
      <w:r>
        <w:rPr>
          <w:sz w:val="16"/>
        </w:rPr>
        <w:t>2</w:t>
      </w:r>
      <w:r>
        <w:rPr>
          <w:position w:val="1"/>
        </w:rPr>
        <w:t>/L), and (b) high COD range (from 200-600 mg O</w:t>
      </w:r>
      <w:r>
        <w:rPr>
          <w:sz w:val="16"/>
        </w:rPr>
        <w:t>2</w:t>
      </w:r>
      <w:r>
        <w:rPr>
          <w:position w:val="1"/>
        </w:rPr>
        <w:t>/L). </w:t>
      </w:r>
      <w:r>
        <w:rPr/>
        <w:t>Quintuplicate tests were then conducted with industrial wastewater samples from the same sources as above. COD results (including averages and standard deviations) obtained with the four methods are shown in Table 3.</w:t>
      </w:r>
    </w:p>
    <w:p>
      <w:pPr>
        <w:pStyle w:val="BodyText"/>
      </w:pPr>
    </w:p>
    <w:p>
      <w:pPr>
        <w:pStyle w:val="BodyText"/>
        <w:spacing w:line="360" w:lineRule="auto" w:before="142"/>
        <w:ind w:left="978" w:right="1453"/>
        <w:jc w:val="center"/>
      </w:pPr>
      <w:r>
        <w:rPr/>
        <w:pict>
          <v:line style="position:absolute;mso-position-horizontal-relative:page;mso-position-vertical-relative:paragraph;z-index:-129856" from="197.529999pt,93.385849pt" to="536.029999pt,91.385849pt" stroked="true" strokeweight=".75pt" strokecolor="#497dba">
            <w10:wrap type="none"/>
          </v:line>
        </w:pict>
      </w:r>
      <w:r>
        <w:rPr/>
        <w:t>Table 3. Quintuplicate COD determinations of real wastewater samples. Comparison of results obtained with the four methods described above.</w:t>
      </w:r>
    </w:p>
    <w:p>
      <w:pPr>
        <w:pStyle w:val="BodyText"/>
        <w:rPr>
          <w:sz w:val="20"/>
        </w:rPr>
      </w:pPr>
    </w:p>
    <w:p>
      <w:pPr>
        <w:pStyle w:val="BodyText"/>
        <w:rPr>
          <w:sz w:val="19"/>
        </w:rPr>
      </w:pPr>
    </w:p>
    <w:tbl>
      <w:tblPr>
        <w:tblW w:w="0" w:type="auto"/>
        <w:jc w:val="left"/>
        <w:tblInd w:w="9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4"/>
        <w:gridCol w:w="1610"/>
        <w:gridCol w:w="1780"/>
        <w:gridCol w:w="1790"/>
        <w:gridCol w:w="1887"/>
      </w:tblGrid>
      <w:tr>
        <w:trPr>
          <w:trHeight w:val="534" w:hRule="exact"/>
        </w:trPr>
        <w:tc>
          <w:tcPr>
            <w:tcW w:w="8781" w:type="dxa"/>
            <w:gridSpan w:val="5"/>
          </w:tcPr>
          <w:p>
            <w:pPr>
              <w:pStyle w:val="TableParagraph"/>
              <w:spacing w:line="245" w:lineRule="exact"/>
              <w:ind w:left="4518" w:right="2982"/>
              <w:jc w:val="center"/>
              <w:rPr>
                <w:b/>
                <w:sz w:val="24"/>
              </w:rPr>
            </w:pPr>
            <w:r>
              <w:rPr>
                <w:b/>
                <w:sz w:val="24"/>
              </w:rPr>
              <w:t>COD, mg/L</w:t>
            </w:r>
          </w:p>
        </w:tc>
      </w:tr>
      <w:tr>
        <w:trPr>
          <w:trHeight w:val="688" w:hRule="exact"/>
        </w:trPr>
        <w:tc>
          <w:tcPr>
            <w:tcW w:w="1714" w:type="dxa"/>
            <w:tcBorders>
              <w:bottom w:val="single" w:sz="8" w:space="0" w:color="000000"/>
            </w:tcBorders>
          </w:tcPr>
          <w:p>
            <w:pPr/>
          </w:p>
        </w:tc>
        <w:tc>
          <w:tcPr>
            <w:tcW w:w="1610" w:type="dxa"/>
            <w:tcBorders>
              <w:bottom w:val="single" w:sz="8" w:space="0" w:color="000000"/>
            </w:tcBorders>
          </w:tcPr>
          <w:p>
            <w:pPr>
              <w:pStyle w:val="TableParagraph"/>
              <w:spacing w:before="10"/>
              <w:rPr>
                <w:sz w:val="22"/>
              </w:rPr>
            </w:pPr>
          </w:p>
          <w:p>
            <w:pPr>
              <w:pStyle w:val="TableParagraph"/>
              <w:ind w:left="158" w:right="357"/>
              <w:jc w:val="center"/>
              <w:rPr>
                <w:b/>
                <w:sz w:val="24"/>
              </w:rPr>
            </w:pPr>
            <w:r>
              <w:rPr>
                <w:b/>
                <w:sz w:val="24"/>
              </w:rPr>
              <w:t>Method 1</w:t>
            </w:r>
          </w:p>
        </w:tc>
        <w:tc>
          <w:tcPr>
            <w:tcW w:w="1780" w:type="dxa"/>
            <w:tcBorders>
              <w:bottom w:val="single" w:sz="8" w:space="0" w:color="000000"/>
            </w:tcBorders>
          </w:tcPr>
          <w:p>
            <w:pPr>
              <w:pStyle w:val="TableParagraph"/>
              <w:spacing w:before="10"/>
              <w:rPr>
                <w:sz w:val="22"/>
              </w:rPr>
            </w:pPr>
          </w:p>
          <w:p>
            <w:pPr>
              <w:pStyle w:val="TableParagraph"/>
              <w:ind w:left="359" w:right="327"/>
              <w:jc w:val="center"/>
              <w:rPr>
                <w:b/>
                <w:sz w:val="24"/>
              </w:rPr>
            </w:pPr>
            <w:r>
              <w:rPr>
                <w:b/>
                <w:sz w:val="24"/>
              </w:rPr>
              <w:t>Method 2</w:t>
            </w:r>
          </w:p>
        </w:tc>
        <w:tc>
          <w:tcPr>
            <w:tcW w:w="1790" w:type="dxa"/>
            <w:tcBorders>
              <w:bottom w:val="single" w:sz="8" w:space="0" w:color="000000"/>
            </w:tcBorders>
          </w:tcPr>
          <w:p>
            <w:pPr>
              <w:pStyle w:val="TableParagraph"/>
              <w:spacing w:before="10"/>
              <w:rPr>
                <w:sz w:val="22"/>
              </w:rPr>
            </w:pPr>
          </w:p>
          <w:p>
            <w:pPr>
              <w:pStyle w:val="TableParagraph"/>
              <w:ind w:left="328" w:right="368"/>
              <w:jc w:val="center"/>
              <w:rPr>
                <w:b/>
                <w:sz w:val="24"/>
              </w:rPr>
            </w:pPr>
            <w:r>
              <w:rPr>
                <w:b/>
                <w:sz w:val="24"/>
              </w:rPr>
              <w:t>Method 3</w:t>
            </w:r>
          </w:p>
        </w:tc>
        <w:tc>
          <w:tcPr>
            <w:tcW w:w="1887" w:type="dxa"/>
            <w:tcBorders>
              <w:bottom w:val="single" w:sz="8" w:space="0" w:color="000000"/>
            </w:tcBorders>
          </w:tcPr>
          <w:p>
            <w:pPr>
              <w:pStyle w:val="TableParagraph"/>
              <w:spacing w:before="10"/>
              <w:rPr>
                <w:sz w:val="22"/>
              </w:rPr>
            </w:pPr>
          </w:p>
          <w:p>
            <w:pPr>
              <w:pStyle w:val="TableParagraph"/>
              <w:ind w:left="370" w:right="423"/>
              <w:jc w:val="center"/>
              <w:rPr>
                <w:b/>
                <w:sz w:val="24"/>
              </w:rPr>
            </w:pPr>
            <w:r>
              <w:rPr>
                <w:b/>
                <w:sz w:val="24"/>
              </w:rPr>
              <w:t>Method 4</w:t>
            </w:r>
          </w:p>
        </w:tc>
      </w:tr>
      <w:tr>
        <w:trPr>
          <w:trHeight w:val="575" w:hRule="exact"/>
        </w:trPr>
        <w:tc>
          <w:tcPr>
            <w:tcW w:w="8781" w:type="dxa"/>
            <w:gridSpan w:val="5"/>
            <w:tcBorders>
              <w:top w:val="single" w:sz="8" w:space="0" w:color="000000"/>
            </w:tcBorders>
          </w:tcPr>
          <w:p>
            <w:pPr>
              <w:pStyle w:val="TableParagraph"/>
              <w:ind w:left="69"/>
              <w:rPr>
                <w:b/>
                <w:sz w:val="24"/>
              </w:rPr>
            </w:pPr>
            <w:r>
              <w:rPr>
                <w:b/>
                <w:sz w:val="24"/>
              </w:rPr>
              <w:t>(a) Cattle slaughterhouse</w:t>
            </w:r>
          </w:p>
        </w:tc>
      </w:tr>
      <w:tr>
        <w:trPr>
          <w:trHeight w:val="620" w:hRule="exact"/>
        </w:trPr>
        <w:tc>
          <w:tcPr>
            <w:tcW w:w="1714" w:type="dxa"/>
          </w:tcPr>
          <w:p>
            <w:pPr>
              <w:pStyle w:val="TableParagraph"/>
              <w:spacing w:before="10"/>
              <w:rPr>
                <w:sz w:val="22"/>
              </w:rPr>
            </w:pPr>
          </w:p>
          <w:p>
            <w:pPr>
              <w:pStyle w:val="TableParagraph"/>
              <w:ind w:left="258" w:right="468"/>
              <w:jc w:val="center"/>
              <w:rPr>
                <w:b/>
                <w:sz w:val="24"/>
              </w:rPr>
            </w:pPr>
            <w:r>
              <w:rPr>
                <w:b/>
                <w:sz w:val="24"/>
              </w:rPr>
              <w:t>test1</w:t>
            </w:r>
          </w:p>
        </w:tc>
        <w:tc>
          <w:tcPr>
            <w:tcW w:w="1610" w:type="dxa"/>
          </w:tcPr>
          <w:p>
            <w:pPr>
              <w:pStyle w:val="TableParagraph"/>
              <w:spacing w:before="10"/>
              <w:rPr>
                <w:sz w:val="22"/>
              </w:rPr>
            </w:pPr>
          </w:p>
          <w:p>
            <w:pPr>
              <w:pStyle w:val="TableParagraph"/>
              <w:ind w:left="158" w:right="353"/>
              <w:jc w:val="center"/>
              <w:rPr>
                <w:b/>
                <w:sz w:val="24"/>
              </w:rPr>
            </w:pPr>
            <w:r>
              <w:rPr>
                <w:b/>
                <w:sz w:val="24"/>
              </w:rPr>
              <w:t>1698</w:t>
            </w:r>
          </w:p>
        </w:tc>
        <w:tc>
          <w:tcPr>
            <w:tcW w:w="1780" w:type="dxa"/>
          </w:tcPr>
          <w:p>
            <w:pPr>
              <w:pStyle w:val="TableParagraph"/>
              <w:spacing w:before="10"/>
              <w:rPr>
                <w:sz w:val="22"/>
              </w:rPr>
            </w:pPr>
          </w:p>
          <w:p>
            <w:pPr>
              <w:pStyle w:val="TableParagraph"/>
              <w:ind w:left="358" w:right="327"/>
              <w:jc w:val="center"/>
              <w:rPr>
                <w:b/>
                <w:sz w:val="24"/>
              </w:rPr>
            </w:pPr>
            <w:r>
              <w:rPr>
                <w:b/>
                <w:sz w:val="24"/>
              </w:rPr>
              <w:t>1731</w:t>
            </w:r>
          </w:p>
        </w:tc>
        <w:tc>
          <w:tcPr>
            <w:tcW w:w="1790" w:type="dxa"/>
          </w:tcPr>
          <w:p>
            <w:pPr>
              <w:pStyle w:val="TableParagraph"/>
              <w:spacing w:before="10"/>
              <w:rPr>
                <w:sz w:val="22"/>
              </w:rPr>
            </w:pPr>
          </w:p>
          <w:p>
            <w:pPr>
              <w:pStyle w:val="TableParagraph"/>
              <w:ind w:left="328" w:right="363"/>
              <w:jc w:val="center"/>
              <w:rPr>
                <w:b/>
                <w:sz w:val="24"/>
              </w:rPr>
            </w:pPr>
            <w:r>
              <w:rPr>
                <w:b/>
                <w:sz w:val="24"/>
              </w:rPr>
              <w:t>1332</w:t>
            </w:r>
          </w:p>
        </w:tc>
        <w:tc>
          <w:tcPr>
            <w:tcW w:w="1887" w:type="dxa"/>
          </w:tcPr>
          <w:p>
            <w:pPr>
              <w:pStyle w:val="TableParagraph"/>
              <w:spacing w:before="10"/>
              <w:rPr>
                <w:sz w:val="22"/>
              </w:rPr>
            </w:pPr>
          </w:p>
          <w:p>
            <w:pPr>
              <w:pStyle w:val="TableParagraph"/>
              <w:ind w:left="370" w:right="418"/>
              <w:jc w:val="center"/>
              <w:rPr>
                <w:b/>
                <w:sz w:val="24"/>
              </w:rPr>
            </w:pPr>
            <w:r>
              <w:rPr>
                <w:b/>
                <w:sz w:val="24"/>
              </w:rPr>
              <w:t>1156</w:t>
            </w:r>
          </w:p>
        </w:tc>
      </w:tr>
      <w:tr>
        <w:trPr>
          <w:trHeight w:val="414" w:hRule="exact"/>
        </w:trPr>
        <w:tc>
          <w:tcPr>
            <w:tcW w:w="1714" w:type="dxa"/>
          </w:tcPr>
          <w:p>
            <w:pPr>
              <w:pStyle w:val="TableParagraph"/>
              <w:spacing w:before="55"/>
              <w:ind w:left="258" w:right="468"/>
              <w:jc w:val="center"/>
              <w:rPr>
                <w:b/>
                <w:sz w:val="24"/>
              </w:rPr>
            </w:pPr>
            <w:r>
              <w:rPr>
                <w:b/>
                <w:sz w:val="24"/>
              </w:rPr>
              <w:t>test 2</w:t>
            </w:r>
          </w:p>
        </w:tc>
        <w:tc>
          <w:tcPr>
            <w:tcW w:w="1610" w:type="dxa"/>
          </w:tcPr>
          <w:p>
            <w:pPr>
              <w:pStyle w:val="TableParagraph"/>
              <w:spacing w:before="55"/>
              <w:ind w:left="158" w:right="353"/>
              <w:jc w:val="center"/>
              <w:rPr>
                <w:b/>
                <w:sz w:val="24"/>
              </w:rPr>
            </w:pPr>
            <w:r>
              <w:rPr>
                <w:b/>
                <w:sz w:val="24"/>
              </w:rPr>
              <w:t>1805</w:t>
            </w:r>
          </w:p>
        </w:tc>
        <w:tc>
          <w:tcPr>
            <w:tcW w:w="1780" w:type="dxa"/>
          </w:tcPr>
          <w:p>
            <w:pPr>
              <w:pStyle w:val="TableParagraph"/>
              <w:spacing w:before="55"/>
              <w:ind w:left="358" w:right="327"/>
              <w:jc w:val="center"/>
              <w:rPr>
                <w:b/>
                <w:sz w:val="24"/>
              </w:rPr>
            </w:pPr>
            <w:r>
              <w:rPr>
                <w:b/>
                <w:sz w:val="24"/>
              </w:rPr>
              <w:t>1609</w:t>
            </w:r>
          </w:p>
        </w:tc>
        <w:tc>
          <w:tcPr>
            <w:tcW w:w="1790" w:type="dxa"/>
          </w:tcPr>
          <w:p>
            <w:pPr>
              <w:pStyle w:val="TableParagraph"/>
              <w:spacing w:before="55"/>
              <w:ind w:left="328" w:right="363"/>
              <w:jc w:val="center"/>
              <w:rPr>
                <w:b/>
                <w:sz w:val="24"/>
              </w:rPr>
            </w:pPr>
            <w:r>
              <w:rPr>
                <w:b/>
                <w:sz w:val="24"/>
              </w:rPr>
              <w:t>1270</w:t>
            </w:r>
          </w:p>
        </w:tc>
        <w:tc>
          <w:tcPr>
            <w:tcW w:w="1887" w:type="dxa"/>
          </w:tcPr>
          <w:p>
            <w:pPr>
              <w:pStyle w:val="TableParagraph"/>
              <w:spacing w:before="55"/>
              <w:ind w:left="370" w:right="418"/>
              <w:jc w:val="center"/>
              <w:rPr>
                <w:b/>
                <w:sz w:val="24"/>
              </w:rPr>
            </w:pPr>
            <w:r>
              <w:rPr>
                <w:b/>
                <w:sz w:val="24"/>
              </w:rPr>
              <w:t>1525</w:t>
            </w:r>
          </w:p>
        </w:tc>
      </w:tr>
      <w:tr>
        <w:trPr>
          <w:trHeight w:val="414" w:hRule="exact"/>
        </w:trPr>
        <w:tc>
          <w:tcPr>
            <w:tcW w:w="1714" w:type="dxa"/>
          </w:tcPr>
          <w:p>
            <w:pPr>
              <w:pStyle w:val="TableParagraph"/>
              <w:spacing w:before="57"/>
              <w:ind w:left="258" w:right="468"/>
              <w:jc w:val="center"/>
              <w:rPr>
                <w:b/>
                <w:sz w:val="24"/>
              </w:rPr>
            </w:pPr>
            <w:r>
              <w:rPr>
                <w:b/>
                <w:sz w:val="24"/>
              </w:rPr>
              <w:t>test 3</w:t>
            </w:r>
          </w:p>
        </w:tc>
        <w:tc>
          <w:tcPr>
            <w:tcW w:w="1610" w:type="dxa"/>
          </w:tcPr>
          <w:p>
            <w:pPr>
              <w:pStyle w:val="TableParagraph"/>
              <w:spacing w:before="57"/>
              <w:ind w:left="158" w:right="353"/>
              <w:jc w:val="center"/>
              <w:rPr>
                <w:b/>
                <w:sz w:val="24"/>
              </w:rPr>
            </w:pPr>
            <w:r>
              <w:rPr>
                <w:b/>
                <w:sz w:val="24"/>
              </w:rPr>
              <w:t>1709</w:t>
            </w:r>
          </w:p>
        </w:tc>
        <w:tc>
          <w:tcPr>
            <w:tcW w:w="1780" w:type="dxa"/>
          </w:tcPr>
          <w:p>
            <w:pPr>
              <w:pStyle w:val="TableParagraph"/>
              <w:spacing w:before="57"/>
              <w:ind w:left="358" w:right="327"/>
              <w:jc w:val="center"/>
              <w:rPr>
                <w:b/>
                <w:sz w:val="24"/>
              </w:rPr>
            </w:pPr>
            <w:r>
              <w:rPr>
                <w:b/>
                <w:sz w:val="24"/>
              </w:rPr>
              <w:t>1721</w:t>
            </w:r>
          </w:p>
        </w:tc>
        <w:tc>
          <w:tcPr>
            <w:tcW w:w="1790" w:type="dxa"/>
          </w:tcPr>
          <w:p>
            <w:pPr>
              <w:pStyle w:val="TableParagraph"/>
              <w:spacing w:before="57"/>
              <w:ind w:left="328" w:right="363"/>
              <w:jc w:val="center"/>
              <w:rPr>
                <w:b/>
                <w:sz w:val="24"/>
              </w:rPr>
            </w:pPr>
            <w:r>
              <w:rPr>
                <w:b/>
                <w:sz w:val="24"/>
              </w:rPr>
              <w:t>1358</w:t>
            </w:r>
          </w:p>
        </w:tc>
        <w:tc>
          <w:tcPr>
            <w:tcW w:w="1887" w:type="dxa"/>
          </w:tcPr>
          <w:p>
            <w:pPr>
              <w:pStyle w:val="TableParagraph"/>
              <w:spacing w:before="57"/>
              <w:ind w:left="370" w:right="418"/>
              <w:jc w:val="center"/>
              <w:rPr>
                <w:b/>
                <w:sz w:val="24"/>
              </w:rPr>
            </w:pPr>
            <w:r>
              <w:rPr>
                <w:b/>
                <w:sz w:val="24"/>
              </w:rPr>
              <w:t>1193</w:t>
            </w:r>
          </w:p>
        </w:tc>
      </w:tr>
      <w:tr>
        <w:trPr>
          <w:trHeight w:val="414" w:hRule="exact"/>
        </w:trPr>
        <w:tc>
          <w:tcPr>
            <w:tcW w:w="1714" w:type="dxa"/>
          </w:tcPr>
          <w:p>
            <w:pPr>
              <w:pStyle w:val="TableParagraph"/>
              <w:spacing w:before="55"/>
              <w:ind w:left="258" w:right="468"/>
              <w:jc w:val="center"/>
              <w:rPr>
                <w:b/>
                <w:sz w:val="24"/>
              </w:rPr>
            </w:pPr>
            <w:r>
              <w:rPr>
                <w:b/>
                <w:sz w:val="24"/>
              </w:rPr>
              <w:t>test 4</w:t>
            </w:r>
          </w:p>
        </w:tc>
        <w:tc>
          <w:tcPr>
            <w:tcW w:w="1610" w:type="dxa"/>
          </w:tcPr>
          <w:p>
            <w:pPr>
              <w:pStyle w:val="TableParagraph"/>
              <w:spacing w:before="55"/>
              <w:ind w:left="158" w:right="353"/>
              <w:jc w:val="center"/>
              <w:rPr>
                <w:b/>
                <w:sz w:val="24"/>
              </w:rPr>
            </w:pPr>
            <w:r>
              <w:rPr>
                <w:b/>
                <w:sz w:val="24"/>
              </w:rPr>
              <w:t>1584</w:t>
            </w:r>
          </w:p>
        </w:tc>
        <w:tc>
          <w:tcPr>
            <w:tcW w:w="1780" w:type="dxa"/>
          </w:tcPr>
          <w:p>
            <w:pPr>
              <w:pStyle w:val="TableParagraph"/>
              <w:spacing w:before="55"/>
              <w:ind w:left="358" w:right="327"/>
              <w:jc w:val="center"/>
              <w:rPr>
                <w:b/>
                <w:sz w:val="24"/>
              </w:rPr>
            </w:pPr>
            <w:r>
              <w:rPr>
                <w:b/>
                <w:sz w:val="24"/>
              </w:rPr>
              <w:t>1768</w:t>
            </w:r>
          </w:p>
        </w:tc>
        <w:tc>
          <w:tcPr>
            <w:tcW w:w="1790" w:type="dxa"/>
          </w:tcPr>
          <w:p>
            <w:pPr>
              <w:pStyle w:val="TableParagraph"/>
              <w:spacing w:before="55"/>
              <w:ind w:left="328" w:right="363"/>
              <w:jc w:val="center"/>
              <w:rPr>
                <w:b/>
                <w:sz w:val="24"/>
              </w:rPr>
            </w:pPr>
            <w:r>
              <w:rPr>
                <w:b/>
                <w:sz w:val="24"/>
              </w:rPr>
              <w:t>1418</w:t>
            </w:r>
          </w:p>
        </w:tc>
        <w:tc>
          <w:tcPr>
            <w:tcW w:w="1887" w:type="dxa"/>
          </w:tcPr>
          <w:p>
            <w:pPr>
              <w:pStyle w:val="TableParagraph"/>
              <w:spacing w:before="55"/>
              <w:ind w:left="370" w:right="418"/>
              <w:jc w:val="center"/>
              <w:rPr>
                <w:b/>
                <w:sz w:val="24"/>
              </w:rPr>
            </w:pPr>
            <w:r>
              <w:rPr>
                <w:b/>
                <w:sz w:val="24"/>
              </w:rPr>
              <w:t>1028</w:t>
            </w:r>
          </w:p>
        </w:tc>
      </w:tr>
      <w:tr>
        <w:trPr>
          <w:trHeight w:val="414" w:hRule="exact"/>
        </w:trPr>
        <w:tc>
          <w:tcPr>
            <w:tcW w:w="1714" w:type="dxa"/>
          </w:tcPr>
          <w:p>
            <w:pPr>
              <w:pStyle w:val="TableParagraph"/>
              <w:spacing w:before="57"/>
              <w:ind w:left="258" w:right="468"/>
              <w:jc w:val="center"/>
              <w:rPr>
                <w:b/>
                <w:sz w:val="24"/>
              </w:rPr>
            </w:pPr>
            <w:r>
              <w:rPr>
                <w:b/>
                <w:sz w:val="24"/>
              </w:rPr>
              <w:t>test 5</w:t>
            </w:r>
          </w:p>
        </w:tc>
        <w:tc>
          <w:tcPr>
            <w:tcW w:w="1610" w:type="dxa"/>
          </w:tcPr>
          <w:p>
            <w:pPr>
              <w:pStyle w:val="TableParagraph"/>
              <w:spacing w:before="57"/>
              <w:ind w:left="158" w:right="353"/>
              <w:jc w:val="center"/>
              <w:rPr>
                <w:b/>
                <w:sz w:val="24"/>
              </w:rPr>
            </w:pPr>
            <w:r>
              <w:rPr>
                <w:b/>
                <w:sz w:val="24"/>
              </w:rPr>
              <w:t>1592</w:t>
            </w:r>
          </w:p>
        </w:tc>
        <w:tc>
          <w:tcPr>
            <w:tcW w:w="1780" w:type="dxa"/>
          </w:tcPr>
          <w:p>
            <w:pPr>
              <w:pStyle w:val="TableParagraph"/>
              <w:spacing w:before="57"/>
              <w:ind w:left="358" w:right="327"/>
              <w:jc w:val="center"/>
              <w:rPr>
                <w:b/>
                <w:sz w:val="24"/>
              </w:rPr>
            </w:pPr>
            <w:r>
              <w:rPr>
                <w:b/>
                <w:sz w:val="24"/>
              </w:rPr>
              <w:t>1635</w:t>
            </w:r>
          </w:p>
        </w:tc>
        <w:tc>
          <w:tcPr>
            <w:tcW w:w="1790" w:type="dxa"/>
          </w:tcPr>
          <w:p>
            <w:pPr>
              <w:pStyle w:val="TableParagraph"/>
              <w:spacing w:before="57"/>
              <w:ind w:left="328" w:right="363"/>
              <w:jc w:val="center"/>
              <w:rPr>
                <w:b/>
                <w:sz w:val="24"/>
              </w:rPr>
            </w:pPr>
            <w:r>
              <w:rPr>
                <w:b/>
                <w:sz w:val="24"/>
              </w:rPr>
              <w:t>1135</w:t>
            </w:r>
          </w:p>
        </w:tc>
        <w:tc>
          <w:tcPr>
            <w:tcW w:w="1887" w:type="dxa"/>
          </w:tcPr>
          <w:p>
            <w:pPr>
              <w:pStyle w:val="TableParagraph"/>
              <w:spacing w:before="57"/>
              <w:ind w:left="370" w:right="418"/>
              <w:jc w:val="center"/>
              <w:rPr>
                <w:b/>
                <w:sz w:val="24"/>
              </w:rPr>
            </w:pPr>
            <w:r>
              <w:rPr>
                <w:b/>
                <w:sz w:val="24"/>
              </w:rPr>
              <w:t>1429</w:t>
            </w:r>
          </w:p>
        </w:tc>
      </w:tr>
      <w:tr>
        <w:trPr>
          <w:trHeight w:val="414" w:hRule="exact"/>
        </w:trPr>
        <w:tc>
          <w:tcPr>
            <w:tcW w:w="1714" w:type="dxa"/>
          </w:tcPr>
          <w:p>
            <w:pPr>
              <w:pStyle w:val="TableParagraph"/>
              <w:spacing w:before="55"/>
              <w:ind w:left="258" w:right="468"/>
              <w:jc w:val="center"/>
              <w:rPr>
                <w:b/>
                <w:i/>
                <w:sz w:val="24"/>
              </w:rPr>
            </w:pPr>
            <w:r>
              <w:rPr>
                <w:b/>
                <w:i/>
                <w:sz w:val="24"/>
              </w:rPr>
              <w:t>Average</w:t>
            </w:r>
          </w:p>
        </w:tc>
        <w:tc>
          <w:tcPr>
            <w:tcW w:w="1610" w:type="dxa"/>
          </w:tcPr>
          <w:p>
            <w:pPr>
              <w:pStyle w:val="TableParagraph"/>
              <w:spacing w:before="55"/>
              <w:ind w:left="158" w:right="353"/>
              <w:jc w:val="center"/>
              <w:rPr>
                <w:b/>
                <w:sz w:val="24"/>
              </w:rPr>
            </w:pPr>
            <w:r>
              <w:rPr>
                <w:b/>
                <w:sz w:val="24"/>
              </w:rPr>
              <w:t>1678</w:t>
            </w:r>
          </w:p>
        </w:tc>
        <w:tc>
          <w:tcPr>
            <w:tcW w:w="1780" w:type="dxa"/>
          </w:tcPr>
          <w:p>
            <w:pPr>
              <w:pStyle w:val="TableParagraph"/>
              <w:spacing w:before="55"/>
              <w:ind w:left="358" w:right="327"/>
              <w:jc w:val="center"/>
              <w:rPr>
                <w:b/>
                <w:sz w:val="24"/>
              </w:rPr>
            </w:pPr>
            <w:r>
              <w:rPr>
                <w:b/>
                <w:sz w:val="24"/>
              </w:rPr>
              <w:t>1693</w:t>
            </w:r>
          </w:p>
        </w:tc>
        <w:tc>
          <w:tcPr>
            <w:tcW w:w="1790" w:type="dxa"/>
          </w:tcPr>
          <w:p>
            <w:pPr>
              <w:pStyle w:val="TableParagraph"/>
              <w:spacing w:before="55"/>
              <w:ind w:left="328" w:right="363"/>
              <w:jc w:val="center"/>
              <w:rPr>
                <w:b/>
                <w:sz w:val="24"/>
              </w:rPr>
            </w:pPr>
            <w:r>
              <w:rPr>
                <w:b/>
                <w:sz w:val="24"/>
              </w:rPr>
              <w:t>1303</w:t>
            </w:r>
          </w:p>
        </w:tc>
        <w:tc>
          <w:tcPr>
            <w:tcW w:w="1887" w:type="dxa"/>
          </w:tcPr>
          <w:p>
            <w:pPr>
              <w:pStyle w:val="TableParagraph"/>
              <w:spacing w:before="55"/>
              <w:ind w:left="370" w:right="418"/>
              <w:jc w:val="center"/>
              <w:rPr>
                <w:b/>
                <w:sz w:val="24"/>
              </w:rPr>
            </w:pPr>
            <w:r>
              <w:rPr>
                <w:b/>
                <w:sz w:val="24"/>
              </w:rPr>
              <w:t>1266</w:t>
            </w:r>
          </w:p>
        </w:tc>
      </w:tr>
      <w:tr>
        <w:trPr>
          <w:trHeight w:val="740" w:hRule="exact"/>
        </w:trPr>
        <w:tc>
          <w:tcPr>
            <w:tcW w:w="1714" w:type="dxa"/>
          </w:tcPr>
          <w:p>
            <w:pPr>
              <w:pStyle w:val="TableParagraph"/>
              <w:spacing w:before="57"/>
              <w:ind w:left="223" w:firstLine="4"/>
              <w:rPr>
                <w:b/>
                <w:sz w:val="24"/>
              </w:rPr>
            </w:pPr>
            <w:r>
              <w:rPr>
                <w:b/>
                <w:sz w:val="24"/>
              </w:rPr>
              <w:t>Standard</w:t>
            </w:r>
          </w:p>
          <w:p>
            <w:pPr>
              <w:pStyle w:val="TableParagraph"/>
              <w:spacing w:before="137"/>
              <w:ind w:left="223"/>
              <w:rPr>
                <w:b/>
                <w:sz w:val="24"/>
              </w:rPr>
            </w:pPr>
            <w:r>
              <w:rPr>
                <w:b/>
                <w:sz w:val="24"/>
              </w:rPr>
              <w:t>deviation</w:t>
            </w:r>
          </w:p>
        </w:tc>
        <w:tc>
          <w:tcPr>
            <w:tcW w:w="1610" w:type="dxa"/>
          </w:tcPr>
          <w:p>
            <w:pPr>
              <w:pStyle w:val="TableParagraph"/>
              <w:spacing w:before="10"/>
              <w:rPr>
                <w:sz w:val="22"/>
              </w:rPr>
            </w:pPr>
          </w:p>
          <w:p>
            <w:pPr>
              <w:pStyle w:val="TableParagraph"/>
              <w:ind w:left="158" w:right="356"/>
              <w:jc w:val="center"/>
              <w:rPr>
                <w:b/>
                <w:sz w:val="24"/>
              </w:rPr>
            </w:pPr>
            <w:r>
              <w:rPr>
                <w:b/>
                <w:sz w:val="24"/>
              </w:rPr>
              <w:t>91.9</w:t>
            </w:r>
          </w:p>
        </w:tc>
        <w:tc>
          <w:tcPr>
            <w:tcW w:w="1780" w:type="dxa"/>
          </w:tcPr>
          <w:p>
            <w:pPr>
              <w:pStyle w:val="TableParagraph"/>
              <w:spacing w:before="10"/>
              <w:rPr>
                <w:sz w:val="22"/>
              </w:rPr>
            </w:pPr>
          </w:p>
          <w:p>
            <w:pPr>
              <w:pStyle w:val="TableParagraph"/>
              <w:ind w:left="359" w:right="326"/>
              <w:jc w:val="center"/>
              <w:rPr>
                <w:b/>
                <w:sz w:val="24"/>
              </w:rPr>
            </w:pPr>
            <w:r>
              <w:rPr>
                <w:b/>
                <w:sz w:val="24"/>
              </w:rPr>
              <w:t>67.5</w:t>
            </w:r>
          </w:p>
        </w:tc>
        <w:tc>
          <w:tcPr>
            <w:tcW w:w="1790" w:type="dxa"/>
          </w:tcPr>
          <w:p>
            <w:pPr>
              <w:pStyle w:val="TableParagraph"/>
              <w:spacing w:before="10"/>
              <w:rPr>
                <w:sz w:val="22"/>
              </w:rPr>
            </w:pPr>
          </w:p>
          <w:p>
            <w:pPr>
              <w:pStyle w:val="TableParagraph"/>
              <w:ind w:left="328" w:right="364"/>
              <w:jc w:val="center"/>
              <w:rPr>
                <w:b/>
                <w:sz w:val="24"/>
              </w:rPr>
            </w:pPr>
            <w:r>
              <w:rPr>
                <w:b/>
                <w:sz w:val="24"/>
              </w:rPr>
              <w:t>108.0</w:t>
            </w:r>
          </w:p>
        </w:tc>
        <w:tc>
          <w:tcPr>
            <w:tcW w:w="1887" w:type="dxa"/>
          </w:tcPr>
          <w:p>
            <w:pPr>
              <w:pStyle w:val="TableParagraph"/>
              <w:spacing w:before="10"/>
              <w:rPr>
                <w:sz w:val="22"/>
              </w:rPr>
            </w:pPr>
          </w:p>
          <w:p>
            <w:pPr>
              <w:pStyle w:val="TableParagraph"/>
              <w:ind w:left="370" w:right="419"/>
              <w:jc w:val="center"/>
              <w:rPr>
                <w:b/>
                <w:sz w:val="24"/>
              </w:rPr>
            </w:pPr>
            <w:r>
              <w:rPr>
                <w:b/>
                <w:sz w:val="24"/>
              </w:rPr>
              <w:t>204.9</w:t>
            </w:r>
          </w:p>
        </w:tc>
      </w:tr>
    </w:tbl>
    <w:p>
      <w:pPr>
        <w:spacing w:after="0"/>
        <w:jc w:val="center"/>
        <w:rPr>
          <w:sz w:val="24"/>
        </w:rPr>
        <w:sectPr>
          <w:pgSz w:w="12240" w:h="15840"/>
          <w:pgMar w:header="0" w:footer="654" w:top="1120" w:bottom="1060" w:left="1040" w:right="0"/>
        </w:sectPr>
      </w:pPr>
    </w:p>
    <w:p>
      <w:pPr>
        <w:pStyle w:val="BodyText"/>
        <w:spacing w:before="1"/>
        <w:rPr>
          <w:rFonts w:ascii="Times New Roman"/>
          <w:sz w:val="4"/>
        </w:rPr>
      </w:pPr>
    </w:p>
    <w:p>
      <w:pPr>
        <w:pStyle w:val="BodyText"/>
        <w:spacing w:line="20" w:lineRule="exact"/>
        <w:ind w:left="964"/>
        <w:rPr>
          <w:rFonts w:ascii="Times New Roman"/>
          <w:sz w:val="2"/>
        </w:rPr>
      </w:pPr>
      <w:r>
        <w:rPr>
          <w:rFonts w:ascii="Times New Roman"/>
          <w:sz w:val="2"/>
        </w:rPr>
        <w:pict>
          <v:group style="width:440.05pt;height:1pt;mso-position-horizontal-relative:char;mso-position-vertical-relative:line" coordorigin="0,0" coordsize="8801,20">
            <v:line style="position:absolute" from="10,10" to="8791,10" stroked="true" strokeweight=".96pt" strokecolor="#000000"/>
          </v:group>
        </w:pict>
      </w:r>
      <w:r>
        <w:rPr>
          <w:rFonts w:ascii="Times New Roman"/>
          <w:sz w:val="2"/>
        </w:rPr>
      </w:r>
    </w:p>
    <w:p>
      <w:pPr>
        <w:pStyle w:val="BodyText"/>
        <w:rPr>
          <w:rFonts w:ascii="Times New Roman"/>
          <w:sz w:val="20"/>
        </w:rPr>
      </w:pPr>
    </w:p>
    <w:p>
      <w:pPr>
        <w:pStyle w:val="BodyText"/>
        <w:spacing w:before="7"/>
        <w:rPr>
          <w:rFonts w:ascii="Times New Roman"/>
          <w:sz w:val="18"/>
        </w:rPr>
      </w:pPr>
    </w:p>
    <w:tbl>
      <w:tblPr>
        <w:tblW w:w="0" w:type="auto"/>
        <w:jc w:val="left"/>
        <w:tblInd w:w="9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4"/>
        <w:gridCol w:w="1594"/>
        <w:gridCol w:w="1796"/>
        <w:gridCol w:w="1791"/>
        <w:gridCol w:w="1885"/>
      </w:tblGrid>
      <w:tr>
        <w:trPr>
          <w:trHeight w:val="534" w:hRule="exact"/>
        </w:trPr>
        <w:tc>
          <w:tcPr>
            <w:tcW w:w="8781" w:type="dxa"/>
            <w:gridSpan w:val="5"/>
          </w:tcPr>
          <w:p>
            <w:pPr>
              <w:pStyle w:val="TableParagraph"/>
              <w:spacing w:line="245" w:lineRule="exact"/>
              <w:ind w:left="69"/>
              <w:rPr>
                <w:b/>
                <w:sz w:val="24"/>
              </w:rPr>
            </w:pPr>
            <w:r>
              <w:rPr>
                <w:b/>
                <w:sz w:val="24"/>
              </w:rPr>
              <w:t>(b) Municipal wastewater plant (Toluca North Plant)</w:t>
            </w:r>
          </w:p>
        </w:tc>
      </w:tr>
      <w:tr>
        <w:trPr>
          <w:trHeight w:val="620" w:hRule="exact"/>
        </w:trPr>
        <w:tc>
          <w:tcPr>
            <w:tcW w:w="1714" w:type="dxa"/>
          </w:tcPr>
          <w:p>
            <w:pPr>
              <w:pStyle w:val="TableParagraph"/>
              <w:spacing w:before="10"/>
              <w:rPr>
                <w:rFonts w:ascii="Times New Roman"/>
                <w:sz w:val="22"/>
              </w:rPr>
            </w:pPr>
          </w:p>
          <w:p>
            <w:pPr>
              <w:pStyle w:val="TableParagraph"/>
              <w:ind w:left="258" w:right="468"/>
              <w:jc w:val="center"/>
              <w:rPr>
                <w:b/>
                <w:sz w:val="24"/>
              </w:rPr>
            </w:pPr>
            <w:r>
              <w:rPr>
                <w:b/>
                <w:sz w:val="24"/>
              </w:rPr>
              <w:t>test1</w:t>
            </w:r>
          </w:p>
        </w:tc>
        <w:tc>
          <w:tcPr>
            <w:tcW w:w="1594" w:type="dxa"/>
          </w:tcPr>
          <w:p>
            <w:pPr>
              <w:pStyle w:val="TableParagraph"/>
              <w:spacing w:before="10"/>
              <w:rPr>
                <w:rFonts w:ascii="Times New Roman"/>
                <w:sz w:val="22"/>
              </w:rPr>
            </w:pPr>
          </w:p>
          <w:p>
            <w:pPr>
              <w:pStyle w:val="TableParagraph"/>
              <w:ind w:left="439"/>
              <w:rPr>
                <w:b/>
                <w:sz w:val="24"/>
              </w:rPr>
            </w:pPr>
            <w:r>
              <w:rPr>
                <w:b/>
                <w:sz w:val="24"/>
              </w:rPr>
              <w:t>1032</w:t>
            </w:r>
          </w:p>
        </w:tc>
        <w:tc>
          <w:tcPr>
            <w:tcW w:w="1796" w:type="dxa"/>
          </w:tcPr>
          <w:p>
            <w:pPr>
              <w:pStyle w:val="TableParagraph"/>
              <w:spacing w:before="10"/>
              <w:rPr>
                <w:rFonts w:ascii="Times New Roman"/>
                <w:sz w:val="22"/>
              </w:rPr>
            </w:pPr>
          </w:p>
          <w:p>
            <w:pPr>
              <w:pStyle w:val="TableParagraph"/>
              <w:ind w:right="669"/>
              <w:jc w:val="right"/>
              <w:rPr>
                <w:b/>
                <w:sz w:val="24"/>
              </w:rPr>
            </w:pPr>
            <w:r>
              <w:rPr>
                <w:b/>
                <w:w w:val="95"/>
                <w:sz w:val="24"/>
              </w:rPr>
              <w:t>817</w:t>
            </w:r>
          </w:p>
        </w:tc>
        <w:tc>
          <w:tcPr>
            <w:tcW w:w="1791" w:type="dxa"/>
          </w:tcPr>
          <w:p>
            <w:pPr>
              <w:pStyle w:val="TableParagraph"/>
              <w:spacing w:before="10"/>
              <w:rPr>
                <w:rFonts w:ascii="Times New Roman"/>
                <w:sz w:val="22"/>
              </w:rPr>
            </w:pPr>
          </w:p>
          <w:p>
            <w:pPr>
              <w:pStyle w:val="TableParagraph"/>
              <w:ind w:left="556" w:right="594"/>
              <w:jc w:val="center"/>
              <w:rPr>
                <w:b/>
                <w:sz w:val="24"/>
              </w:rPr>
            </w:pPr>
            <w:r>
              <w:rPr>
                <w:b/>
                <w:sz w:val="24"/>
              </w:rPr>
              <w:t>910.0</w:t>
            </w:r>
          </w:p>
        </w:tc>
        <w:tc>
          <w:tcPr>
            <w:tcW w:w="1885" w:type="dxa"/>
          </w:tcPr>
          <w:p>
            <w:pPr>
              <w:pStyle w:val="TableParagraph"/>
              <w:spacing w:before="10"/>
              <w:rPr>
                <w:rFonts w:ascii="Times New Roman"/>
                <w:sz w:val="22"/>
              </w:rPr>
            </w:pPr>
          </w:p>
          <w:p>
            <w:pPr>
              <w:pStyle w:val="TableParagraph"/>
              <w:ind w:left="596" w:right="647"/>
              <w:jc w:val="center"/>
              <w:rPr>
                <w:b/>
                <w:sz w:val="24"/>
              </w:rPr>
            </w:pPr>
            <w:r>
              <w:rPr>
                <w:b/>
                <w:sz w:val="24"/>
              </w:rPr>
              <w:t>985</w:t>
            </w:r>
          </w:p>
        </w:tc>
      </w:tr>
      <w:tr>
        <w:trPr>
          <w:trHeight w:val="414" w:hRule="exact"/>
        </w:trPr>
        <w:tc>
          <w:tcPr>
            <w:tcW w:w="1714" w:type="dxa"/>
          </w:tcPr>
          <w:p>
            <w:pPr>
              <w:pStyle w:val="TableParagraph"/>
              <w:spacing w:before="55"/>
              <w:ind w:left="258" w:right="468"/>
              <w:jc w:val="center"/>
              <w:rPr>
                <w:b/>
                <w:sz w:val="24"/>
              </w:rPr>
            </w:pPr>
            <w:r>
              <w:rPr>
                <w:b/>
                <w:sz w:val="24"/>
              </w:rPr>
              <w:t>test 2</w:t>
            </w:r>
          </w:p>
        </w:tc>
        <w:tc>
          <w:tcPr>
            <w:tcW w:w="1594" w:type="dxa"/>
          </w:tcPr>
          <w:p>
            <w:pPr>
              <w:pStyle w:val="TableParagraph"/>
              <w:spacing w:before="55"/>
              <w:ind w:left="504"/>
              <w:rPr>
                <w:b/>
                <w:sz w:val="24"/>
              </w:rPr>
            </w:pPr>
            <w:r>
              <w:rPr>
                <w:b/>
                <w:sz w:val="24"/>
              </w:rPr>
              <w:t>984</w:t>
            </w:r>
          </w:p>
        </w:tc>
        <w:tc>
          <w:tcPr>
            <w:tcW w:w="1796" w:type="dxa"/>
          </w:tcPr>
          <w:p>
            <w:pPr>
              <w:pStyle w:val="TableParagraph"/>
              <w:spacing w:before="55"/>
              <w:ind w:right="607"/>
              <w:jc w:val="right"/>
              <w:rPr>
                <w:b/>
                <w:sz w:val="24"/>
              </w:rPr>
            </w:pPr>
            <w:r>
              <w:rPr>
                <w:b/>
                <w:sz w:val="24"/>
              </w:rPr>
              <w:t>1072</w:t>
            </w:r>
          </w:p>
        </w:tc>
        <w:tc>
          <w:tcPr>
            <w:tcW w:w="1791" w:type="dxa"/>
          </w:tcPr>
          <w:p>
            <w:pPr>
              <w:pStyle w:val="TableParagraph"/>
              <w:spacing w:before="55"/>
              <w:ind w:left="556" w:right="594"/>
              <w:jc w:val="center"/>
              <w:rPr>
                <w:b/>
                <w:sz w:val="24"/>
              </w:rPr>
            </w:pPr>
            <w:r>
              <w:rPr>
                <w:b/>
                <w:sz w:val="24"/>
              </w:rPr>
              <w:t>1060</w:t>
            </w:r>
          </w:p>
        </w:tc>
        <w:tc>
          <w:tcPr>
            <w:tcW w:w="1885" w:type="dxa"/>
          </w:tcPr>
          <w:p>
            <w:pPr>
              <w:pStyle w:val="TableParagraph"/>
              <w:spacing w:before="55"/>
              <w:ind w:left="596" w:right="646"/>
              <w:jc w:val="center"/>
              <w:rPr>
                <w:b/>
                <w:sz w:val="24"/>
              </w:rPr>
            </w:pPr>
            <w:r>
              <w:rPr>
                <w:b/>
                <w:sz w:val="24"/>
              </w:rPr>
              <w:t>1039</w:t>
            </w:r>
          </w:p>
        </w:tc>
      </w:tr>
      <w:tr>
        <w:trPr>
          <w:trHeight w:val="414" w:hRule="exact"/>
        </w:trPr>
        <w:tc>
          <w:tcPr>
            <w:tcW w:w="1714" w:type="dxa"/>
          </w:tcPr>
          <w:p>
            <w:pPr>
              <w:pStyle w:val="TableParagraph"/>
              <w:spacing w:before="57"/>
              <w:ind w:left="258" w:right="468"/>
              <w:jc w:val="center"/>
              <w:rPr>
                <w:b/>
                <w:sz w:val="24"/>
              </w:rPr>
            </w:pPr>
            <w:r>
              <w:rPr>
                <w:b/>
                <w:sz w:val="24"/>
              </w:rPr>
              <w:t>test 3</w:t>
            </w:r>
          </w:p>
        </w:tc>
        <w:tc>
          <w:tcPr>
            <w:tcW w:w="1594" w:type="dxa"/>
          </w:tcPr>
          <w:p>
            <w:pPr>
              <w:pStyle w:val="TableParagraph"/>
              <w:spacing w:before="57"/>
              <w:ind w:left="439"/>
              <w:rPr>
                <w:b/>
                <w:sz w:val="24"/>
              </w:rPr>
            </w:pPr>
            <w:r>
              <w:rPr>
                <w:b/>
                <w:sz w:val="24"/>
              </w:rPr>
              <w:t>1038</w:t>
            </w:r>
          </w:p>
        </w:tc>
        <w:tc>
          <w:tcPr>
            <w:tcW w:w="1796" w:type="dxa"/>
          </w:tcPr>
          <w:p>
            <w:pPr>
              <w:pStyle w:val="TableParagraph"/>
              <w:spacing w:before="57"/>
              <w:ind w:right="669"/>
              <w:jc w:val="right"/>
              <w:rPr>
                <w:b/>
                <w:sz w:val="24"/>
              </w:rPr>
            </w:pPr>
            <w:r>
              <w:rPr>
                <w:b/>
                <w:w w:val="95"/>
                <w:sz w:val="24"/>
              </w:rPr>
              <w:t>893</w:t>
            </w:r>
          </w:p>
        </w:tc>
        <w:tc>
          <w:tcPr>
            <w:tcW w:w="1791" w:type="dxa"/>
          </w:tcPr>
          <w:p>
            <w:pPr>
              <w:pStyle w:val="TableParagraph"/>
              <w:spacing w:before="57"/>
              <w:ind w:left="556" w:right="594"/>
              <w:jc w:val="center"/>
              <w:rPr>
                <w:b/>
                <w:sz w:val="24"/>
              </w:rPr>
            </w:pPr>
            <w:r>
              <w:rPr>
                <w:b/>
                <w:sz w:val="24"/>
              </w:rPr>
              <w:t>1222</w:t>
            </w:r>
          </w:p>
        </w:tc>
        <w:tc>
          <w:tcPr>
            <w:tcW w:w="1885" w:type="dxa"/>
          </w:tcPr>
          <w:p>
            <w:pPr>
              <w:pStyle w:val="TableParagraph"/>
              <w:spacing w:before="57"/>
              <w:ind w:left="596" w:right="646"/>
              <w:jc w:val="center"/>
              <w:rPr>
                <w:b/>
                <w:sz w:val="24"/>
              </w:rPr>
            </w:pPr>
            <w:r>
              <w:rPr>
                <w:b/>
                <w:sz w:val="24"/>
              </w:rPr>
              <w:t>1076</w:t>
            </w:r>
          </w:p>
        </w:tc>
      </w:tr>
      <w:tr>
        <w:trPr>
          <w:trHeight w:val="414" w:hRule="exact"/>
        </w:trPr>
        <w:tc>
          <w:tcPr>
            <w:tcW w:w="1714" w:type="dxa"/>
          </w:tcPr>
          <w:p>
            <w:pPr>
              <w:pStyle w:val="TableParagraph"/>
              <w:spacing w:before="55"/>
              <w:ind w:left="258" w:right="468"/>
              <w:jc w:val="center"/>
              <w:rPr>
                <w:b/>
                <w:sz w:val="24"/>
              </w:rPr>
            </w:pPr>
            <w:r>
              <w:rPr>
                <w:b/>
                <w:sz w:val="24"/>
              </w:rPr>
              <w:t>test 4</w:t>
            </w:r>
          </w:p>
        </w:tc>
        <w:tc>
          <w:tcPr>
            <w:tcW w:w="1594" w:type="dxa"/>
          </w:tcPr>
          <w:p>
            <w:pPr>
              <w:pStyle w:val="TableParagraph"/>
              <w:spacing w:before="55"/>
              <w:ind w:left="439"/>
              <w:rPr>
                <w:b/>
                <w:sz w:val="24"/>
              </w:rPr>
            </w:pPr>
            <w:r>
              <w:rPr>
                <w:b/>
                <w:sz w:val="24"/>
              </w:rPr>
              <w:t>1062</w:t>
            </w:r>
          </w:p>
        </w:tc>
        <w:tc>
          <w:tcPr>
            <w:tcW w:w="1796" w:type="dxa"/>
          </w:tcPr>
          <w:p>
            <w:pPr>
              <w:pStyle w:val="TableParagraph"/>
              <w:spacing w:before="55"/>
              <w:ind w:right="607"/>
              <w:jc w:val="right"/>
              <w:rPr>
                <w:b/>
                <w:sz w:val="24"/>
              </w:rPr>
            </w:pPr>
            <w:r>
              <w:rPr>
                <w:b/>
                <w:sz w:val="24"/>
              </w:rPr>
              <w:t>1143</w:t>
            </w:r>
          </w:p>
        </w:tc>
        <w:tc>
          <w:tcPr>
            <w:tcW w:w="1791" w:type="dxa"/>
          </w:tcPr>
          <w:p>
            <w:pPr>
              <w:pStyle w:val="TableParagraph"/>
              <w:spacing w:before="55"/>
              <w:ind w:left="555" w:right="594"/>
              <w:jc w:val="center"/>
              <w:rPr>
                <w:b/>
                <w:sz w:val="24"/>
              </w:rPr>
            </w:pPr>
            <w:r>
              <w:rPr>
                <w:b/>
                <w:sz w:val="24"/>
              </w:rPr>
              <w:t>952</w:t>
            </w:r>
          </w:p>
        </w:tc>
        <w:tc>
          <w:tcPr>
            <w:tcW w:w="1885" w:type="dxa"/>
          </w:tcPr>
          <w:p>
            <w:pPr>
              <w:pStyle w:val="TableParagraph"/>
              <w:spacing w:before="55"/>
              <w:ind w:left="596" w:right="647"/>
              <w:jc w:val="center"/>
              <w:rPr>
                <w:b/>
                <w:sz w:val="24"/>
              </w:rPr>
            </w:pPr>
            <w:r>
              <w:rPr>
                <w:b/>
                <w:sz w:val="24"/>
              </w:rPr>
              <w:t>939</w:t>
            </w:r>
          </w:p>
        </w:tc>
      </w:tr>
      <w:tr>
        <w:trPr>
          <w:trHeight w:val="414" w:hRule="exact"/>
        </w:trPr>
        <w:tc>
          <w:tcPr>
            <w:tcW w:w="1714" w:type="dxa"/>
          </w:tcPr>
          <w:p>
            <w:pPr>
              <w:pStyle w:val="TableParagraph"/>
              <w:spacing w:before="57"/>
              <w:ind w:left="258" w:right="468"/>
              <w:jc w:val="center"/>
              <w:rPr>
                <w:b/>
                <w:sz w:val="24"/>
              </w:rPr>
            </w:pPr>
            <w:r>
              <w:rPr>
                <w:b/>
                <w:sz w:val="24"/>
              </w:rPr>
              <w:t>test 5</w:t>
            </w:r>
          </w:p>
        </w:tc>
        <w:tc>
          <w:tcPr>
            <w:tcW w:w="1594" w:type="dxa"/>
          </w:tcPr>
          <w:p>
            <w:pPr>
              <w:pStyle w:val="TableParagraph"/>
              <w:spacing w:before="57"/>
              <w:ind w:left="504"/>
              <w:rPr>
                <w:b/>
                <w:sz w:val="24"/>
              </w:rPr>
            </w:pPr>
            <w:r>
              <w:rPr>
                <w:b/>
                <w:sz w:val="24"/>
              </w:rPr>
              <w:t>976</w:t>
            </w:r>
          </w:p>
        </w:tc>
        <w:tc>
          <w:tcPr>
            <w:tcW w:w="1796" w:type="dxa"/>
          </w:tcPr>
          <w:p>
            <w:pPr>
              <w:pStyle w:val="TableParagraph"/>
              <w:spacing w:before="57"/>
              <w:ind w:right="607"/>
              <w:jc w:val="right"/>
              <w:rPr>
                <w:b/>
                <w:sz w:val="24"/>
              </w:rPr>
            </w:pPr>
            <w:r>
              <w:rPr>
                <w:b/>
                <w:sz w:val="24"/>
              </w:rPr>
              <w:t>1088</w:t>
            </w:r>
          </w:p>
        </w:tc>
        <w:tc>
          <w:tcPr>
            <w:tcW w:w="1791" w:type="dxa"/>
          </w:tcPr>
          <w:p>
            <w:pPr>
              <w:pStyle w:val="TableParagraph"/>
              <w:spacing w:before="57"/>
              <w:ind w:left="556" w:right="594"/>
              <w:jc w:val="center"/>
              <w:rPr>
                <w:b/>
                <w:sz w:val="24"/>
              </w:rPr>
            </w:pPr>
            <w:r>
              <w:rPr>
                <w:b/>
                <w:sz w:val="24"/>
              </w:rPr>
              <w:t>1102</w:t>
            </w:r>
          </w:p>
        </w:tc>
        <w:tc>
          <w:tcPr>
            <w:tcW w:w="1885" w:type="dxa"/>
          </w:tcPr>
          <w:p>
            <w:pPr>
              <w:pStyle w:val="TableParagraph"/>
              <w:spacing w:before="57"/>
              <w:ind w:left="596" w:right="646"/>
              <w:jc w:val="center"/>
              <w:rPr>
                <w:b/>
                <w:sz w:val="24"/>
              </w:rPr>
            </w:pPr>
            <w:r>
              <w:rPr>
                <w:b/>
                <w:sz w:val="24"/>
              </w:rPr>
              <w:t>1115</w:t>
            </w:r>
          </w:p>
        </w:tc>
      </w:tr>
      <w:tr>
        <w:trPr>
          <w:trHeight w:val="414" w:hRule="exact"/>
        </w:trPr>
        <w:tc>
          <w:tcPr>
            <w:tcW w:w="1714" w:type="dxa"/>
          </w:tcPr>
          <w:p>
            <w:pPr>
              <w:pStyle w:val="TableParagraph"/>
              <w:spacing w:before="56"/>
              <w:ind w:left="258" w:right="468"/>
              <w:jc w:val="center"/>
              <w:rPr>
                <w:b/>
                <w:i/>
                <w:sz w:val="24"/>
              </w:rPr>
            </w:pPr>
            <w:r>
              <w:rPr>
                <w:b/>
                <w:i/>
                <w:sz w:val="24"/>
              </w:rPr>
              <w:t>Average</w:t>
            </w:r>
          </w:p>
        </w:tc>
        <w:tc>
          <w:tcPr>
            <w:tcW w:w="1594" w:type="dxa"/>
          </w:tcPr>
          <w:p>
            <w:pPr>
              <w:pStyle w:val="TableParagraph"/>
              <w:spacing w:before="56"/>
              <w:ind w:left="439"/>
              <w:rPr>
                <w:b/>
                <w:sz w:val="24"/>
              </w:rPr>
            </w:pPr>
            <w:r>
              <w:rPr>
                <w:b/>
                <w:sz w:val="24"/>
              </w:rPr>
              <w:t>1018</w:t>
            </w:r>
          </w:p>
        </w:tc>
        <w:tc>
          <w:tcPr>
            <w:tcW w:w="1796" w:type="dxa"/>
          </w:tcPr>
          <w:p>
            <w:pPr>
              <w:pStyle w:val="TableParagraph"/>
              <w:spacing w:before="56"/>
              <w:ind w:right="607"/>
              <w:jc w:val="right"/>
              <w:rPr>
                <w:b/>
                <w:sz w:val="24"/>
              </w:rPr>
            </w:pPr>
            <w:r>
              <w:rPr>
                <w:b/>
                <w:sz w:val="24"/>
              </w:rPr>
              <w:t>1002</w:t>
            </w:r>
          </w:p>
        </w:tc>
        <w:tc>
          <w:tcPr>
            <w:tcW w:w="1791" w:type="dxa"/>
          </w:tcPr>
          <w:p>
            <w:pPr>
              <w:pStyle w:val="TableParagraph"/>
              <w:spacing w:before="56"/>
              <w:ind w:left="556" w:right="594"/>
              <w:jc w:val="center"/>
              <w:rPr>
                <w:b/>
                <w:sz w:val="24"/>
              </w:rPr>
            </w:pPr>
            <w:r>
              <w:rPr>
                <w:b/>
                <w:sz w:val="24"/>
              </w:rPr>
              <w:t>1049</w:t>
            </w:r>
          </w:p>
        </w:tc>
        <w:tc>
          <w:tcPr>
            <w:tcW w:w="1885" w:type="dxa"/>
          </w:tcPr>
          <w:p>
            <w:pPr>
              <w:pStyle w:val="TableParagraph"/>
              <w:spacing w:before="56"/>
              <w:ind w:left="596" w:right="646"/>
              <w:jc w:val="center"/>
              <w:rPr>
                <w:b/>
                <w:sz w:val="24"/>
              </w:rPr>
            </w:pPr>
            <w:r>
              <w:rPr>
                <w:b/>
                <w:sz w:val="24"/>
              </w:rPr>
              <w:t>1031</w:t>
            </w:r>
          </w:p>
        </w:tc>
      </w:tr>
      <w:tr>
        <w:trPr>
          <w:trHeight w:val="896" w:hRule="exact"/>
        </w:trPr>
        <w:tc>
          <w:tcPr>
            <w:tcW w:w="1714" w:type="dxa"/>
            <w:tcBorders>
              <w:bottom w:val="single" w:sz="8" w:space="0" w:color="000000"/>
            </w:tcBorders>
          </w:tcPr>
          <w:p>
            <w:pPr>
              <w:pStyle w:val="TableParagraph"/>
              <w:spacing w:line="360" w:lineRule="auto" w:before="57"/>
              <w:ind w:left="223" w:right="417" w:firstLine="4"/>
              <w:rPr>
                <w:b/>
                <w:sz w:val="24"/>
              </w:rPr>
            </w:pPr>
            <w:r>
              <w:rPr>
                <w:b/>
                <w:sz w:val="24"/>
              </w:rPr>
              <w:t>Standard deviation</w:t>
            </w:r>
          </w:p>
        </w:tc>
        <w:tc>
          <w:tcPr>
            <w:tcW w:w="1594" w:type="dxa"/>
            <w:tcBorders>
              <w:bottom w:val="single" w:sz="8" w:space="0" w:color="000000"/>
            </w:tcBorders>
          </w:tcPr>
          <w:p>
            <w:pPr>
              <w:pStyle w:val="TableParagraph"/>
              <w:spacing w:before="10"/>
              <w:rPr>
                <w:rFonts w:ascii="Times New Roman"/>
                <w:sz w:val="22"/>
              </w:rPr>
            </w:pPr>
          </w:p>
          <w:p>
            <w:pPr>
              <w:pStyle w:val="TableParagraph"/>
              <w:ind w:left="470"/>
              <w:rPr>
                <w:b/>
                <w:sz w:val="24"/>
              </w:rPr>
            </w:pPr>
            <w:r>
              <w:rPr>
                <w:b/>
                <w:sz w:val="24"/>
              </w:rPr>
              <w:t>37.2</w:t>
            </w:r>
          </w:p>
        </w:tc>
        <w:tc>
          <w:tcPr>
            <w:tcW w:w="1796" w:type="dxa"/>
            <w:tcBorders>
              <w:bottom w:val="single" w:sz="8" w:space="0" w:color="000000"/>
            </w:tcBorders>
          </w:tcPr>
          <w:p>
            <w:pPr>
              <w:pStyle w:val="TableParagraph"/>
              <w:spacing w:before="10"/>
              <w:rPr>
                <w:rFonts w:ascii="Times New Roman"/>
                <w:sz w:val="22"/>
              </w:rPr>
            </w:pPr>
          </w:p>
          <w:p>
            <w:pPr>
              <w:pStyle w:val="TableParagraph"/>
              <w:ind w:right="572"/>
              <w:jc w:val="right"/>
              <w:rPr>
                <w:b/>
                <w:sz w:val="24"/>
              </w:rPr>
            </w:pPr>
            <w:r>
              <w:rPr>
                <w:b/>
                <w:sz w:val="24"/>
              </w:rPr>
              <w:t>140.1</w:t>
            </w:r>
          </w:p>
        </w:tc>
        <w:tc>
          <w:tcPr>
            <w:tcW w:w="1791" w:type="dxa"/>
            <w:tcBorders>
              <w:bottom w:val="single" w:sz="8" w:space="0" w:color="000000"/>
            </w:tcBorders>
          </w:tcPr>
          <w:p>
            <w:pPr>
              <w:pStyle w:val="TableParagraph"/>
              <w:spacing w:before="10"/>
              <w:rPr>
                <w:rFonts w:ascii="Times New Roman"/>
                <w:sz w:val="22"/>
              </w:rPr>
            </w:pPr>
          </w:p>
          <w:p>
            <w:pPr>
              <w:pStyle w:val="TableParagraph"/>
              <w:ind w:left="556" w:right="594"/>
              <w:jc w:val="center"/>
              <w:rPr>
                <w:b/>
                <w:sz w:val="24"/>
              </w:rPr>
            </w:pPr>
            <w:r>
              <w:rPr>
                <w:b/>
                <w:sz w:val="24"/>
              </w:rPr>
              <w:t>124.2</w:t>
            </w:r>
          </w:p>
        </w:tc>
        <w:tc>
          <w:tcPr>
            <w:tcW w:w="1885" w:type="dxa"/>
            <w:tcBorders>
              <w:bottom w:val="single" w:sz="8" w:space="0" w:color="000000"/>
            </w:tcBorders>
          </w:tcPr>
          <w:p>
            <w:pPr>
              <w:pStyle w:val="TableParagraph"/>
              <w:spacing w:before="10"/>
              <w:rPr>
                <w:rFonts w:ascii="Times New Roman"/>
                <w:sz w:val="22"/>
              </w:rPr>
            </w:pPr>
          </w:p>
          <w:p>
            <w:pPr>
              <w:pStyle w:val="TableParagraph"/>
              <w:ind w:left="594" w:right="647"/>
              <w:jc w:val="center"/>
              <w:rPr>
                <w:b/>
                <w:sz w:val="24"/>
              </w:rPr>
            </w:pPr>
            <w:r>
              <w:rPr>
                <w:b/>
                <w:sz w:val="24"/>
              </w:rPr>
              <w:t>70.5</w:t>
            </w:r>
          </w:p>
        </w:tc>
      </w:tr>
      <w:tr>
        <w:trPr>
          <w:trHeight w:val="572" w:hRule="exact"/>
        </w:trPr>
        <w:tc>
          <w:tcPr>
            <w:tcW w:w="8781" w:type="dxa"/>
            <w:gridSpan w:val="5"/>
            <w:tcBorders>
              <w:top w:val="single" w:sz="8" w:space="0" w:color="000000"/>
            </w:tcBorders>
          </w:tcPr>
          <w:p>
            <w:pPr>
              <w:pStyle w:val="TableParagraph"/>
              <w:spacing w:line="274" w:lineRule="exact"/>
              <w:ind w:left="69"/>
              <w:rPr>
                <w:b/>
                <w:sz w:val="24"/>
              </w:rPr>
            </w:pPr>
            <w:r>
              <w:rPr>
                <w:b/>
                <w:sz w:val="24"/>
              </w:rPr>
              <w:t>(c) Municipal wastewater plant (Cerro de la Estrella)</w:t>
            </w:r>
          </w:p>
        </w:tc>
      </w:tr>
      <w:tr>
        <w:trPr>
          <w:trHeight w:val="620" w:hRule="exact"/>
        </w:trPr>
        <w:tc>
          <w:tcPr>
            <w:tcW w:w="1714" w:type="dxa"/>
          </w:tcPr>
          <w:p>
            <w:pPr>
              <w:pStyle w:val="TableParagraph"/>
              <w:spacing w:before="10"/>
              <w:rPr>
                <w:rFonts w:ascii="Times New Roman"/>
                <w:sz w:val="22"/>
              </w:rPr>
            </w:pPr>
          </w:p>
          <w:p>
            <w:pPr>
              <w:pStyle w:val="TableParagraph"/>
              <w:ind w:left="258" w:right="468"/>
              <w:jc w:val="center"/>
              <w:rPr>
                <w:b/>
                <w:sz w:val="24"/>
              </w:rPr>
            </w:pPr>
            <w:r>
              <w:rPr>
                <w:b/>
                <w:sz w:val="24"/>
              </w:rPr>
              <w:t>test1</w:t>
            </w:r>
          </w:p>
        </w:tc>
        <w:tc>
          <w:tcPr>
            <w:tcW w:w="1594" w:type="dxa"/>
          </w:tcPr>
          <w:p>
            <w:pPr>
              <w:pStyle w:val="TableParagraph"/>
              <w:spacing w:before="10"/>
              <w:rPr>
                <w:rFonts w:ascii="Times New Roman"/>
                <w:sz w:val="22"/>
              </w:rPr>
            </w:pPr>
          </w:p>
          <w:p>
            <w:pPr>
              <w:pStyle w:val="TableParagraph"/>
              <w:ind w:left="439"/>
              <w:rPr>
                <w:b/>
                <w:sz w:val="24"/>
              </w:rPr>
            </w:pPr>
            <w:r>
              <w:rPr>
                <w:b/>
                <w:sz w:val="24"/>
              </w:rPr>
              <w:t>1726</w:t>
            </w:r>
          </w:p>
        </w:tc>
        <w:tc>
          <w:tcPr>
            <w:tcW w:w="1796" w:type="dxa"/>
          </w:tcPr>
          <w:p>
            <w:pPr>
              <w:pStyle w:val="TableParagraph"/>
              <w:spacing w:before="10"/>
              <w:rPr>
                <w:rFonts w:ascii="Times New Roman"/>
                <w:sz w:val="22"/>
              </w:rPr>
            </w:pPr>
          </w:p>
          <w:p>
            <w:pPr>
              <w:pStyle w:val="TableParagraph"/>
              <w:ind w:right="607"/>
              <w:jc w:val="right"/>
              <w:rPr>
                <w:b/>
                <w:sz w:val="24"/>
              </w:rPr>
            </w:pPr>
            <w:r>
              <w:rPr>
                <w:b/>
                <w:sz w:val="24"/>
              </w:rPr>
              <w:t>1770</w:t>
            </w:r>
          </w:p>
        </w:tc>
        <w:tc>
          <w:tcPr>
            <w:tcW w:w="1791" w:type="dxa"/>
          </w:tcPr>
          <w:p>
            <w:pPr>
              <w:pStyle w:val="TableParagraph"/>
              <w:spacing w:before="10"/>
              <w:rPr>
                <w:rFonts w:ascii="Times New Roman"/>
                <w:sz w:val="22"/>
              </w:rPr>
            </w:pPr>
          </w:p>
          <w:p>
            <w:pPr>
              <w:pStyle w:val="TableParagraph"/>
              <w:ind w:left="556" w:right="594"/>
              <w:jc w:val="center"/>
              <w:rPr>
                <w:b/>
                <w:sz w:val="24"/>
              </w:rPr>
            </w:pPr>
            <w:r>
              <w:rPr>
                <w:b/>
                <w:sz w:val="24"/>
              </w:rPr>
              <w:t>1744</w:t>
            </w:r>
          </w:p>
        </w:tc>
        <w:tc>
          <w:tcPr>
            <w:tcW w:w="1885" w:type="dxa"/>
          </w:tcPr>
          <w:p>
            <w:pPr>
              <w:pStyle w:val="TableParagraph"/>
              <w:spacing w:before="10"/>
              <w:rPr>
                <w:rFonts w:ascii="Times New Roman"/>
                <w:sz w:val="22"/>
              </w:rPr>
            </w:pPr>
          </w:p>
          <w:p>
            <w:pPr>
              <w:pStyle w:val="TableParagraph"/>
              <w:ind w:left="596" w:right="646"/>
              <w:jc w:val="center"/>
              <w:rPr>
                <w:b/>
                <w:sz w:val="24"/>
              </w:rPr>
            </w:pPr>
            <w:r>
              <w:rPr>
                <w:b/>
                <w:sz w:val="24"/>
              </w:rPr>
              <w:t>1815</w:t>
            </w:r>
          </w:p>
        </w:tc>
      </w:tr>
      <w:tr>
        <w:trPr>
          <w:trHeight w:val="414" w:hRule="exact"/>
        </w:trPr>
        <w:tc>
          <w:tcPr>
            <w:tcW w:w="1714" w:type="dxa"/>
          </w:tcPr>
          <w:p>
            <w:pPr>
              <w:pStyle w:val="TableParagraph"/>
              <w:spacing w:before="55"/>
              <w:ind w:left="258" w:right="468"/>
              <w:jc w:val="center"/>
              <w:rPr>
                <w:b/>
                <w:sz w:val="24"/>
              </w:rPr>
            </w:pPr>
            <w:r>
              <w:rPr>
                <w:b/>
                <w:sz w:val="24"/>
              </w:rPr>
              <w:t>test 2</w:t>
            </w:r>
          </w:p>
        </w:tc>
        <w:tc>
          <w:tcPr>
            <w:tcW w:w="1594" w:type="dxa"/>
          </w:tcPr>
          <w:p>
            <w:pPr>
              <w:pStyle w:val="TableParagraph"/>
              <w:spacing w:before="55"/>
              <w:ind w:left="439"/>
              <w:rPr>
                <w:b/>
                <w:sz w:val="24"/>
              </w:rPr>
            </w:pPr>
            <w:r>
              <w:rPr>
                <w:b/>
                <w:sz w:val="24"/>
              </w:rPr>
              <w:t>1805</w:t>
            </w:r>
          </w:p>
        </w:tc>
        <w:tc>
          <w:tcPr>
            <w:tcW w:w="1796" w:type="dxa"/>
          </w:tcPr>
          <w:p>
            <w:pPr>
              <w:pStyle w:val="TableParagraph"/>
              <w:spacing w:before="55"/>
              <w:ind w:right="607"/>
              <w:jc w:val="right"/>
              <w:rPr>
                <w:b/>
                <w:sz w:val="24"/>
              </w:rPr>
            </w:pPr>
            <w:r>
              <w:rPr>
                <w:b/>
                <w:sz w:val="24"/>
              </w:rPr>
              <w:t>1773</w:t>
            </w:r>
          </w:p>
        </w:tc>
        <w:tc>
          <w:tcPr>
            <w:tcW w:w="1791" w:type="dxa"/>
          </w:tcPr>
          <w:p>
            <w:pPr>
              <w:pStyle w:val="TableParagraph"/>
              <w:spacing w:before="55"/>
              <w:ind w:left="556" w:right="594"/>
              <w:jc w:val="center"/>
              <w:rPr>
                <w:b/>
                <w:sz w:val="24"/>
              </w:rPr>
            </w:pPr>
            <w:r>
              <w:rPr>
                <w:b/>
                <w:sz w:val="24"/>
              </w:rPr>
              <w:t>1646</w:t>
            </w:r>
          </w:p>
        </w:tc>
        <w:tc>
          <w:tcPr>
            <w:tcW w:w="1885" w:type="dxa"/>
          </w:tcPr>
          <w:p>
            <w:pPr>
              <w:pStyle w:val="TableParagraph"/>
              <w:spacing w:before="55"/>
              <w:ind w:left="596" w:right="646"/>
              <w:jc w:val="center"/>
              <w:rPr>
                <w:b/>
                <w:sz w:val="24"/>
              </w:rPr>
            </w:pPr>
            <w:r>
              <w:rPr>
                <w:b/>
                <w:sz w:val="24"/>
              </w:rPr>
              <w:t>1602</w:t>
            </w:r>
          </w:p>
        </w:tc>
      </w:tr>
      <w:tr>
        <w:trPr>
          <w:trHeight w:val="414" w:hRule="exact"/>
        </w:trPr>
        <w:tc>
          <w:tcPr>
            <w:tcW w:w="1714" w:type="dxa"/>
          </w:tcPr>
          <w:p>
            <w:pPr>
              <w:pStyle w:val="TableParagraph"/>
              <w:spacing w:before="57"/>
              <w:ind w:left="258" w:right="468"/>
              <w:jc w:val="center"/>
              <w:rPr>
                <w:b/>
                <w:sz w:val="24"/>
              </w:rPr>
            </w:pPr>
            <w:r>
              <w:rPr>
                <w:b/>
                <w:sz w:val="24"/>
              </w:rPr>
              <w:t>test 3</w:t>
            </w:r>
          </w:p>
        </w:tc>
        <w:tc>
          <w:tcPr>
            <w:tcW w:w="1594" w:type="dxa"/>
          </w:tcPr>
          <w:p>
            <w:pPr>
              <w:pStyle w:val="TableParagraph"/>
              <w:spacing w:before="57"/>
              <w:ind w:left="439"/>
              <w:rPr>
                <w:b/>
                <w:sz w:val="24"/>
              </w:rPr>
            </w:pPr>
            <w:r>
              <w:rPr>
                <w:b/>
                <w:sz w:val="24"/>
              </w:rPr>
              <w:t>1694</w:t>
            </w:r>
          </w:p>
        </w:tc>
        <w:tc>
          <w:tcPr>
            <w:tcW w:w="1796" w:type="dxa"/>
          </w:tcPr>
          <w:p>
            <w:pPr>
              <w:pStyle w:val="TableParagraph"/>
              <w:spacing w:before="57"/>
              <w:ind w:right="607"/>
              <w:jc w:val="right"/>
              <w:rPr>
                <w:b/>
                <w:sz w:val="24"/>
              </w:rPr>
            </w:pPr>
            <w:r>
              <w:rPr>
                <w:b/>
                <w:sz w:val="24"/>
              </w:rPr>
              <w:t>1623</w:t>
            </w:r>
          </w:p>
        </w:tc>
        <w:tc>
          <w:tcPr>
            <w:tcW w:w="1791" w:type="dxa"/>
          </w:tcPr>
          <w:p>
            <w:pPr>
              <w:pStyle w:val="TableParagraph"/>
              <w:spacing w:before="57"/>
              <w:ind w:left="556" w:right="594"/>
              <w:jc w:val="center"/>
              <w:rPr>
                <w:b/>
                <w:sz w:val="24"/>
              </w:rPr>
            </w:pPr>
            <w:r>
              <w:rPr>
                <w:b/>
                <w:sz w:val="24"/>
              </w:rPr>
              <w:t>1746</w:t>
            </w:r>
          </w:p>
        </w:tc>
        <w:tc>
          <w:tcPr>
            <w:tcW w:w="1885" w:type="dxa"/>
          </w:tcPr>
          <w:p>
            <w:pPr>
              <w:pStyle w:val="TableParagraph"/>
              <w:spacing w:before="57"/>
              <w:ind w:left="596" w:right="646"/>
              <w:jc w:val="center"/>
              <w:rPr>
                <w:b/>
                <w:sz w:val="24"/>
              </w:rPr>
            </w:pPr>
            <w:r>
              <w:rPr>
                <w:b/>
                <w:sz w:val="24"/>
              </w:rPr>
              <w:t>1595</w:t>
            </w:r>
          </w:p>
        </w:tc>
      </w:tr>
      <w:tr>
        <w:trPr>
          <w:trHeight w:val="414" w:hRule="exact"/>
        </w:trPr>
        <w:tc>
          <w:tcPr>
            <w:tcW w:w="1714" w:type="dxa"/>
          </w:tcPr>
          <w:p>
            <w:pPr>
              <w:pStyle w:val="TableParagraph"/>
              <w:spacing w:before="55"/>
              <w:ind w:left="258" w:right="468"/>
              <w:jc w:val="center"/>
              <w:rPr>
                <w:b/>
                <w:sz w:val="24"/>
              </w:rPr>
            </w:pPr>
            <w:r>
              <w:rPr>
                <w:b/>
                <w:sz w:val="24"/>
              </w:rPr>
              <w:t>test 4</w:t>
            </w:r>
          </w:p>
        </w:tc>
        <w:tc>
          <w:tcPr>
            <w:tcW w:w="1594" w:type="dxa"/>
          </w:tcPr>
          <w:p>
            <w:pPr>
              <w:pStyle w:val="TableParagraph"/>
              <w:spacing w:before="55"/>
              <w:ind w:left="439"/>
              <w:rPr>
                <w:b/>
                <w:sz w:val="24"/>
              </w:rPr>
            </w:pPr>
            <w:r>
              <w:rPr>
                <w:b/>
                <w:sz w:val="24"/>
              </w:rPr>
              <w:t>1685</w:t>
            </w:r>
          </w:p>
        </w:tc>
        <w:tc>
          <w:tcPr>
            <w:tcW w:w="1796" w:type="dxa"/>
          </w:tcPr>
          <w:p>
            <w:pPr>
              <w:pStyle w:val="TableParagraph"/>
              <w:spacing w:before="55"/>
              <w:ind w:right="607"/>
              <w:jc w:val="right"/>
              <w:rPr>
                <w:b/>
                <w:sz w:val="24"/>
              </w:rPr>
            </w:pPr>
            <w:r>
              <w:rPr>
                <w:b/>
                <w:sz w:val="24"/>
              </w:rPr>
              <w:t>1886</w:t>
            </w:r>
          </w:p>
        </w:tc>
        <w:tc>
          <w:tcPr>
            <w:tcW w:w="1791" w:type="dxa"/>
          </w:tcPr>
          <w:p>
            <w:pPr>
              <w:pStyle w:val="TableParagraph"/>
              <w:spacing w:before="55"/>
              <w:ind w:left="556" w:right="594"/>
              <w:jc w:val="center"/>
              <w:rPr>
                <w:b/>
                <w:sz w:val="24"/>
              </w:rPr>
            </w:pPr>
            <w:r>
              <w:rPr>
                <w:b/>
                <w:sz w:val="24"/>
              </w:rPr>
              <w:t>1784</w:t>
            </w:r>
          </w:p>
        </w:tc>
        <w:tc>
          <w:tcPr>
            <w:tcW w:w="1885" w:type="dxa"/>
          </w:tcPr>
          <w:p>
            <w:pPr>
              <w:pStyle w:val="TableParagraph"/>
              <w:spacing w:before="55"/>
              <w:ind w:left="596" w:right="646"/>
              <w:jc w:val="center"/>
              <w:rPr>
                <w:b/>
                <w:sz w:val="24"/>
              </w:rPr>
            </w:pPr>
            <w:r>
              <w:rPr>
                <w:b/>
                <w:sz w:val="24"/>
              </w:rPr>
              <w:t>1912</w:t>
            </w:r>
          </w:p>
        </w:tc>
      </w:tr>
      <w:tr>
        <w:trPr>
          <w:trHeight w:val="414" w:hRule="exact"/>
        </w:trPr>
        <w:tc>
          <w:tcPr>
            <w:tcW w:w="1714" w:type="dxa"/>
          </w:tcPr>
          <w:p>
            <w:pPr>
              <w:pStyle w:val="TableParagraph"/>
              <w:spacing w:before="57"/>
              <w:ind w:left="258" w:right="468"/>
              <w:jc w:val="center"/>
              <w:rPr>
                <w:b/>
                <w:sz w:val="24"/>
              </w:rPr>
            </w:pPr>
            <w:r>
              <w:rPr>
                <w:b/>
                <w:sz w:val="24"/>
              </w:rPr>
              <w:t>test 5</w:t>
            </w:r>
          </w:p>
        </w:tc>
        <w:tc>
          <w:tcPr>
            <w:tcW w:w="1594" w:type="dxa"/>
          </w:tcPr>
          <w:p>
            <w:pPr>
              <w:pStyle w:val="TableParagraph"/>
              <w:spacing w:before="57"/>
              <w:ind w:left="439"/>
              <w:rPr>
                <w:b/>
                <w:sz w:val="24"/>
              </w:rPr>
            </w:pPr>
            <w:r>
              <w:rPr>
                <w:b/>
                <w:sz w:val="24"/>
              </w:rPr>
              <w:t>1807</w:t>
            </w:r>
          </w:p>
        </w:tc>
        <w:tc>
          <w:tcPr>
            <w:tcW w:w="1796" w:type="dxa"/>
          </w:tcPr>
          <w:p>
            <w:pPr>
              <w:pStyle w:val="TableParagraph"/>
              <w:spacing w:before="57"/>
              <w:ind w:right="607"/>
              <w:jc w:val="right"/>
              <w:rPr>
                <w:b/>
                <w:sz w:val="24"/>
              </w:rPr>
            </w:pPr>
            <w:r>
              <w:rPr>
                <w:b/>
                <w:sz w:val="24"/>
              </w:rPr>
              <w:t>1772</w:t>
            </w:r>
          </w:p>
        </w:tc>
        <w:tc>
          <w:tcPr>
            <w:tcW w:w="1791" w:type="dxa"/>
          </w:tcPr>
          <w:p>
            <w:pPr>
              <w:pStyle w:val="TableParagraph"/>
              <w:spacing w:before="57"/>
              <w:ind w:left="556" w:right="594"/>
              <w:jc w:val="center"/>
              <w:rPr>
                <w:b/>
                <w:sz w:val="24"/>
              </w:rPr>
            </w:pPr>
            <w:r>
              <w:rPr>
                <w:b/>
                <w:sz w:val="24"/>
              </w:rPr>
              <w:t>1721</w:t>
            </w:r>
          </w:p>
        </w:tc>
        <w:tc>
          <w:tcPr>
            <w:tcW w:w="1885" w:type="dxa"/>
          </w:tcPr>
          <w:p>
            <w:pPr>
              <w:pStyle w:val="TableParagraph"/>
              <w:spacing w:before="57"/>
              <w:ind w:left="596" w:right="646"/>
              <w:jc w:val="center"/>
              <w:rPr>
                <w:b/>
                <w:sz w:val="24"/>
              </w:rPr>
            </w:pPr>
            <w:r>
              <w:rPr>
                <w:b/>
                <w:sz w:val="24"/>
              </w:rPr>
              <w:t>1695</w:t>
            </w:r>
          </w:p>
        </w:tc>
      </w:tr>
      <w:tr>
        <w:trPr>
          <w:trHeight w:val="414" w:hRule="exact"/>
        </w:trPr>
        <w:tc>
          <w:tcPr>
            <w:tcW w:w="1714" w:type="dxa"/>
          </w:tcPr>
          <w:p>
            <w:pPr>
              <w:pStyle w:val="TableParagraph"/>
              <w:spacing w:before="55"/>
              <w:ind w:left="258" w:right="468"/>
              <w:jc w:val="center"/>
              <w:rPr>
                <w:b/>
                <w:i/>
                <w:sz w:val="24"/>
              </w:rPr>
            </w:pPr>
            <w:r>
              <w:rPr>
                <w:b/>
                <w:i/>
                <w:sz w:val="24"/>
              </w:rPr>
              <w:t>Average</w:t>
            </w:r>
          </w:p>
        </w:tc>
        <w:tc>
          <w:tcPr>
            <w:tcW w:w="1594" w:type="dxa"/>
          </w:tcPr>
          <w:p>
            <w:pPr>
              <w:pStyle w:val="TableParagraph"/>
              <w:spacing w:before="55"/>
              <w:ind w:left="439"/>
              <w:rPr>
                <w:b/>
                <w:sz w:val="24"/>
              </w:rPr>
            </w:pPr>
            <w:r>
              <w:rPr>
                <w:b/>
                <w:sz w:val="24"/>
              </w:rPr>
              <w:t>1744</w:t>
            </w:r>
          </w:p>
        </w:tc>
        <w:tc>
          <w:tcPr>
            <w:tcW w:w="1796" w:type="dxa"/>
          </w:tcPr>
          <w:p>
            <w:pPr>
              <w:pStyle w:val="TableParagraph"/>
              <w:spacing w:before="55"/>
              <w:ind w:right="607"/>
              <w:jc w:val="right"/>
              <w:rPr>
                <w:b/>
                <w:sz w:val="24"/>
              </w:rPr>
            </w:pPr>
            <w:r>
              <w:rPr>
                <w:b/>
                <w:sz w:val="24"/>
              </w:rPr>
              <w:t>1765</w:t>
            </w:r>
          </w:p>
        </w:tc>
        <w:tc>
          <w:tcPr>
            <w:tcW w:w="1791" w:type="dxa"/>
          </w:tcPr>
          <w:p>
            <w:pPr>
              <w:pStyle w:val="TableParagraph"/>
              <w:spacing w:before="55"/>
              <w:ind w:left="556" w:right="594"/>
              <w:jc w:val="center"/>
              <w:rPr>
                <w:b/>
                <w:sz w:val="24"/>
              </w:rPr>
            </w:pPr>
            <w:r>
              <w:rPr>
                <w:b/>
                <w:sz w:val="24"/>
              </w:rPr>
              <w:t>1728</w:t>
            </w:r>
          </w:p>
        </w:tc>
        <w:tc>
          <w:tcPr>
            <w:tcW w:w="1885" w:type="dxa"/>
          </w:tcPr>
          <w:p>
            <w:pPr>
              <w:pStyle w:val="TableParagraph"/>
              <w:spacing w:before="55"/>
              <w:ind w:left="596" w:right="646"/>
              <w:jc w:val="center"/>
              <w:rPr>
                <w:b/>
                <w:sz w:val="24"/>
              </w:rPr>
            </w:pPr>
            <w:r>
              <w:rPr>
                <w:b/>
                <w:sz w:val="24"/>
              </w:rPr>
              <w:t>1724</w:t>
            </w:r>
          </w:p>
        </w:tc>
      </w:tr>
      <w:tr>
        <w:trPr>
          <w:trHeight w:val="1309" w:hRule="exact"/>
        </w:trPr>
        <w:tc>
          <w:tcPr>
            <w:tcW w:w="1714" w:type="dxa"/>
            <w:tcBorders>
              <w:bottom w:val="single" w:sz="8" w:space="0" w:color="000000"/>
            </w:tcBorders>
          </w:tcPr>
          <w:p>
            <w:pPr>
              <w:pStyle w:val="TableParagraph"/>
              <w:spacing w:line="360" w:lineRule="auto" w:before="57"/>
              <w:ind w:left="223" w:right="417" w:firstLine="4"/>
              <w:rPr>
                <w:b/>
                <w:sz w:val="24"/>
              </w:rPr>
            </w:pPr>
            <w:r>
              <w:rPr>
                <w:b/>
                <w:sz w:val="24"/>
              </w:rPr>
              <w:t>Standard deviation</w:t>
            </w:r>
          </w:p>
        </w:tc>
        <w:tc>
          <w:tcPr>
            <w:tcW w:w="1594" w:type="dxa"/>
            <w:tcBorders>
              <w:bottom w:val="single" w:sz="8" w:space="0" w:color="000000"/>
            </w:tcBorders>
          </w:tcPr>
          <w:p>
            <w:pPr>
              <w:pStyle w:val="TableParagraph"/>
              <w:spacing w:before="10"/>
              <w:rPr>
                <w:rFonts w:ascii="Times New Roman"/>
                <w:sz w:val="22"/>
              </w:rPr>
            </w:pPr>
          </w:p>
          <w:p>
            <w:pPr>
              <w:pStyle w:val="TableParagraph"/>
              <w:ind w:left="470"/>
              <w:rPr>
                <w:b/>
                <w:sz w:val="24"/>
              </w:rPr>
            </w:pPr>
            <w:r>
              <w:rPr>
                <w:b/>
                <w:sz w:val="24"/>
              </w:rPr>
              <w:t>59.1</w:t>
            </w:r>
          </w:p>
        </w:tc>
        <w:tc>
          <w:tcPr>
            <w:tcW w:w="1796" w:type="dxa"/>
            <w:tcBorders>
              <w:bottom w:val="single" w:sz="8" w:space="0" w:color="000000"/>
            </w:tcBorders>
          </w:tcPr>
          <w:p>
            <w:pPr>
              <w:pStyle w:val="TableParagraph"/>
              <w:spacing w:before="10"/>
              <w:rPr>
                <w:rFonts w:ascii="Times New Roman"/>
                <w:sz w:val="22"/>
              </w:rPr>
            </w:pPr>
          </w:p>
          <w:p>
            <w:pPr>
              <w:pStyle w:val="TableParagraph"/>
              <w:ind w:right="637"/>
              <w:jc w:val="right"/>
              <w:rPr>
                <w:b/>
                <w:sz w:val="24"/>
              </w:rPr>
            </w:pPr>
            <w:r>
              <w:rPr>
                <w:b/>
                <w:w w:val="95"/>
                <w:sz w:val="24"/>
              </w:rPr>
              <w:t>93.1</w:t>
            </w:r>
          </w:p>
        </w:tc>
        <w:tc>
          <w:tcPr>
            <w:tcW w:w="1791" w:type="dxa"/>
            <w:tcBorders>
              <w:bottom w:val="single" w:sz="8" w:space="0" w:color="000000"/>
            </w:tcBorders>
          </w:tcPr>
          <w:p>
            <w:pPr>
              <w:pStyle w:val="TableParagraph"/>
              <w:spacing w:before="10"/>
              <w:rPr>
                <w:rFonts w:ascii="Times New Roman"/>
                <w:sz w:val="22"/>
              </w:rPr>
            </w:pPr>
          </w:p>
          <w:p>
            <w:pPr>
              <w:pStyle w:val="TableParagraph"/>
              <w:ind w:left="553" w:right="594"/>
              <w:jc w:val="center"/>
              <w:rPr>
                <w:b/>
                <w:sz w:val="24"/>
              </w:rPr>
            </w:pPr>
            <w:r>
              <w:rPr>
                <w:b/>
                <w:sz w:val="24"/>
              </w:rPr>
              <w:t>51.4</w:t>
            </w:r>
          </w:p>
        </w:tc>
        <w:tc>
          <w:tcPr>
            <w:tcW w:w="1885" w:type="dxa"/>
            <w:tcBorders>
              <w:bottom w:val="single" w:sz="8" w:space="0" w:color="000000"/>
            </w:tcBorders>
          </w:tcPr>
          <w:p>
            <w:pPr>
              <w:pStyle w:val="TableParagraph"/>
              <w:spacing w:before="10"/>
              <w:rPr>
                <w:rFonts w:ascii="Times New Roman"/>
                <w:sz w:val="22"/>
              </w:rPr>
            </w:pPr>
          </w:p>
          <w:p>
            <w:pPr>
              <w:pStyle w:val="TableParagraph"/>
              <w:ind w:left="596" w:right="647"/>
              <w:jc w:val="center"/>
              <w:rPr>
                <w:b/>
                <w:sz w:val="24"/>
              </w:rPr>
            </w:pPr>
            <w:r>
              <w:rPr>
                <w:b/>
                <w:sz w:val="24"/>
              </w:rPr>
              <w:t>137.8</w:t>
            </w:r>
          </w:p>
        </w:tc>
      </w:tr>
      <w:tr>
        <w:trPr>
          <w:trHeight w:val="575" w:hRule="exact"/>
        </w:trPr>
        <w:tc>
          <w:tcPr>
            <w:tcW w:w="8781" w:type="dxa"/>
            <w:gridSpan w:val="5"/>
            <w:tcBorders>
              <w:top w:val="single" w:sz="8" w:space="0" w:color="000000"/>
            </w:tcBorders>
          </w:tcPr>
          <w:p>
            <w:pPr>
              <w:pStyle w:val="TableParagraph"/>
              <w:ind w:left="69"/>
              <w:rPr>
                <w:b/>
                <w:sz w:val="24"/>
              </w:rPr>
            </w:pPr>
            <w:r>
              <w:rPr>
                <w:b/>
                <w:sz w:val="24"/>
              </w:rPr>
              <w:t>(d) Chocolate production wastewater</w:t>
            </w:r>
          </w:p>
        </w:tc>
      </w:tr>
      <w:tr>
        <w:trPr>
          <w:trHeight w:val="621" w:hRule="exact"/>
        </w:trPr>
        <w:tc>
          <w:tcPr>
            <w:tcW w:w="1714" w:type="dxa"/>
          </w:tcPr>
          <w:p>
            <w:pPr>
              <w:pStyle w:val="TableParagraph"/>
              <w:spacing w:before="10"/>
              <w:rPr>
                <w:rFonts w:ascii="Times New Roman"/>
                <w:sz w:val="22"/>
              </w:rPr>
            </w:pPr>
          </w:p>
          <w:p>
            <w:pPr>
              <w:pStyle w:val="TableParagraph"/>
              <w:ind w:left="258" w:right="468"/>
              <w:jc w:val="center"/>
              <w:rPr>
                <w:b/>
                <w:sz w:val="24"/>
              </w:rPr>
            </w:pPr>
            <w:r>
              <w:rPr>
                <w:b/>
                <w:sz w:val="24"/>
              </w:rPr>
              <w:t>test1</w:t>
            </w:r>
          </w:p>
        </w:tc>
        <w:tc>
          <w:tcPr>
            <w:tcW w:w="1594" w:type="dxa"/>
          </w:tcPr>
          <w:p>
            <w:pPr>
              <w:pStyle w:val="TableParagraph"/>
              <w:spacing w:before="10"/>
              <w:rPr>
                <w:rFonts w:ascii="Times New Roman"/>
                <w:sz w:val="22"/>
              </w:rPr>
            </w:pPr>
          </w:p>
          <w:p>
            <w:pPr>
              <w:pStyle w:val="TableParagraph"/>
              <w:ind w:left="439"/>
              <w:rPr>
                <w:b/>
                <w:sz w:val="24"/>
              </w:rPr>
            </w:pPr>
            <w:r>
              <w:rPr>
                <w:b/>
                <w:sz w:val="24"/>
              </w:rPr>
              <w:t>2632</w:t>
            </w:r>
          </w:p>
        </w:tc>
        <w:tc>
          <w:tcPr>
            <w:tcW w:w="1796" w:type="dxa"/>
          </w:tcPr>
          <w:p>
            <w:pPr>
              <w:pStyle w:val="TableParagraph"/>
              <w:spacing w:before="10"/>
              <w:rPr>
                <w:rFonts w:ascii="Times New Roman"/>
                <w:sz w:val="22"/>
              </w:rPr>
            </w:pPr>
          </w:p>
          <w:p>
            <w:pPr>
              <w:pStyle w:val="TableParagraph"/>
              <w:ind w:right="607"/>
              <w:jc w:val="right"/>
              <w:rPr>
                <w:b/>
                <w:sz w:val="24"/>
              </w:rPr>
            </w:pPr>
            <w:r>
              <w:rPr>
                <w:b/>
                <w:sz w:val="24"/>
              </w:rPr>
              <w:t>2750</w:t>
            </w:r>
          </w:p>
        </w:tc>
        <w:tc>
          <w:tcPr>
            <w:tcW w:w="1791" w:type="dxa"/>
          </w:tcPr>
          <w:p>
            <w:pPr>
              <w:pStyle w:val="TableParagraph"/>
              <w:spacing w:before="10"/>
              <w:rPr>
                <w:rFonts w:ascii="Times New Roman"/>
                <w:sz w:val="22"/>
              </w:rPr>
            </w:pPr>
          </w:p>
          <w:p>
            <w:pPr>
              <w:pStyle w:val="TableParagraph"/>
              <w:ind w:left="556" w:right="594"/>
              <w:jc w:val="center"/>
              <w:rPr>
                <w:b/>
                <w:sz w:val="24"/>
              </w:rPr>
            </w:pPr>
            <w:r>
              <w:rPr>
                <w:b/>
                <w:sz w:val="24"/>
              </w:rPr>
              <w:t>2521</w:t>
            </w:r>
          </w:p>
        </w:tc>
        <w:tc>
          <w:tcPr>
            <w:tcW w:w="1885" w:type="dxa"/>
          </w:tcPr>
          <w:p>
            <w:pPr>
              <w:pStyle w:val="TableParagraph"/>
              <w:spacing w:before="10"/>
              <w:rPr>
                <w:rFonts w:ascii="Times New Roman"/>
                <w:sz w:val="22"/>
              </w:rPr>
            </w:pPr>
          </w:p>
          <w:p>
            <w:pPr>
              <w:pStyle w:val="TableParagraph"/>
              <w:ind w:left="596" w:right="646"/>
              <w:jc w:val="center"/>
              <w:rPr>
                <w:b/>
                <w:sz w:val="24"/>
              </w:rPr>
            </w:pPr>
            <w:r>
              <w:rPr>
                <w:b/>
                <w:sz w:val="24"/>
              </w:rPr>
              <w:t>2597</w:t>
            </w:r>
          </w:p>
        </w:tc>
      </w:tr>
      <w:tr>
        <w:trPr>
          <w:trHeight w:val="414" w:hRule="exact"/>
        </w:trPr>
        <w:tc>
          <w:tcPr>
            <w:tcW w:w="1714" w:type="dxa"/>
          </w:tcPr>
          <w:p>
            <w:pPr>
              <w:pStyle w:val="TableParagraph"/>
              <w:spacing w:before="56"/>
              <w:ind w:left="258" w:right="468"/>
              <w:jc w:val="center"/>
              <w:rPr>
                <w:b/>
                <w:sz w:val="24"/>
              </w:rPr>
            </w:pPr>
            <w:r>
              <w:rPr>
                <w:b/>
                <w:sz w:val="24"/>
              </w:rPr>
              <w:t>test 2</w:t>
            </w:r>
          </w:p>
        </w:tc>
        <w:tc>
          <w:tcPr>
            <w:tcW w:w="1594" w:type="dxa"/>
          </w:tcPr>
          <w:p>
            <w:pPr>
              <w:pStyle w:val="TableParagraph"/>
              <w:spacing w:before="56"/>
              <w:ind w:left="439"/>
              <w:rPr>
                <w:b/>
                <w:sz w:val="24"/>
              </w:rPr>
            </w:pPr>
            <w:r>
              <w:rPr>
                <w:b/>
                <w:sz w:val="24"/>
              </w:rPr>
              <w:t>2781</w:t>
            </w:r>
          </w:p>
        </w:tc>
        <w:tc>
          <w:tcPr>
            <w:tcW w:w="1796" w:type="dxa"/>
          </w:tcPr>
          <w:p>
            <w:pPr>
              <w:pStyle w:val="TableParagraph"/>
              <w:spacing w:before="56"/>
              <w:ind w:right="607"/>
              <w:jc w:val="right"/>
              <w:rPr>
                <w:b/>
                <w:sz w:val="24"/>
              </w:rPr>
            </w:pPr>
            <w:r>
              <w:rPr>
                <w:b/>
                <w:sz w:val="24"/>
              </w:rPr>
              <w:t>2763</w:t>
            </w:r>
          </w:p>
        </w:tc>
        <w:tc>
          <w:tcPr>
            <w:tcW w:w="1791" w:type="dxa"/>
          </w:tcPr>
          <w:p>
            <w:pPr>
              <w:pStyle w:val="TableParagraph"/>
              <w:spacing w:before="56"/>
              <w:ind w:left="556" w:right="594"/>
              <w:jc w:val="center"/>
              <w:rPr>
                <w:b/>
                <w:sz w:val="24"/>
              </w:rPr>
            </w:pPr>
            <w:r>
              <w:rPr>
                <w:b/>
                <w:sz w:val="24"/>
              </w:rPr>
              <w:t>2570</w:t>
            </w:r>
          </w:p>
        </w:tc>
        <w:tc>
          <w:tcPr>
            <w:tcW w:w="1885" w:type="dxa"/>
          </w:tcPr>
          <w:p>
            <w:pPr>
              <w:pStyle w:val="TableParagraph"/>
              <w:spacing w:before="56"/>
              <w:ind w:left="596" w:right="646"/>
              <w:jc w:val="center"/>
              <w:rPr>
                <w:b/>
                <w:sz w:val="24"/>
              </w:rPr>
            </w:pPr>
            <w:r>
              <w:rPr>
                <w:b/>
                <w:sz w:val="24"/>
              </w:rPr>
              <w:t>2844</w:t>
            </w:r>
          </w:p>
        </w:tc>
      </w:tr>
      <w:tr>
        <w:trPr>
          <w:trHeight w:val="414" w:hRule="exact"/>
        </w:trPr>
        <w:tc>
          <w:tcPr>
            <w:tcW w:w="1714" w:type="dxa"/>
          </w:tcPr>
          <w:p>
            <w:pPr>
              <w:pStyle w:val="TableParagraph"/>
              <w:spacing w:before="57"/>
              <w:ind w:left="258" w:right="468"/>
              <w:jc w:val="center"/>
              <w:rPr>
                <w:b/>
                <w:sz w:val="24"/>
              </w:rPr>
            </w:pPr>
            <w:r>
              <w:rPr>
                <w:b/>
                <w:sz w:val="24"/>
              </w:rPr>
              <w:t>test 3</w:t>
            </w:r>
          </w:p>
        </w:tc>
        <w:tc>
          <w:tcPr>
            <w:tcW w:w="1594" w:type="dxa"/>
          </w:tcPr>
          <w:p>
            <w:pPr>
              <w:pStyle w:val="TableParagraph"/>
              <w:spacing w:before="57"/>
              <w:ind w:left="439"/>
              <w:rPr>
                <w:b/>
                <w:sz w:val="24"/>
              </w:rPr>
            </w:pPr>
            <w:r>
              <w:rPr>
                <w:b/>
                <w:sz w:val="24"/>
              </w:rPr>
              <w:t>2590</w:t>
            </w:r>
          </w:p>
        </w:tc>
        <w:tc>
          <w:tcPr>
            <w:tcW w:w="1796" w:type="dxa"/>
          </w:tcPr>
          <w:p>
            <w:pPr>
              <w:pStyle w:val="TableParagraph"/>
              <w:spacing w:before="57"/>
              <w:ind w:right="607"/>
              <w:jc w:val="right"/>
              <w:rPr>
                <w:b/>
                <w:sz w:val="24"/>
              </w:rPr>
            </w:pPr>
            <w:r>
              <w:rPr>
                <w:b/>
                <w:sz w:val="24"/>
              </w:rPr>
              <w:t>2802</w:t>
            </w:r>
          </w:p>
        </w:tc>
        <w:tc>
          <w:tcPr>
            <w:tcW w:w="1791" w:type="dxa"/>
          </w:tcPr>
          <w:p>
            <w:pPr>
              <w:pStyle w:val="TableParagraph"/>
              <w:spacing w:before="57"/>
              <w:ind w:left="556" w:right="594"/>
              <w:jc w:val="center"/>
              <w:rPr>
                <w:b/>
                <w:sz w:val="24"/>
              </w:rPr>
            </w:pPr>
            <w:r>
              <w:rPr>
                <w:b/>
                <w:sz w:val="24"/>
              </w:rPr>
              <w:t>2618</w:t>
            </w:r>
          </w:p>
        </w:tc>
        <w:tc>
          <w:tcPr>
            <w:tcW w:w="1885" w:type="dxa"/>
          </w:tcPr>
          <w:p>
            <w:pPr>
              <w:pStyle w:val="TableParagraph"/>
              <w:spacing w:before="57"/>
              <w:ind w:left="596" w:right="646"/>
              <w:jc w:val="center"/>
              <w:rPr>
                <w:b/>
                <w:sz w:val="24"/>
              </w:rPr>
            </w:pPr>
            <w:r>
              <w:rPr>
                <w:b/>
                <w:sz w:val="24"/>
              </w:rPr>
              <w:t>2671</w:t>
            </w:r>
          </w:p>
        </w:tc>
      </w:tr>
      <w:tr>
        <w:trPr>
          <w:trHeight w:val="414" w:hRule="exact"/>
        </w:trPr>
        <w:tc>
          <w:tcPr>
            <w:tcW w:w="1714" w:type="dxa"/>
          </w:tcPr>
          <w:p>
            <w:pPr>
              <w:pStyle w:val="TableParagraph"/>
              <w:spacing w:before="55"/>
              <w:ind w:left="258" w:right="468"/>
              <w:jc w:val="center"/>
              <w:rPr>
                <w:b/>
                <w:sz w:val="24"/>
              </w:rPr>
            </w:pPr>
            <w:r>
              <w:rPr>
                <w:b/>
                <w:sz w:val="24"/>
              </w:rPr>
              <w:t>test 4</w:t>
            </w:r>
          </w:p>
        </w:tc>
        <w:tc>
          <w:tcPr>
            <w:tcW w:w="1594" w:type="dxa"/>
          </w:tcPr>
          <w:p>
            <w:pPr>
              <w:pStyle w:val="TableParagraph"/>
              <w:spacing w:before="55"/>
              <w:ind w:left="439"/>
              <w:rPr>
                <w:b/>
                <w:sz w:val="24"/>
              </w:rPr>
            </w:pPr>
            <w:r>
              <w:rPr>
                <w:b/>
                <w:sz w:val="24"/>
              </w:rPr>
              <w:t>2652</w:t>
            </w:r>
          </w:p>
        </w:tc>
        <w:tc>
          <w:tcPr>
            <w:tcW w:w="1796" w:type="dxa"/>
          </w:tcPr>
          <w:p>
            <w:pPr>
              <w:pStyle w:val="TableParagraph"/>
              <w:spacing w:before="55"/>
              <w:ind w:right="607"/>
              <w:jc w:val="right"/>
              <w:rPr>
                <w:b/>
                <w:sz w:val="24"/>
              </w:rPr>
            </w:pPr>
            <w:r>
              <w:rPr>
                <w:b/>
                <w:sz w:val="24"/>
              </w:rPr>
              <w:t>2591</w:t>
            </w:r>
          </w:p>
        </w:tc>
        <w:tc>
          <w:tcPr>
            <w:tcW w:w="1791" w:type="dxa"/>
          </w:tcPr>
          <w:p>
            <w:pPr>
              <w:pStyle w:val="TableParagraph"/>
              <w:spacing w:before="55"/>
              <w:ind w:left="556" w:right="594"/>
              <w:jc w:val="center"/>
              <w:rPr>
                <w:b/>
                <w:sz w:val="24"/>
              </w:rPr>
            </w:pPr>
            <w:r>
              <w:rPr>
                <w:b/>
                <w:sz w:val="24"/>
              </w:rPr>
              <w:t>2675</w:t>
            </w:r>
          </w:p>
        </w:tc>
        <w:tc>
          <w:tcPr>
            <w:tcW w:w="1885" w:type="dxa"/>
          </w:tcPr>
          <w:p>
            <w:pPr>
              <w:pStyle w:val="TableParagraph"/>
              <w:spacing w:before="55"/>
              <w:ind w:left="596" w:right="646"/>
              <w:jc w:val="center"/>
              <w:rPr>
                <w:b/>
                <w:sz w:val="24"/>
              </w:rPr>
            </w:pPr>
            <w:r>
              <w:rPr>
                <w:b/>
                <w:sz w:val="24"/>
              </w:rPr>
              <w:t>2737</w:t>
            </w:r>
          </w:p>
        </w:tc>
      </w:tr>
      <w:tr>
        <w:trPr>
          <w:trHeight w:val="414" w:hRule="exact"/>
        </w:trPr>
        <w:tc>
          <w:tcPr>
            <w:tcW w:w="1714" w:type="dxa"/>
          </w:tcPr>
          <w:p>
            <w:pPr>
              <w:pStyle w:val="TableParagraph"/>
              <w:spacing w:before="57"/>
              <w:ind w:left="258" w:right="468"/>
              <w:jc w:val="center"/>
              <w:rPr>
                <w:b/>
                <w:sz w:val="24"/>
              </w:rPr>
            </w:pPr>
            <w:r>
              <w:rPr>
                <w:b/>
                <w:sz w:val="24"/>
              </w:rPr>
              <w:t>test 5</w:t>
            </w:r>
          </w:p>
        </w:tc>
        <w:tc>
          <w:tcPr>
            <w:tcW w:w="1594" w:type="dxa"/>
          </w:tcPr>
          <w:p>
            <w:pPr>
              <w:pStyle w:val="TableParagraph"/>
              <w:spacing w:before="57"/>
              <w:ind w:left="439"/>
              <w:rPr>
                <w:b/>
                <w:sz w:val="24"/>
              </w:rPr>
            </w:pPr>
            <w:r>
              <w:rPr>
                <w:b/>
                <w:sz w:val="24"/>
              </w:rPr>
              <w:t>2811</w:t>
            </w:r>
          </w:p>
        </w:tc>
        <w:tc>
          <w:tcPr>
            <w:tcW w:w="1796" w:type="dxa"/>
          </w:tcPr>
          <w:p>
            <w:pPr>
              <w:pStyle w:val="TableParagraph"/>
              <w:spacing w:before="57"/>
              <w:ind w:right="607"/>
              <w:jc w:val="right"/>
              <w:rPr>
                <w:b/>
                <w:sz w:val="24"/>
              </w:rPr>
            </w:pPr>
            <w:r>
              <w:rPr>
                <w:b/>
                <w:sz w:val="24"/>
              </w:rPr>
              <w:t>2802</w:t>
            </w:r>
          </w:p>
        </w:tc>
        <w:tc>
          <w:tcPr>
            <w:tcW w:w="1791" w:type="dxa"/>
          </w:tcPr>
          <w:p>
            <w:pPr>
              <w:pStyle w:val="TableParagraph"/>
              <w:spacing w:before="57"/>
              <w:ind w:left="556" w:right="594"/>
              <w:jc w:val="center"/>
              <w:rPr>
                <w:b/>
                <w:sz w:val="24"/>
              </w:rPr>
            </w:pPr>
            <w:r>
              <w:rPr>
                <w:b/>
                <w:sz w:val="24"/>
              </w:rPr>
              <w:t>2757</w:t>
            </w:r>
          </w:p>
        </w:tc>
        <w:tc>
          <w:tcPr>
            <w:tcW w:w="1885" w:type="dxa"/>
          </w:tcPr>
          <w:p>
            <w:pPr>
              <w:pStyle w:val="TableParagraph"/>
              <w:spacing w:before="57"/>
              <w:ind w:left="596" w:right="646"/>
              <w:jc w:val="center"/>
              <w:rPr>
                <w:b/>
                <w:sz w:val="24"/>
              </w:rPr>
            </w:pPr>
            <w:r>
              <w:rPr>
                <w:b/>
                <w:sz w:val="24"/>
              </w:rPr>
              <w:t>2788</w:t>
            </w:r>
          </w:p>
        </w:tc>
      </w:tr>
      <w:tr>
        <w:trPr>
          <w:trHeight w:val="326" w:hRule="exact"/>
        </w:trPr>
        <w:tc>
          <w:tcPr>
            <w:tcW w:w="1714" w:type="dxa"/>
          </w:tcPr>
          <w:p>
            <w:pPr>
              <w:pStyle w:val="TableParagraph"/>
              <w:spacing w:before="55"/>
              <w:ind w:left="258" w:right="468"/>
              <w:jc w:val="center"/>
              <w:rPr>
                <w:b/>
                <w:i/>
                <w:sz w:val="24"/>
              </w:rPr>
            </w:pPr>
            <w:r>
              <w:rPr>
                <w:b/>
                <w:i/>
                <w:sz w:val="24"/>
              </w:rPr>
              <w:t>Average</w:t>
            </w:r>
          </w:p>
        </w:tc>
        <w:tc>
          <w:tcPr>
            <w:tcW w:w="1594" w:type="dxa"/>
          </w:tcPr>
          <w:p>
            <w:pPr>
              <w:pStyle w:val="TableParagraph"/>
              <w:spacing w:before="55"/>
              <w:ind w:left="439"/>
              <w:rPr>
                <w:b/>
                <w:sz w:val="24"/>
              </w:rPr>
            </w:pPr>
            <w:r>
              <w:rPr>
                <w:b/>
                <w:sz w:val="24"/>
              </w:rPr>
              <w:t>2693</w:t>
            </w:r>
          </w:p>
        </w:tc>
        <w:tc>
          <w:tcPr>
            <w:tcW w:w="1796" w:type="dxa"/>
          </w:tcPr>
          <w:p>
            <w:pPr>
              <w:pStyle w:val="TableParagraph"/>
              <w:spacing w:before="55"/>
              <w:ind w:right="607"/>
              <w:jc w:val="right"/>
              <w:rPr>
                <w:b/>
                <w:sz w:val="24"/>
              </w:rPr>
            </w:pPr>
            <w:r>
              <w:rPr>
                <w:b/>
                <w:sz w:val="24"/>
              </w:rPr>
              <w:t>2741</w:t>
            </w:r>
          </w:p>
        </w:tc>
        <w:tc>
          <w:tcPr>
            <w:tcW w:w="1791" w:type="dxa"/>
          </w:tcPr>
          <w:p>
            <w:pPr>
              <w:pStyle w:val="TableParagraph"/>
              <w:spacing w:before="55"/>
              <w:ind w:left="556" w:right="594"/>
              <w:jc w:val="center"/>
              <w:rPr>
                <w:b/>
                <w:sz w:val="24"/>
              </w:rPr>
            </w:pPr>
            <w:r>
              <w:rPr>
                <w:b/>
                <w:sz w:val="24"/>
              </w:rPr>
              <w:t>2628</w:t>
            </w:r>
          </w:p>
        </w:tc>
        <w:tc>
          <w:tcPr>
            <w:tcW w:w="1885" w:type="dxa"/>
          </w:tcPr>
          <w:p>
            <w:pPr>
              <w:pStyle w:val="TableParagraph"/>
              <w:spacing w:before="55"/>
              <w:ind w:left="596" w:right="646"/>
              <w:jc w:val="center"/>
              <w:rPr>
                <w:b/>
                <w:sz w:val="24"/>
              </w:rPr>
            </w:pPr>
            <w:r>
              <w:rPr>
                <w:b/>
                <w:sz w:val="24"/>
              </w:rPr>
              <w:t>2727</w:t>
            </w:r>
          </w:p>
        </w:tc>
      </w:tr>
    </w:tbl>
    <w:p>
      <w:pPr>
        <w:spacing w:after="0"/>
        <w:jc w:val="center"/>
        <w:rPr>
          <w:sz w:val="24"/>
        </w:rPr>
        <w:sectPr>
          <w:pgSz w:w="12240" w:h="15840"/>
          <w:pgMar w:header="0" w:footer="654" w:top="1500" w:bottom="840" w:left="1040" w:right="560"/>
        </w:sectPr>
      </w:pPr>
    </w:p>
    <w:tbl>
      <w:tblPr>
        <w:tblW w:w="0" w:type="auto"/>
        <w:jc w:val="left"/>
        <w:tblInd w:w="9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4"/>
        <w:gridCol w:w="1611"/>
        <w:gridCol w:w="1780"/>
        <w:gridCol w:w="1791"/>
        <w:gridCol w:w="1885"/>
      </w:tblGrid>
      <w:tr>
        <w:trPr>
          <w:trHeight w:val="1224" w:hRule="exact"/>
        </w:trPr>
        <w:tc>
          <w:tcPr>
            <w:tcW w:w="1714" w:type="dxa"/>
            <w:tcBorders>
              <w:bottom w:val="single" w:sz="8" w:space="0" w:color="000000"/>
            </w:tcBorders>
          </w:tcPr>
          <w:p>
            <w:pPr>
              <w:pStyle w:val="TableParagraph"/>
              <w:spacing w:line="245" w:lineRule="exact"/>
              <w:ind w:left="223" w:firstLine="4"/>
              <w:rPr>
                <w:b/>
                <w:sz w:val="24"/>
              </w:rPr>
            </w:pPr>
            <w:r>
              <w:rPr>
                <w:b/>
                <w:sz w:val="24"/>
              </w:rPr>
              <w:t>Standard</w:t>
            </w:r>
          </w:p>
          <w:p>
            <w:pPr>
              <w:pStyle w:val="TableParagraph"/>
              <w:spacing w:before="139"/>
              <w:ind w:left="223"/>
              <w:rPr>
                <w:b/>
                <w:sz w:val="24"/>
              </w:rPr>
            </w:pPr>
            <w:r>
              <w:rPr>
                <w:b/>
                <w:sz w:val="24"/>
              </w:rPr>
              <w:t>deviation</w:t>
            </w:r>
          </w:p>
        </w:tc>
        <w:tc>
          <w:tcPr>
            <w:tcW w:w="1611" w:type="dxa"/>
            <w:tcBorders>
              <w:bottom w:val="single" w:sz="8" w:space="0" w:color="000000"/>
            </w:tcBorders>
          </w:tcPr>
          <w:p>
            <w:pPr>
              <w:pStyle w:val="TableParagraph"/>
              <w:spacing w:before="178"/>
              <w:ind w:left="470"/>
              <w:rPr>
                <w:b/>
                <w:sz w:val="24"/>
              </w:rPr>
            </w:pPr>
            <w:r>
              <w:rPr>
                <w:b/>
                <w:sz w:val="24"/>
              </w:rPr>
              <w:t>97.0</w:t>
            </w:r>
          </w:p>
        </w:tc>
        <w:tc>
          <w:tcPr>
            <w:tcW w:w="1780" w:type="dxa"/>
            <w:tcBorders>
              <w:bottom w:val="single" w:sz="8" w:space="0" w:color="000000"/>
            </w:tcBorders>
          </w:tcPr>
          <w:p>
            <w:pPr>
              <w:pStyle w:val="TableParagraph"/>
              <w:spacing w:before="178"/>
              <w:ind w:left="617" w:right="586"/>
              <w:jc w:val="center"/>
              <w:rPr>
                <w:b/>
                <w:sz w:val="24"/>
              </w:rPr>
            </w:pPr>
            <w:r>
              <w:rPr>
                <w:b/>
                <w:sz w:val="24"/>
              </w:rPr>
              <w:t>87.0</w:t>
            </w:r>
          </w:p>
        </w:tc>
        <w:tc>
          <w:tcPr>
            <w:tcW w:w="1791" w:type="dxa"/>
            <w:tcBorders>
              <w:bottom w:val="single" w:sz="8" w:space="0" w:color="000000"/>
            </w:tcBorders>
          </w:tcPr>
          <w:p>
            <w:pPr>
              <w:pStyle w:val="TableParagraph"/>
              <w:spacing w:before="178"/>
              <w:ind w:left="553" w:right="594"/>
              <w:jc w:val="center"/>
              <w:rPr>
                <w:b/>
                <w:sz w:val="24"/>
              </w:rPr>
            </w:pPr>
            <w:r>
              <w:rPr>
                <w:b/>
                <w:sz w:val="24"/>
              </w:rPr>
              <w:t>92.0</w:t>
            </w:r>
          </w:p>
        </w:tc>
        <w:tc>
          <w:tcPr>
            <w:tcW w:w="1885" w:type="dxa"/>
            <w:tcBorders>
              <w:bottom w:val="single" w:sz="8" w:space="0" w:color="000000"/>
            </w:tcBorders>
          </w:tcPr>
          <w:p>
            <w:pPr>
              <w:pStyle w:val="TableParagraph"/>
              <w:spacing w:before="178"/>
              <w:ind w:left="680"/>
              <w:rPr>
                <w:b/>
                <w:sz w:val="24"/>
              </w:rPr>
            </w:pPr>
            <w:r>
              <w:rPr>
                <w:b/>
                <w:sz w:val="24"/>
              </w:rPr>
              <w:t>97.0</w:t>
            </w:r>
          </w:p>
        </w:tc>
      </w:tr>
      <w:tr>
        <w:trPr>
          <w:trHeight w:val="572" w:hRule="exact"/>
        </w:trPr>
        <w:tc>
          <w:tcPr>
            <w:tcW w:w="8781" w:type="dxa"/>
            <w:gridSpan w:val="5"/>
            <w:tcBorders>
              <w:top w:val="single" w:sz="8" w:space="0" w:color="000000"/>
            </w:tcBorders>
          </w:tcPr>
          <w:p>
            <w:pPr>
              <w:pStyle w:val="TableParagraph"/>
              <w:spacing w:line="274" w:lineRule="exact"/>
              <w:ind w:left="69"/>
              <w:rPr>
                <w:b/>
                <w:sz w:val="24"/>
              </w:rPr>
            </w:pPr>
            <w:r>
              <w:rPr>
                <w:b/>
                <w:sz w:val="24"/>
              </w:rPr>
              <w:t>(e) Wastewater combined from diverse industries</w:t>
            </w:r>
          </w:p>
        </w:tc>
      </w:tr>
      <w:tr>
        <w:trPr>
          <w:trHeight w:val="622" w:hRule="exact"/>
        </w:trPr>
        <w:tc>
          <w:tcPr>
            <w:tcW w:w="1714" w:type="dxa"/>
          </w:tcPr>
          <w:p>
            <w:pPr>
              <w:pStyle w:val="TableParagraph"/>
              <w:spacing w:before="10"/>
              <w:rPr>
                <w:rFonts w:ascii="Times New Roman"/>
                <w:sz w:val="22"/>
              </w:rPr>
            </w:pPr>
          </w:p>
          <w:p>
            <w:pPr>
              <w:pStyle w:val="TableParagraph"/>
              <w:ind w:left="258" w:right="468"/>
              <w:jc w:val="center"/>
              <w:rPr>
                <w:b/>
                <w:sz w:val="24"/>
              </w:rPr>
            </w:pPr>
            <w:r>
              <w:rPr>
                <w:b/>
                <w:sz w:val="24"/>
              </w:rPr>
              <w:t>test1</w:t>
            </w:r>
          </w:p>
        </w:tc>
        <w:tc>
          <w:tcPr>
            <w:tcW w:w="1611" w:type="dxa"/>
          </w:tcPr>
          <w:p>
            <w:pPr>
              <w:pStyle w:val="TableParagraph"/>
              <w:spacing w:before="10"/>
              <w:rPr>
                <w:rFonts w:ascii="Times New Roman"/>
                <w:sz w:val="22"/>
              </w:rPr>
            </w:pPr>
          </w:p>
          <w:p>
            <w:pPr>
              <w:pStyle w:val="TableParagraph"/>
              <w:ind w:left="439"/>
              <w:rPr>
                <w:b/>
                <w:sz w:val="24"/>
              </w:rPr>
            </w:pPr>
            <w:r>
              <w:rPr>
                <w:b/>
                <w:sz w:val="24"/>
              </w:rPr>
              <w:t>1867</w:t>
            </w:r>
          </w:p>
        </w:tc>
        <w:tc>
          <w:tcPr>
            <w:tcW w:w="1780" w:type="dxa"/>
          </w:tcPr>
          <w:p>
            <w:pPr>
              <w:pStyle w:val="TableParagraph"/>
              <w:spacing w:before="10"/>
              <w:rPr>
                <w:rFonts w:ascii="Times New Roman"/>
                <w:sz w:val="22"/>
              </w:rPr>
            </w:pPr>
          </w:p>
          <w:p>
            <w:pPr>
              <w:pStyle w:val="TableParagraph"/>
              <w:ind w:left="617" w:right="588"/>
              <w:jc w:val="center"/>
              <w:rPr>
                <w:b/>
                <w:sz w:val="24"/>
              </w:rPr>
            </w:pPr>
            <w:r>
              <w:rPr>
                <w:b/>
                <w:sz w:val="24"/>
              </w:rPr>
              <w:t>1863</w:t>
            </w:r>
          </w:p>
        </w:tc>
        <w:tc>
          <w:tcPr>
            <w:tcW w:w="1791" w:type="dxa"/>
          </w:tcPr>
          <w:p>
            <w:pPr>
              <w:pStyle w:val="TableParagraph"/>
              <w:spacing w:before="10"/>
              <w:rPr>
                <w:rFonts w:ascii="Times New Roman"/>
                <w:sz w:val="22"/>
              </w:rPr>
            </w:pPr>
          </w:p>
          <w:p>
            <w:pPr>
              <w:pStyle w:val="TableParagraph"/>
              <w:ind w:left="556" w:right="594"/>
              <w:jc w:val="center"/>
              <w:rPr>
                <w:b/>
                <w:sz w:val="24"/>
              </w:rPr>
            </w:pPr>
            <w:r>
              <w:rPr>
                <w:b/>
                <w:sz w:val="24"/>
              </w:rPr>
              <w:t>2021</w:t>
            </w:r>
          </w:p>
        </w:tc>
        <w:tc>
          <w:tcPr>
            <w:tcW w:w="1885" w:type="dxa"/>
          </w:tcPr>
          <w:p>
            <w:pPr>
              <w:pStyle w:val="TableParagraph"/>
              <w:spacing w:before="10"/>
              <w:rPr>
                <w:rFonts w:ascii="Times New Roman"/>
                <w:sz w:val="22"/>
              </w:rPr>
            </w:pPr>
          </w:p>
          <w:p>
            <w:pPr>
              <w:pStyle w:val="TableParagraph"/>
              <w:ind w:left="649"/>
              <w:rPr>
                <w:b/>
                <w:sz w:val="24"/>
              </w:rPr>
            </w:pPr>
            <w:r>
              <w:rPr>
                <w:b/>
                <w:sz w:val="24"/>
              </w:rPr>
              <w:t>1885</w:t>
            </w:r>
          </w:p>
        </w:tc>
      </w:tr>
      <w:tr>
        <w:trPr>
          <w:trHeight w:val="414" w:hRule="exact"/>
        </w:trPr>
        <w:tc>
          <w:tcPr>
            <w:tcW w:w="1714" w:type="dxa"/>
          </w:tcPr>
          <w:p>
            <w:pPr>
              <w:pStyle w:val="TableParagraph"/>
              <w:spacing w:before="57"/>
              <w:ind w:left="258" w:right="468"/>
              <w:jc w:val="center"/>
              <w:rPr>
                <w:b/>
                <w:sz w:val="24"/>
              </w:rPr>
            </w:pPr>
            <w:r>
              <w:rPr>
                <w:b/>
                <w:sz w:val="24"/>
              </w:rPr>
              <w:t>test 2</w:t>
            </w:r>
          </w:p>
        </w:tc>
        <w:tc>
          <w:tcPr>
            <w:tcW w:w="1611" w:type="dxa"/>
          </w:tcPr>
          <w:p>
            <w:pPr>
              <w:pStyle w:val="TableParagraph"/>
              <w:spacing w:before="57"/>
              <w:ind w:left="439"/>
              <w:rPr>
                <w:b/>
                <w:sz w:val="24"/>
              </w:rPr>
            </w:pPr>
            <w:r>
              <w:rPr>
                <w:b/>
                <w:sz w:val="24"/>
              </w:rPr>
              <w:t>1998</w:t>
            </w:r>
          </w:p>
        </w:tc>
        <w:tc>
          <w:tcPr>
            <w:tcW w:w="1780" w:type="dxa"/>
          </w:tcPr>
          <w:p>
            <w:pPr>
              <w:pStyle w:val="TableParagraph"/>
              <w:spacing w:before="57"/>
              <w:ind w:left="617" w:right="588"/>
              <w:jc w:val="center"/>
              <w:rPr>
                <w:b/>
                <w:sz w:val="24"/>
              </w:rPr>
            </w:pPr>
            <w:r>
              <w:rPr>
                <w:b/>
                <w:sz w:val="24"/>
              </w:rPr>
              <w:t>1941</w:t>
            </w:r>
          </w:p>
        </w:tc>
        <w:tc>
          <w:tcPr>
            <w:tcW w:w="1791" w:type="dxa"/>
          </w:tcPr>
          <w:p>
            <w:pPr>
              <w:pStyle w:val="TableParagraph"/>
              <w:spacing w:before="57"/>
              <w:ind w:left="556" w:right="594"/>
              <w:jc w:val="center"/>
              <w:rPr>
                <w:b/>
                <w:sz w:val="24"/>
              </w:rPr>
            </w:pPr>
            <w:r>
              <w:rPr>
                <w:b/>
                <w:sz w:val="24"/>
              </w:rPr>
              <w:t>1807</w:t>
            </w:r>
          </w:p>
        </w:tc>
        <w:tc>
          <w:tcPr>
            <w:tcW w:w="1885" w:type="dxa"/>
          </w:tcPr>
          <w:p>
            <w:pPr>
              <w:pStyle w:val="TableParagraph"/>
              <w:spacing w:before="57"/>
              <w:ind w:left="649"/>
              <w:rPr>
                <w:b/>
                <w:sz w:val="24"/>
              </w:rPr>
            </w:pPr>
            <w:r>
              <w:rPr>
                <w:b/>
                <w:sz w:val="24"/>
              </w:rPr>
              <w:t>1974</w:t>
            </w:r>
          </w:p>
        </w:tc>
      </w:tr>
      <w:tr>
        <w:trPr>
          <w:trHeight w:val="414" w:hRule="exact"/>
        </w:trPr>
        <w:tc>
          <w:tcPr>
            <w:tcW w:w="1714" w:type="dxa"/>
          </w:tcPr>
          <w:p>
            <w:pPr>
              <w:pStyle w:val="TableParagraph"/>
              <w:spacing w:before="55"/>
              <w:ind w:left="258" w:right="468"/>
              <w:jc w:val="center"/>
              <w:rPr>
                <w:b/>
                <w:sz w:val="24"/>
              </w:rPr>
            </w:pPr>
            <w:r>
              <w:rPr>
                <w:b/>
                <w:sz w:val="24"/>
              </w:rPr>
              <w:t>test 3</w:t>
            </w:r>
          </w:p>
        </w:tc>
        <w:tc>
          <w:tcPr>
            <w:tcW w:w="1611" w:type="dxa"/>
          </w:tcPr>
          <w:p>
            <w:pPr>
              <w:pStyle w:val="TableParagraph"/>
              <w:spacing w:before="55"/>
              <w:ind w:left="439"/>
              <w:rPr>
                <w:b/>
                <w:sz w:val="24"/>
              </w:rPr>
            </w:pPr>
            <w:r>
              <w:rPr>
                <w:b/>
                <w:sz w:val="24"/>
              </w:rPr>
              <w:t>2007</w:t>
            </w:r>
          </w:p>
        </w:tc>
        <w:tc>
          <w:tcPr>
            <w:tcW w:w="1780" w:type="dxa"/>
          </w:tcPr>
          <w:p>
            <w:pPr>
              <w:pStyle w:val="TableParagraph"/>
              <w:spacing w:before="55"/>
              <w:ind w:left="617" w:right="588"/>
              <w:jc w:val="center"/>
              <w:rPr>
                <w:b/>
                <w:sz w:val="24"/>
              </w:rPr>
            </w:pPr>
            <w:r>
              <w:rPr>
                <w:b/>
                <w:sz w:val="24"/>
              </w:rPr>
              <w:t>1870</w:t>
            </w:r>
          </w:p>
        </w:tc>
        <w:tc>
          <w:tcPr>
            <w:tcW w:w="1791" w:type="dxa"/>
          </w:tcPr>
          <w:p>
            <w:pPr>
              <w:pStyle w:val="TableParagraph"/>
              <w:spacing w:before="55"/>
              <w:ind w:left="556" w:right="594"/>
              <w:jc w:val="center"/>
              <w:rPr>
                <w:b/>
                <w:sz w:val="24"/>
              </w:rPr>
            </w:pPr>
            <w:r>
              <w:rPr>
                <w:b/>
                <w:sz w:val="24"/>
              </w:rPr>
              <w:t>1895</w:t>
            </w:r>
          </w:p>
        </w:tc>
        <w:tc>
          <w:tcPr>
            <w:tcW w:w="1885" w:type="dxa"/>
          </w:tcPr>
          <w:p>
            <w:pPr>
              <w:pStyle w:val="TableParagraph"/>
              <w:spacing w:before="55"/>
              <w:ind w:left="649"/>
              <w:rPr>
                <w:b/>
                <w:sz w:val="24"/>
              </w:rPr>
            </w:pPr>
            <w:r>
              <w:rPr>
                <w:b/>
                <w:sz w:val="24"/>
              </w:rPr>
              <w:t>2054</w:t>
            </w:r>
          </w:p>
        </w:tc>
      </w:tr>
      <w:tr>
        <w:trPr>
          <w:trHeight w:val="414" w:hRule="exact"/>
        </w:trPr>
        <w:tc>
          <w:tcPr>
            <w:tcW w:w="1714" w:type="dxa"/>
          </w:tcPr>
          <w:p>
            <w:pPr>
              <w:pStyle w:val="TableParagraph"/>
              <w:spacing w:before="57"/>
              <w:ind w:left="258" w:right="468"/>
              <w:jc w:val="center"/>
              <w:rPr>
                <w:b/>
                <w:sz w:val="24"/>
              </w:rPr>
            </w:pPr>
            <w:r>
              <w:rPr>
                <w:b/>
                <w:sz w:val="24"/>
              </w:rPr>
              <w:t>test 4</w:t>
            </w:r>
          </w:p>
        </w:tc>
        <w:tc>
          <w:tcPr>
            <w:tcW w:w="1611" w:type="dxa"/>
          </w:tcPr>
          <w:p>
            <w:pPr>
              <w:pStyle w:val="TableParagraph"/>
              <w:spacing w:before="57"/>
              <w:ind w:left="439"/>
              <w:rPr>
                <w:b/>
                <w:sz w:val="24"/>
              </w:rPr>
            </w:pPr>
            <w:r>
              <w:rPr>
                <w:b/>
                <w:sz w:val="24"/>
              </w:rPr>
              <w:t>1986</w:t>
            </w:r>
          </w:p>
        </w:tc>
        <w:tc>
          <w:tcPr>
            <w:tcW w:w="1780" w:type="dxa"/>
          </w:tcPr>
          <w:p>
            <w:pPr>
              <w:pStyle w:val="TableParagraph"/>
              <w:spacing w:before="57"/>
              <w:ind w:left="617" w:right="588"/>
              <w:jc w:val="center"/>
              <w:rPr>
                <w:b/>
                <w:sz w:val="24"/>
              </w:rPr>
            </w:pPr>
            <w:r>
              <w:rPr>
                <w:b/>
                <w:sz w:val="24"/>
              </w:rPr>
              <w:t>1929</w:t>
            </w:r>
          </w:p>
        </w:tc>
        <w:tc>
          <w:tcPr>
            <w:tcW w:w="1791" w:type="dxa"/>
          </w:tcPr>
          <w:p>
            <w:pPr>
              <w:pStyle w:val="TableParagraph"/>
              <w:spacing w:before="57"/>
              <w:ind w:left="556" w:right="594"/>
              <w:jc w:val="center"/>
              <w:rPr>
                <w:b/>
                <w:sz w:val="24"/>
              </w:rPr>
            </w:pPr>
            <w:r>
              <w:rPr>
                <w:b/>
                <w:sz w:val="24"/>
              </w:rPr>
              <w:t>2018</w:t>
            </w:r>
          </w:p>
        </w:tc>
        <w:tc>
          <w:tcPr>
            <w:tcW w:w="1885" w:type="dxa"/>
          </w:tcPr>
          <w:p>
            <w:pPr>
              <w:pStyle w:val="TableParagraph"/>
              <w:spacing w:before="57"/>
              <w:ind w:left="649"/>
              <w:rPr>
                <w:b/>
                <w:sz w:val="24"/>
              </w:rPr>
            </w:pPr>
            <w:r>
              <w:rPr>
                <w:b/>
                <w:sz w:val="24"/>
              </w:rPr>
              <w:t>1984</w:t>
            </w:r>
          </w:p>
        </w:tc>
      </w:tr>
      <w:tr>
        <w:trPr>
          <w:trHeight w:val="414" w:hRule="exact"/>
        </w:trPr>
        <w:tc>
          <w:tcPr>
            <w:tcW w:w="1714" w:type="dxa"/>
          </w:tcPr>
          <w:p>
            <w:pPr>
              <w:pStyle w:val="TableParagraph"/>
              <w:spacing w:before="56"/>
              <w:ind w:left="258" w:right="468"/>
              <w:jc w:val="center"/>
              <w:rPr>
                <w:b/>
                <w:sz w:val="24"/>
              </w:rPr>
            </w:pPr>
            <w:r>
              <w:rPr>
                <w:b/>
                <w:sz w:val="24"/>
              </w:rPr>
              <w:t>test 5</w:t>
            </w:r>
          </w:p>
        </w:tc>
        <w:tc>
          <w:tcPr>
            <w:tcW w:w="1611" w:type="dxa"/>
          </w:tcPr>
          <w:p>
            <w:pPr>
              <w:pStyle w:val="TableParagraph"/>
              <w:spacing w:before="56"/>
              <w:ind w:left="439"/>
              <w:rPr>
                <w:b/>
                <w:sz w:val="24"/>
              </w:rPr>
            </w:pPr>
            <w:r>
              <w:rPr>
                <w:b/>
                <w:sz w:val="24"/>
              </w:rPr>
              <w:t>1897</w:t>
            </w:r>
          </w:p>
        </w:tc>
        <w:tc>
          <w:tcPr>
            <w:tcW w:w="1780" w:type="dxa"/>
          </w:tcPr>
          <w:p>
            <w:pPr>
              <w:pStyle w:val="TableParagraph"/>
              <w:spacing w:before="56"/>
              <w:ind w:left="617" w:right="588"/>
              <w:jc w:val="center"/>
              <w:rPr>
                <w:b/>
                <w:sz w:val="24"/>
              </w:rPr>
            </w:pPr>
            <w:r>
              <w:rPr>
                <w:b/>
                <w:sz w:val="24"/>
              </w:rPr>
              <w:t>1966</w:t>
            </w:r>
          </w:p>
        </w:tc>
        <w:tc>
          <w:tcPr>
            <w:tcW w:w="1791" w:type="dxa"/>
          </w:tcPr>
          <w:p>
            <w:pPr>
              <w:pStyle w:val="TableParagraph"/>
              <w:spacing w:before="56"/>
              <w:ind w:left="556" w:right="594"/>
              <w:jc w:val="center"/>
              <w:rPr>
                <w:b/>
                <w:sz w:val="24"/>
              </w:rPr>
            </w:pPr>
            <w:r>
              <w:rPr>
                <w:b/>
                <w:sz w:val="24"/>
              </w:rPr>
              <w:t>1951</w:t>
            </w:r>
          </w:p>
        </w:tc>
        <w:tc>
          <w:tcPr>
            <w:tcW w:w="1885" w:type="dxa"/>
          </w:tcPr>
          <w:p>
            <w:pPr>
              <w:pStyle w:val="TableParagraph"/>
              <w:spacing w:before="56"/>
              <w:ind w:left="649"/>
              <w:rPr>
                <w:b/>
                <w:sz w:val="24"/>
              </w:rPr>
            </w:pPr>
            <w:r>
              <w:rPr>
                <w:b/>
                <w:sz w:val="24"/>
              </w:rPr>
              <w:t>1850</w:t>
            </w:r>
          </w:p>
        </w:tc>
      </w:tr>
      <w:tr>
        <w:trPr>
          <w:trHeight w:val="414" w:hRule="exact"/>
        </w:trPr>
        <w:tc>
          <w:tcPr>
            <w:tcW w:w="1714" w:type="dxa"/>
          </w:tcPr>
          <w:p>
            <w:pPr>
              <w:pStyle w:val="TableParagraph"/>
              <w:spacing w:before="57"/>
              <w:ind w:left="258" w:right="468"/>
              <w:jc w:val="center"/>
              <w:rPr>
                <w:b/>
                <w:i/>
                <w:sz w:val="24"/>
              </w:rPr>
            </w:pPr>
            <w:r>
              <w:rPr>
                <w:b/>
                <w:i/>
                <w:sz w:val="24"/>
              </w:rPr>
              <w:t>Average</w:t>
            </w:r>
          </w:p>
        </w:tc>
        <w:tc>
          <w:tcPr>
            <w:tcW w:w="1611" w:type="dxa"/>
          </w:tcPr>
          <w:p>
            <w:pPr>
              <w:pStyle w:val="TableParagraph"/>
              <w:spacing w:before="57"/>
              <w:ind w:left="439"/>
              <w:rPr>
                <w:b/>
                <w:sz w:val="24"/>
              </w:rPr>
            </w:pPr>
            <w:r>
              <w:rPr>
                <w:b/>
                <w:sz w:val="24"/>
              </w:rPr>
              <w:t>1951</w:t>
            </w:r>
          </w:p>
        </w:tc>
        <w:tc>
          <w:tcPr>
            <w:tcW w:w="1780" w:type="dxa"/>
          </w:tcPr>
          <w:p>
            <w:pPr>
              <w:pStyle w:val="TableParagraph"/>
              <w:spacing w:before="57"/>
              <w:ind w:left="617" w:right="588"/>
              <w:jc w:val="center"/>
              <w:rPr>
                <w:b/>
                <w:sz w:val="24"/>
              </w:rPr>
            </w:pPr>
            <w:r>
              <w:rPr>
                <w:b/>
                <w:sz w:val="24"/>
              </w:rPr>
              <w:t>1914</w:t>
            </w:r>
          </w:p>
        </w:tc>
        <w:tc>
          <w:tcPr>
            <w:tcW w:w="1791" w:type="dxa"/>
          </w:tcPr>
          <w:p>
            <w:pPr>
              <w:pStyle w:val="TableParagraph"/>
              <w:spacing w:before="57"/>
              <w:ind w:left="556" w:right="594"/>
              <w:jc w:val="center"/>
              <w:rPr>
                <w:b/>
                <w:sz w:val="24"/>
              </w:rPr>
            </w:pPr>
            <w:r>
              <w:rPr>
                <w:b/>
                <w:sz w:val="24"/>
              </w:rPr>
              <w:t>1938</w:t>
            </w:r>
          </w:p>
        </w:tc>
        <w:tc>
          <w:tcPr>
            <w:tcW w:w="1885" w:type="dxa"/>
          </w:tcPr>
          <w:p>
            <w:pPr>
              <w:pStyle w:val="TableParagraph"/>
              <w:spacing w:before="57"/>
              <w:ind w:left="649"/>
              <w:rPr>
                <w:b/>
                <w:sz w:val="24"/>
              </w:rPr>
            </w:pPr>
            <w:r>
              <w:rPr>
                <w:b/>
                <w:sz w:val="24"/>
              </w:rPr>
              <w:t>1949</w:t>
            </w:r>
          </w:p>
        </w:tc>
      </w:tr>
      <w:tr>
        <w:trPr>
          <w:trHeight w:val="742" w:hRule="exact"/>
        </w:trPr>
        <w:tc>
          <w:tcPr>
            <w:tcW w:w="1714" w:type="dxa"/>
          </w:tcPr>
          <w:p>
            <w:pPr>
              <w:pStyle w:val="TableParagraph"/>
              <w:spacing w:before="55"/>
              <w:ind w:left="223" w:firstLine="4"/>
              <w:rPr>
                <w:b/>
                <w:sz w:val="24"/>
              </w:rPr>
            </w:pPr>
            <w:r>
              <w:rPr>
                <w:b/>
                <w:sz w:val="24"/>
              </w:rPr>
              <w:t>Standard</w:t>
            </w:r>
          </w:p>
          <w:p>
            <w:pPr>
              <w:pStyle w:val="TableParagraph"/>
              <w:spacing w:before="139"/>
              <w:ind w:left="223"/>
              <w:rPr>
                <w:b/>
                <w:sz w:val="24"/>
              </w:rPr>
            </w:pPr>
            <w:r>
              <w:rPr>
                <w:b/>
                <w:sz w:val="24"/>
              </w:rPr>
              <w:t>deviation</w:t>
            </w:r>
          </w:p>
        </w:tc>
        <w:tc>
          <w:tcPr>
            <w:tcW w:w="1611" w:type="dxa"/>
          </w:tcPr>
          <w:p>
            <w:pPr>
              <w:pStyle w:val="TableParagraph"/>
              <w:spacing w:before="9"/>
              <w:rPr>
                <w:rFonts w:ascii="Times New Roman"/>
                <w:sz w:val="22"/>
              </w:rPr>
            </w:pPr>
          </w:p>
          <w:p>
            <w:pPr>
              <w:pStyle w:val="TableParagraph"/>
              <w:ind w:left="470"/>
              <w:rPr>
                <w:b/>
                <w:sz w:val="24"/>
              </w:rPr>
            </w:pPr>
            <w:r>
              <w:rPr>
                <w:b/>
                <w:sz w:val="24"/>
              </w:rPr>
              <w:t>64.1</w:t>
            </w:r>
          </w:p>
        </w:tc>
        <w:tc>
          <w:tcPr>
            <w:tcW w:w="1780" w:type="dxa"/>
          </w:tcPr>
          <w:p>
            <w:pPr>
              <w:pStyle w:val="TableParagraph"/>
              <w:spacing w:before="9"/>
              <w:rPr>
                <w:rFonts w:ascii="Times New Roman"/>
                <w:sz w:val="22"/>
              </w:rPr>
            </w:pPr>
          </w:p>
          <w:p>
            <w:pPr>
              <w:pStyle w:val="TableParagraph"/>
              <w:ind w:left="617" w:right="586"/>
              <w:jc w:val="center"/>
              <w:rPr>
                <w:b/>
                <w:sz w:val="24"/>
              </w:rPr>
            </w:pPr>
            <w:r>
              <w:rPr>
                <w:b/>
                <w:sz w:val="24"/>
              </w:rPr>
              <w:t>45.4</w:t>
            </w:r>
          </w:p>
        </w:tc>
        <w:tc>
          <w:tcPr>
            <w:tcW w:w="1791" w:type="dxa"/>
          </w:tcPr>
          <w:p>
            <w:pPr>
              <w:pStyle w:val="TableParagraph"/>
              <w:spacing w:before="9"/>
              <w:rPr>
                <w:rFonts w:ascii="Times New Roman"/>
                <w:sz w:val="22"/>
              </w:rPr>
            </w:pPr>
          </w:p>
          <w:p>
            <w:pPr>
              <w:pStyle w:val="TableParagraph"/>
              <w:ind w:left="553" w:right="594"/>
              <w:jc w:val="center"/>
              <w:rPr>
                <w:b/>
                <w:sz w:val="24"/>
              </w:rPr>
            </w:pPr>
            <w:r>
              <w:rPr>
                <w:b/>
                <w:sz w:val="24"/>
              </w:rPr>
              <w:t>90.2</w:t>
            </w:r>
          </w:p>
        </w:tc>
        <w:tc>
          <w:tcPr>
            <w:tcW w:w="1885" w:type="dxa"/>
          </w:tcPr>
          <w:p>
            <w:pPr>
              <w:pStyle w:val="TableParagraph"/>
              <w:spacing w:before="9"/>
              <w:rPr>
                <w:rFonts w:ascii="Times New Roman"/>
                <w:sz w:val="22"/>
              </w:rPr>
            </w:pPr>
          </w:p>
          <w:p>
            <w:pPr>
              <w:pStyle w:val="TableParagraph"/>
              <w:ind w:left="680"/>
              <w:rPr>
                <w:b/>
                <w:sz w:val="24"/>
              </w:rPr>
            </w:pPr>
            <w:r>
              <w:rPr>
                <w:b/>
                <w:sz w:val="24"/>
              </w:rPr>
              <w:t>81.8</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8"/>
        </w:rPr>
      </w:pPr>
    </w:p>
    <w:p>
      <w:pPr>
        <w:pStyle w:val="BodyText"/>
        <w:spacing w:line="360" w:lineRule="auto" w:before="70"/>
        <w:ind w:left="662" w:right="575"/>
        <w:jc w:val="both"/>
      </w:pPr>
      <w:r>
        <w:rPr/>
        <w:t>From</w:t>
      </w:r>
      <w:r>
        <w:rPr>
          <w:spacing w:val="-17"/>
        </w:rPr>
        <w:t> </w:t>
      </w:r>
      <w:r>
        <w:rPr/>
        <w:t>Table</w:t>
      </w:r>
      <w:r>
        <w:rPr>
          <w:spacing w:val="-16"/>
        </w:rPr>
        <w:t> </w:t>
      </w:r>
      <w:r>
        <w:rPr/>
        <w:t>3</w:t>
      </w:r>
      <w:r>
        <w:rPr>
          <w:spacing w:val="-16"/>
        </w:rPr>
        <w:t> </w:t>
      </w:r>
      <w:r>
        <w:rPr/>
        <w:t>it</w:t>
      </w:r>
      <w:r>
        <w:rPr>
          <w:spacing w:val="-16"/>
        </w:rPr>
        <w:t> </w:t>
      </w:r>
      <w:r>
        <w:rPr/>
        <w:t>is</w:t>
      </w:r>
      <w:r>
        <w:rPr>
          <w:spacing w:val="-17"/>
        </w:rPr>
        <w:t> </w:t>
      </w:r>
      <w:r>
        <w:rPr/>
        <w:t>clear</w:t>
      </w:r>
      <w:r>
        <w:rPr>
          <w:spacing w:val="-17"/>
        </w:rPr>
        <w:t> </w:t>
      </w:r>
      <w:r>
        <w:rPr/>
        <w:t>that</w:t>
      </w:r>
      <w:r>
        <w:rPr>
          <w:spacing w:val="-16"/>
        </w:rPr>
        <w:t> </w:t>
      </w:r>
      <w:r>
        <w:rPr/>
        <w:t>the</w:t>
      </w:r>
      <w:r>
        <w:rPr>
          <w:spacing w:val="-16"/>
        </w:rPr>
        <w:t> </w:t>
      </w:r>
      <w:r>
        <w:rPr/>
        <w:t>results</w:t>
      </w:r>
      <w:r>
        <w:rPr>
          <w:spacing w:val="-16"/>
        </w:rPr>
        <w:t> </w:t>
      </w:r>
      <w:r>
        <w:rPr/>
        <w:t>are</w:t>
      </w:r>
      <w:r>
        <w:rPr>
          <w:spacing w:val="-16"/>
        </w:rPr>
        <w:t> </w:t>
      </w:r>
      <w:r>
        <w:rPr/>
        <w:t>very</w:t>
      </w:r>
      <w:r>
        <w:rPr>
          <w:spacing w:val="-17"/>
        </w:rPr>
        <w:t> </w:t>
      </w:r>
      <w:r>
        <w:rPr/>
        <w:t>similar</w:t>
      </w:r>
      <w:r>
        <w:rPr>
          <w:spacing w:val="-17"/>
        </w:rPr>
        <w:t> </w:t>
      </w:r>
      <w:r>
        <w:rPr/>
        <w:t>among</w:t>
      </w:r>
      <w:r>
        <w:rPr>
          <w:spacing w:val="-18"/>
        </w:rPr>
        <w:t> </w:t>
      </w:r>
      <w:r>
        <w:rPr/>
        <w:t>the</w:t>
      </w:r>
      <w:r>
        <w:rPr>
          <w:spacing w:val="-18"/>
        </w:rPr>
        <w:t> </w:t>
      </w:r>
      <w:r>
        <w:rPr/>
        <w:t>four</w:t>
      </w:r>
      <w:r>
        <w:rPr>
          <w:spacing w:val="-17"/>
        </w:rPr>
        <w:t> </w:t>
      </w:r>
      <w:r>
        <w:rPr/>
        <w:t>methods.</w:t>
      </w:r>
      <w:r>
        <w:rPr>
          <w:spacing w:val="-16"/>
        </w:rPr>
        <w:t> </w:t>
      </w:r>
      <w:r>
        <w:rPr/>
        <w:t>As</w:t>
      </w:r>
      <w:r>
        <w:rPr>
          <w:spacing w:val="-16"/>
        </w:rPr>
        <w:t> </w:t>
      </w:r>
      <w:r>
        <w:rPr/>
        <w:t>above, the results obtained with methods #2, #3 and #4 are compared below to those with the standard method #1 by means of Fisher´s test (i.e., comparison of</w:t>
      </w:r>
      <w:r>
        <w:rPr>
          <w:spacing w:val="-29"/>
        </w:rPr>
        <w:t> </w:t>
      </w:r>
      <w:r>
        <w:rPr/>
        <w:t>variances).</w:t>
      </w:r>
    </w:p>
    <w:p>
      <w:pPr>
        <w:pStyle w:val="BodyText"/>
      </w:pPr>
    </w:p>
    <w:p>
      <w:pPr>
        <w:pStyle w:val="BodyText"/>
        <w:spacing w:line="360" w:lineRule="auto" w:before="142"/>
        <w:ind w:left="677" w:right="593"/>
        <w:jc w:val="center"/>
      </w:pPr>
      <w:r>
        <w:rPr/>
        <w:t>Table 4. F-values from Fisher's test for methods #2, #3 and #4 with different wastewater samples.</w:t>
      </w:r>
    </w:p>
    <w:p>
      <w:pPr>
        <w:pStyle w:val="BodyText"/>
        <w:spacing w:before="2"/>
        <w:ind w:left="1563" w:right="1475"/>
        <w:jc w:val="center"/>
      </w:pPr>
      <w:r>
        <w:rPr/>
        <w:t>(F from reference tables at the 95% confidence level = 6.388).</w:t>
      </w:r>
    </w:p>
    <w:p>
      <w:pPr>
        <w:pStyle w:val="BodyText"/>
        <w:rPr>
          <w:sz w:val="20"/>
        </w:rPr>
      </w:pPr>
    </w:p>
    <w:p>
      <w:pPr>
        <w:pStyle w:val="BodyText"/>
        <w:rPr>
          <w:sz w:val="20"/>
        </w:rPr>
      </w:pPr>
    </w:p>
    <w:p>
      <w:pPr>
        <w:pStyle w:val="BodyText"/>
        <w:spacing w:before="7"/>
        <w:rPr>
          <w:sz w:val="10"/>
        </w:rPr>
      </w:pPr>
    </w:p>
    <w:tbl>
      <w:tblPr>
        <w:tblW w:w="0" w:type="auto"/>
        <w:jc w:val="left"/>
        <w:tblInd w:w="6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2"/>
        <w:gridCol w:w="2168"/>
        <w:gridCol w:w="1173"/>
        <w:gridCol w:w="1610"/>
        <w:gridCol w:w="1342"/>
        <w:gridCol w:w="1380"/>
      </w:tblGrid>
      <w:tr>
        <w:trPr>
          <w:trHeight w:val="1284" w:hRule="exact"/>
        </w:trPr>
        <w:tc>
          <w:tcPr>
            <w:tcW w:w="1722" w:type="dxa"/>
            <w:tcBorders>
              <w:bottom w:val="single" w:sz="14" w:space="0" w:color="497DBA"/>
            </w:tcBorders>
          </w:tcPr>
          <w:p>
            <w:pPr>
              <w:pStyle w:val="TableParagraph"/>
              <w:spacing w:before="2"/>
              <w:rPr>
                <w:sz w:val="33"/>
              </w:rPr>
            </w:pPr>
          </w:p>
          <w:p>
            <w:pPr>
              <w:pStyle w:val="TableParagraph"/>
              <w:ind w:left="79"/>
              <w:rPr>
                <w:b/>
                <w:sz w:val="24"/>
              </w:rPr>
            </w:pPr>
            <w:r>
              <w:rPr>
                <w:b/>
                <w:sz w:val="24"/>
              </w:rPr>
              <w:t>Plant/Method</w:t>
            </w:r>
          </w:p>
          <w:p>
            <w:pPr>
              <w:pStyle w:val="TableParagraph"/>
              <w:spacing w:before="139"/>
              <w:ind w:left="79"/>
              <w:rPr>
                <w:b/>
                <w:sz w:val="24"/>
              </w:rPr>
            </w:pPr>
            <w:r>
              <w:rPr>
                <w:b/>
                <w:w w:val="99"/>
                <w:sz w:val="24"/>
              </w:rPr>
              <w:t>:</w:t>
            </w:r>
          </w:p>
        </w:tc>
        <w:tc>
          <w:tcPr>
            <w:tcW w:w="2168" w:type="dxa"/>
            <w:tcBorders>
              <w:bottom w:val="single" w:sz="14" w:space="0" w:color="497DBA"/>
            </w:tcBorders>
          </w:tcPr>
          <w:p>
            <w:pPr>
              <w:pStyle w:val="TableParagraph"/>
              <w:spacing w:before="2"/>
              <w:rPr>
                <w:sz w:val="33"/>
              </w:rPr>
            </w:pPr>
          </w:p>
          <w:p>
            <w:pPr>
              <w:pStyle w:val="TableParagraph"/>
              <w:ind w:left="117" w:right="196"/>
              <w:jc w:val="center"/>
              <w:rPr>
                <w:b/>
                <w:sz w:val="24"/>
              </w:rPr>
            </w:pPr>
            <w:r>
              <w:rPr>
                <w:b/>
                <w:sz w:val="24"/>
              </w:rPr>
              <w:t>Slaughterhouse</w:t>
            </w:r>
          </w:p>
        </w:tc>
        <w:tc>
          <w:tcPr>
            <w:tcW w:w="1173" w:type="dxa"/>
            <w:tcBorders>
              <w:bottom w:val="single" w:sz="14" w:space="0" w:color="497DBA"/>
            </w:tcBorders>
          </w:tcPr>
          <w:p>
            <w:pPr>
              <w:pStyle w:val="TableParagraph"/>
              <w:spacing w:line="245" w:lineRule="exact"/>
              <w:ind w:left="291" w:hanging="27"/>
              <w:rPr>
                <w:b/>
                <w:sz w:val="24"/>
              </w:rPr>
            </w:pPr>
            <w:r>
              <w:rPr>
                <w:b/>
                <w:sz w:val="24"/>
              </w:rPr>
              <w:t>North</w:t>
            </w:r>
          </w:p>
          <w:p>
            <w:pPr>
              <w:pStyle w:val="TableParagraph"/>
              <w:spacing w:before="137"/>
              <w:ind w:left="291"/>
              <w:rPr>
                <w:b/>
                <w:sz w:val="24"/>
              </w:rPr>
            </w:pPr>
            <w:r>
              <w:rPr>
                <w:b/>
                <w:sz w:val="24"/>
              </w:rPr>
              <w:t>Plant</w:t>
            </w:r>
          </w:p>
        </w:tc>
        <w:tc>
          <w:tcPr>
            <w:tcW w:w="1610" w:type="dxa"/>
            <w:tcBorders>
              <w:bottom w:val="single" w:sz="14" w:space="0" w:color="497DBA"/>
            </w:tcBorders>
          </w:tcPr>
          <w:p>
            <w:pPr>
              <w:pStyle w:val="TableParagraph"/>
              <w:spacing w:line="245" w:lineRule="exact"/>
              <w:ind w:left="199" w:right="116"/>
              <w:jc w:val="center"/>
              <w:rPr>
                <w:b/>
                <w:sz w:val="24"/>
              </w:rPr>
            </w:pPr>
            <w:r>
              <w:rPr>
                <w:b/>
                <w:sz w:val="24"/>
              </w:rPr>
              <w:t>Cerro de la</w:t>
            </w:r>
          </w:p>
          <w:p>
            <w:pPr>
              <w:pStyle w:val="TableParagraph"/>
              <w:spacing w:before="137"/>
              <w:ind w:left="199" w:right="113"/>
              <w:jc w:val="center"/>
              <w:rPr>
                <w:b/>
                <w:sz w:val="24"/>
              </w:rPr>
            </w:pPr>
            <w:r>
              <w:rPr>
                <w:b/>
                <w:sz w:val="24"/>
              </w:rPr>
              <w:t>Estrella</w:t>
            </w:r>
          </w:p>
        </w:tc>
        <w:tc>
          <w:tcPr>
            <w:tcW w:w="1342" w:type="dxa"/>
            <w:tcBorders>
              <w:bottom w:val="single" w:sz="14" w:space="0" w:color="497DBA"/>
            </w:tcBorders>
          </w:tcPr>
          <w:p>
            <w:pPr>
              <w:pStyle w:val="TableParagraph"/>
              <w:spacing w:line="245" w:lineRule="exact"/>
              <w:ind w:left="150" w:right="125"/>
              <w:jc w:val="center"/>
              <w:rPr>
                <w:b/>
                <w:sz w:val="24"/>
              </w:rPr>
            </w:pPr>
            <w:r>
              <w:rPr>
                <w:b/>
                <w:sz w:val="24"/>
              </w:rPr>
              <w:t>Chocolat</w:t>
            </w:r>
          </w:p>
          <w:p>
            <w:pPr>
              <w:pStyle w:val="TableParagraph"/>
              <w:spacing w:line="360" w:lineRule="auto" w:before="137"/>
              <w:ind w:left="136" w:right="108" w:hanging="2"/>
              <w:jc w:val="center"/>
              <w:rPr>
                <w:b/>
                <w:sz w:val="24"/>
              </w:rPr>
            </w:pPr>
            <w:r>
              <w:rPr>
                <w:b/>
                <w:sz w:val="24"/>
              </w:rPr>
              <w:t>e      Company</w:t>
            </w:r>
          </w:p>
        </w:tc>
        <w:tc>
          <w:tcPr>
            <w:tcW w:w="1380" w:type="dxa"/>
            <w:tcBorders>
              <w:bottom w:val="single" w:sz="14" w:space="0" w:color="497DBA"/>
            </w:tcBorders>
          </w:tcPr>
          <w:p>
            <w:pPr>
              <w:pStyle w:val="TableParagraph"/>
              <w:spacing w:line="245" w:lineRule="exact"/>
              <w:ind w:left="89" w:right="100"/>
              <w:jc w:val="center"/>
              <w:rPr>
                <w:b/>
                <w:sz w:val="24"/>
              </w:rPr>
            </w:pPr>
            <w:r>
              <w:rPr>
                <w:b/>
                <w:sz w:val="24"/>
              </w:rPr>
              <w:t>Diverse</w:t>
            </w:r>
          </w:p>
          <w:p>
            <w:pPr>
              <w:pStyle w:val="TableParagraph"/>
              <w:spacing w:before="137"/>
              <w:ind w:left="92" w:right="100"/>
              <w:jc w:val="center"/>
              <w:rPr>
                <w:b/>
                <w:sz w:val="24"/>
              </w:rPr>
            </w:pPr>
            <w:r>
              <w:rPr>
                <w:b/>
                <w:sz w:val="24"/>
              </w:rPr>
              <w:t>Industries</w:t>
            </w:r>
          </w:p>
        </w:tc>
      </w:tr>
      <w:tr>
        <w:trPr>
          <w:trHeight w:val="699" w:hRule="exact"/>
        </w:trPr>
        <w:tc>
          <w:tcPr>
            <w:tcW w:w="1722" w:type="dxa"/>
            <w:tcBorders>
              <w:top w:val="single" w:sz="14" w:space="0" w:color="497DBA"/>
            </w:tcBorders>
          </w:tcPr>
          <w:p>
            <w:pPr>
              <w:pStyle w:val="TableParagraph"/>
              <w:spacing w:before="2"/>
              <w:rPr>
                <w:sz w:val="28"/>
              </w:rPr>
            </w:pPr>
          </w:p>
          <w:p>
            <w:pPr>
              <w:pStyle w:val="TableParagraph"/>
              <w:spacing w:before="1"/>
              <w:ind w:left="72"/>
              <w:rPr>
                <w:b/>
                <w:sz w:val="24"/>
              </w:rPr>
            </w:pPr>
            <w:r>
              <w:rPr>
                <w:b/>
                <w:sz w:val="24"/>
              </w:rPr>
              <w:t>Method 2</w:t>
            </w:r>
          </w:p>
        </w:tc>
        <w:tc>
          <w:tcPr>
            <w:tcW w:w="2168" w:type="dxa"/>
            <w:tcBorders>
              <w:top w:val="single" w:sz="14" w:space="0" w:color="497DBA"/>
            </w:tcBorders>
          </w:tcPr>
          <w:p>
            <w:pPr>
              <w:pStyle w:val="TableParagraph"/>
              <w:spacing w:before="2"/>
              <w:rPr>
                <w:sz w:val="28"/>
              </w:rPr>
            </w:pPr>
          </w:p>
          <w:p>
            <w:pPr>
              <w:pStyle w:val="TableParagraph"/>
              <w:spacing w:before="1"/>
              <w:ind w:left="117" w:right="194"/>
              <w:jc w:val="center"/>
              <w:rPr>
                <w:b/>
                <w:sz w:val="24"/>
              </w:rPr>
            </w:pPr>
            <w:r>
              <w:rPr>
                <w:b/>
                <w:sz w:val="24"/>
              </w:rPr>
              <w:t>1.856</w:t>
            </w:r>
          </w:p>
        </w:tc>
        <w:tc>
          <w:tcPr>
            <w:tcW w:w="1173" w:type="dxa"/>
            <w:tcBorders>
              <w:top w:val="single" w:sz="14" w:space="0" w:color="497DBA"/>
            </w:tcBorders>
          </w:tcPr>
          <w:p>
            <w:pPr>
              <w:pStyle w:val="TableParagraph"/>
              <w:spacing w:before="2"/>
              <w:rPr>
                <w:sz w:val="28"/>
              </w:rPr>
            </w:pPr>
          </w:p>
          <w:p>
            <w:pPr>
              <w:pStyle w:val="TableParagraph"/>
              <w:spacing w:before="1"/>
              <w:ind w:left="199" w:right="199"/>
              <w:jc w:val="center"/>
              <w:rPr>
                <w:b/>
                <w:sz w:val="24"/>
              </w:rPr>
            </w:pPr>
            <w:r>
              <w:rPr>
                <w:b/>
                <w:sz w:val="24"/>
              </w:rPr>
              <w:t>14.180</w:t>
            </w:r>
          </w:p>
        </w:tc>
        <w:tc>
          <w:tcPr>
            <w:tcW w:w="1610" w:type="dxa"/>
            <w:tcBorders>
              <w:top w:val="single" w:sz="14" w:space="0" w:color="497DBA"/>
            </w:tcBorders>
          </w:tcPr>
          <w:p>
            <w:pPr>
              <w:pStyle w:val="TableParagraph"/>
              <w:spacing w:before="2"/>
              <w:rPr>
                <w:sz w:val="28"/>
              </w:rPr>
            </w:pPr>
          </w:p>
          <w:p>
            <w:pPr>
              <w:pStyle w:val="TableParagraph"/>
              <w:spacing w:before="1"/>
              <w:ind w:left="199" w:right="116"/>
              <w:jc w:val="center"/>
              <w:rPr>
                <w:b/>
                <w:sz w:val="24"/>
              </w:rPr>
            </w:pPr>
            <w:r>
              <w:rPr>
                <w:b/>
                <w:sz w:val="24"/>
              </w:rPr>
              <w:t>2.487</w:t>
            </w:r>
          </w:p>
        </w:tc>
        <w:tc>
          <w:tcPr>
            <w:tcW w:w="1342" w:type="dxa"/>
            <w:tcBorders>
              <w:top w:val="single" w:sz="14" w:space="0" w:color="497DBA"/>
            </w:tcBorders>
          </w:tcPr>
          <w:p>
            <w:pPr>
              <w:pStyle w:val="TableParagraph"/>
              <w:spacing w:before="2"/>
              <w:rPr>
                <w:sz w:val="28"/>
              </w:rPr>
            </w:pPr>
          </w:p>
          <w:p>
            <w:pPr>
              <w:pStyle w:val="TableParagraph"/>
              <w:spacing w:before="1"/>
              <w:ind w:left="150" w:right="124"/>
              <w:jc w:val="center"/>
              <w:rPr>
                <w:b/>
                <w:sz w:val="24"/>
              </w:rPr>
            </w:pPr>
            <w:r>
              <w:rPr>
                <w:b/>
                <w:sz w:val="24"/>
              </w:rPr>
              <w:t>1.245</w:t>
            </w:r>
          </w:p>
        </w:tc>
        <w:tc>
          <w:tcPr>
            <w:tcW w:w="1380" w:type="dxa"/>
            <w:tcBorders>
              <w:top w:val="single" w:sz="14" w:space="0" w:color="497DBA"/>
            </w:tcBorders>
          </w:tcPr>
          <w:p>
            <w:pPr>
              <w:pStyle w:val="TableParagraph"/>
              <w:spacing w:before="2"/>
              <w:rPr>
                <w:sz w:val="28"/>
              </w:rPr>
            </w:pPr>
          </w:p>
          <w:p>
            <w:pPr>
              <w:pStyle w:val="TableParagraph"/>
              <w:spacing w:before="1"/>
              <w:ind w:left="92" w:right="100"/>
              <w:jc w:val="center"/>
              <w:rPr>
                <w:b/>
                <w:sz w:val="24"/>
              </w:rPr>
            </w:pPr>
            <w:r>
              <w:rPr>
                <w:b/>
                <w:sz w:val="24"/>
              </w:rPr>
              <w:t>1.996</w:t>
            </w:r>
          </w:p>
        </w:tc>
      </w:tr>
      <w:tr>
        <w:trPr>
          <w:trHeight w:val="414" w:hRule="exact"/>
        </w:trPr>
        <w:tc>
          <w:tcPr>
            <w:tcW w:w="1722" w:type="dxa"/>
          </w:tcPr>
          <w:p>
            <w:pPr>
              <w:pStyle w:val="TableParagraph"/>
              <w:spacing w:before="55"/>
              <w:ind w:left="72"/>
              <w:rPr>
                <w:b/>
                <w:sz w:val="24"/>
              </w:rPr>
            </w:pPr>
            <w:r>
              <w:rPr>
                <w:b/>
                <w:sz w:val="24"/>
              </w:rPr>
              <w:t>Method 3</w:t>
            </w:r>
          </w:p>
        </w:tc>
        <w:tc>
          <w:tcPr>
            <w:tcW w:w="2168" w:type="dxa"/>
          </w:tcPr>
          <w:p>
            <w:pPr>
              <w:pStyle w:val="TableParagraph"/>
              <w:spacing w:before="55"/>
              <w:ind w:left="117" w:right="194"/>
              <w:jc w:val="center"/>
              <w:rPr>
                <w:b/>
                <w:sz w:val="24"/>
              </w:rPr>
            </w:pPr>
            <w:r>
              <w:rPr>
                <w:b/>
                <w:sz w:val="24"/>
              </w:rPr>
              <w:t>1.381</w:t>
            </w:r>
          </w:p>
        </w:tc>
        <w:tc>
          <w:tcPr>
            <w:tcW w:w="1173" w:type="dxa"/>
          </w:tcPr>
          <w:p>
            <w:pPr>
              <w:pStyle w:val="TableParagraph"/>
              <w:spacing w:before="55"/>
              <w:ind w:left="199" w:right="199"/>
              <w:jc w:val="center"/>
              <w:rPr>
                <w:b/>
                <w:sz w:val="24"/>
              </w:rPr>
            </w:pPr>
            <w:r>
              <w:rPr>
                <w:b/>
                <w:sz w:val="24"/>
              </w:rPr>
              <w:t>11.150</w:t>
            </w:r>
          </w:p>
        </w:tc>
        <w:tc>
          <w:tcPr>
            <w:tcW w:w="1610" w:type="dxa"/>
          </w:tcPr>
          <w:p>
            <w:pPr>
              <w:pStyle w:val="TableParagraph"/>
              <w:spacing w:before="55"/>
              <w:ind w:left="199" w:right="116"/>
              <w:jc w:val="center"/>
              <w:rPr>
                <w:b/>
                <w:sz w:val="24"/>
              </w:rPr>
            </w:pPr>
            <w:r>
              <w:rPr>
                <w:b/>
                <w:sz w:val="24"/>
              </w:rPr>
              <w:t>1.319</w:t>
            </w:r>
          </w:p>
        </w:tc>
        <w:tc>
          <w:tcPr>
            <w:tcW w:w="1342" w:type="dxa"/>
          </w:tcPr>
          <w:p>
            <w:pPr>
              <w:pStyle w:val="TableParagraph"/>
              <w:spacing w:before="55"/>
              <w:ind w:left="150" w:right="124"/>
              <w:jc w:val="center"/>
              <w:rPr>
                <w:b/>
                <w:sz w:val="24"/>
              </w:rPr>
            </w:pPr>
            <w:r>
              <w:rPr>
                <w:b/>
                <w:sz w:val="24"/>
              </w:rPr>
              <w:t>1.113</w:t>
            </w:r>
          </w:p>
        </w:tc>
        <w:tc>
          <w:tcPr>
            <w:tcW w:w="1380" w:type="dxa"/>
          </w:tcPr>
          <w:p>
            <w:pPr>
              <w:pStyle w:val="TableParagraph"/>
              <w:spacing w:before="55"/>
              <w:ind w:left="92" w:right="100"/>
              <w:jc w:val="center"/>
              <w:rPr>
                <w:b/>
                <w:sz w:val="24"/>
              </w:rPr>
            </w:pPr>
            <w:r>
              <w:rPr>
                <w:b/>
                <w:sz w:val="24"/>
              </w:rPr>
              <w:t>1.976</w:t>
            </w:r>
          </w:p>
        </w:tc>
      </w:tr>
      <w:tr>
        <w:trPr>
          <w:trHeight w:val="328" w:hRule="exact"/>
        </w:trPr>
        <w:tc>
          <w:tcPr>
            <w:tcW w:w="1722" w:type="dxa"/>
          </w:tcPr>
          <w:p>
            <w:pPr>
              <w:pStyle w:val="TableParagraph"/>
              <w:spacing w:before="57"/>
              <w:ind w:left="72"/>
              <w:rPr>
                <w:b/>
                <w:sz w:val="24"/>
              </w:rPr>
            </w:pPr>
            <w:r>
              <w:rPr>
                <w:b/>
                <w:sz w:val="24"/>
              </w:rPr>
              <w:t>Method 4</w:t>
            </w:r>
          </w:p>
        </w:tc>
        <w:tc>
          <w:tcPr>
            <w:tcW w:w="2168" w:type="dxa"/>
          </w:tcPr>
          <w:p>
            <w:pPr>
              <w:pStyle w:val="TableParagraph"/>
              <w:spacing w:before="57"/>
              <w:ind w:left="117" w:right="194"/>
              <w:jc w:val="center"/>
              <w:rPr>
                <w:b/>
                <w:sz w:val="24"/>
              </w:rPr>
            </w:pPr>
            <w:r>
              <w:rPr>
                <w:b/>
                <w:sz w:val="24"/>
              </w:rPr>
              <w:t>4.969</w:t>
            </w:r>
          </w:p>
        </w:tc>
        <w:tc>
          <w:tcPr>
            <w:tcW w:w="1173" w:type="dxa"/>
          </w:tcPr>
          <w:p>
            <w:pPr>
              <w:pStyle w:val="TableParagraph"/>
              <w:spacing w:before="57"/>
              <w:ind w:left="198" w:right="199"/>
              <w:jc w:val="center"/>
              <w:rPr>
                <w:b/>
                <w:sz w:val="24"/>
              </w:rPr>
            </w:pPr>
            <w:r>
              <w:rPr>
                <w:b/>
                <w:sz w:val="24"/>
              </w:rPr>
              <w:t>3.592</w:t>
            </w:r>
          </w:p>
        </w:tc>
        <w:tc>
          <w:tcPr>
            <w:tcW w:w="1610" w:type="dxa"/>
          </w:tcPr>
          <w:p>
            <w:pPr>
              <w:pStyle w:val="TableParagraph"/>
              <w:spacing w:before="57"/>
              <w:ind w:left="199" w:right="116"/>
              <w:jc w:val="center"/>
              <w:rPr>
                <w:b/>
                <w:sz w:val="24"/>
              </w:rPr>
            </w:pPr>
            <w:r>
              <w:rPr>
                <w:b/>
                <w:sz w:val="24"/>
              </w:rPr>
              <w:t>5.448</w:t>
            </w:r>
          </w:p>
        </w:tc>
        <w:tc>
          <w:tcPr>
            <w:tcW w:w="1342" w:type="dxa"/>
          </w:tcPr>
          <w:p>
            <w:pPr>
              <w:pStyle w:val="TableParagraph"/>
              <w:spacing w:before="57"/>
              <w:ind w:left="150" w:right="124"/>
              <w:jc w:val="center"/>
              <w:rPr>
                <w:b/>
                <w:sz w:val="24"/>
              </w:rPr>
            </w:pPr>
            <w:r>
              <w:rPr>
                <w:b/>
                <w:sz w:val="24"/>
              </w:rPr>
              <w:t>1.001</w:t>
            </w:r>
          </w:p>
        </w:tc>
        <w:tc>
          <w:tcPr>
            <w:tcW w:w="1380" w:type="dxa"/>
          </w:tcPr>
          <w:p>
            <w:pPr>
              <w:pStyle w:val="TableParagraph"/>
              <w:spacing w:before="57"/>
              <w:ind w:left="92" w:right="100"/>
              <w:jc w:val="center"/>
              <w:rPr>
                <w:b/>
                <w:sz w:val="24"/>
              </w:rPr>
            </w:pPr>
            <w:r>
              <w:rPr>
                <w:b/>
                <w:sz w:val="24"/>
              </w:rPr>
              <w:t>1.627</w:t>
            </w:r>
          </w:p>
        </w:tc>
      </w:tr>
    </w:tbl>
    <w:p>
      <w:pPr>
        <w:spacing w:after="0"/>
        <w:jc w:val="center"/>
        <w:rPr>
          <w:sz w:val="24"/>
        </w:rPr>
        <w:sectPr>
          <w:pgSz w:w="12240" w:h="15840"/>
          <w:pgMar w:header="0" w:footer="654" w:top="1160" w:bottom="840" w:left="1040" w:right="560"/>
        </w:sectPr>
      </w:pPr>
    </w:p>
    <w:p>
      <w:pPr>
        <w:pStyle w:val="BodyText"/>
        <w:spacing w:line="360" w:lineRule="auto" w:before="51"/>
        <w:ind w:left="662" w:right="567"/>
        <w:jc w:val="both"/>
      </w:pPr>
      <w:r>
        <w:rPr/>
        <w:t>As observed in Table 4, all of the F-values obtained from the experiments (except those of the unusually turbid Toluca North Plant wastewaters) are smaller than the reference value obtained from tables (i.e., F = 6.388 at the 95% confidence level) which validates </w:t>
      </w:r>
      <w:r>
        <w:rPr>
          <w:position w:val="1"/>
        </w:rPr>
        <w:t>the procedure of this proposed greener method that uses UV-irradiated H</w:t>
      </w:r>
      <w:r>
        <w:rPr>
          <w:sz w:val="16"/>
        </w:rPr>
        <w:t>2</w:t>
      </w:r>
      <w:r>
        <w:rPr>
          <w:position w:val="1"/>
        </w:rPr>
        <w:t>O</w:t>
      </w:r>
      <w:r>
        <w:rPr>
          <w:sz w:val="16"/>
        </w:rPr>
        <w:t>2</w:t>
      </w:r>
      <w:r>
        <w:rPr>
          <w:position w:val="1"/>
        </w:rPr>
        <w:t>.</w:t>
      </w:r>
    </w:p>
    <w:p>
      <w:pPr>
        <w:pStyle w:val="BodyText"/>
      </w:pPr>
    </w:p>
    <w:p>
      <w:pPr>
        <w:pStyle w:val="BodyText"/>
        <w:spacing w:line="360" w:lineRule="auto" w:before="142"/>
        <w:ind w:left="662" w:right="573"/>
        <w:jc w:val="both"/>
      </w:pPr>
      <w:r>
        <w:rPr/>
        <w:t>Some of the results in Tables 1 and 3 obtained with different methods are rather similar. This is possibly due to the presence of simple organic compounds that are easily oxidizable and thus display a similar behavior with different methods, while greater differences mean a greater resistance to oxidation.</w:t>
      </w:r>
    </w:p>
    <w:p>
      <w:pPr>
        <w:pStyle w:val="BodyText"/>
      </w:pPr>
    </w:p>
    <w:p>
      <w:pPr>
        <w:pStyle w:val="BodyText"/>
        <w:spacing w:line="360" w:lineRule="auto" w:before="142"/>
        <w:ind w:left="662" w:right="576"/>
        <w:jc w:val="both"/>
      </w:pPr>
      <w:r>
        <w:rPr/>
        <w:t>In order to better asssess the practicability of the different methods, a summary is now presented of the reagents and quantities used in each one as well as the reaction times and the use of electrical energy or lamps. See Table 5.</w:t>
      </w:r>
    </w:p>
    <w:p>
      <w:pPr>
        <w:pStyle w:val="BodyText"/>
      </w:pPr>
    </w:p>
    <w:p>
      <w:pPr>
        <w:pStyle w:val="BodyText"/>
      </w:pPr>
    </w:p>
    <w:p>
      <w:pPr>
        <w:pStyle w:val="BodyText"/>
      </w:pPr>
    </w:p>
    <w:p>
      <w:pPr>
        <w:pStyle w:val="BodyText"/>
      </w:pPr>
    </w:p>
    <w:p>
      <w:pPr>
        <w:pStyle w:val="BodyText"/>
      </w:pPr>
    </w:p>
    <w:p>
      <w:pPr>
        <w:pStyle w:val="BodyText"/>
        <w:spacing w:before="5"/>
      </w:pPr>
    </w:p>
    <w:p>
      <w:pPr>
        <w:pStyle w:val="Heading6"/>
        <w:ind w:left="1302" w:right="286"/>
        <w:jc w:val="left"/>
      </w:pPr>
      <w:r>
        <w:rPr/>
        <w:t>Table 5. Comparison of reagents and materials used in each technique.</w:t>
      </w:r>
    </w:p>
    <w:p>
      <w:pPr>
        <w:pStyle w:val="BodyText"/>
        <w:spacing w:before="1"/>
        <w:rPr>
          <w:b/>
          <w:sz w:val="12"/>
        </w:rPr>
      </w:pPr>
    </w:p>
    <w:tbl>
      <w:tblPr>
        <w:tblW w:w="0" w:type="auto"/>
        <w:jc w:val="left"/>
        <w:tblInd w:w="6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6"/>
        <w:gridCol w:w="1853"/>
        <w:gridCol w:w="1846"/>
        <w:gridCol w:w="1925"/>
        <w:gridCol w:w="1928"/>
      </w:tblGrid>
      <w:tr>
        <w:trPr>
          <w:trHeight w:val="1666" w:hRule="exact"/>
        </w:trPr>
        <w:tc>
          <w:tcPr>
            <w:tcW w:w="1846" w:type="dxa"/>
          </w:tcPr>
          <w:p>
            <w:pPr>
              <w:pStyle w:val="TableParagraph"/>
              <w:spacing w:before="10"/>
              <w:rPr>
                <w:b/>
                <w:sz w:val="35"/>
              </w:rPr>
            </w:pPr>
          </w:p>
          <w:p>
            <w:pPr>
              <w:pStyle w:val="TableParagraph"/>
              <w:spacing w:line="360" w:lineRule="auto" w:before="1"/>
              <w:ind w:left="391" w:right="113" w:hanging="262"/>
              <w:rPr>
                <w:b/>
                <w:sz w:val="24"/>
              </w:rPr>
            </w:pPr>
            <w:r>
              <w:rPr>
                <w:b/>
                <w:sz w:val="24"/>
              </w:rPr>
              <w:t>Reagents and materials</w:t>
            </w:r>
          </w:p>
        </w:tc>
        <w:tc>
          <w:tcPr>
            <w:tcW w:w="1853" w:type="dxa"/>
          </w:tcPr>
          <w:p>
            <w:pPr>
              <w:pStyle w:val="TableParagraph"/>
              <w:spacing w:before="10"/>
              <w:rPr>
                <w:b/>
                <w:sz w:val="35"/>
              </w:rPr>
            </w:pPr>
          </w:p>
          <w:p>
            <w:pPr>
              <w:pStyle w:val="TableParagraph"/>
              <w:spacing w:line="360" w:lineRule="auto" w:before="1"/>
              <w:ind w:left="319" w:right="304" w:firstLine="75"/>
              <w:rPr>
                <w:b/>
                <w:sz w:val="24"/>
              </w:rPr>
            </w:pPr>
            <w:r>
              <w:rPr>
                <w:b/>
                <w:sz w:val="24"/>
              </w:rPr>
              <w:t>Method 1 (Standard)</w:t>
            </w:r>
          </w:p>
        </w:tc>
        <w:tc>
          <w:tcPr>
            <w:tcW w:w="1846" w:type="dxa"/>
          </w:tcPr>
          <w:p>
            <w:pPr>
              <w:pStyle w:val="TableParagraph"/>
              <w:spacing w:before="10"/>
              <w:rPr>
                <w:b/>
                <w:sz w:val="35"/>
              </w:rPr>
            </w:pPr>
          </w:p>
          <w:p>
            <w:pPr>
              <w:pStyle w:val="TableParagraph"/>
              <w:spacing w:line="360" w:lineRule="auto" w:before="1"/>
              <w:ind w:left="328" w:right="314" w:firstLine="60"/>
              <w:rPr>
                <w:b/>
                <w:sz w:val="24"/>
              </w:rPr>
            </w:pPr>
            <w:r>
              <w:rPr>
                <w:b/>
                <w:sz w:val="24"/>
              </w:rPr>
              <w:t>Method 2 (Peroxide)</w:t>
            </w:r>
          </w:p>
        </w:tc>
        <w:tc>
          <w:tcPr>
            <w:tcW w:w="1925" w:type="dxa"/>
          </w:tcPr>
          <w:p>
            <w:pPr>
              <w:pStyle w:val="TableParagraph"/>
              <w:spacing w:line="360" w:lineRule="auto" w:before="207"/>
              <w:ind w:left="160" w:right="164" w:firstLine="1"/>
              <w:jc w:val="center"/>
              <w:rPr>
                <w:b/>
                <w:sz w:val="24"/>
              </w:rPr>
            </w:pPr>
            <w:r>
              <w:rPr>
                <w:b/>
                <w:sz w:val="24"/>
              </w:rPr>
              <w:t>Method 3 (Peroxide and </w:t>
            </w:r>
            <w:r>
              <w:rPr>
                <w:b/>
                <w:position w:val="1"/>
                <w:sz w:val="24"/>
              </w:rPr>
              <w:t>half Ag</w:t>
            </w:r>
            <w:r>
              <w:rPr>
                <w:b/>
                <w:sz w:val="16"/>
              </w:rPr>
              <w:t>2</w:t>
            </w:r>
            <w:r>
              <w:rPr>
                <w:b/>
                <w:position w:val="1"/>
                <w:sz w:val="24"/>
              </w:rPr>
              <w:t>SO</w:t>
            </w:r>
            <w:r>
              <w:rPr>
                <w:b/>
                <w:sz w:val="16"/>
              </w:rPr>
              <w:t>4</w:t>
            </w:r>
            <w:r>
              <w:rPr>
                <w:b/>
                <w:position w:val="1"/>
                <w:sz w:val="24"/>
              </w:rPr>
              <w:t>)</w:t>
            </w:r>
          </w:p>
        </w:tc>
        <w:tc>
          <w:tcPr>
            <w:tcW w:w="1928" w:type="dxa"/>
          </w:tcPr>
          <w:p>
            <w:pPr>
              <w:pStyle w:val="TableParagraph"/>
              <w:spacing w:line="360" w:lineRule="auto"/>
              <w:ind w:left="130" w:right="130" w:firstLine="1"/>
              <w:jc w:val="center"/>
              <w:rPr>
                <w:b/>
                <w:sz w:val="24"/>
              </w:rPr>
            </w:pPr>
            <w:r>
              <w:rPr>
                <w:b/>
                <w:sz w:val="24"/>
              </w:rPr>
              <w:t>Method 4 (Peroxide,</w:t>
            </w:r>
            <w:r>
              <w:rPr>
                <w:b/>
                <w:spacing w:val="-2"/>
                <w:sz w:val="24"/>
              </w:rPr>
              <w:t> </w:t>
            </w:r>
            <w:r>
              <w:rPr>
                <w:b/>
                <w:sz w:val="24"/>
              </w:rPr>
              <w:t>half </w:t>
            </w:r>
            <w:r>
              <w:rPr>
                <w:b/>
                <w:position w:val="1"/>
                <w:sz w:val="24"/>
              </w:rPr>
              <w:t>Ag</w:t>
            </w:r>
            <w:r>
              <w:rPr>
                <w:b/>
                <w:sz w:val="16"/>
              </w:rPr>
              <w:t>2</w:t>
            </w:r>
            <w:r>
              <w:rPr>
                <w:b/>
                <w:position w:val="1"/>
                <w:sz w:val="24"/>
              </w:rPr>
              <w:t>SO</w:t>
            </w:r>
            <w:r>
              <w:rPr>
                <w:b/>
                <w:sz w:val="16"/>
              </w:rPr>
              <w:t>4 </w:t>
            </w:r>
            <w:r>
              <w:rPr>
                <w:b/>
                <w:position w:val="1"/>
                <w:sz w:val="24"/>
              </w:rPr>
              <w:t>and </w:t>
            </w:r>
            <w:r>
              <w:rPr>
                <w:b/>
                <w:sz w:val="24"/>
              </w:rPr>
              <w:t>UV</w:t>
            </w:r>
            <w:r>
              <w:rPr>
                <w:b/>
                <w:spacing w:val="-2"/>
                <w:sz w:val="24"/>
              </w:rPr>
              <w:t> </w:t>
            </w:r>
            <w:r>
              <w:rPr>
                <w:b/>
                <w:sz w:val="24"/>
              </w:rPr>
              <w:t>light)</w:t>
            </w:r>
          </w:p>
        </w:tc>
      </w:tr>
      <w:tr>
        <w:trPr>
          <w:trHeight w:val="425" w:hRule="exact"/>
        </w:trPr>
        <w:tc>
          <w:tcPr>
            <w:tcW w:w="1846" w:type="dxa"/>
          </w:tcPr>
          <w:p>
            <w:pPr>
              <w:pStyle w:val="TableParagraph"/>
              <w:ind w:left="177" w:right="178"/>
              <w:jc w:val="center"/>
              <w:rPr>
                <w:b/>
                <w:sz w:val="16"/>
              </w:rPr>
            </w:pPr>
            <w:r>
              <w:rPr>
                <w:b/>
                <w:position w:val="1"/>
                <w:sz w:val="24"/>
              </w:rPr>
              <w:t>K</w:t>
            </w:r>
            <w:r>
              <w:rPr>
                <w:b/>
                <w:sz w:val="16"/>
              </w:rPr>
              <w:t>2</w:t>
            </w:r>
            <w:r>
              <w:rPr>
                <w:b/>
                <w:position w:val="1"/>
                <w:sz w:val="24"/>
              </w:rPr>
              <w:t>Cr</w:t>
            </w:r>
            <w:r>
              <w:rPr>
                <w:b/>
                <w:sz w:val="16"/>
              </w:rPr>
              <w:t>2</w:t>
            </w:r>
            <w:r>
              <w:rPr>
                <w:b/>
                <w:position w:val="1"/>
                <w:sz w:val="24"/>
              </w:rPr>
              <w:t>O</w:t>
            </w:r>
            <w:r>
              <w:rPr>
                <w:b/>
                <w:sz w:val="16"/>
              </w:rPr>
              <w:t>7</w:t>
            </w:r>
          </w:p>
        </w:tc>
        <w:tc>
          <w:tcPr>
            <w:tcW w:w="1853" w:type="dxa"/>
          </w:tcPr>
          <w:p>
            <w:pPr>
              <w:pStyle w:val="TableParagraph"/>
              <w:ind w:left="586" w:right="589"/>
              <w:jc w:val="center"/>
              <w:rPr>
                <w:b/>
                <w:sz w:val="24"/>
              </w:rPr>
            </w:pPr>
            <w:r>
              <w:rPr>
                <w:b/>
                <w:sz w:val="24"/>
              </w:rPr>
              <w:t>Yes</w:t>
            </w:r>
          </w:p>
        </w:tc>
        <w:tc>
          <w:tcPr>
            <w:tcW w:w="1846" w:type="dxa"/>
          </w:tcPr>
          <w:p>
            <w:pPr>
              <w:pStyle w:val="TableParagraph"/>
              <w:ind w:right="759"/>
              <w:jc w:val="right"/>
              <w:rPr>
                <w:b/>
                <w:sz w:val="24"/>
              </w:rPr>
            </w:pPr>
            <w:r>
              <w:rPr>
                <w:b/>
                <w:sz w:val="24"/>
              </w:rPr>
              <w:t>No</w:t>
            </w:r>
          </w:p>
        </w:tc>
        <w:tc>
          <w:tcPr>
            <w:tcW w:w="1925" w:type="dxa"/>
          </w:tcPr>
          <w:p>
            <w:pPr>
              <w:pStyle w:val="TableParagraph"/>
              <w:ind w:right="797"/>
              <w:jc w:val="right"/>
              <w:rPr>
                <w:b/>
                <w:sz w:val="24"/>
              </w:rPr>
            </w:pPr>
            <w:r>
              <w:rPr>
                <w:b/>
                <w:sz w:val="24"/>
              </w:rPr>
              <w:t>No</w:t>
            </w:r>
          </w:p>
        </w:tc>
        <w:tc>
          <w:tcPr>
            <w:tcW w:w="1928" w:type="dxa"/>
          </w:tcPr>
          <w:p>
            <w:pPr>
              <w:pStyle w:val="TableParagraph"/>
              <w:ind w:left="625" w:right="625"/>
              <w:jc w:val="center"/>
              <w:rPr>
                <w:b/>
                <w:sz w:val="24"/>
              </w:rPr>
            </w:pPr>
            <w:r>
              <w:rPr>
                <w:b/>
                <w:sz w:val="24"/>
              </w:rPr>
              <w:t>No</w:t>
            </w:r>
          </w:p>
        </w:tc>
      </w:tr>
      <w:tr>
        <w:trPr>
          <w:trHeight w:val="425" w:hRule="exact"/>
        </w:trPr>
        <w:tc>
          <w:tcPr>
            <w:tcW w:w="1846" w:type="dxa"/>
          </w:tcPr>
          <w:p>
            <w:pPr>
              <w:pStyle w:val="TableParagraph"/>
              <w:spacing w:line="274" w:lineRule="exact"/>
              <w:ind w:left="177" w:right="177"/>
              <w:jc w:val="center"/>
              <w:rPr>
                <w:b/>
                <w:sz w:val="16"/>
              </w:rPr>
            </w:pPr>
            <w:r>
              <w:rPr>
                <w:b/>
                <w:position w:val="1"/>
                <w:sz w:val="24"/>
              </w:rPr>
              <w:t>HgSO</w:t>
            </w:r>
            <w:r>
              <w:rPr>
                <w:b/>
                <w:sz w:val="16"/>
              </w:rPr>
              <w:t>4</w:t>
            </w:r>
          </w:p>
        </w:tc>
        <w:tc>
          <w:tcPr>
            <w:tcW w:w="1853" w:type="dxa"/>
          </w:tcPr>
          <w:p>
            <w:pPr>
              <w:pStyle w:val="TableParagraph"/>
              <w:spacing w:line="274" w:lineRule="exact"/>
              <w:ind w:left="586" w:right="589"/>
              <w:jc w:val="center"/>
              <w:rPr>
                <w:b/>
                <w:sz w:val="24"/>
              </w:rPr>
            </w:pPr>
            <w:r>
              <w:rPr>
                <w:b/>
                <w:sz w:val="24"/>
              </w:rPr>
              <w:t>Yes</w:t>
            </w:r>
          </w:p>
        </w:tc>
        <w:tc>
          <w:tcPr>
            <w:tcW w:w="1846" w:type="dxa"/>
          </w:tcPr>
          <w:p>
            <w:pPr>
              <w:pStyle w:val="TableParagraph"/>
              <w:spacing w:line="274" w:lineRule="exact"/>
              <w:ind w:right="707"/>
              <w:jc w:val="right"/>
              <w:rPr>
                <w:b/>
                <w:sz w:val="24"/>
              </w:rPr>
            </w:pPr>
            <w:r>
              <w:rPr>
                <w:b/>
                <w:sz w:val="24"/>
              </w:rPr>
              <w:t>Yes</w:t>
            </w:r>
          </w:p>
        </w:tc>
        <w:tc>
          <w:tcPr>
            <w:tcW w:w="1925" w:type="dxa"/>
          </w:tcPr>
          <w:p>
            <w:pPr>
              <w:pStyle w:val="TableParagraph"/>
              <w:spacing w:line="274" w:lineRule="exact"/>
              <w:ind w:right="745"/>
              <w:jc w:val="right"/>
              <w:rPr>
                <w:b/>
                <w:sz w:val="24"/>
              </w:rPr>
            </w:pPr>
            <w:r>
              <w:rPr>
                <w:b/>
                <w:sz w:val="24"/>
              </w:rPr>
              <w:t>Yes</w:t>
            </w:r>
          </w:p>
        </w:tc>
        <w:tc>
          <w:tcPr>
            <w:tcW w:w="1928" w:type="dxa"/>
          </w:tcPr>
          <w:p>
            <w:pPr>
              <w:pStyle w:val="TableParagraph"/>
              <w:spacing w:line="274" w:lineRule="exact"/>
              <w:ind w:left="623" w:right="625"/>
              <w:jc w:val="center"/>
              <w:rPr>
                <w:b/>
                <w:sz w:val="24"/>
              </w:rPr>
            </w:pPr>
            <w:r>
              <w:rPr>
                <w:b/>
                <w:sz w:val="24"/>
              </w:rPr>
              <w:t>Yes</w:t>
            </w:r>
          </w:p>
        </w:tc>
      </w:tr>
      <w:tr>
        <w:trPr>
          <w:trHeight w:val="422" w:hRule="exact"/>
        </w:trPr>
        <w:tc>
          <w:tcPr>
            <w:tcW w:w="1846" w:type="dxa"/>
          </w:tcPr>
          <w:p>
            <w:pPr>
              <w:pStyle w:val="TableParagraph"/>
              <w:spacing w:line="274" w:lineRule="exact"/>
              <w:ind w:left="177" w:right="177"/>
              <w:jc w:val="center"/>
              <w:rPr>
                <w:b/>
                <w:sz w:val="16"/>
              </w:rPr>
            </w:pPr>
            <w:r>
              <w:rPr>
                <w:b/>
                <w:position w:val="1"/>
                <w:sz w:val="24"/>
              </w:rPr>
              <w:t>H</w:t>
            </w:r>
            <w:r>
              <w:rPr>
                <w:b/>
                <w:sz w:val="16"/>
              </w:rPr>
              <w:t>2</w:t>
            </w:r>
            <w:r>
              <w:rPr>
                <w:b/>
                <w:position w:val="1"/>
                <w:sz w:val="24"/>
              </w:rPr>
              <w:t>SO</w:t>
            </w:r>
            <w:r>
              <w:rPr>
                <w:b/>
                <w:sz w:val="16"/>
              </w:rPr>
              <w:t>4</w:t>
            </w:r>
          </w:p>
        </w:tc>
        <w:tc>
          <w:tcPr>
            <w:tcW w:w="1853" w:type="dxa"/>
          </w:tcPr>
          <w:p>
            <w:pPr>
              <w:pStyle w:val="TableParagraph"/>
              <w:spacing w:line="274" w:lineRule="exact"/>
              <w:ind w:left="586" w:right="589"/>
              <w:jc w:val="center"/>
              <w:rPr>
                <w:b/>
                <w:sz w:val="24"/>
              </w:rPr>
            </w:pPr>
            <w:r>
              <w:rPr>
                <w:b/>
                <w:sz w:val="24"/>
              </w:rPr>
              <w:t>Yes</w:t>
            </w:r>
          </w:p>
        </w:tc>
        <w:tc>
          <w:tcPr>
            <w:tcW w:w="1846" w:type="dxa"/>
          </w:tcPr>
          <w:p>
            <w:pPr>
              <w:pStyle w:val="TableParagraph"/>
              <w:spacing w:line="274" w:lineRule="exact"/>
              <w:ind w:right="707"/>
              <w:jc w:val="right"/>
              <w:rPr>
                <w:b/>
                <w:sz w:val="24"/>
              </w:rPr>
            </w:pPr>
            <w:r>
              <w:rPr>
                <w:b/>
                <w:sz w:val="24"/>
              </w:rPr>
              <w:t>Yes</w:t>
            </w:r>
          </w:p>
        </w:tc>
        <w:tc>
          <w:tcPr>
            <w:tcW w:w="1925" w:type="dxa"/>
          </w:tcPr>
          <w:p>
            <w:pPr>
              <w:pStyle w:val="TableParagraph"/>
              <w:spacing w:line="274" w:lineRule="exact"/>
              <w:ind w:right="745"/>
              <w:jc w:val="right"/>
              <w:rPr>
                <w:b/>
                <w:sz w:val="24"/>
              </w:rPr>
            </w:pPr>
            <w:r>
              <w:rPr>
                <w:b/>
                <w:sz w:val="24"/>
              </w:rPr>
              <w:t>Yes</w:t>
            </w:r>
          </w:p>
        </w:tc>
        <w:tc>
          <w:tcPr>
            <w:tcW w:w="1928" w:type="dxa"/>
          </w:tcPr>
          <w:p>
            <w:pPr>
              <w:pStyle w:val="TableParagraph"/>
              <w:spacing w:line="274" w:lineRule="exact"/>
              <w:ind w:left="623" w:right="625"/>
              <w:jc w:val="center"/>
              <w:rPr>
                <w:b/>
                <w:sz w:val="24"/>
              </w:rPr>
            </w:pPr>
            <w:r>
              <w:rPr>
                <w:b/>
                <w:sz w:val="24"/>
              </w:rPr>
              <w:t>Yes</w:t>
            </w:r>
          </w:p>
        </w:tc>
      </w:tr>
      <w:tr>
        <w:trPr>
          <w:trHeight w:val="425" w:hRule="exact"/>
        </w:trPr>
        <w:tc>
          <w:tcPr>
            <w:tcW w:w="1846" w:type="dxa"/>
          </w:tcPr>
          <w:p>
            <w:pPr>
              <w:pStyle w:val="TableParagraph"/>
              <w:spacing w:line="274" w:lineRule="exact"/>
              <w:ind w:left="177" w:right="178"/>
              <w:jc w:val="center"/>
              <w:rPr>
                <w:b/>
                <w:sz w:val="16"/>
              </w:rPr>
            </w:pPr>
            <w:r>
              <w:rPr>
                <w:b/>
                <w:position w:val="1"/>
                <w:sz w:val="24"/>
              </w:rPr>
              <w:t>H</w:t>
            </w:r>
            <w:r>
              <w:rPr>
                <w:b/>
                <w:sz w:val="16"/>
              </w:rPr>
              <w:t>2</w:t>
            </w:r>
            <w:r>
              <w:rPr>
                <w:b/>
                <w:position w:val="1"/>
                <w:sz w:val="24"/>
              </w:rPr>
              <w:t>O</w:t>
            </w:r>
            <w:r>
              <w:rPr>
                <w:b/>
                <w:sz w:val="16"/>
              </w:rPr>
              <w:t>2</w:t>
            </w:r>
          </w:p>
        </w:tc>
        <w:tc>
          <w:tcPr>
            <w:tcW w:w="1853" w:type="dxa"/>
          </w:tcPr>
          <w:p>
            <w:pPr>
              <w:pStyle w:val="TableParagraph"/>
              <w:spacing w:line="274" w:lineRule="exact"/>
              <w:ind w:left="588" w:right="588"/>
              <w:jc w:val="center"/>
              <w:rPr>
                <w:b/>
                <w:sz w:val="24"/>
              </w:rPr>
            </w:pPr>
            <w:r>
              <w:rPr>
                <w:b/>
                <w:sz w:val="24"/>
              </w:rPr>
              <w:t>No</w:t>
            </w:r>
          </w:p>
        </w:tc>
        <w:tc>
          <w:tcPr>
            <w:tcW w:w="1846" w:type="dxa"/>
          </w:tcPr>
          <w:p>
            <w:pPr>
              <w:pStyle w:val="TableParagraph"/>
              <w:spacing w:line="274" w:lineRule="exact"/>
              <w:ind w:right="707"/>
              <w:jc w:val="right"/>
              <w:rPr>
                <w:b/>
                <w:sz w:val="24"/>
              </w:rPr>
            </w:pPr>
            <w:r>
              <w:rPr>
                <w:b/>
                <w:sz w:val="24"/>
              </w:rPr>
              <w:t>Yes</w:t>
            </w:r>
          </w:p>
        </w:tc>
        <w:tc>
          <w:tcPr>
            <w:tcW w:w="1925" w:type="dxa"/>
          </w:tcPr>
          <w:p>
            <w:pPr>
              <w:pStyle w:val="TableParagraph"/>
              <w:spacing w:line="274" w:lineRule="exact"/>
              <w:ind w:right="745"/>
              <w:jc w:val="right"/>
              <w:rPr>
                <w:b/>
                <w:sz w:val="24"/>
              </w:rPr>
            </w:pPr>
            <w:r>
              <w:rPr>
                <w:b/>
                <w:sz w:val="24"/>
              </w:rPr>
              <w:t>Yes</w:t>
            </w:r>
          </w:p>
        </w:tc>
        <w:tc>
          <w:tcPr>
            <w:tcW w:w="1928" w:type="dxa"/>
          </w:tcPr>
          <w:p>
            <w:pPr>
              <w:pStyle w:val="TableParagraph"/>
              <w:spacing w:line="274" w:lineRule="exact"/>
              <w:ind w:left="623" w:right="625"/>
              <w:jc w:val="center"/>
              <w:rPr>
                <w:b/>
                <w:sz w:val="24"/>
              </w:rPr>
            </w:pPr>
            <w:r>
              <w:rPr>
                <w:b/>
                <w:sz w:val="24"/>
              </w:rPr>
              <w:t>Yes</w:t>
            </w:r>
          </w:p>
        </w:tc>
      </w:tr>
      <w:tr>
        <w:trPr>
          <w:trHeight w:val="838" w:hRule="exact"/>
        </w:trPr>
        <w:tc>
          <w:tcPr>
            <w:tcW w:w="1846" w:type="dxa"/>
          </w:tcPr>
          <w:p>
            <w:pPr>
              <w:pStyle w:val="TableParagraph"/>
              <w:spacing w:before="204"/>
              <w:ind w:left="176" w:right="178"/>
              <w:jc w:val="center"/>
              <w:rPr>
                <w:b/>
                <w:sz w:val="16"/>
              </w:rPr>
            </w:pPr>
            <w:r>
              <w:rPr>
                <w:b/>
                <w:position w:val="1"/>
                <w:sz w:val="24"/>
              </w:rPr>
              <w:t>Ag</w:t>
            </w:r>
            <w:r>
              <w:rPr>
                <w:b/>
                <w:sz w:val="16"/>
              </w:rPr>
              <w:t>2</w:t>
            </w:r>
            <w:r>
              <w:rPr>
                <w:b/>
                <w:position w:val="1"/>
                <w:sz w:val="24"/>
              </w:rPr>
              <w:t>SO</w:t>
            </w:r>
            <w:r>
              <w:rPr>
                <w:b/>
                <w:sz w:val="16"/>
              </w:rPr>
              <w:t>4</w:t>
            </w:r>
          </w:p>
        </w:tc>
        <w:tc>
          <w:tcPr>
            <w:tcW w:w="1853" w:type="dxa"/>
          </w:tcPr>
          <w:p>
            <w:pPr>
              <w:pStyle w:val="TableParagraph"/>
              <w:spacing w:before="205"/>
              <w:ind w:left="586" w:right="589"/>
              <w:jc w:val="center"/>
              <w:rPr>
                <w:b/>
                <w:sz w:val="24"/>
              </w:rPr>
            </w:pPr>
            <w:r>
              <w:rPr>
                <w:b/>
                <w:sz w:val="24"/>
              </w:rPr>
              <w:t>Yes</w:t>
            </w:r>
          </w:p>
        </w:tc>
        <w:tc>
          <w:tcPr>
            <w:tcW w:w="1846" w:type="dxa"/>
          </w:tcPr>
          <w:p>
            <w:pPr>
              <w:pStyle w:val="TableParagraph"/>
              <w:spacing w:before="205"/>
              <w:ind w:right="707"/>
              <w:jc w:val="right"/>
              <w:rPr>
                <w:b/>
                <w:sz w:val="24"/>
              </w:rPr>
            </w:pPr>
            <w:r>
              <w:rPr>
                <w:b/>
                <w:sz w:val="24"/>
              </w:rPr>
              <w:t>Yes</w:t>
            </w:r>
          </w:p>
        </w:tc>
        <w:tc>
          <w:tcPr>
            <w:tcW w:w="1925" w:type="dxa"/>
          </w:tcPr>
          <w:p>
            <w:pPr>
              <w:pStyle w:val="TableParagraph"/>
              <w:spacing w:line="360" w:lineRule="auto"/>
              <w:ind w:left="163" w:right="145" w:firstLine="566"/>
              <w:rPr>
                <w:b/>
                <w:sz w:val="24"/>
              </w:rPr>
            </w:pPr>
            <w:r>
              <w:rPr>
                <w:b/>
                <w:sz w:val="24"/>
              </w:rPr>
              <w:t>Half concentration</w:t>
            </w:r>
          </w:p>
        </w:tc>
        <w:tc>
          <w:tcPr>
            <w:tcW w:w="1928" w:type="dxa"/>
          </w:tcPr>
          <w:p>
            <w:pPr>
              <w:pStyle w:val="TableParagraph"/>
              <w:spacing w:line="360" w:lineRule="auto"/>
              <w:ind w:left="166" w:right="145" w:firstLine="566"/>
              <w:rPr>
                <w:b/>
                <w:sz w:val="24"/>
              </w:rPr>
            </w:pPr>
            <w:r>
              <w:rPr>
                <w:b/>
                <w:sz w:val="24"/>
              </w:rPr>
              <w:t>Half concentration</w:t>
            </w:r>
          </w:p>
        </w:tc>
      </w:tr>
      <w:tr>
        <w:trPr>
          <w:trHeight w:val="1253" w:hRule="exact"/>
        </w:trPr>
        <w:tc>
          <w:tcPr>
            <w:tcW w:w="1846" w:type="dxa"/>
          </w:tcPr>
          <w:p>
            <w:pPr>
              <w:pStyle w:val="TableParagraph"/>
              <w:spacing w:line="360" w:lineRule="auto"/>
              <w:ind w:left="343" w:right="341" w:firstLine="2"/>
              <w:jc w:val="center"/>
              <w:rPr>
                <w:b/>
                <w:sz w:val="24"/>
              </w:rPr>
            </w:pPr>
            <w:r>
              <w:rPr>
                <w:b/>
                <w:sz w:val="24"/>
              </w:rPr>
              <w:t>Waste generated (mL)</w:t>
            </w:r>
          </w:p>
        </w:tc>
        <w:tc>
          <w:tcPr>
            <w:tcW w:w="1853" w:type="dxa"/>
          </w:tcPr>
          <w:p>
            <w:pPr>
              <w:pStyle w:val="TableParagraph"/>
              <w:spacing w:before="10"/>
              <w:rPr>
                <w:b/>
                <w:sz w:val="35"/>
              </w:rPr>
            </w:pPr>
          </w:p>
          <w:p>
            <w:pPr>
              <w:pStyle w:val="TableParagraph"/>
              <w:spacing w:before="1"/>
              <w:ind w:left="588" w:right="588"/>
              <w:jc w:val="center"/>
              <w:rPr>
                <w:b/>
                <w:sz w:val="24"/>
              </w:rPr>
            </w:pPr>
            <w:r>
              <w:rPr>
                <w:b/>
                <w:sz w:val="24"/>
              </w:rPr>
              <w:t>75</w:t>
            </w:r>
          </w:p>
        </w:tc>
        <w:tc>
          <w:tcPr>
            <w:tcW w:w="1846" w:type="dxa"/>
          </w:tcPr>
          <w:p>
            <w:pPr>
              <w:pStyle w:val="TableParagraph"/>
              <w:spacing w:before="10"/>
              <w:rPr>
                <w:b/>
                <w:sz w:val="35"/>
              </w:rPr>
            </w:pPr>
          </w:p>
          <w:p>
            <w:pPr>
              <w:pStyle w:val="TableParagraph"/>
              <w:spacing w:before="1"/>
              <w:ind w:right="783"/>
              <w:jc w:val="right"/>
              <w:rPr>
                <w:b/>
                <w:sz w:val="24"/>
              </w:rPr>
            </w:pPr>
            <w:r>
              <w:rPr>
                <w:b/>
                <w:sz w:val="24"/>
              </w:rPr>
              <w:t>75</w:t>
            </w:r>
          </w:p>
        </w:tc>
        <w:tc>
          <w:tcPr>
            <w:tcW w:w="1925" w:type="dxa"/>
          </w:tcPr>
          <w:p>
            <w:pPr>
              <w:pStyle w:val="TableParagraph"/>
              <w:spacing w:before="10"/>
              <w:rPr>
                <w:b/>
                <w:sz w:val="35"/>
              </w:rPr>
            </w:pPr>
          </w:p>
          <w:p>
            <w:pPr>
              <w:pStyle w:val="TableParagraph"/>
              <w:spacing w:before="1"/>
              <w:ind w:left="624" w:right="624"/>
              <w:jc w:val="center"/>
              <w:rPr>
                <w:b/>
                <w:sz w:val="24"/>
              </w:rPr>
            </w:pPr>
            <w:r>
              <w:rPr>
                <w:b/>
                <w:sz w:val="24"/>
              </w:rPr>
              <w:t>75</w:t>
            </w:r>
          </w:p>
        </w:tc>
        <w:tc>
          <w:tcPr>
            <w:tcW w:w="1928" w:type="dxa"/>
          </w:tcPr>
          <w:p>
            <w:pPr>
              <w:pStyle w:val="TableParagraph"/>
              <w:spacing w:before="10"/>
              <w:rPr>
                <w:b/>
                <w:sz w:val="35"/>
              </w:rPr>
            </w:pPr>
          </w:p>
          <w:p>
            <w:pPr>
              <w:pStyle w:val="TableParagraph"/>
              <w:spacing w:before="1"/>
              <w:ind w:left="625" w:right="622"/>
              <w:jc w:val="center"/>
              <w:rPr>
                <w:b/>
                <w:sz w:val="24"/>
              </w:rPr>
            </w:pPr>
            <w:r>
              <w:rPr>
                <w:b/>
                <w:sz w:val="24"/>
              </w:rPr>
              <w:t>75</w:t>
            </w:r>
          </w:p>
        </w:tc>
      </w:tr>
      <w:tr>
        <w:trPr>
          <w:trHeight w:val="425" w:hRule="exact"/>
        </w:trPr>
        <w:tc>
          <w:tcPr>
            <w:tcW w:w="1846" w:type="dxa"/>
          </w:tcPr>
          <w:p>
            <w:pPr>
              <w:pStyle w:val="TableParagraph"/>
              <w:spacing w:line="274" w:lineRule="exact"/>
              <w:ind w:left="177" w:right="178"/>
              <w:jc w:val="center"/>
              <w:rPr>
                <w:b/>
                <w:sz w:val="24"/>
              </w:rPr>
            </w:pPr>
            <w:r>
              <w:rPr>
                <w:b/>
                <w:sz w:val="24"/>
              </w:rPr>
              <w:t>Heating time</w:t>
            </w:r>
          </w:p>
        </w:tc>
        <w:tc>
          <w:tcPr>
            <w:tcW w:w="1853" w:type="dxa"/>
          </w:tcPr>
          <w:p>
            <w:pPr>
              <w:pStyle w:val="TableParagraph"/>
              <w:spacing w:line="274" w:lineRule="exact"/>
              <w:ind w:left="588" w:right="588"/>
              <w:jc w:val="center"/>
              <w:rPr>
                <w:b/>
                <w:sz w:val="24"/>
              </w:rPr>
            </w:pPr>
            <w:r>
              <w:rPr>
                <w:b/>
                <w:sz w:val="24"/>
              </w:rPr>
              <w:t>120</w:t>
            </w:r>
          </w:p>
        </w:tc>
        <w:tc>
          <w:tcPr>
            <w:tcW w:w="1846" w:type="dxa"/>
          </w:tcPr>
          <w:p>
            <w:pPr>
              <w:pStyle w:val="TableParagraph"/>
              <w:spacing w:line="274" w:lineRule="exact"/>
              <w:ind w:right="6"/>
              <w:jc w:val="center"/>
              <w:rPr>
                <w:b/>
                <w:sz w:val="24"/>
              </w:rPr>
            </w:pPr>
            <w:r>
              <w:rPr>
                <w:b/>
                <w:w w:val="99"/>
                <w:sz w:val="24"/>
              </w:rPr>
              <w:t>0</w:t>
            </w:r>
          </w:p>
        </w:tc>
        <w:tc>
          <w:tcPr>
            <w:tcW w:w="1925" w:type="dxa"/>
          </w:tcPr>
          <w:p>
            <w:pPr>
              <w:pStyle w:val="TableParagraph"/>
              <w:spacing w:line="274" w:lineRule="exact"/>
              <w:ind w:right="3"/>
              <w:jc w:val="center"/>
              <w:rPr>
                <w:b/>
                <w:sz w:val="24"/>
              </w:rPr>
            </w:pPr>
            <w:r>
              <w:rPr>
                <w:b/>
                <w:w w:val="99"/>
                <w:sz w:val="24"/>
              </w:rPr>
              <w:t>0</w:t>
            </w:r>
          </w:p>
        </w:tc>
        <w:tc>
          <w:tcPr>
            <w:tcW w:w="1928" w:type="dxa"/>
          </w:tcPr>
          <w:p>
            <w:pPr>
              <w:pStyle w:val="TableParagraph"/>
              <w:spacing w:line="274" w:lineRule="exact"/>
              <w:jc w:val="center"/>
              <w:rPr>
                <w:b/>
                <w:sz w:val="24"/>
              </w:rPr>
            </w:pPr>
            <w:r>
              <w:rPr>
                <w:b/>
                <w:w w:val="99"/>
                <w:sz w:val="24"/>
              </w:rPr>
              <w:t>0</w:t>
            </w:r>
          </w:p>
        </w:tc>
      </w:tr>
    </w:tbl>
    <w:p>
      <w:pPr>
        <w:spacing w:after="0" w:line="274" w:lineRule="exact"/>
        <w:jc w:val="center"/>
        <w:rPr>
          <w:sz w:val="24"/>
        </w:rPr>
        <w:sectPr>
          <w:pgSz w:w="12240" w:h="15840"/>
          <w:pgMar w:header="0" w:footer="654" w:top="1080" w:bottom="1060" w:left="1040" w:right="560"/>
        </w:sectPr>
      </w:pPr>
    </w:p>
    <w:tbl>
      <w:tblPr>
        <w:tblW w:w="0" w:type="auto"/>
        <w:jc w:val="left"/>
        <w:tblInd w:w="6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6"/>
        <w:gridCol w:w="1853"/>
        <w:gridCol w:w="1846"/>
        <w:gridCol w:w="1925"/>
        <w:gridCol w:w="1928"/>
      </w:tblGrid>
      <w:tr>
        <w:trPr>
          <w:trHeight w:val="425" w:hRule="exact"/>
        </w:trPr>
        <w:tc>
          <w:tcPr>
            <w:tcW w:w="1846" w:type="dxa"/>
          </w:tcPr>
          <w:p>
            <w:pPr>
              <w:pStyle w:val="TableParagraph"/>
              <w:spacing w:line="269" w:lineRule="exact"/>
              <w:ind w:left="177" w:right="178"/>
              <w:jc w:val="center"/>
              <w:rPr>
                <w:b/>
                <w:sz w:val="24"/>
              </w:rPr>
            </w:pPr>
            <w:r>
              <w:rPr>
                <w:b/>
                <w:sz w:val="24"/>
              </w:rPr>
              <w:t>(min)</w:t>
            </w:r>
          </w:p>
        </w:tc>
        <w:tc>
          <w:tcPr>
            <w:tcW w:w="1853" w:type="dxa"/>
          </w:tcPr>
          <w:p>
            <w:pPr/>
          </w:p>
        </w:tc>
        <w:tc>
          <w:tcPr>
            <w:tcW w:w="1846" w:type="dxa"/>
          </w:tcPr>
          <w:p>
            <w:pPr/>
          </w:p>
        </w:tc>
        <w:tc>
          <w:tcPr>
            <w:tcW w:w="1925" w:type="dxa"/>
          </w:tcPr>
          <w:p>
            <w:pPr/>
          </w:p>
        </w:tc>
        <w:tc>
          <w:tcPr>
            <w:tcW w:w="1928" w:type="dxa"/>
          </w:tcPr>
          <w:p>
            <w:pPr/>
          </w:p>
        </w:tc>
      </w:tr>
      <w:tr>
        <w:trPr>
          <w:trHeight w:val="838" w:hRule="exact"/>
        </w:trPr>
        <w:tc>
          <w:tcPr>
            <w:tcW w:w="1846" w:type="dxa"/>
          </w:tcPr>
          <w:p>
            <w:pPr>
              <w:pStyle w:val="TableParagraph"/>
              <w:spacing w:line="360" w:lineRule="auto"/>
              <w:ind w:left="623" w:right="114" w:hanging="495"/>
              <w:rPr>
                <w:b/>
                <w:sz w:val="24"/>
              </w:rPr>
            </w:pPr>
            <w:r>
              <w:rPr>
                <w:b/>
                <w:sz w:val="24"/>
              </w:rPr>
              <w:t>Reaction time (min)</w:t>
            </w:r>
          </w:p>
        </w:tc>
        <w:tc>
          <w:tcPr>
            <w:tcW w:w="1853" w:type="dxa"/>
          </w:tcPr>
          <w:p>
            <w:pPr>
              <w:pStyle w:val="TableParagraph"/>
              <w:spacing w:before="200"/>
              <w:ind w:left="588" w:right="588"/>
              <w:jc w:val="center"/>
              <w:rPr>
                <w:b/>
                <w:sz w:val="24"/>
              </w:rPr>
            </w:pPr>
            <w:r>
              <w:rPr>
                <w:b/>
                <w:sz w:val="24"/>
              </w:rPr>
              <w:t>120</w:t>
            </w:r>
          </w:p>
        </w:tc>
        <w:tc>
          <w:tcPr>
            <w:tcW w:w="1846" w:type="dxa"/>
          </w:tcPr>
          <w:p>
            <w:pPr>
              <w:pStyle w:val="TableParagraph"/>
              <w:spacing w:before="200"/>
              <w:ind w:left="698" w:right="698"/>
              <w:jc w:val="center"/>
              <w:rPr>
                <w:b/>
                <w:sz w:val="24"/>
              </w:rPr>
            </w:pPr>
            <w:r>
              <w:rPr>
                <w:b/>
                <w:sz w:val="24"/>
              </w:rPr>
              <w:t>120</w:t>
            </w:r>
          </w:p>
        </w:tc>
        <w:tc>
          <w:tcPr>
            <w:tcW w:w="1925" w:type="dxa"/>
          </w:tcPr>
          <w:p>
            <w:pPr>
              <w:pStyle w:val="TableParagraph"/>
              <w:spacing w:before="200"/>
              <w:ind w:left="624" w:right="624"/>
              <w:jc w:val="center"/>
              <w:rPr>
                <w:b/>
                <w:sz w:val="24"/>
              </w:rPr>
            </w:pPr>
            <w:r>
              <w:rPr>
                <w:b/>
                <w:sz w:val="24"/>
              </w:rPr>
              <w:t>120</w:t>
            </w:r>
          </w:p>
        </w:tc>
        <w:tc>
          <w:tcPr>
            <w:tcW w:w="1928" w:type="dxa"/>
          </w:tcPr>
          <w:p>
            <w:pPr>
              <w:pStyle w:val="TableParagraph"/>
              <w:spacing w:before="200"/>
              <w:ind w:left="625" w:right="622"/>
              <w:jc w:val="center"/>
              <w:rPr>
                <w:b/>
                <w:sz w:val="24"/>
              </w:rPr>
            </w:pPr>
            <w:r>
              <w:rPr>
                <w:b/>
                <w:sz w:val="24"/>
              </w:rPr>
              <w:t>60</w:t>
            </w:r>
          </w:p>
        </w:tc>
      </w:tr>
      <w:tr>
        <w:trPr>
          <w:trHeight w:val="838" w:hRule="exact"/>
        </w:trPr>
        <w:tc>
          <w:tcPr>
            <w:tcW w:w="1846" w:type="dxa"/>
          </w:tcPr>
          <w:p>
            <w:pPr>
              <w:pStyle w:val="TableParagraph"/>
              <w:spacing w:line="360" w:lineRule="auto"/>
              <w:ind w:left="664" w:right="333" w:hanging="315"/>
              <w:rPr>
                <w:b/>
                <w:sz w:val="24"/>
              </w:rPr>
            </w:pPr>
            <w:r>
              <w:rPr>
                <w:b/>
                <w:sz w:val="24"/>
              </w:rPr>
              <w:t>Use of UV light</w:t>
            </w:r>
          </w:p>
        </w:tc>
        <w:tc>
          <w:tcPr>
            <w:tcW w:w="1853" w:type="dxa"/>
          </w:tcPr>
          <w:p>
            <w:pPr>
              <w:pStyle w:val="TableParagraph"/>
              <w:spacing w:before="199"/>
              <w:ind w:left="588" w:right="588"/>
              <w:jc w:val="center"/>
              <w:rPr>
                <w:b/>
                <w:sz w:val="24"/>
              </w:rPr>
            </w:pPr>
            <w:r>
              <w:rPr>
                <w:b/>
                <w:sz w:val="24"/>
              </w:rPr>
              <w:t>No</w:t>
            </w:r>
          </w:p>
        </w:tc>
        <w:tc>
          <w:tcPr>
            <w:tcW w:w="1846" w:type="dxa"/>
          </w:tcPr>
          <w:p>
            <w:pPr>
              <w:pStyle w:val="TableParagraph"/>
              <w:spacing w:before="199"/>
              <w:ind w:left="695" w:right="698"/>
              <w:jc w:val="center"/>
              <w:rPr>
                <w:b/>
                <w:sz w:val="24"/>
              </w:rPr>
            </w:pPr>
            <w:r>
              <w:rPr>
                <w:b/>
                <w:sz w:val="24"/>
              </w:rPr>
              <w:t>No</w:t>
            </w:r>
          </w:p>
        </w:tc>
        <w:tc>
          <w:tcPr>
            <w:tcW w:w="1925" w:type="dxa"/>
          </w:tcPr>
          <w:p>
            <w:pPr>
              <w:pStyle w:val="TableParagraph"/>
              <w:spacing w:before="199"/>
              <w:ind w:left="624" w:right="624"/>
              <w:jc w:val="center"/>
              <w:rPr>
                <w:b/>
                <w:sz w:val="24"/>
              </w:rPr>
            </w:pPr>
            <w:r>
              <w:rPr>
                <w:b/>
                <w:sz w:val="24"/>
              </w:rPr>
              <w:t>No</w:t>
            </w:r>
          </w:p>
        </w:tc>
        <w:tc>
          <w:tcPr>
            <w:tcW w:w="1928" w:type="dxa"/>
          </w:tcPr>
          <w:p>
            <w:pPr>
              <w:pStyle w:val="TableParagraph"/>
              <w:spacing w:before="199"/>
              <w:ind w:left="623" w:right="625"/>
              <w:jc w:val="center"/>
              <w:rPr>
                <w:b/>
                <w:sz w:val="24"/>
              </w:rPr>
            </w:pPr>
            <w:r>
              <w:rPr>
                <w:b/>
                <w:sz w:val="24"/>
              </w:rPr>
              <w:t>Yes</w:t>
            </w:r>
          </w:p>
        </w:tc>
      </w:tr>
      <w:tr>
        <w:trPr>
          <w:trHeight w:val="1668" w:hRule="exact"/>
        </w:trPr>
        <w:tc>
          <w:tcPr>
            <w:tcW w:w="1846" w:type="dxa"/>
          </w:tcPr>
          <w:p>
            <w:pPr>
              <w:pStyle w:val="TableParagraph"/>
              <w:spacing w:line="360" w:lineRule="auto"/>
              <w:ind w:left="177" w:right="178"/>
              <w:jc w:val="center"/>
              <w:rPr>
                <w:b/>
                <w:sz w:val="24"/>
              </w:rPr>
            </w:pPr>
            <w:r>
              <w:rPr>
                <w:b/>
                <w:sz w:val="24"/>
              </w:rPr>
              <w:t>Additional electrical power required</w:t>
            </w:r>
          </w:p>
        </w:tc>
        <w:tc>
          <w:tcPr>
            <w:tcW w:w="1853" w:type="dxa"/>
          </w:tcPr>
          <w:p>
            <w:pPr>
              <w:pStyle w:val="TableParagraph"/>
              <w:rPr>
                <w:b/>
                <w:sz w:val="24"/>
              </w:rPr>
            </w:pPr>
          </w:p>
          <w:p>
            <w:pPr>
              <w:pStyle w:val="TableParagraph"/>
              <w:spacing w:before="3"/>
              <w:rPr>
                <w:b/>
                <w:sz w:val="29"/>
              </w:rPr>
            </w:pPr>
          </w:p>
          <w:p>
            <w:pPr>
              <w:pStyle w:val="TableParagraph"/>
              <w:ind w:left="586" w:right="589"/>
              <w:jc w:val="center"/>
              <w:rPr>
                <w:b/>
                <w:sz w:val="24"/>
              </w:rPr>
            </w:pPr>
            <w:r>
              <w:rPr>
                <w:b/>
                <w:sz w:val="24"/>
              </w:rPr>
              <w:t>Yes</w:t>
            </w:r>
          </w:p>
        </w:tc>
        <w:tc>
          <w:tcPr>
            <w:tcW w:w="1846" w:type="dxa"/>
          </w:tcPr>
          <w:p>
            <w:pPr>
              <w:pStyle w:val="TableParagraph"/>
              <w:rPr>
                <w:b/>
                <w:sz w:val="24"/>
              </w:rPr>
            </w:pPr>
          </w:p>
          <w:p>
            <w:pPr>
              <w:pStyle w:val="TableParagraph"/>
              <w:spacing w:before="3"/>
              <w:rPr>
                <w:b/>
                <w:sz w:val="29"/>
              </w:rPr>
            </w:pPr>
          </w:p>
          <w:p>
            <w:pPr>
              <w:pStyle w:val="TableParagraph"/>
              <w:ind w:left="695" w:right="698"/>
              <w:jc w:val="center"/>
              <w:rPr>
                <w:b/>
                <w:sz w:val="24"/>
              </w:rPr>
            </w:pPr>
            <w:r>
              <w:rPr>
                <w:b/>
                <w:sz w:val="24"/>
              </w:rPr>
              <w:t>No</w:t>
            </w:r>
          </w:p>
        </w:tc>
        <w:tc>
          <w:tcPr>
            <w:tcW w:w="1925" w:type="dxa"/>
          </w:tcPr>
          <w:p>
            <w:pPr>
              <w:pStyle w:val="TableParagraph"/>
              <w:rPr>
                <w:b/>
                <w:sz w:val="24"/>
              </w:rPr>
            </w:pPr>
          </w:p>
          <w:p>
            <w:pPr>
              <w:pStyle w:val="TableParagraph"/>
              <w:spacing w:before="3"/>
              <w:rPr>
                <w:b/>
                <w:sz w:val="29"/>
              </w:rPr>
            </w:pPr>
          </w:p>
          <w:p>
            <w:pPr>
              <w:pStyle w:val="TableParagraph"/>
              <w:ind w:left="624" w:right="624"/>
              <w:jc w:val="center"/>
              <w:rPr>
                <w:b/>
                <w:sz w:val="24"/>
              </w:rPr>
            </w:pPr>
            <w:r>
              <w:rPr>
                <w:b/>
                <w:sz w:val="24"/>
              </w:rPr>
              <w:t>No</w:t>
            </w:r>
          </w:p>
        </w:tc>
        <w:tc>
          <w:tcPr>
            <w:tcW w:w="1928" w:type="dxa"/>
          </w:tcPr>
          <w:p>
            <w:pPr>
              <w:pStyle w:val="TableParagraph"/>
              <w:rPr>
                <w:b/>
                <w:sz w:val="24"/>
              </w:rPr>
            </w:pPr>
          </w:p>
          <w:p>
            <w:pPr>
              <w:pStyle w:val="TableParagraph"/>
              <w:spacing w:before="3"/>
              <w:rPr>
                <w:b/>
                <w:sz w:val="29"/>
              </w:rPr>
            </w:pPr>
          </w:p>
          <w:p>
            <w:pPr>
              <w:pStyle w:val="TableParagraph"/>
              <w:ind w:left="623" w:right="625"/>
              <w:jc w:val="center"/>
              <w:rPr>
                <w:b/>
                <w:sz w:val="24"/>
              </w:rPr>
            </w:pPr>
            <w:r>
              <w:rPr>
                <w:b/>
                <w:sz w:val="24"/>
              </w:rPr>
              <w:t>Yes</w:t>
            </w:r>
          </w:p>
        </w:tc>
      </w:tr>
      <w:tr>
        <w:trPr>
          <w:trHeight w:val="838" w:hRule="exact"/>
        </w:trPr>
        <w:tc>
          <w:tcPr>
            <w:tcW w:w="1846" w:type="dxa"/>
          </w:tcPr>
          <w:p>
            <w:pPr>
              <w:pStyle w:val="TableParagraph"/>
              <w:spacing w:line="360" w:lineRule="auto"/>
              <w:ind w:left="151" w:right="126" w:hanging="8"/>
              <w:rPr>
                <w:b/>
                <w:sz w:val="24"/>
              </w:rPr>
            </w:pPr>
            <w:r>
              <w:rPr>
                <w:b/>
                <w:sz w:val="24"/>
              </w:rPr>
              <w:t>Goodness (F- test, see text)</w:t>
            </w:r>
          </w:p>
        </w:tc>
        <w:tc>
          <w:tcPr>
            <w:tcW w:w="1853" w:type="dxa"/>
          </w:tcPr>
          <w:p>
            <w:pPr>
              <w:pStyle w:val="TableParagraph"/>
              <w:spacing w:before="198"/>
              <w:ind w:left="588" w:right="589"/>
              <w:jc w:val="center"/>
              <w:rPr>
                <w:b/>
                <w:sz w:val="24"/>
              </w:rPr>
            </w:pPr>
            <w:r>
              <w:rPr>
                <w:b/>
                <w:sz w:val="24"/>
              </w:rPr>
              <w:t>Good</w:t>
            </w:r>
          </w:p>
        </w:tc>
        <w:tc>
          <w:tcPr>
            <w:tcW w:w="1846" w:type="dxa"/>
          </w:tcPr>
          <w:p>
            <w:pPr>
              <w:pStyle w:val="TableParagraph"/>
              <w:spacing w:before="198"/>
              <w:ind w:right="605"/>
              <w:jc w:val="right"/>
              <w:rPr>
                <w:b/>
                <w:sz w:val="24"/>
              </w:rPr>
            </w:pPr>
            <w:r>
              <w:rPr>
                <w:b/>
                <w:sz w:val="24"/>
              </w:rPr>
              <w:t>Good</w:t>
            </w:r>
          </w:p>
        </w:tc>
        <w:tc>
          <w:tcPr>
            <w:tcW w:w="1925" w:type="dxa"/>
          </w:tcPr>
          <w:p>
            <w:pPr>
              <w:pStyle w:val="TableParagraph"/>
              <w:spacing w:before="198"/>
              <w:ind w:left="624" w:right="624"/>
              <w:jc w:val="center"/>
              <w:rPr>
                <w:b/>
                <w:sz w:val="24"/>
              </w:rPr>
            </w:pPr>
            <w:r>
              <w:rPr>
                <w:b/>
                <w:sz w:val="24"/>
              </w:rPr>
              <w:t>Good</w:t>
            </w:r>
          </w:p>
        </w:tc>
        <w:tc>
          <w:tcPr>
            <w:tcW w:w="1928" w:type="dxa"/>
          </w:tcPr>
          <w:p>
            <w:pPr>
              <w:pStyle w:val="TableParagraph"/>
              <w:spacing w:before="198"/>
              <w:ind w:left="625" w:right="625"/>
              <w:jc w:val="center"/>
              <w:rPr>
                <w:b/>
                <w:sz w:val="24"/>
              </w:rPr>
            </w:pPr>
            <w:r>
              <w:rPr>
                <w:b/>
                <w:sz w:val="24"/>
              </w:rPr>
              <w:t>Good</w:t>
            </w:r>
          </w:p>
        </w:tc>
      </w:tr>
      <w:tr>
        <w:trPr>
          <w:trHeight w:val="838" w:hRule="exact"/>
        </w:trPr>
        <w:tc>
          <w:tcPr>
            <w:tcW w:w="1846" w:type="dxa"/>
          </w:tcPr>
          <w:p>
            <w:pPr>
              <w:pStyle w:val="TableParagraph"/>
              <w:spacing w:line="360" w:lineRule="auto"/>
              <w:ind w:left="170" w:right="152" w:firstLine="165"/>
              <w:rPr>
                <w:b/>
                <w:sz w:val="24"/>
              </w:rPr>
            </w:pPr>
            <w:r>
              <w:rPr>
                <w:b/>
                <w:sz w:val="24"/>
              </w:rPr>
              <w:t>Cost of 10 Tests ($USD)</w:t>
            </w:r>
          </w:p>
        </w:tc>
        <w:tc>
          <w:tcPr>
            <w:tcW w:w="1853" w:type="dxa"/>
          </w:tcPr>
          <w:p>
            <w:pPr>
              <w:pStyle w:val="TableParagraph"/>
              <w:spacing w:before="197"/>
              <w:ind w:left="588" w:right="588"/>
              <w:jc w:val="center"/>
              <w:rPr>
                <w:b/>
                <w:sz w:val="24"/>
              </w:rPr>
            </w:pPr>
            <w:r>
              <w:rPr>
                <w:b/>
                <w:sz w:val="24"/>
              </w:rPr>
              <w:t>1.54</w:t>
            </w:r>
          </w:p>
        </w:tc>
        <w:tc>
          <w:tcPr>
            <w:tcW w:w="1846" w:type="dxa"/>
          </w:tcPr>
          <w:p>
            <w:pPr>
              <w:pStyle w:val="TableParagraph"/>
              <w:spacing w:before="197"/>
              <w:ind w:right="683"/>
              <w:jc w:val="right"/>
              <w:rPr>
                <w:b/>
                <w:sz w:val="24"/>
              </w:rPr>
            </w:pPr>
            <w:r>
              <w:rPr>
                <w:b/>
                <w:sz w:val="24"/>
              </w:rPr>
              <w:t>1.46</w:t>
            </w:r>
          </w:p>
        </w:tc>
        <w:tc>
          <w:tcPr>
            <w:tcW w:w="1925" w:type="dxa"/>
          </w:tcPr>
          <w:p>
            <w:pPr>
              <w:pStyle w:val="TableParagraph"/>
              <w:spacing w:before="197"/>
              <w:ind w:left="623" w:right="624"/>
              <w:jc w:val="center"/>
              <w:rPr>
                <w:b/>
                <w:sz w:val="24"/>
              </w:rPr>
            </w:pPr>
            <w:r>
              <w:rPr>
                <w:b/>
                <w:sz w:val="24"/>
              </w:rPr>
              <w:t>1.02</w:t>
            </w:r>
          </w:p>
        </w:tc>
        <w:tc>
          <w:tcPr>
            <w:tcW w:w="1928" w:type="dxa"/>
          </w:tcPr>
          <w:p>
            <w:pPr>
              <w:pStyle w:val="TableParagraph"/>
              <w:spacing w:before="197"/>
              <w:ind w:left="625" w:right="624"/>
              <w:jc w:val="center"/>
              <w:rPr>
                <w:b/>
                <w:sz w:val="24"/>
              </w:rPr>
            </w:pPr>
            <w:r>
              <w:rPr>
                <w:b/>
                <w:sz w:val="24"/>
              </w:rPr>
              <w:t>1.02</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7"/>
        </w:rPr>
      </w:pPr>
    </w:p>
    <w:p>
      <w:pPr>
        <w:spacing w:before="69"/>
        <w:ind w:left="662" w:right="0" w:firstLine="0"/>
        <w:jc w:val="both"/>
        <w:rPr>
          <w:b/>
          <w:sz w:val="24"/>
        </w:rPr>
      </w:pPr>
      <w:r>
        <w:rPr>
          <w:b/>
          <w:sz w:val="24"/>
        </w:rPr>
        <w:t>CONCLUSIONS</w:t>
      </w:r>
    </w:p>
    <w:p>
      <w:pPr>
        <w:pStyle w:val="BodyText"/>
        <w:rPr>
          <w:b/>
        </w:rPr>
      </w:pPr>
    </w:p>
    <w:p>
      <w:pPr>
        <w:pStyle w:val="BodyText"/>
        <w:rPr>
          <w:b/>
        </w:rPr>
      </w:pPr>
    </w:p>
    <w:p>
      <w:pPr>
        <w:pStyle w:val="BodyText"/>
        <w:spacing w:line="360" w:lineRule="auto"/>
        <w:ind w:left="662" w:right="568"/>
        <w:jc w:val="both"/>
      </w:pPr>
      <w:r>
        <w:rPr/>
        <w:t>A greener, faster and cheaper method for COD determination is validated which </w:t>
      </w:r>
      <w:r>
        <w:rPr>
          <w:position w:val="1"/>
        </w:rPr>
        <w:t>decreases the toxicity of the standard method by replacing the oxidizing agent K</w:t>
      </w:r>
      <w:r>
        <w:rPr>
          <w:sz w:val="16"/>
        </w:rPr>
        <w:t>2</w:t>
      </w:r>
      <w:r>
        <w:rPr>
          <w:position w:val="1"/>
        </w:rPr>
        <w:t>Cr</w:t>
      </w:r>
      <w:r>
        <w:rPr>
          <w:sz w:val="16"/>
        </w:rPr>
        <w:t>2</w:t>
      </w:r>
      <w:r>
        <w:rPr>
          <w:position w:val="1"/>
        </w:rPr>
        <w:t>O</w:t>
      </w:r>
      <w:r>
        <w:rPr>
          <w:sz w:val="16"/>
        </w:rPr>
        <w:t>7 </w:t>
      </w:r>
      <w:r>
        <w:rPr>
          <w:position w:val="1"/>
        </w:rPr>
        <w:t>with H</w:t>
      </w:r>
      <w:r>
        <w:rPr>
          <w:sz w:val="16"/>
        </w:rPr>
        <w:t>2</w:t>
      </w:r>
      <w:r>
        <w:rPr>
          <w:position w:val="1"/>
        </w:rPr>
        <w:t>O</w:t>
      </w:r>
      <w:r>
        <w:rPr>
          <w:sz w:val="16"/>
        </w:rPr>
        <w:t>2</w:t>
      </w:r>
      <w:r>
        <w:rPr>
          <w:position w:val="1"/>
        </w:rPr>
        <w:t>, and by halving the concentration of Ag</w:t>
      </w:r>
      <w:r>
        <w:rPr>
          <w:sz w:val="16"/>
        </w:rPr>
        <w:t>2</w:t>
      </w:r>
      <w:r>
        <w:rPr>
          <w:position w:val="1"/>
        </w:rPr>
        <w:t>SO</w:t>
      </w:r>
      <w:r>
        <w:rPr>
          <w:sz w:val="16"/>
        </w:rPr>
        <w:t>4</w:t>
      </w:r>
      <w:r>
        <w:rPr>
          <w:position w:val="1"/>
        </w:rPr>
        <w:t>. The reaction time is also halved </w:t>
      </w:r>
      <w:r>
        <w:rPr/>
        <w:t>with the help of the UV light.</w:t>
      </w:r>
    </w:p>
    <w:p>
      <w:pPr>
        <w:pStyle w:val="BodyText"/>
      </w:pPr>
    </w:p>
    <w:p>
      <w:pPr>
        <w:pStyle w:val="BodyText"/>
      </w:pPr>
    </w:p>
    <w:p>
      <w:pPr>
        <w:pStyle w:val="BodyText"/>
        <w:spacing w:before="5"/>
      </w:pPr>
    </w:p>
    <w:p>
      <w:pPr>
        <w:pStyle w:val="Heading6"/>
      </w:pPr>
      <w:r>
        <w:rPr/>
        <w:t>ACKNOWLEDGMENTS</w:t>
      </w:r>
    </w:p>
    <w:p>
      <w:pPr>
        <w:pStyle w:val="BodyText"/>
        <w:rPr>
          <w:b/>
        </w:rPr>
      </w:pPr>
    </w:p>
    <w:p>
      <w:pPr>
        <w:pStyle w:val="BodyText"/>
        <w:rPr>
          <w:b/>
        </w:rPr>
      </w:pPr>
    </w:p>
    <w:p>
      <w:pPr>
        <w:pStyle w:val="BodyText"/>
        <w:spacing w:line="360" w:lineRule="auto"/>
        <w:ind w:left="662" w:right="569"/>
        <w:jc w:val="both"/>
      </w:pPr>
      <w:r>
        <w:rPr>
          <w:spacing w:val="3"/>
        </w:rPr>
        <w:t>We </w:t>
      </w:r>
      <w:r>
        <w:rPr/>
        <w:t>are grateful to the Facultad de Química de la Universidad Autónoma del Estado de México (FQ-UAEM) and Centro Conjunto de Investigación en Química Sustentable (CCIQS)</w:t>
      </w:r>
      <w:r>
        <w:rPr>
          <w:spacing w:val="-7"/>
        </w:rPr>
        <w:t> </w:t>
      </w:r>
      <w:r>
        <w:rPr/>
        <w:t>for</w:t>
      </w:r>
      <w:r>
        <w:rPr>
          <w:spacing w:val="-10"/>
        </w:rPr>
        <w:t> </w:t>
      </w:r>
      <w:r>
        <w:rPr/>
        <w:t>facilitating</w:t>
      </w:r>
      <w:r>
        <w:rPr>
          <w:spacing w:val="-10"/>
        </w:rPr>
        <w:t> </w:t>
      </w:r>
      <w:r>
        <w:rPr/>
        <w:t>the</w:t>
      </w:r>
      <w:r>
        <w:rPr>
          <w:spacing w:val="-6"/>
        </w:rPr>
        <w:t> </w:t>
      </w:r>
      <w:r>
        <w:rPr/>
        <w:t>use</w:t>
      </w:r>
      <w:r>
        <w:rPr>
          <w:spacing w:val="-8"/>
        </w:rPr>
        <w:t> </w:t>
      </w:r>
      <w:r>
        <w:rPr/>
        <w:t>of</w:t>
      </w:r>
      <w:r>
        <w:rPr>
          <w:spacing w:val="-4"/>
        </w:rPr>
        <w:t> </w:t>
      </w:r>
      <w:r>
        <w:rPr/>
        <w:t>space,</w:t>
      </w:r>
      <w:r>
        <w:rPr>
          <w:spacing w:val="-6"/>
        </w:rPr>
        <w:t> </w:t>
      </w:r>
      <w:r>
        <w:rPr/>
        <w:t>materials</w:t>
      </w:r>
      <w:r>
        <w:rPr>
          <w:spacing w:val="-7"/>
        </w:rPr>
        <w:t> </w:t>
      </w:r>
      <w:r>
        <w:rPr/>
        <w:t>and</w:t>
      </w:r>
      <w:r>
        <w:rPr>
          <w:spacing w:val="-6"/>
        </w:rPr>
        <w:t> </w:t>
      </w:r>
      <w:r>
        <w:rPr/>
        <w:t>reagents,</w:t>
      </w:r>
      <w:r>
        <w:rPr>
          <w:spacing w:val="-6"/>
        </w:rPr>
        <w:t> </w:t>
      </w:r>
      <w:r>
        <w:rPr/>
        <w:t>as</w:t>
      </w:r>
      <w:r>
        <w:rPr>
          <w:spacing w:val="-9"/>
        </w:rPr>
        <w:t> </w:t>
      </w:r>
      <w:r>
        <w:rPr/>
        <w:t>well</w:t>
      </w:r>
      <w:r>
        <w:rPr>
          <w:spacing w:val="-6"/>
        </w:rPr>
        <w:t> </w:t>
      </w:r>
      <w:r>
        <w:rPr/>
        <w:t>as</w:t>
      </w:r>
      <w:r>
        <w:rPr>
          <w:spacing w:val="-7"/>
        </w:rPr>
        <w:t> </w:t>
      </w:r>
      <w:r>
        <w:rPr/>
        <w:t>to</w:t>
      </w:r>
      <w:r>
        <w:rPr>
          <w:spacing w:val="-6"/>
        </w:rPr>
        <w:t> </w:t>
      </w:r>
      <w:r>
        <w:rPr/>
        <w:t>CONACyT for financial assistance. </w:t>
      </w:r>
      <w:r>
        <w:rPr>
          <w:spacing w:val="4"/>
        </w:rPr>
        <w:t>We </w:t>
      </w:r>
      <w:r>
        <w:rPr/>
        <w:t>acknowledge help and comments by Dr. Rosa María</w:t>
      </w:r>
      <w:r>
        <w:rPr>
          <w:spacing w:val="-31"/>
        </w:rPr>
        <w:t> </w:t>
      </w:r>
      <w:r>
        <w:rPr/>
        <w:t>Gómez Espinosa</w:t>
      </w:r>
      <w:r>
        <w:rPr>
          <w:spacing w:val="-4"/>
        </w:rPr>
        <w:t> </w:t>
      </w:r>
      <w:r>
        <w:rPr/>
        <w:t>(CCIQS).</w:t>
      </w:r>
    </w:p>
    <w:p>
      <w:pPr>
        <w:spacing w:after="0" w:line="360" w:lineRule="auto"/>
        <w:jc w:val="both"/>
        <w:sectPr>
          <w:pgSz w:w="12240" w:h="15840"/>
          <w:pgMar w:header="0" w:footer="654" w:top="1140" w:bottom="1060" w:left="1040" w:right="560"/>
        </w:sectPr>
      </w:pPr>
    </w:p>
    <w:p>
      <w:pPr>
        <w:pStyle w:val="BodyText"/>
        <w:rPr>
          <w:sz w:val="20"/>
        </w:rPr>
      </w:pPr>
    </w:p>
    <w:p>
      <w:pPr>
        <w:pStyle w:val="BodyText"/>
        <w:spacing w:before="10"/>
        <w:rPr>
          <w:sz w:val="19"/>
        </w:rPr>
      </w:pPr>
    </w:p>
    <w:p>
      <w:pPr>
        <w:pStyle w:val="Heading6"/>
        <w:spacing w:before="1"/>
      </w:pPr>
      <w:r>
        <w:rPr/>
        <w:t>REFERENCES</w:t>
      </w:r>
    </w:p>
    <w:p>
      <w:pPr>
        <w:pStyle w:val="BodyText"/>
        <w:rPr>
          <w:b/>
        </w:rPr>
      </w:pPr>
    </w:p>
    <w:p>
      <w:pPr>
        <w:pStyle w:val="BodyText"/>
        <w:rPr>
          <w:b/>
        </w:rPr>
      </w:pPr>
    </w:p>
    <w:p>
      <w:pPr>
        <w:pStyle w:val="BodyText"/>
        <w:spacing w:line="360" w:lineRule="auto"/>
        <w:ind w:left="662" w:right="569"/>
        <w:jc w:val="both"/>
      </w:pPr>
      <w:r>
        <w:rPr/>
        <w:t>Ai</w:t>
      </w:r>
      <w:r>
        <w:rPr>
          <w:spacing w:val="-5"/>
        </w:rPr>
        <w:t> </w:t>
      </w:r>
      <w:r>
        <w:rPr/>
        <w:t>S.,</w:t>
      </w:r>
      <w:r>
        <w:rPr>
          <w:spacing w:val="-6"/>
        </w:rPr>
        <w:t> </w:t>
      </w:r>
      <w:r>
        <w:rPr/>
        <w:t>Li</w:t>
      </w:r>
      <w:r>
        <w:rPr>
          <w:spacing w:val="-5"/>
        </w:rPr>
        <w:t> </w:t>
      </w:r>
      <w:r>
        <w:rPr/>
        <w:t>J.,</w:t>
      </w:r>
      <w:r>
        <w:rPr>
          <w:spacing w:val="-4"/>
        </w:rPr>
        <w:t> </w:t>
      </w:r>
      <w:r>
        <w:rPr/>
        <w:t>Yang</w:t>
      </w:r>
      <w:r>
        <w:rPr>
          <w:spacing w:val="-6"/>
        </w:rPr>
        <w:t> </w:t>
      </w:r>
      <w:r>
        <w:rPr/>
        <w:t>Y.,</w:t>
      </w:r>
      <w:r>
        <w:rPr>
          <w:spacing w:val="-6"/>
        </w:rPr>
        <w:t> </w:t>
      </w:r>
      <w:r>
        <w:rPr/>
        <w:t>Gao</w:t>
      </w:r>
      <w:r>
        <w:rPr>
          <w:spacing w:val="-4"/>
        </w:rPr>
        <w:t> </w:t>
      </w:r>
      <w:r>
        <w:rPr/>
        <w:t>M.,</w:t>
      </w:r>
      <w:r>
        <w:rPr>
          <w:spacing w:val="-6"/>
        </w:rPr>
        <w:t> </w:t>
      </w:r>
      <w:r>
        <w:rPr/>
        <w:t>Pan</w:t>
      </w:r>
      <w:r>
        <w:rPr>
          <w:spacing w:val="-4"/>
        </w:rPr>
        <w:t> </w:t>
      </w:r>
      <w:r>
        <w:rPr/>
        <w:t>Z.</w:t>
      </w:r>
      <w:r>
        <w:rPr>
          <w:spacing w:val="-7"/>
        </w:rPr>
        <w:t> </w:t>
      </w:r>
      <w:r>
        <w:rPr/>
        <w:t>and</w:t>
      </w:r>
      <w:r>
        <w:rPr>
          <w:spacing w:val="-4"/>
        </w:rPr>
        <w:t> </w:t>
      </w:r>
      <w:r>
        <w:rPr/>
        <w:t>Jin</w:t>
      </w:r>
      <w:r>
        <w:rPr>
          <w:spacing w:val="-6"/>
        </w:rPr>
        <w:t> </w:t>
      </w:r>
      <w:r>
        <w:rPr/>
        <w:t>L.</w:t>
      </w:r>
      <w:r>
        <w:rPr>
          <w:spacing w:val="1"/>
        </w:rPr>
        <w:t> </w:t>
      </w:r>
      <w:r>
        <w:rPr/>
        <w:t>2004</w:t>
      </w:r>
      <w:r>
        <w:rPr>
          <w:spacing w:val="-3"/>
        </w:rPr>
        <w:t> </w:t>
      </w:r>
      <w:r>
        <w:rPr/>
        <w:t>Study</w:t>
      </w:r>
      <w:r>
        <w:rPr>
          <w:spacing w:val="-7"/>
        </w:rPr>
        <w:t> </w:t>
      </w:r>
      <w:r>
        <w:rPr/>
        <w:t>on</w:t>
      </w:r>
      <w:r>
        <w:rPr>
          <w:spacing w:val="-4"/>
        </w:rPr>
        <w:t> </w:t>
      </w:r>
      <w:r>
        <w:rPr/>
        <w:t>photocatalytic</w:t>
      </w:r>
      <w:r>
        <w:rPr>
          <w:spacing w:val="-4"/>
        </w:rPr>
        <w:t> </w:t>
      </w:r>
      <w:r>
        <w:rPr/>
        <w:t>oxidation</w:t>
      </w:r>
      <w:r>
        <w:rPr>
          <w:spacing w:val="-8"/>
        </w:rPr>
        <w:t> </w:t>
      </w:r>
      <w:r>
        <w:rPr/>
        <w:t>for </w:t>
      </w:r>
      <w:r>
        <w:rPr>
          <w:position w:val="1"/>
        </w:rPr>
        <w:t>determination of chemical oxygen demand using a nano-TiO</w:t>
      </w:r>
      <w:r>
        <w:rPr>
          <w:sz w:val="16"/>
        </w:rPr>
        <w:t>2</w:t>
      </w:r>
      <w:r>
        <w:rPr>
          <w:position w:val="1"/>
        </w:rPr>
        <w:t>-K</w:t>
      </w:r>
      <w:r>
        <w:rPr>
          <w:sz w:val="16"/>
        </w:rPr>
        <w:t>2</w:t>
      </w:r>
      <w:r>
        <w:rPr>
          <w:position w:val="1"/>
        </w:rPr>
        <w:t>Cr</w:t>
      </w:r>
      <w:r>
        <w:rPr>
          <w:sz w:val="16"/>
        </w:rPr>
        <w:t>2</w:t>
      </w:r>
      <w:r>
        <w:rPr>
          <w:position w:val="1"/>
        </w:rPr>
        <w:t>O</w:t>
      </w:r>
      <w:r>
        <w:rPr>
          <w:sz w:val="16"/>
        </w:rPr>
        <w:t>7 </w:t>
      </w:r>
      <w:r>
        <w:rPr>
          <w:position w:val="1"/>
        </w:rPr>
        <w:t>system. Analytica </w:t>
      </w:r>
      <w:r>
        <w:rPr/>
        <w:t>Chimica Acta, 509, 237 -</w:t>
      </w:r>
      <w:r>
        <w:rPr>
          <w:spacing w:val="-10"/>
        </w:rPr>
        <w:t> </w:t>
      </w:r>
      <w:r>
        <w:rPr/>
        <w:t>341.</w:t>
      </w:r>
    </w:p>
    <w:p>
      <w:pPr>
        <w:pStyle w:val="BodyText"/>
      </w:pPr>
    </w:p>
    <w:p>
      <w:pPr>
        <w:pStyle w:val="BodyText"/>
        <w:spacing w:line="362" w:lineRule="auto" w:before="142"/>
        <w:ind w:left="662" w:right="567"/>
        <w:jc w:val="both"/>
      </w:pPr>
      <w:r>
        <w:rPr/>
        <w:t>Alnaizy</w:t>
      </w:r>
      <w:r>
        <w:rPr>
          <w:spacing w:val="-13"/>
        </w:rPr>
        <w:t> </w:t>
      </w:r>
      <w:r>
        <w:rPr/>
        <w:t>R.</w:t>
      </w:r>
      <w:r>
        <w:rPr>
          <w:spacing w:val="-10"/>
        </w:rPr>
        <w:t> </w:t>
      </w:r>
      <w:r>
        <w:rPr/>
        <w:t>and</w:t>
      </w:r>
      <w:r>
        <w:rPr>
          <w:spacing w:val="-9"/>
        </w:rPr>
        <w:t> </w:t>
      </w:r>
      <w:r>
        <w:rPr/>
        <w:t>Akgerman</w:t>
      </w:r>
      <w:r>
        <w:rPr>
          <w:spacing w:val="-9"/>
        </w:rPr>
        <w:t> </w:t>
      </w:r>
      <w:r>
        <w:rPr/>
        <w:t>A.</w:t>
      </w:r>
      <w:r>
        <w:rPr>
          <w:spacing w:val="-10"/>
        </w:rPr>
        <w:t> </w:t>
      </w:r>
      <w:r>
        <w:rPr/>
        <w:t>2000</w:t>
      </w:r>
      <w:r>
        <w:rPr>
          <w:spacing w:val="-12"/>
        </w:rPr>
        <w:t> </w:t>
      </w:r>
      <w:r>
        <w:rPr/>
        <w:t>Advanced</w:t>
      </w:r>
      <w:r>
        <w:rPr>
          <w:spacing w:val="-12"/>
        </w:rPr>
        <w:t> </w:t>
      </w:r>
      <w:r>
        <w:rPr/>
        <w:t>oxidation</w:t>
      </w:r>
      <w:r>
        <w:rPr>
          <w:spacing w:val="-9"/>
        </w:rPr>
        <w:t> </w:t>
      </w:r>
      <w:r>
        <w:rPr/>
        <w:t>of</w:t>
      </w:r>
      <w:r>
        <w:rPr>
          <w:spacing w:val="-10"/>
        </w:rPr>
        <w:t> </w:t>
      </w:r>
      <w:r>
        <w:rPr/>
        <w:t>phenolic</w:t>
      </w:r>
      <w:r>
        <w:rPr>
          <w:spacing w:val="-10"/>
        </w:rPr>
        <w:t> </w:t>
      </w:r>
      <w:r>
        <w:rPr/>
        <w:t>compounds.</w:t>
      </w:r>
      <w:r>
        <w:rPr>
          <w:spacing w:val="-5"/>
        </w:rPr>
        <w:t> </w:t>
      </w:r>
      <w:r>
        <w:rPr/>
        <w:t>Advances in Environmental Research, 4, 233 -</w:t>
      </w:r>
      <w:r>
        <w:rPr>
          <w:spacing w:val="-11"/>
        </w:rPr>
        <w:t> </w:t>
      </w:r>
      <w:r>
        <w:rPr/>
        <w:t>244.</w:t>
      </w:r>
    </w:p>
    <w:p>
      <w:pPr>
        <w:pStyle w:val="BodyText"/>
      </w:pPr>
    </w:p>
    <w:p>
      <w:pPr>
        <w:pStyle w:val="BodyText"/>
        <w:spacing w:line="360" w:lineRule="auto" w:before="139"/>
        <w:ind w:left="662" w:right="572"/>
        <w:jc w:val="both"/>
      </w:pPr>
      <w:r>
        <w:rPr/>
        <w:t>APHA</w:t>
      </w:r>
      <w:r>
        <w:rPr>
          <w:spacing w:val="-10"/>
        </w:rPr>
        <w:t> </w:t>
      </w:r>
      <w:r>
        <w:rPr/>
        <w:t>(American</w:t>
      </w:r>
      <w:r>
        <w:rPr>
          <w:spacing w:val="-12"/>
        </w:rPr>
        <w:t> </w:t>
      </w:r>
      <w:r>
        <w:rPr/>
        <w:t>Public</w:t>
      </w:r>
      <w:r>
        <w:rPr>
          <w:spacing w:val="-11"/>
        </w:rPr>
        <w:t> </w:t>
      </w:r>
      <w:r>
        <w:rPr/>
        <w:t>Health</w:t>
      </w:r>
      <w:r>
        <w:rPr>
          <w:spacing w:val="-12"/>
        </w:rPr>
        <w:t> </w:t>
      </w:r>
      <w:r>
        <w:rPr/>
        <w:t>Association)</w:t>
      </w:r>
      <w:r>
        <w:rPr>
          <w:spacing w:val="-14"/>
        </w:rPr>
        <w:t> </w:t>
      </w:r>
      <w:r>
        <w:rPr/>
        <w:t>AWWA</w:t>
      </w:r>
      <w:r>
        <w:rPr>
          <w:spacing w:val="-15"/>
        </w:rPr>
        <w:t> </w:t>
      </w:r>
      <w:r>
        <w:rPr/>
        <w:t>(American</w:t>
      </w:r>
      <w:r>
        <w:rPr>
          <w:spacing w:val="-17"/>
        </w:rPr>
        <w:t> </w:t>
      </w:r>
      <w:r>
        <w:rPr/>
        <w:t>Water</w:t>
      </w:r>
      <w:r>
        <w:rPr>
          <w:spacing w:val="-16"/>
        </w:rPr>
        <w:t> </w:t>
      </w:r>
      <w:r>
        <w:rPr/>
        <w:t>Works</w:t>
      </w:r>
      <w:r>
        <w:rPr>
          <w:spacing w:val="-14"/>
        </w:rPr>
        <w:t> </w:t>
      </w:r>
      <w:r>
        <w:rPr/>
        <w:t>Association) WEF</w:t>
      </w:r>
      <w:r>
        <w:rPr>
          <w:spacing w:val="-8"/>
        </w:rPr>
        <w:t> </w:t>
      </w:r>
      <w:r>
        <w:rPr/>
        <w:t>(Water</w:t>
      </w:r>
      <w:r>
        <w:rPr>
          <w:spacing w:val="-8"/>
        </w:rPr>
        <w:t> </w:t>
      </w:r>
      <w:r>
        <w:rPr/>
        <w:t>Environment</w:t>
      </w:r>
      <w:r>
        <w:rPr>
          <w:spacing w:val="-5"/>
        </w:rPr>
        <w:t> </w:t>
      </w:r>
      <w:r>
        <w:rPr/>
        <w:t>Federation),</w:t>
      </w:r>
      <w:r>
        <w:rPr>
          <w:spacing w:val="-6"/>
        </w:rPr>
        <w:t> </w:t>
      </w:r>
      <w:r>
        <w:rPr/>
        <w:t>(1998).</w:t>
      </w:r>
      <w:r>
        <w:rPr>
          <w:spacing w:val="-6"/>
        </w:rPr>
        <w:t> </w:t>
      </w:r>
      <w:r>
        <w:rPr/>
        <w:t>“Standard</w:t>
      </w:r>
      <w:r>
        <w:rPr>
          <w:spacing w:val="-8"/>
        </w:rPr>
        <w:t> </w:t>
      </w:r>
      <w:r>
        <w:rPr/>
        <w:t>Methods</w:t>
      </w:r>
      <w:r>
        <w:rPr>
          <w:spacing w:val="-8"/>
        </w:rPr>
        <w:t> </w:t>
      </w:r>
      <w:r>
        <w:rPr/>
        <w:t>for</w:t>
      </w:r>
      <w:r>
        <w:rPr>
          <w:spacing w:val="-6"/>
        </w:rPr>
        <w:t> </w:t>
      </w:r>
      <w:r>
        <w:rPr/>
        <w:t>the</w:t>
      </w:r>
      <w:r>
        <w:rPr>
          <w:spacing w:val="-7"/>
        </w:rPr>
        <w:t> </w:t>
      </w:r>
      <w:r>
        <w:rPr/>
        <w:t>Examination</w:t>
      </w:r>
      <w:r>
        <w:rPr>
          <w:spacing w:val="-7"/>
        </w:rPr>
        <w:t> </w:t>
      </w:r>
      <w:r>
        <w:rPr/>
        <w:t>of Water and Wastewater”. Washington</w:t>
      </w:r>
      <w:r>
        <w:rPr>
          <w:spacing w:val="-12"/>
        </w:rPr>
        <w:t> </w:t>
      </w:r>
      <w:r>
        <w:rPr/>
        <w:t>DC.</w:t>
      </w:r>
    </w:p>
    <w:p>
      <w:pPr>
        <w:pStyle w:val="BodyText"/>
      </w:pPr>
    </w:p>
    <w:p>
      <w:pPr>
        <w:pStyle w:val="BodyText"/>
        <w:spacing w:line="360" w:lineRule="auto" w:before="142"/>
        <w:ind w:left="662" w:right="575"/>
        <w:jc w:val="both"/>
      </w:pPr>
      <w:r>
        <w:rPr/>
        <w:t>Benitez</w:t>
      </w:r>
      <w:r>
        <w:rPr>
          <w:spacing w:val="-18"/>
        </w:rPr>
        <w:t> </w:t>
      </w:r>
      <w:r>
        <w:rPr/>
        <w:t>F.</w:t>
      </w:r>
      <w:r>
        <w:rPr>
          <w:spacing w:val="-15"/>
        </w:rPr>
        <w:t> </w:t>
      </w:r>
      <w:r>
        <w:rPr/>
        <w:t>J.,</w:t>
      </w:r>
      <w:r>
        <w:rPr>
          <w:spacing w:val="-17"/>
        </w:rPr>
        <w:t> </w:t>
      </w:r>
      <w:r>
        <w:rPr/>
        <w:t>Acero</w:t>
      </w:r>
      <w:r>
        <w:rPr>
          <w:spacing w:val="-15"/>
        </w:rPr>
        <w:t> </w:t>
      </w:r>
      <w:r>
        <w:rPr/>
        <w:t>J.</w:t>
      </w:r>
      <w:r>
        <w:rPr>
          <w:spacing w:val="-17"/>
        </w:rPr>
        <w:t> </w:t>
      </w:r>
      <w:r>
        <w:rPr/>
        <w:t>L.,</w:t>
      </w:r>
      <w:r>
        <w:rPr>
          <w:spacing w:val="-15"/>
        </w:rPr>
        <w:t> </w:t>
      </w:r>
      <w:r>
        <w:rPr/>
        <w:t>Real</w:t>
      </w:r>
      <w:r>
        <w:rPr>
          <w:spacing w:val="-16"/>
        </w:rPr>
        <w:t> </w:t>
      </w:r>
      <w:r>
        <w:rPr/>
        <w:t>F.</w:t>
      </w:r>
      <w:r>
        <w:rPr>
          <w:spacing w:val="-18"/>
        </w:rPr>
        <w:t> </w:t>
      </w:r>
      <w:r>
        <w:rPr/>
        <w:t>J.,</w:t>
      </w:r>
      <w:r>
        <w:rPr>
          <w:spacing w:val="-15"/>
        </w:rPr>
        <w:t> </w:t>
      </w:r>
      <w:r>
        <w:rPr/>
        <w:t>Roldan</w:t>
      </w:r>
      <w:r>
        <w:rPr>
          <w:spacing w:val="-15"/>
        </w:rPr>
        <w:t> </w:t>
      </w:r>
      <w:r>
        <w:rPr/>
        <w:t>G.</w:t>
      </w:r>
      <w:r>
        <w:rPr>
          <w:spacing w:val="-15"/>
        </w:rPr>
        <w:t> </w:t>
      </w:r>
      <w:r>
        <w:rPr/>
        <w:t>and</w:t>
      </w:r>
      <w:r>
        <w:rPr>
          <w:spacing w:val="-17"/>
        </w:rPr>
        <w:t> </w:t>
      </w:r>
      <w:r>
        <w:rPr/>
        <w:t>Casas</w:t>
      </w:r>
      <w:r>
        <w:rPr>
          <w:spacing w:val="-15"/>
        </w:rPr>
        <w:t> </w:t>
      </w:r>
      <w:r>
        <w:rPr/>
        <w:t>F.</w:t>
      </w:r>
      <w:r>
        <w:rPr>
          <w:spacing w:val="-18"/>
        </w:rPr>
        <w:t> </w:t>
      </w:r>
      <w:r>
        <w:rPr/>
        <w:t>2011</w:t>
      </w:r>
      <w:r>
        <w:rPr>
          <w:spacing w:val="-15"/>
        </w:rPr>
        <w:t> </w:t>
      </w:r>
      <w:r>
        <w:rPr/>
        <w:t>Comparison</w:t>
      </w:r>
      <w:r>
        <w:rPr>
          <w:spacing w:val="-17"/>
        </w:rPr>
        <w:t> </w:t>
      </w:r>
      <w:r>
        <w:rPr/>
        <w:t>of</w:t>
      </w:r>
      <w:r>
        <w:rPr>
          <w:spacing w:val="-14"/>
        </w:rPr>
        <w:t> </w:t>
      </w:r>
      <w:r>
        <w:rPr/>
        <w:t>different chemical oxidation treatments. Chemical Engineering Journal, 168, 1149</w:t>
      </w:r>
      <w:r>
        <w:rPr>
          <w:spacing w:val="-25"/>
        </w:rPr>
        <w:t> </w:t>
      </w:r>
      <w:r>
        <w:rPr/>
        <w:t>-1156.</w:t>
      </w:r>
    </w:p>
    <w:p>
      <w:pPr>
        <w:pStyle w:val="BodyText"/>
      </w:pPr>
    </w:p>
    <w:p>
      <w:pPr>
        <w:pStyle w:val="BodyText"/>
        <w:spacing w:line="360" w:lineRule="auto" w:before="142"/>
        <w:ind w:left="662" w:right="569"/>
        <w:jc w:val="both"/>
      </w:pPr>
      <w:r>
        <w:rPr/>
        <w:t>Berenguer A. 2015 COD Analysis (COD Measurement in Real Time). SGITT-OTRI (Universidad de Alicante). </w:t>
      </w:r>
      <w:hyperlink r:id="rId30">
        <w:r>
          <w:rPr/>
          <w:t>http://sgitt-otri.ua.es/es/empresa/documentos/to-cod-eng.pdf</w:t>
        </w:r>
      </w:hyperlink>
      <w:r>
        <w:rPr/>
        <w:t> (accessed: 16 june 2015).</w:t>
      </w:r>
    </w:p>
    <w:p>
      <w:pPr>
        <w:pStyle w:val="BodyText"/>
      </w:pPr>
    </w:p>
    <w:p>
      <w:pPr>
        <w:pStyle w:val="BodyText"/>
        <w:spacing w:line="360" w:lineRule="auto" w:before="142"/>
        <w:ind w:left="662" w:right="568"/>
        <w:jc w:val="both"/>
      </w:pPr>
      <w:r>
        <w:rPr/>
        <w:t>Carbajal-Palacios P., Balderas-Hernández P., Ibanez J. G. and Roa-Morales G. 2012 Replacing dichromate with hydrogen peroxide in the chemical oxygen demand (COD) test. Water Science and Technology, 66, 1069 - 1073.</w:t>
      </w:r>
    </w:p>
    <w:p>
      <w:pPr>
        <w:pStyle w:val="BodyText"/>
      </w:pPr>
    </w:p>
    <w:p>
      <w:pPr>
        <w:pStyle w:val="BodyText"/>
        <w:spacing w:line="360" w:lineRule="auto" w:before="142"/>
        <w:ind w:left="662" w:right="574"/>
        <w:jc w:val="both"/>
      </w:pPr>
      <w:r>
        <w:rPr/>
        <w:t>Chen</w:t>
      </w:r>
      <w:r>
        <w:rPr>
          <w:spacing w:val="-5"/>
        </w:rPr>
        <w:t> </w:t>
      </w:r>
      <w:r>
        <w:rPr/>
        <w:t>J.,</w:t>
      </w:r>
      <w:r>
        <w:rPr>
          <w:spacing w:val="-5"/>
        </w:rPr>
        <w:t> </w:t>
      </w:r>
      <w:r>
        <w:rPr/>
        <w:t>Zhang</w:t>
      </w:r>
      <w:r>
        <w:rPr>
          <w:spacing w:val="-7"/>
        </w:rPr>
        <w:t> </w:t>
      </w:r>
      <w:r>
        <w:rPr/>
        <w:t>J.,</w:t>
      </w:r>
      <w:r>
        <w:rPr>
          <w:spacing w:val="-5"/>
        </w:rPr>
        <w:t> </w:t>
      </w:r>
      <w:r>
        <w:rPr/>
        <w:t>Xian</w:t>
      </w:r>
      <w:r>
        <w:rPr>
          <w:spacing w:val="-5"/>
        </w:rPr>
        <w:t> </w:t>
      </w:r>
      <w:r>
        <w:rPr/>
        <w:t>Y.,</w:t>
      </w:r>
      <w:r>
        <w:rPr>
          <w:spacing w:val="-5"/>
        </w:rPr>
        <w:t> </w:t>
      </w:r>
      <w:r>
        <w:rPr/>
        <w:t>Ying</w:t>
      </w:r>
      <w:r>
        <w:rPr>
          <w:spacing w:val="-6"/>
        </w:rPr>
        <w:t> </w:t>
      </w:r>
      <w:r>
        <w:rPr/>
        <w:t>X.,</w:t>
      </w:r>
      <w:r>
        <w:rPr>
          <w:spacing w:val="-5"/>
        </w:rPr>
        <w:t> </w:t>
      </w:r>
      <w:r>
        <w:rPr/>
        <w:t>Liu</w:t>
      </w:r>
      <w:r>
        <w:rPr>
          <w:spacing w:val="-4"/>
        </w:rPr>
        <w:t> </w:t>
      </w:r>
      <w:r>
        <w:rPr/>
        <w:t>M.</w:t>
      </w:r>
      <w:r>
        <w:rPr>
          <w:spacing w:val="-7"/>
        </w:rPr>
        <w:t> </w:t>
      </w:r>
      <w:r>
        <w:rPr/>
        <w:t>and</w:t>
      </w:r>
      <w:r>
        <w:rPr>
          <w:spacing w:val="-5"/>
        </w:rPr>
        <w:t> </w:t>
      </w:r>
      <w:r>
        <w:rPr/>
        <w:t>Jin</w:t>
      </w:r>
      <w:r>
        <w:rPr>
          <w:spacing w:val="-7"/>
        </w:rPr>
        <w:t> </w:t>
      </w:r>
      <w:r>
        <w:rPr/>
        <w:t>L.</w:t>
      </w:r>
      <w:r>
        <w:rPr>
          <w:spacing w:val="-7"/>
        </w:rPr>
        <w:t> </w:t>
      </w:r>
      <w:r>
        <w:rPr/>
        <w:t>2005</w:t>
      </w:r>
      <w:r>
        <w:rPr>
          <w:spacing w:val="-7"/>
        </w:rPr>
        <w:t> </w:t>
      </w:r>
      <w:r>
        <w:rPr/>
        <w:t>Preparation</w:t>
      </w:r>
      <w:r>
        <w:rPr>
          <w:spacing w:val="-7"/>
        </w:rPr>
        <w:t> </w:t>
      </w:r>
      <w:r>
        <w:rPr/>
        <w:t>and</w:t>
      </w:r>
      <w:r>
        <w:rPr>
          <w:spacing w:val="-7"/>
        </w:rPr>
        <w:t> </w:t>
      </w:r>
      <w:r>
        <w:rPr/>
        <w:t>application</w:t>
      </w:r>
      <w:r>
        <w:rPr>
          <w:spacing w:val="-7"/>
        </w:rPr>
        <w:t> </w:t>
      </w:r>
      <w:r>
        <w:rPr/>
        <w:t>of </w:t>
      </w:r>
      <w:r>
        <w:rPr>
          <w:position w:val="1"/>
        </w:rPr>
        <w:t>TiO</w:t>
      </w:r>
      <w:r>
        <w:rPr>
          <w:sz w:val="16"/>
        </w:rPr>
        <w:t>2 </w:t>
      </w:r>
      <w:r>
        <w:rPr>
          <w:position w:val="1"/>
        </w:rPr>
        <w:t>photocatalytic sensor for chemical oxygen demand determination in water</w:t>
      </w:r>
      <w:r>
        <w:rPr>
          <w:spacing w:val="-28"/>
          <w:position w:val="1"/>
        </w:rPr>
        <w:t> </w:t>
      </w:r>
      <w:r>
        <w:rPr>
          <w:position w:val="1"/>
        </w:rPr>
        <w:t>research. </w:t>
      </w:r>
      <w:r>
        <w:rPr/>
        <w:t>Water Research, 39, 1340 -</w:t>
      </w:r>
      <w:r>
        <w:rPr>
          <w:spacing w:val="-11"/>
        </w:rPr>
        <w:t> </w:t>
      </w:r>
      <w:r>
        <w:rPr/>
        <w:t>1346.</w:t>
      </w:r>
    </w:p>
    <w:p>
      <w:pPr>
        <w:pStyle w:val="BodyText"/>
      </w:pPr>
    </w:p>
    <w:p>
      <w:pPr>
        <w:pStyle w:val="BodyText"/>
        <w:spacing w:line="360" w:lineRule="auto" w:before="142"/>
        <w:ind w:left="662" w:right="574"/>
        <w:jc w:val="both"/>
      </w:pPr>
      <w:r>
        <w:rPr/>
        <w:t>Chidambara</w:t>
      </w:r>
      <w:r>
        <w:rPr>
          <w:spacing w:val="-16"/>
        </w:rPr>
        <w:t> </w:t>
      </w:r>
      <w:r>
        <w:rPr/>
        <w:t>Raj</w:t>
      </w:r>
      <w:r>
        <w:rPr>
          <w:spacing w:val="-14"/>
        </w:rPr>
        <w:t> </w:t>
      </w:r>
      <w:r>
        <w:rPr/>
        <w:t>C.</w:t>
      </w:r>
      <w:r>
        <w:rPr>
          <w:spacing w:val="-16"/>
        </w:rPr>
        <w:t> </w:t>
      </w:r>
      <w:r>
        <w:rPr/>
        <w:t>B.</w:t>
      </w:r>
      <w:r>
        <w:rPr>
          <w:spacing w:val="-16"/>
        </w:rPr>
        <w:t> </w:t>
      </w:r>
      <w:r>
        <w:rPr/>
        <w:t>and</w:t>
      </w:r>
      <w:r>
        <w:rPr>
          <w:spacing w:val="-16"/>
        </w:rPr>
        <w:t> </w:t>
      </w:r>
      <w:r>
        <w:rPr/>
        <w:t>Li</w:t>
      </w:r>
      <w:r>
        <w:rPr>
          <w:spacing w:val="-14"/>
        </w:rPr>
        <w:t> </w:t>
      </w:r>
      <w:r>
        <w:rPr/>
        <w:t>Quen</w:t>
      </w:r>
      <w:r>
        <w:rPr>
          <w:spacing w:val="-15"/>
        </w:rPr>
        <w:t> </w:t>
      </w:r>
      <w:r>
        <w:rPr/>
        <w:t>H.</w:t>
      </w:r>
      <w:r>
        <w:rPr>
          <w:spacing w:val="-14"/>
        </w:rPr>
        <w:t> </w:t>
      </w:r>
      <w:r>
        <w:rPr/>
        <w:t>2005</w:t>
      </w:r>
      <w:r>
        <w:rPr>
          <w:spacing w:val="-13"/>
        </w:rPr>
        <w:t> </w:t>
      </w:r>
      <w:r>
        <w:rPr/>
        <w:t>Advanced</w:t>
      </w:r>
      <w:r>
        <w:rPr>
          <w:spacing w:val="-16"/>
        </w:rPr>
        <w:t> </w:t>
      </w:r>
      <w:r>
        <w:rPr/>
        <w:t>oxidation</w:t>
      </w:r>
      <w:r>
        <w:rPr>
          <w:spacing w:val="-16"/>
        </w:rPr>
        <w:t> </w:t>
      </w:r>
      <w:r>
        <w:rPr/>
        <w:t>processes</w:t>
      </w:r>
      <w:r>
        <w:rPr>
          <w:spacing w:val="-16"/>
        </w:rPr>
        <w:t> </w:t>
      </w:r>
      <w:r>
        <w:rPr/>
        <w:t>for</w:t>
      </w:r>
      <w:r>
        <w:rPr>
          <w:spacing w:val="-15"/>
        </w:rPr>
        <w:t> </w:t>
      </w:r>
      <w:r>
        <w:rPr/>
        <w:t>wastewater </w:t>
      </w:r>
      <w:r>
        <w:rPr>
          <w:position w:val="1"/>
        </w:rPr>
        <w:t>treatment: Optimization of UV/H</w:t>
      </w:r>
      <w:r>
        <w:rPr>
          <w:sz w:val="16"/>
        </w:rPr>
        <w:t>2</w:t>
      </w:r>
      <w:r>
        <w:rPr>
          <w:position w:val="1"/>
        </w:rPr>
        <w:t>O</w:t>
      </w:r>
      <w:r>
        <w:rPr>
          <w:sz w:val="16"/>
        </w:rPr>
        <w:t>2 </w:t>
      </w:r>
      <w:r>
        <w:rPr>
          <w:position w:val="1"/>
        </w:rPr>
        <w:t>process through a statistical technique. Chemical </w:t>
      </w:r>
      <w:r>
        <w:rPr/>
        <w:t>Engineering Science, 60, 5305 -</w:t>
      </w:r>
      <w:r>
        <w:rPr>
          <w:spacing w:val="-15"/>
        </w:rPr>
        <w:t> </w:t>
      </w:r>
      <w:r>
        <w:rPr/>
        <w:t>5311.</w:t>
      </w:r>
    </w:p>
    <w:p>
      <w:pPr>
        <w:spacing w:after="0" w:line="360" w:lineRule="auto"/>
        <w:jc w:val="both"/>
        <w:sectPr>
          <w:pgSz w:w="12240" w:h="15840"/>
          <w:pgMar w:header="0" w:footer="654" w:top="1500" w:bottom="1060" w:left="1040" w:right="560"/>
        </w:sectPr>
      </w:pPr>
    </w:p>
    <w:p>
      <w:pPr>
        <w:pStyle w:val="BodyText"/>
        <w:spacing w:line="360" w:lineRule="auto" w:before="46"/>
        <w:ind w:left="662" w:right="572"/>
        <w:jc w:val="both"/>
      </w:pPr>
      <w:r>
        <w:rPr/>
        <w:t>Domini C. E., Vidal L. and Canals A. 2009 Trivalent manganese as an environmentally friendly oxidizing reagent for microwave and ultrasound-assisted chemical oxygen demand  determination. Ultrasonics Sonochemistry, 16, 686 - 691.</w:t>
      </w:r>
    </w:p>
    <w:p>
      <w:pPr>
        <w:pStyle w:val="BodyText"/>
      </w:pPr>
    </w:p>
    <w:p>
      <w:pPr>
        <w:pStyle w:val="BodyText"/>
        <w:spacing w:line="360" w:lineRule="auto" w:before="142"/>
        <w:ind w:left="662" w:right="567"/>
        <w:jc w:val="both"/>
      </w:pPr>
      <w:r>
        <w:rPr/>
        <w:t>Gogate P. R. and Pandit A. B. 2004 A review of imperative technologies for wastewater treatment I: Oxidation technologies at ambient conditions. Advances in Environmental Research, 8, 501 - 551.</w:t>
      </w:r>
    </w:p>
    <w:p>
      <w:pPr>
        <w:pStyle w:val="BodyText"/>
      </w:pPr>
    </w:p>
    <w:p>
      <w:pPr>
        <w:pStyle w:val="BodyText"/>
        <w:spacing w:line="360" w:lineRule="auto" w:before="142"/>
        <w:ind w:left="662" w:right="569"/>
        <w:jc w:val="both"/>
      </w:pPr>
      <w:r>
        <w:rPr/>
        <w:t>Kusic</w:t>
      </w:r>
      <w:r>
        <w:rPr>
          <w:spacing w:val="-11"/>
        </w:rPr>
        <w:t> </w:t>
      </w:r>
      <w:r>
        <w:rPr/>
        <w:t>H.,</w:t>
      </w:r>
      <w:r>
        <w:rPr>
          <w:spacing w:val="-12"/>
        </w:rPr>
        <w:t> </w:t>
      </w:r>
      <w:r>
        <w:rPr/>
        <w:t>Koprivanac</w:t>
      </w:r>
      <w:r>
        <w:rPr>
          <w:spacing w:val="-10"/>
        </w:rPr>
        <w:t> </w:t>
      </w:r>
      <w:r>
        <w:rPr/>
        <w:t>N.</w:t>
      </w:r>
      <w:r>
        <w:rPr>
          <w:spacing w:val="-10"/>
        </w:rPr>
        <w:t> </w:t>
      </w:r>
      <w:r>
        <w:rPr/>
        <w:t>and</w:t>
      </w:r>
      <w:r>
        <w:rPr>
          <w:spacing w:val="-12"/>
        </w:rPr>
        <w:t> </w:t>
      </w:r>
      <w:r>
        <w:rPr/>
        <w:t>Loncaric</w:t>
      </w:r>
      <w:r>
        <w:rPr>
          <w:spacing w:val="-13"/>
        </w:rPr>
        <w:t> </w:t>
      </w:r>
      <w:r>
        <w:rPr/>
        <w:t>B.</w:t>
      </w:r>
      <w:r>
        <w:rPr>
          <w:spacing w:val="-12"/>
        </w:rPr>
        <w:t> </w:t>
      </w:r>
      <w:r>
        <w:rPr/>
        <w:t>A.</w:t>
      </w:r>
      <w:r>
        <w:rPr>
          <w:spacing w:val="-12"/>
        </w:rPr>
        <w:t> </w:t>
      </w:r>
      <w:r>
        <w:rPr/>
        <w:t>2006</w:t>
      </w:r>
      <w:r>
        <w:rPr>
          <w:spacing w:val="-9"/>
        </w:rPr>
        <w:t> </w:t>
      </w:r>
      <w:r>
        <w:rPr/>
        <w:t>Minimization</w:t>
      </w:r>
      <w:r>
        <w:rPr>
          <w:spacing w:val="-12"/>
        </w:rPr>
        <w:t> </w:t>
      </w:r>
      <w:r>
        <w:rPr/>
        <w:t>of</w:t>
      </w:r>
      <w:r>
        <w:rPr>
          <w:spacing w:val="-10"/>
        </w:rPr>
        <w:t> </w:t>
      </w:r>
      <w:r>
        <w:rPr/>
        <w:t>organic</w:t>
      </w:r>
      <w:r>
        <w:rPr>
          <w:spacing w:val="-13"/>
        </w:rPr>
        <w:t> </w:t>
      </w:r>
      <w:r>
        <w:rPr/>
        <w:t>pollutant</w:t>
      </w:r>
      <w:r>
        <w:rPr>
          <w:spacing w:val="-12"/>
        </w:rPr>
        <w:t> </w:t>
      </w:r>
      <w:r>
        <w:rPr/>
        <w:t>content in aqueous solution by means of AOPs: UV- and ozone-based technologies. Chemical Engineering Journal, 123, 127 -</w:t>
      </w:r>
      <w:r>
        <w:rPr>
          <w:spacing w:val="-12"/>
        </w:rPr>
        <w:t> </w:t>
      </w:r>
      <w:r>
        <w:rPr/>
        <w:t>137.</w:t>
      </w:r>
    </w:p>
    <w:p>
      <w:pPr>
        <w:pStyle w:val="BodyText"/>
      </w:pPr>
    </w:p>
    <w:p>
      <w:pPr>
        <w:pStyle w:val="BodyText"/>
        <w:spacing w:line="360" w:lineRule="auto" w:before="142"/>
        <w:ind w:left="662" w:right="577"/>
        <w:jc w:val="both"/>
      </w:pPr>
      <w:r>
        <w:rPr/>
        <w:t>Ledakowics S., Solecka M. and Zylla R. 2001 Biodegradation, decolourisation and detoxification of textile wastewater enhanced by advanced oxidation processes. Journal of Biotechnology, 89, 175 -184.</w:t>
      </w:r>
    </w:p>
    <w:p>
      <w:pPr>
        <w:pStyle w:val="BodyText"/>
      </w:pPr>
    </w:p>
    <w:p>
      <w:pPr>
        <w:pStyle w:val="BodyText"/>
        <w:spacing w:line="360" w:lineRule="auto" w:before="142"/>
        <w:ind w:left="662" w:right="574"/>
        <w:jc w:val="both"/>
      </w:pPr>
      <w:r>
        <w:rPr/>
        <w:t>Litter M. I. 2001 Advanced Oxidation Technologies: Solar technologies. Collective text, Unit of Chemical Activity. National Commission of Atomic Energy, General San Martín National University, Argentina, Chapter 5, 73 – 80 (In Spanish).</w:t>
      </w:r>
    </w:p>
    <w:p>
      <w:pPr>
        <w:pStyle w:val="BodyText"/>
      </w:pPr>
    </w:p>
    <w:p>
      <w:pPr>
        <w:pStyle w:val="BodyText"/>
        <w:spacing w:line="360" w:lineRule="auto" w:before="142"/>
        <w:ind w:left="662" w:right="567"/>
        <w:jc w:val="both"/>
      </w:pPr>
      <w:r>
        <w:rPr/>
        <w:t>Luiz de Mattos I., Antonelli S. K., Delphini B. A. and Fernandes J. R. 2003 Hydrogen peroxide: Significance and chemical determination. Quimica Nova, 26, 373 – 380 (In Portuguese).</w:t>
      </w:r>
    </w:p>
    <w:p>
      <w:pPr>
        <w:pStyle w:val="BodyText"/>
      </w:pPr>
    </w:p>
    <w:p>
      <w:pPr>
        <w:pStyle w:val="BodyText"/>
        <w:spacing w:line="360" w:lineRule="auto" w:before="142"/>
        <w:ind w:left="662" w:right="576"/>
        <w:jc w:val="both"/>
      </w:pPr>
      <w:r>
        <w:rPr/>
        <w:t>Nilsun H. I. 1999 Critical effect of hydrogen peroxide in photochemical dye degradation. Water Research, 33, 1080 - 1084.</w:t>
      </w:r>
    </w:p>
    <w:p>
      <w:pPr>
        <w:pStyle w:val="BodyText"/>
      </w:pPr>
    </w:p>
    <w:p>
      <w:pPr>
        <w:pStyle w:val="BodyText"/>
        <w:spacing w:line="360" w:lineRule="auto" w:before="142"/>
        <w:ind w:left="662" w:right="574"/>
        <w:jc w:val="both"/>
      </w:pPr>
      <w:r>
        <w:rPr/>
        <w:t>Quintero</w:t>
      </w:r>
      <w:r>
        <w:rPr>
          <w:spacing w:val="-6"/>
        </w:rPr>
        <w:t> </w:t>
      </w:r>
      <w:r>
        <w:rPr/>
        <w:t>L.</w:t>
      </w:r>
      <w:r>
        <w:rPr>
          <w:spacing w:val="-5"/>
        </w:rPr>
        <w:t> </w:t>
      </w:r>
      <w:r>
        <w:rPr/>
        <w:t>and</w:t>
      </w:r>
      <w:r>
        <w:rPr>
          <w:spacing w:val="-3"/>
        </w:rPr>
        <w:t> </w:t>
      </w:r>
      <w:r>
        <w:rPr/>
        <w:t>Cardona</w:t>
      </w:r>
      <w:r>
        <w:rPr>
          <w:spacing w:val="-5"/>
        </w:rPr>
        <w:t> </w:t>
      </w:r>
      <w:r>
        <w:rPr/>
        <w:t>S.</w:t>
      </w:r>
      <w:r>
        <w:rPr>
          <w:spacing w:val="-2"/>
        </w:rPr>
        <w:t> </w:t>
      </w:r>
      <w:r>
        <w:rPr/>
        <w:t>2010</w:t>
      </w:r>
      <w:r>
        <w:rPr>
          <w:spacing w:val="-7"/>
        </w:rPr>
        <w:t> </w:t>
      </w:r>
      <w:r>
        <w:rPr/>
        <w:t>Technologies</w:t>
      </w:r>
      <w:r>
        <w:rPr>
          <w:spacing w:val="-5"/>
        </w:rPr>
        <w:t> </w:t>
      </w:r>
      <w:r>
        <w:rPr/>
        <w:t>for</w:t>
      </w:r>
      <w:r>
        <w:rPr>
          <w:spacing w:val="-3"/>
        </w:rPr>
        <w:t> </w:t>
      </w:r>
      <w:r>
        <w:rPr/>
        <w:t>the</w:t>
      </w:r>
      <w:r>
        <w:rPr>
          <w:spacing w:val="-5"/>
        </w:rPr>
        <w:t> </w:t>
      </w:r>
      <w:r>
        <w:rPr/>
        <w:t>decolorization</w:t>
      </w:r>
      <w:r>
        <w:rPr>
          <w:spacing w:val="-3"/>
        </w:rPr>
        <w:t> </w:t>
      </w:r>
      <w:r>
        <w:rPr/>
        <w:t>of</w:t>
      </w:r>
      <w:r>
        <w:rPr>
          <w:spacing w:val="-5"/>
        </w:rPr>
        <w:t> </w:t>
      </w:r>
      <w:r>
        <w:rPr/>
        <w:t>dyes:</w:t>
      </w:r>
      <w:r>
        <w:rPr>
          <w:spacing w:val="-3"/>
        </w:rPr>
        <w:t> </w:t>
      </w:r>
      <w:r>
        <w:rPr/>
        <w:t>Indigo</w:t>
      </w:r>
      <w:r>
        <w:rPr>
          <w:spacing w:val="-5"/>
        </w:rPr>
        <w:t> </w:t>
      </w:r>
      <w:r>
        <w:rPr/>
        <w:t>and indigo carmine. Dyna, 77, 731 -</w:t>
      </w:r>
      <w:r>
        <w:rPr>
          <w:spacing w:val="-11"/>
        </w:rPr>
        <w:t> </w:t>
      </w:r>
      <w:r>
        <w:rPr/>
        <w:t>386.</w:t>
      </w:r>
    </w:p>
    <w:p>
      <w:pPr>
        <w:spacing w:after="0" w:line="360" w:lineRule="auto"/>
        <w:jc w:val="both"/>
        <w:sectPr>
          <w:pgSz w:w="12240" w:h="15840"/>
          <w:pgMar w:header="0" w:footer="654" w:top="1500" w:bottom="1060" w:left="1040" w:right="560"/>
        </w:sectPr>
      </w:pPr>
    </w:p>
    <w:p>
      <w:pPr>
        <w:pStyle w:val="BodyText"/>
        <w:spacing w:line="360" w:lineRule="auto" w:before="51"/>
        <w:ind w:left="662" w:right="570"/>
        <w:jc w:val="both"/>
      </w:pPr>
      <w:r>
        <w:rPr/>
        <w:t>Raposo F., Rubia M. A., Burja R. and Alaiz M. 2008 Assessment of a modified optimized method for determining chemical oxygen demand of solid substrates and solutions with high suspended solids content. Talanta, 76, 448 - 453.</w:t>
      </w:r>
    </w:p>
    <w:p>
      <w:pPr>
        <w:pStyle w:val="BodyText"/>
      </w:pPr>
    </w:p>
    <w:p>
      <w:pPr>
        <w:pStyle w:val="BodyText"/>
        <w:spacing w:line="360" w:lineRule="auto" w:before="142"/>
        <w:ind w:left="662" w:right="571"/>
        <w:jc w:val="both"/>
      </w:pPr>
      <w:r>
        <w:rPr/>
        <w:t>Sousa A. C., Lucio M. M., Neto B. O., Marcone G., Pereira A., Dantas E., Fragoso W., Araujo M. and Galvão R. 2007 A method for determination of COD in a domestic wastewater treatment plant by using near-infrared reflectance spectrometry of seston. Analytica Chimica Acta, 588, 231 -236.</w:t>
      </w:r>
    </w:p>
    <w:p>
      <w:pPr>
        <w:pStyle w:val="BodyText"/>
      </w:pPr>
    </w:p>
    <w:p>
      <w:pPr>
        <w:pStyle w:val="BodyText"/>
        <w:spacing w:line="360" w:lineRule="auto" w:before="142"/>
        <w:ind w:left="662" w:right="565"/>
        <w:jc w:val="both"/>
      </w:pPr>
      <w:r>
        <w:rPr>
          <w:position w:val="1"/>
        </w:rPr>
        <w:t>Solutions for a clean environment (USP technologies). 2015. Hydrogen Peroxide (H</w:t>
      </w:r>
      <w:r>
        <w:rPr>
          <w:sz w:val="16"/>
        </w:rPr>
        <w:t>2</w:t>
      </w:r>
      <w:r>
        <w:rPr>
          <w:position w:val="1"/>
        </w:rPr>
        <w:t>O</w:t>
      </w:r>
      <w:r>
        <w:rPr>
          <w:sz w:val="16"/>
        </w:rPr>
        <w:t>2</w:t>
      </w:r>
      <w:r>
        <w:rPr>
          <w:position w:val="1"/>
        </w:rPr>
        <w:t>) </w:t>
      </w:r>
      <w:r>
        <w:rPr/>
        <w:t>is a powerful oxidizer </w:t>
      </w:r>
      <w:hyperlink r:id="rId31">
        <w:r>
          <w:rPr/>
          <w:t>http://www.h2o2.com/products-and-services/us-peroxide-</w:t>
        </w:r>
      </w:hyperlink>
      <w:r>
        <w:rPr/>
        <w:t> technologies.aspx?pid=112&amp;name=Hydrogen-Peroxide. (Accessed: 16 June 2015).</w:t>
      </w:r>
    </w:p>
    <w:p>
      <w:pPr>
        <w:pStyle w:val="BodyText"/>
      </w:pPr>
    </w:p>
    <w:p>
      <w:pPr>
        <w:pStyle w:val="BodyText"/>
        <w:spacing w:line="360" w:lineRule="auto" w:before="142"/>
        <w:ind w:left="662" w:right="571"/>
        <w:jc w:val="both"/>
      </w:pPr>
      <w:r>
        <w:rPr/>
        <w:t>Vyrides I. and Stuckey D. C. 2009 A modified method for the determination of chemical oxygen demand (COD) for samples with high salinity and low organics. Bioresource Technology, 100, 979 - 982.</w:t>
      </w:r>
    </w:p>
    <w:p>
      <w:pPr>
        <w:pStyle w:val="BodyText"/>
      </w:pPr>
    </w:p>
    <w:p>
      <w:pPr>
        <w:pStyle w:val="BodyText"/>
        <w:spacing w:line="360" w:lineRule="auto" w:before="142"/>
        <w:ind w:left="662" w:right="572"/>
        <w:jc w:val="both"/>
      </w:pPr>
      <w:r>
        <w:rPr/>
        <w:t>Yao</w:t>
      </w:r>
      <w:r>
        <w:rPr>
          <w:spacing w:val="-2"/>
        </w:rPr>
        <w:t> </w:t>
      </w:r>
      <w:r>
        <w:rPr/>
        <w:t>H.,</w:t>
      </w:r>
      <w:r>
        <w:rPr>
          <w:spacing w:val="-8"/>
        </w:rPr>
        <w:t> </w:t>
      </w:r>
      <w:r>
        <w:rPr>
          <w:spacing w:val="4"/>
        </w:rPr>
        <w:t>Wu</w:t>
      </w:r>
      <w:r>
        <w:rPr>
          <w:spacing w:val="-6"/>
        </w:rPr>
        <w:t> </w:t>
      </w:r>
      <w:r>
        <w:rPr/>
        <w:t>B.,</w:t>
      </w:r>
      <w:r>
        <w:rPr>
          <w:spacing w:val="-4"/>
        </w:rPr>
        <w:t> </w:t>
      </w:r>
      <w:r>
        <w:rPr/>
        <w:t>Qu</w:t>
      </w:r>
      <w:r>
        <w:rPr>
          <w:spacing w:val="-3"/>
        </w:rPr>
        <w:t> </w:t>
      </w:r>
      <w:r>
        <w:rPr/>
        <w:t>H.</w:t>
      </w:r>
      <w:r>
        <w:rPr>
          <w:spacing w:val="-4"/>
        </w:rPr>
        <w:t> </w:t>
      </w:r>
      <w:r>
        <w:rPr/>
        <w:t>and</w:t>
      </w:r>
      <w:r>
        <w:rPr>
          <w:spacing w:val="-4"/>
        </w:rPr>
        <w:t> </w:t>
      </w:r>
      <w:r>
        <w:rPr/>
        <w:t>Cheng</w:t>
      </w:r>
      <w:r>
        <w:rPr>
          <w:spacing w:val="-4"/>
        </w:rPr>
        <w:t> </w:t>
      </w:r>
      <w:r>
        <w:rPr/>
        <w:t>Y.</w:t>
      </w:r>
      <w:r>
        <w:rPr>
          <w:spacing w:val="-2"/>
        </w:rPr>
        <w:t> </w:t>
      </w:r>
      <w:r>
        <w:rPr/>
        <w:t>2009</w:t>
      </w:r>
      <w:r>
        <w:rPr>
          <w:spacing w:val="-1"/>
        </w:rPr>
        <w:t> </w:t>
      </w:r>
      <w:r>
        <w:rPr/>
        <w:t>A</w:t>
      </w:r>
      <w:r>
        <w:rPr>
          <w:spacing w:val="-6"/>
        </w:rPr>
        <w:t> </w:t>
      </w:r>
      <w:r>
        <w:rPr/>
        <w:t>high</w:t>
      </w:r>
      <w:r>
        <w:rPr>
          <w:spacing w:val="-2"/>
        </w:rPr>
        <w:t> </w:t>
      </w:r>
      <w:r>
        <w:rPr/>
        <w:t>throughput</w:t>
      </w:r>
      <w:r>
        <w:rPr>
          <w:spacing w:val="-4"/>
        </w:rPr>
        <w:t> </w:t>
      </w:r>
      <w:r>
        <w:rPr/>
        <w:t>chemiluminescence</w:t>
      </w:r>
      <w:r>
        <w:rPr>
          <w:spacing w:val="-4"/>
        </w:rPr>
        <w:t> </w:t>
      </w:r>
      <w:r>
        <w:rPr/>
        <w:t>method for determination of chemical oxygen demand in waters. Analytica Chimica Acta, 633,</w:t>
      </w:r>
      <w:r>
        <w:rPr>
          <w:spacing w:val="-33"/>
        </w:rPr>
        <w:t> </w:t>
      </w:r>
      <w:r>
        <w:rPr/>
        <w:t>76</w:t>
      </w:r>
    </w:p>
    <w:p>
      <w:pPr>
        <w:pStyle w:val="BodyText"/>
        <w:spacing w:before="5"/>
        <w:ind w:left="662"/>
        <w:jc w:val="both"/>
      </w:pPr>
      <w:r>
        <w:rPr/>
        <w:t>- 80.</w:t>
      </w:r>
    </w:p>
    <w:p>
      <w:pPr>
        <w:pStyle w:val="BodyText"/>
      </w:pPr>
    </w:p>
    <w:p>
      <w:pPr>
        <w:pStyle w:val="BodyText"/>
      </w:pPr>
    </w:p>
    <w:p>
      <w:pPr>
        <w:pStyle w:val="BodyText"/>
        <w:spacing w:line="360" w:lineRule="auto"/>
        <w:ind w:left="662" w:right="567"/>
        <w:jc w:val="both"/>
      </w:pPr>
      <w:r>
        <w:rPr/>
        <w:t>Zhang S., Li L., Zhao H. and Li G. 2009. A portable miniature UVLED- based photoelectrochemical system for determination of chemical oxygen demand in wastewater. Sensors Actuators, 141, 634 -64.</w:t>
      </w:r>
    </w:p>
    <w:p>
      <w:pPr>
        <w:pStyle w:val="BodyText"/>
      </w:pPr>
    </w:p>
    <w:p>
      <w:pPr>
        <w:pStyle w:val="BodyText"/>
        <w:spacing w:line="360" w:lineRule="auto" w:before="141"/>
        <w:ind w:left="662" w:right="565"/>
        <w:jc w:val="both"/>
      </w:pPr>
      <w:r>
        <w:rPr>
          <w:position w:val="1"/>
        </w:rPr>
        <w:t>Zhu L., Chen Y., Wu Y., Li X. and Tang H. 2006. A surface fluorinated-TiO</w:t>
      </w:r>
      <w:r>
        <w:rPr>
          <w:sz w:val="16"/>
        </w:rPr>
        <w:t>2</w:t>
      </w:r>
      <w:r>
        <w:rPr>
          <w:position w:val="1"/>
        </w:rPr>
        <w:t>-KMnO</w:t>
      </w:r>
      <w:r>
        <w:rPr>
          <w:sz w:val="16"/>
        </w:rPr>
        <w:t>4 </w:t>
      </w:r>
      <w:r>
        <w:rPr/>
        <w:t>photocatalytic system for determination of chemical oxygen demand. Analytica Chimica Acta, 571, 242 - 247.</w:t>
      </w:r>
    </w:p>
    <w:p>
      <w:pPr>
        <w:spacing w:after="0" w:line="360" w:lineRule="auto"/>
        <w:jc w:val="both"/>
        <w:sectPr>
          <w:pgSz w:w="12240" w:h="15840"/>
          <w:pgMar w:header="0" w:footer="654" w:top="1080" w:bottom="1060" w:left="1040" w:right="560"/>
        </w:sectPr>
      </w:pPr>
    </w:p>
    <w:p>
      <w:pPr>
        <w:pStyle w:val="BodyText"/>
        <w:spacing w:before="4"/>
        <w:rPr>
          <w:rFonts w:ascii="Times New Roman"/>
          <w:sz w:val="17"/>
        </w:rPr>
      </w:pPr>
    </w:p>
    <w:p>
      <w:pPr>
        <w:spacing w:after="0"/>
        <w:rPr>
          <w:rFonts w:ascii="Times New Roman"/>
          <w:sz w:val="17"/>
        </w:rPr>
        <w:sectPr>
          <w:pgSz w:w="12240" w:h="15840"/>
          <w:pgMar w:header="0" w:footer="654" w:top="1500" w:bottom="840" w:left="1040" w:right="560"/>
        </w:sectPr>
      </w:pPr>
    </w:p>
    <w:p>
      <w:pPr>
        <w:pStyle w:val="Heading3"/>
        <w:numPr>
          <w:ilvl w:val="1"/>
          <w:numId w:val="7"/>
        </w:numPr>
        <w:tabs>
          <w:tab w:pos="1373" w:val="left" w:leader="none"/>
        </w:tabs>
        <w:spacing w:line="362" w:lineRule="auto" w:before="45" w:after="0"/>
        <w:ind w:left="662" w:right="1466" w:firstLine="0"/>
        <w:jc w:val="left"/>
      </w:pPr>
      <w:r>
        <w:rPr/>
        <w:t>TRATAMIENTOS DE RESIDUOS: RESULTADOS</w:t>
      </w:r>
      <w:r>
        <w:rPr>
          <w:spacing w:val="-18"/>
        </w:rPr>
        <w:t> </w:t>
      </w:r>
      <w:r>
        <w:rPr/>
        <w:t>NO PUBLICADOS</w:t>
      </w:r>
    </w:p>
    <w:p>
      <w:pPr>
        <w:pStyle w:val="BodyText"/>
        <w:spacing w:line="312" w:lineRule="auto" w:before="206"/>
        <w:ind w:left="662" w:right="566"/>
        <w:jc w:val="both"/>
      </w:pPr>
      <w:r>
        <w:rPr/>
        <w:t>Con</w:t>
      </w:r>
      <w:r>
        <w:rPr>
          <w:spacing w:val="-5"/>
        </w:rPr>
        <w:t> </w:t>
      </w:r>
      <w:r>
        <w:rPr/>
        <w:t>la</w:t>
      </w:r>
      <w:r>
        <w:rPr>
          <w:spacing w:val="-10"/>
        </w:rPr>
        <w:t> </w:t>
      </w:r>
      <w:r>
        <w:rPr/>
        <w:t>finalidad</w:t>
      </w:r>
      <w:r>
        <w:rPr>
          <w:spacing w:val="-7"/>
        </w:rPr>
        <w:t> </w:t>
      </w:r>
      <w:r>
        <w:rPr/>
        <w:t>de</w:t>
      </w:r>
      <w:r>
        <w:rPr>
          <w:spacing w:val="-7"/>
        </w:rPr>
        <w:t> </w:t>
      </w:r>
      <w:r>
        <w:rPr/>
        <w:t>ayudar</w:t>
      </w:r>
      <w:r>
        <w:rPr>
          <w:spacing w:val="-9"/>
        </w:rPr>
        <w:t> </w:t>
      </w:r>
      <w:r>
        <w:rPr/>
        <w:t>más</w:t>
      </w:r>
      <w:r>
        <w:rPr>
          <w:spacing w:val="-8"/>
        </w:rPr>
        <w:t> </w:t>
      </w:r>
      <w:r>
        <w:rPr/>
        <w:t>a</w:t>
      </w:r>
      <w:r>
        <w:rPr>
          <w:spacing w:val="-5"/>
        </w:rPr>
        <w:t> </w:t>
      </w:r>
      <w:r>
        <w:rPr/>
        <w:t>la</w:t>
      </w:r>
      <w:r>
        <w:rPr>
          <w:spacing w:val="-8"/>
        </w:rPr>
        <w:t> </w:t>
      </w:r>
      <w:r>
        <w:rPr/>
        <w:t>prevención</w:t>
      </w:r>
      <w:r>
        <w:rPr>
          <w:spacing w:val="-5"/>
        </w:rPr>
        <w:t> </w:t>
      </w:r>
      <w:r>
        <w:rPr/>
        <w:t>de</w:t>
      </w:r>
      <w:r>
        <w:rPr>
          <w:spacing w:val="-5"/>
        </w:rPr>
        <w:t> </w:t>
      </w:r>
      <w:r>
        <w:rPr/>
        <w:t>la</w:t>
      </w:r>
      <w:r>
        <w:rPr>
          <w:spacing w:val="-8"/>
        </w:rPr>
        <w:t> </w:t>
      </w:r>
      <w:r>
        <w:rPr/>
        <w:t>contaminación</w:t>
      </w:r>
      <w:r>
        <w:rPr>
          <w:spacing w:val="-7"/>
        </w:rPr>
        <w:t> </w:t>
      </w:r>
      <w:r>
        <w:rPr/>
        <w:t>y</w:t>
      </w:r>
      <w:r>
        <w:rPr>
          <w:spacing w:val="-6"/>
        </w:rPr>
        <w:t> </w:t>
      </w:r>
      <w:r>
        <w:rPr/>
        <w:t>al</w:t>
      </w:r>
      <w:r>
        <w:rPr>
          <w:spacing w:val="-6"/>
        </w:rPr>
        <w:t> </w:t>
      </w:r>
      <w:r>
        <w:rPr/>
        <w:t>medio</w:t>
      </w:r>
      <w:r>
        <w:rPr>
          <w:spacing w:val="-8"/>
        </w:rPr>
        <w:t> </w:t>
      </w:r>
      <w:r>
        <w:rPr/>
        <w:t>ambiente, trataron</w:t>
      </w:r>
      <w:r>
        <w:rPr>
          <w:spacing w:val="-19"/>
        </w:rPr>
        <w:t> </w:t>
      </w:r>
      <w:r>
        <w:rPr/>
        <w:t>los</w:t>
      </w:r>
      <w:r>
        <w:rPr>
          <w:spacing w:val="-19"/>
        </w:rPr>
        <w:t> </w:t>
      </w:r>
      <w:r>
        <w:rPr/>
        <w:t>residuos</w:t>
      </w:r>
      <w:r>
        <w:rPr>
          <w:spacing w:val="-17"/>
        </w:rPr>
        <w:t> </w:t>
      </w:r>
      <w:r>
        <w:rPr/>
        <w:t>generados</w:t>
      </w:r>
      <w:r>
        <w:rPr>
          <w:spacing w:val="-19"/>
        </w:rPr>
        <w:t> </w:t>
      </w:r>
      <w:r>
        <w:rPr/>
        <w:t>en</w:t>
      </w:r>
      <w:r>
        <w:rPr>
          <w:spacing w:val="-19"/>
        </w:rPr>
        <w:t> </w:t>
      </w:r>
      <w:r>
        <w:rPr/>
        <w:t>éste</w:t>
      </w:r>
      <w:r>
        <w:rPr>
          <w:spacing w:val="-18"/>
        </w:rPr>
        <w:t> </w:t>
      </w:r>
      <w:r>
        <w:rPr/>
        <w:t>trabajo,</w:t>
      </w:r>
      <w:r>
        <w:rPr>
          <w:spacing w:val="-13"/>
        </w:rPr>
        <w:t> </w:t>
      </w:r>
      <w:r>
        <w:rPr/>
        <w:t>para</w:t>
      </w:r>
      <w:r>
        <w:rPr>
          <w:spacing w:val="-19"/>
        </w:rPr>
        <w:t> </w:t>
      </w:r>
      <w:r>
        <w:rPr/>
        <w:t>con</w:t>
      </w:r>
      <w:r>
        <w:rPr>
          <w:spacing w:val="-19"/>
        </w:rPr>
        <w:t> </w:t>
      </w:r>
      <w:r>
        <w:rPr/>
        <w:t>ello</w:t>
      </w:r>
      <w:r>
        <w:rPr>
          <w:spacing w:val="-19"/>
        </w:rPr>
        <w:t> </w:t>
      </w:r>
      <w:r>
        <w:rPr/>
        <w:t>generar</w:t>
      </w:r>
      <w:r>
        <w:rPr>
          <w:spacing w:val="-18"/>
        </w:rPr>
        <w:t> </w:t>
      </w:r>
      <w:r>
        <w:rPr/>
        <w:t>residuos</w:t>
      </w:r>
      <w:r>
        <w:rPr>
          <w:spacing w:val="-19"/>
        </w:rPr>
        <w:t> </w:t>
      </w:r>
      <w:r>
        <w:rPr/>
        <w:t>con</w:t>
      </w:r>
      <w:r>
        <w:rPr>
          <w:spacing w:val="-19"/>
        </w:rPr>
        <w:t> </w:t>
      </w:r>
      <w:r>
        <w:rPr/>
        <w:t>menor toxicidad y tratar de recuperar algún reactivo o compuesto que pudiese volver a</w:t>
      </w:r>
      <w:r>
        <w:rPr>
          <w:spacing w:val="-31"/>
        </w:rPr>
        <w:t> </w:t>
      </w:r>
      <w:r>
        <w:rPr/>
        <w:t>usarse.</w:t>
      </w:r>
    </w:p>
    <w:p>
      <w:pPr>
        <w:pStyle w:val="BodyText"/>
        <w:spacing w:before="4"/>
        <w:rPr>
          <w:sz w:val="31"/>
        </w:rPr>
      </w:pPr>
    </w:p>
    <w:p>
      <w:pPr>
        <w:pStyle w:val="BodyText"/>
        <w:spacing w:line="312" w:lineRule="auto"/>
        <w:ind w:left="662" w:right="566"/>
        <w:jc w:val="both"/>
      </w:pPr>
      <w:r>
        <w:rPr/>
        <w:pict>
          <v:shape style="position:absolute;margin-left:290.929993pt;margin-top:90.450943pt;width:7.15pt;height:8.0500pt;mso-position-horizontal-relative:page;mso-position-vertical-relative:paragraph;z-index:-129664" type="#_x0000_t202" filled="false" stroked="false">
            <v:textbox inset="0,0,0,0">
              <w:txbxContent>
                <w:p>
                  <w:pPr>
                    <w:spacing w:line="161" w:lineRule="exact" w:before="0"/>
                    <w:ind w:left="0" w:right="-20" w:firstLine="0"/>
                    <w:jc w:val="left"/>
                    <w:rPr>
                      <w:sz w:val="16"/>
                    </w:rPr>
                  </w:pPr>
                  <w:r>
                    <w:rPr>
                      <w:sz w:val="16"/>
                    </w:rPr>
                    <w:t>2-</w:t>
                  </w:r>
                </w:p>
              </w:txbxContent>
            </v:textbox>
            <w10:wrap type="none"/>
          </v:shape>
        </w:pict>
      </w:r>
      <w:r>
        <w:rPr/>
        <w:pict>
          <v:shape style="position:absolute;margin-left:288.769989pt;margin-top:144.330948pt;width:7.15pt;height:8.0500pt;mso-position-horizontal-relative:page;mso-position-vertical-relative:paragraph;z-index:-129640" type="#_x0000_t202" filled="false" stroked="false">
            <v:textbox inset="0,0,0,0">
              <w:txbxContent>
                <w:p>
                  <w:pPr>
                    <w:spacing w:line="161" w:lineRule="exact" w:before="0"/>
                    <w:ind w:left="0" w:right="-20" w:firstLine="0"/>
                    <w:jc w:val="left"/>
                    <w:rPr>
                      <w:sz w:val="16"/>
                    </w:rPr>
                  </w:pPr>
                  <w:r>
                    <w:rPr>
                      <w:sz w:val="16"/>
                    </w:rPr>
                    <w:t>2-</w:t>
                  </w:r>
                </w:p>
              </w:txbxContent>
            </v:textbox>
            <w10:wrap type="none"/>
          </v:shape>
        </w:pict>
      </w:r>
      <w:r>
        <w:rPr/>
        <w:pict>
          <v:shape style="position:absolute;margin-left:270.529999pt;margin-top:162.210938pt;width:7.15pt;height:8.0500pt;mso-position-horizontal-relative:page;mso-position-vertical-relative:paragraph;z-index:-129616" type="#_x0000_t202" filled="false" stroked="false">
            <v:textbox inset="0,0,0,0">
              <w:txbxContent>
                <w:p>
                  <w:pPr>
                    <w:spacing w:line="161" w:lineRule="exact" w:before="0"/>
                    <w:ind w:left="0" w:right="-20" w:firstLine="0"/>
                    <w:jc w:val="left"/>
                    <w:rPr>
                      <w:sz w:val="16"/>
                    </w:rPr>
                  </w:pPr>
                  <w:r>
                    <w:rPr>
                      <w:sz w:val="16"/>
                    </w:rPr>
                    <w:t>2-</w:t>
                  </w:r>
                </w:p>
              </w:txbxContent>
            </v:textbox>
            <w10:wrap type="none"/>
          </v:shape>
        </w:pict>
      </w:r>
      <w:r>
        <w:rPr/>
        <w:t>Primero para saber cómo se tenían en el medio algún metal o ambos, se realizaron los diagramas de distribución de especies correspondientes, los cuales indican qué especie se tiene en el medio dependiendo del pH y en qué fracción. En las figuras 15.3.1, 15.3.2 se</w:t>
      </w:r>
      <w:r>
        <w:rPr>
          <w:spacing w:val="-13"/>
        </w:rPr>
        <w:t> </w:t>
      </w:r>
      <w:r>
        <w:rPr/>
        <w:t>muestran</w:t>
      </w:r>
      <w:r>
        <w:rPr>
          <w:spacing w:val="-13"/>
        </w:rPr>
        <w:t> </w:t>
      </w:r>
      <w:r>
        <w:rPr/>
        <w:t>los</w:t>
      </w:r>
      <w:r>
        <w:rPr>
          <w:spacing w:val="-13"/>
        </w:rPr>
        <w:t> </w:t>
      </w:r>
      <w:r>
        <w:rPr/>
        <w:t>diagramas</w:t>
      </w:r>
      <w:r>
        <w:rPr>
          <w:spacing w:val="-12"/>
        </w:rPr>
        <w:t> </w:t>
      </w:r>
      <w:r>
        <w:rPr/>
        <w:t>realizados</w:t>
      </w:r>
      <w:r>
        <w:rPr>
          <w:spacing w:val="-14"/>
        </w:rPr>
        <w:t> </w:t>
      </w:r>
      <w:r>
        <w:rPr/>
        <w:t>con</w:t>
      </w:r>
      <w:r>
        <w:rPr>
          <w:spacing w:val="-16"/>
        </w:rPr>
        <w:t> </w:t>
      </w:r>
      <w:r>
        <w:rPr/>
        <w:t>el</w:t>
      </w:r>
      <w:r>
        <w:rPr>
          <w:spacing w:val="-13"/>
        </w:rPr>
        <w:t> </w:t>
      </w:r>
      <w:r>
        <w:rPr/>
        <w:t>programa</w:t>
      </w:r>
      <w:r>
        <w:rPr>
          <w:spacing w:val="-12"/>
        </w:rPr>
        <w:t> </w:t>
      </w:r>
      <w:r>
        <w:rPr/>
        <w:t>Make</w:t>
      </w:r>
      <w:r>
        <w:rPr>
          <w:spacing w:val="-13"/>
        </w:rPr>
        <w:t> </w:t>
      </w:r>
      <w:r>
        <w:rPr/>
        <w:t>Equilibrium</w:t>
      </w:r>
      <w:r>
        <w:rPr>
          <w:spacing w:val="-11"/>
        </w:rPr>
        <w:t> </w:t>
      </w:r>
      <w:r>
        <w:rPr/>
        <w:t>Diagrams</w:t>
      </w:r>
      <w:r>
        <w:rPr>
          <w:spacing w:val="-14"/>
        </w:rPr>
        <w:t> </w:t>
      </w:r>
      <w:r>
        <w:rPr/>
        <w:t>Using Sophisticated Algorithms (MEDUSA</w:t>
      </w:r>
      <w:r>
        <w:rPr>
          <w:position w:val="8"/>
          <w:sz w:val="16"/>
        </w:rPr>
        <w:t>®, </w:t>
      </w:r>
      <w:r>
        <w:rPr/>
        <w:t>2004). La figura m15.3.1 muestra el diagrama de </w:t>
      </w:r>
      <w:r>
        <w:rPr>
          <w:position w:val="1"/>
        </w:rPr>
        <w:t>especies de plata en presencia de SO</w:t>
      </w:r>
      <w:r>
        <w:rPr>
          <w:sz w:val="16"/>
        </w:rPr>
        <w:t>4 </w:t>
      </w:r>
      <w:r>
        <w:rPr>
          <w:position w:val="1"/>
        </w:rPr>
        <w:t>, en el cual se puede observar que predomina</w:t>
      </w:r>
      <w:r>
        <w:rPr>
          <w:spacing w:val="-40"/>
          <w:position w:val="1"/>
        </w:rPr>
        <w:t> </w:t>
      </w:r>
      <w:r>
        <w:rPr>
          <w:position w:val="1"/>
        </w:rPr>
        <w:t>la especie de sulfato de plata (Ag</w:t>
      </w:r>
      <w:r>
        <w:rPr>
          <w:sz w:val="16"/>
        </w:rPr>
        <w:t>2</w:t>
      </w:r>
      <w:r>
        <w:rPr>
          <w:position w:val="1"/>
        </w:rPr>
        <w:t>SO</w:t>
      </w:r>
      <w:r>
        <w:rPr>
          <w:sz w:val="16"/>
        </w:rPr>
        <w:t>4</w:t>
      </w:r>
      <w:r>
        <w:rPr>
          <w:position w:val="1"/>
        </w:rPr>
        <w:t>) debido a la gran cantidad de iones sulfato que </w:t>
      </w:r>
      <w:r>
        <w:rPr/>
        <w:t>tenemos</w:t>
      </w:r>
      <w:r>
        <w:rPr>
          <w:spacing w:val="-19"/>
        </w:rPr>
        <w:t> </w:t>
      </w:r>
      <w:r>
        <w:rPr/>
        <w:t>en</w:t>
      </w:r>
      <w:r>
        <w:rPr>
          <w:spacing w:val="-16"/>
        </w:rPr>
        <w:t> </w:t>
      </w:r>
      <w:r>
        <w:rPr/>
        <w:t>el</w:t>
      </w:r>
      <w:r>
        <w:rPr>
          <w:spacing w:val="-17"/>
        </w:rPr>
        <w:t> </w:t>
      </w:r>
      <w:r>
        <w:rPr/>
        <w:t>medio.</w:t>
      </w:r>
      <w:r>
        <w:rPr>
          <w:spacing w:val="-13"/>
        </w:rPr>
        <w:t> </w:t>
      </w:r>
      <w:r>
        <w:rPr/>
        <w:t>En</w:t>
      </w:r>
      <w:r>
        <w:rPr>
          <w:spacing w:val="-16"/>
        </w:rPr>
        <w:t> </w:t>
      </w:r>
      <w:r>
        <w:rPr/>
        <w:t>la</w:t>
      </w:r>
      <w:r>
        <w:rPr>
          <w:spacing w:val="-18"/>
        </w:rPr>
        <w:t> </w:t>
      </w:r>
      <w:r>
        <w:rPr/>
        <w:t>figura</w:t>
      </w:r>
      <w:r>
        <w:rPr>
          <w:spacing w:val="-16"/>
        </w:rPr>
        <w:t> </w:t>
      </w:r>
      <w:r>
        <w:rPr/>
        <w:t>15.3.2</w:t>
      </w:r>
      <w:r>
        <w:rPr>
          <w:spacing w:val="-15"/>
        </w:rPr>
        <w:t> </w:t>
      </w:r>
      <w:r>
        <w:rPr/>
        <w:t>se</w:t>
      </w:r>
      <w:r>
        <w:rPr>
          <w:spacing w:val="-16"/>
        </w:rPr>
        <w:t> </w:t>
      </w:r>
      <w:r>
        <w:rPr/>
        <w:t>observa</w:t>
      </w:r>
      <w:r>
        <w:rPr>
          <w:spacing w:val="-16"/>
        </w:rPr>
        <w:t> </w:t>
      </w:r>
      <w:r>
        <w:rPr/>
        <w:t>el</w:t>
      </w:r>
      <w:r>
        <w:rPr>
          <w:spacing w:val="-14"/>
        </w:rPr>
        <w:t> </w:t>
      </w:r>
      <w:r>
        <w:rPr/>
        <w:t>diagrama</w:t>
      </w:r>
      <w:r>
        <w:rPr>
          <w:spacing w:val="-15"/>
        </w:rPr>
        <w:t> </w:t>
      </w:r>
      <w:r>
        <w:rPr/>
        <w:t>de</w:t>
      </w:r>
      <w:r>
        <w:rPr>
          <w:spacing w:val="-18"/>
        </w:rPr>
        <w:t> </w:t>
      </w:r>
      <w:r>
        <w:rPr/>
        <w:t>especies</w:t>
      </w:r>
      <w:r>
        <w:rPr>
          <w:spacing w:val="-16"/>
        </w:rPr>
        <w:t> </w:t>
      </w:r>
      <w:r>
        <w:rPr/>
        <w:t>del</w:t>
      </w:r>
      <w:r>
        <w:rPr>
          <w:spacing w:val="-17"/>
        </w:rPr>
        <w:t> </w:t>
      </w:r>
      <w:r>
        <w:rPr/>
        <w:t>mercurio </w:t>
      </w:r>
      <w:r>
        <w:rPr>
          <w:position w:val="1"/>
        </w:rPr>
        <w:t>de igual manera en presencia de SO</w:t>
      </w:r>
      <w:r>
        <w:rPr>
          <w:sz w:val="16"/>
        </w:rPr>
        <w:t>4 </w:t>
      </w:r>
      <w:r>
        <w:rPr>
          <w:position w:val="1"/>
        </w:rPr>
        <w:t>, sobresaliendo a pH ácido la especie de sulfato de mercurio con sulfato (Hg(SO</w:t>
      </w:r>
      <w:r>
        <w:rPr>
          <w:sz w:val="16"/>
        </w:rPr>
        <w:t>4</w:t>
      </w:r>
      <w:r>
        <w:rPr>
          <w:position w:val="1"/>
        </w:rPr>
        <w:t>)</w:t>
      </w:r>
      <w:r>
        <w:rPr>
          <w:sz w:val="16"/>
        </w:rPr>
        <w:t>2 </w:t>
      </w:r>
      <w:r>
        <w:rPr>
          <w:position w:val="1"/>
        </w:rPr>
        <w:t>), de igual manera se concluye que la cantidad de </w:t>
      </w:r>
      <w:r>
        <w:rPr/>
        <w:t>iones sulfato afecta en gran medida en este</w:t>
      </w:r>
      <w:r>
        <w:rPr>
          <w:spacing w:val="-10"/>
        </w:rPr>
        <w:t> </w:t>
      </w:r>
      <w:r>
        <w:rPr/>
        <w:t>caso.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r>
        <w:rPr/>
        <w:pict>
          <v:group style="position:absolute;margin-left:194.090057pt;margin-top:13.233001pt;width:277.3pt;height:190.45pt;mso-position-horizontal-relative:page;mso-position-vertical-relative:paragraph;z-index:2152;mso-wrap-distance-left:0;mso-wrap-distance-right:0" coordorigin="3882,265" coordsize="5546,3809">
            <v:line style="position:absolute" from="3884,267" to="3884,4067" stroked="true" strokeweight=".177784pt" strokecolor="#000000"/>
            <v:line style="position:absolute" from="3884,4071" to="9422,4071" stroked="true" strokeweight=".183037pt" strokecolor="#000000"/>
            <v:line style="position:absolute" from="3884,3691" to="3943,3691" stroked="true" strokeweight=".183037pt" strokecolor="#000000"/>
            <v:line style="position:absolute" from="3884,3310" to="3943,3310" stroked="true" strokeweight=".183037pt" strokecolor="#000000"/>
            <v:line style="position:absolute" from="3884,2930" to="3943,2930" stroked="true" strokeweight=".183037pt" strokecolor="#000000"/>
            <v:line style="position:absolute" from="3884,2549" to="3943,2549" stroked="true" strokeweight=".183037pt" strokecolor="#000000"/>
            <v:line style="position:absolute" from="3884,2169" to="3943,2169" stroked="true" strokeweight=".183037pt" strokecolor="#000000"/>
            <v:line style="position:absolute" from="3884,1788" to="3943,1788" stroked="true" strokeweight=".183037pt" strokecolor="#000000"/>
            <v:line style="position:absolute" from="3884,1408" to="3943,1408" stroked="true" strokeweight=".183037pt" strokecolor="#000000"/>
            <v:line style="position:absolute" from="3884,1027" to="3943,1027" stroked="true" strokeweight=".183037pt" strokecolor="#000000"/>
            <v:line style="position:absolute" from="3884,647" to="3943,647" stroked="true" strokeweight=".183037pt" strokecolor="#000000"/>
            <v:line style="position:absolute" from="3884,267" to="3943,267" stroked="true" strokeweight=".183037pt" strokecolor="#000000"/>
            <v:line style="position:absolute" from="3884,4071" to="3884,4010" stroked="true" strokeweight=".177784pt" strokecolor="#000000"/>
            <v:line style="position:absolute" from="4386,4071" to="4386,4010" stroked="true" strokeweight=".177784pt" strokecolor="#000000"/>
            <v:line style="position:absolute" from="4889,4071" to="4889,4010" stroked="true" strokeweight=".177784pt" strokecolor="#000000"/>
            <v:line style="position:absolute" from="5395,4071" to="5395,4010" stroked="true" strokeweight=".177784pt" strokecolor="#000000"/>
            <v:line style="position:absolute" from="5897,4071" to="5897,4010" stroked="true" strokeweight=".177784pt" strokecolor="#000000"/>
            <v:line style="position:absolute" from="6400,4071" to="6400,4010" stroked="true" strokeweight=".177784pt" strokecolor="#000000"/>
            <v:line style="position:absolute" from="6906,4071" to="6906,4010" stroked="true" strokeweight=".177784pt" strokecolor="#000000"/>
            <v:line style="position:absolute" from="7408,4071" to="7408,4010" stroked="true" strokeweight=".177784pt" strokecolor="#000000"/>
            <v:line style="position:absolute" from="7911,4071" to="7911,4010" stroked="true" strokeweight=".177784pt" strokecolor="#000000"/>
            <v:line style="position:absolute" from="8417,4071" to="8417,4010" stroked="true" strokeweight=".177784pt" strokecolor="#000000"/>
            <v:line style="position:absolute" from="8919,4071" to="8919,4010" stroked="true" strokeweight=".177784pt" strokecolor="#000000"/>
            <v:line style="position:absolute" from="9425,4071" to="9425,4010" stroked="true" strokeweight=".177784pt" strokecolor="#000000"/>
            <v:line style="position:absolute" from="3884,3847" to="3987,3923" stroked="true" strokeweight=".181198pt" strokecolor="#ff0000"/>
            <v:line style="position:absolute" from="3991,3927" to="4098,3972" stroked="true" strokeweight=".182231pt" strokecolor="#ff0000"/>
            <v:line style="position:absolute" from="4102,3972" to="4213,4002" stroked="true" strokeweight=".182668pt" strokecolor="#ff0000"/>
            <v:line style="position:absolute" from="4216,4002" to="4323,4022" stroked="true" strokeweight=".182875pt" strokecolor="#ff0000"/>
            <v:line style="position:absolute" from="4327,4022" to="4434,4033" stroked="true" strokeweight=".182976pt" strokecolor="#ff0000"/>
            <v:line style="position:absolute" from="4438,4033" to="4545,4037" stroked="true" strokeweight=".183031pt" strokecolor="#ff0000"/>
            <v:line style="position:absolute" from="4549,4037" to="4652,4044" stroked="true" strokeweight=".183008pt" strokecolor="#ff0000"/>
            <v:line style="position:absolute" from="4656,4044" to="4767,4044" stroked="true" strokeweight=".183037pt" strokecolor="#ff0000"/>
            <v:line style="position:absolute" from="4770,4044" to="4874,4048" stroked="true" strokeweight=".18303pt" strokecolor="#ff0000"/>
            <v:line style="position:absolute" from="4878,4048" to="4988,4048" stroked="true" strokeweight=".183037pt" strokecolor="#ff0000"/>
            <v:line style="position:absolute" from="4992,4048" to="5099,4048" stroked="true" strokeweight=".183037pt" strokecolor="#ff0000"/>
            <v:line style="position:absolute" from="5103,4048" to="5207,4048" stroked="true" strokeweight=".183037pt" strokecolor="#ff0000"/>
            <v:line style="position:absolute" from="5210,4048" to="5321,4048" stroked="true" strokeweight=".183037pt" strokecolor="#ff0000"/>
            <v:line style="position:absolute" from="5325,4048" to="5428,4048" stroked="true" strokeweight=".183037pt" strokecolor="#ff0000"/>
            <v:line style="position:absolute" from="5432,4048" to="5543,4048" stroked="true" strokeweight=".183037pt" strokecolor="#ff0000"/>
            <v:line style="position:absolute" from="5546,4048" to="5654,4048" stroked="true" strokeweight=".183037pt" strokecolor="#ff0000"/>
            <v:line style="position:absolute" from="5657,4048" to="5761,4048" stroked="true" strokeweight=".183037pt" strokecolor="#ff0000"/>
            <v:line style="position:absolute" from="5764,4048" to="5871,4048" stroked="true" strokeweight=".183037pt" strokecolor="#ff0000"/>
            <v:line style="position:absolute" from="5875,4048" to="5982,4048" stroked="true" strokeweight=".183037pt" strokecolor="#ff0000"/>
            <v:line style="position:absolute" from="5986,4048" to="6097,4048" stroked="true" strokeweight=".183037pt" strokecolor="#ff0000"/>
            <v:line style="position:absolute" from="6100,4048" to="6208,4048" stroked="true" strokeweight=".183037pt" strokecolor="#ff0000"/>
            <v:line style="position:absolute" from="6211,4048" to="6319,4048" stroked="true" strokeweight=".183037pt" strokecolor="#ff0000"/>
            <v:line style="position:absolute" from="6322,4048" to="6426,4048" stroked="true" strokeweight=".183037pt" strokecolor="#ff0000"/>
            <v:line style="position:absolute" from="6429,4048" to="6536,4048" stroked="true" strokeweight=".183037pt" strokecolor="#ff0000"/>
            <v:line style="position:absolute" from="6540,4048" to="6651,4048" stroked="true" strokeweight=".183037pt" strokecolor="#ff0000"/>
            <v:line style="position:absolute" from="6655,4048" to="6762,4048" stroked="true" strokeweight=".183037pt" strokecolor="#ff0000"/>
            <v:line style="position:absolute" from="6766,4048" to="6873,4048" stroked="true" strokeweight=".183037pt" strokecolor="#ff0000"/>
            <v:line style="position:absolute" from="6876,4048" to="6980,4048" stroked="true" strokeweight=".183037pt" strokecolor="#ff0000"/>
            <v:line style="position:absolute" from="6984,4048" to="7090,4048" stroked="true" strokeweight=".183037pt" strokecolor="#ff0000"/>
            <v:line style="position:absolute" from="7094,4048" to="7205,4048" stroked="true" strokeweight=".183037pt" strokecolor="#ff0000"/>
            <v:line style="position:absolute" from="7209,4048" to="7316,4048" stroked="true" strokeweight=".183037pt" strokecolor="#ff0000"/>
            <v:line style="position:absolute" from="7320,4048" to="7427,4048" stroked="true" strokeweight=".183037pt" strokecolor="#ff0000"/>
            <v:line style="position:absolute" from="7431,4048" to="7534,4048" stroked="true" strokeweight=".183037pt" strokecolor="#ff0000"/>
            <v:line style="position:absolute" from="7538,4048" to="7645,4048" stroked="true" strokeweight=".183037pt" strokecolor="#ff0000"/>
            <v:line style="position:absolute" from="7648,4048" to="7759,4048" stroked="true" strokeweight=".183037pt" strokecolor="#ff0000"/>
            <v:line style="position:absolute" from="7763,4048" to="7870,4048" stroked="true" strokeweight=".183037pt" strokecolor="#ff0000"/>
            <v:line style="position:absolute" from="7874,4048" to="7981,4048" stroked="true" strokeweight=".183037pt" strokecolor="#ff0000"/>
            <v:line style="position:absolute" from="7985,4048" to="8088,4048" stroked="true" strokeweight=".183037pt" strokecolor="#ff0000"/>
            <v:line style="position:absolute" from="8092,4048" to="8199,4048" stroked="true" strokeweight=".183037pt" strokecolor="#ff0000"/>
            <v:line style="position:absolute" from="8202,4048" to="8313,4048" stroked="true" strokeweight=".183037pt" strokecolor="#ff0000"/>
            <v:line style="position:absolute" from="8317,4048" to="8424,4048" stroked="true" strokeweight=".183037pt" strokecolor="#ff0000"/>
            <v:line style="position:absolute" from="8428,4048" to="8535,4048" stroked="true" strokeweight=".183037pt" strokecolor="#ff0000"/>
            <v:line style="position:absolute" from="8539,4048" to="8646,4048" stroked="true" strokeweight=".183037pt" strokecolor="#ff0000"/>
            <v:line style="position:absolute" from="8649,4048" to="8753,4048" stroked="true" strokeweight=".183037pt" strokecolor="#ff0000"/>
            <v:line style="position:absolute" from="8756,4048" to="8867,4048" stroked="true" strokeweight=".183037pt" strokecolor="#ff0000"/>
            <v:line style="position:absolute" from="8871,4048" to="8975,4048" stroked="true" strokeweight=".183037pt" strokecolor="#ff0000"/>
            <v:line style="position:absolute" from="8978,4048" to="9089,4048" stroked="true" strokeweight=".183037pt" strokecolor="#ff0000"/>
            <v:line style="position:absolute" from="9093,4048" to="9196,4048" stroked="true" strokeweight=".183037pt" strokecolor="#ff0000"/>
            <v:line style="position:absolute" from="9200,4048" to="9311,4048" stroked="true" strokeweight=".183037pt" strokecolor="#ff0000"/>
            <v:line style="position:absolute" from="9314,4048" to="9422,4048" stroked="true" strokeweight=".183037pt" strokecolor="#ff0000"/>
            <v:line style="position:absolute" from="9425,331" to="9318,309" stroked="true" strokeweight=".182814pt" strokecolor="#ff00ff"/>
            <v:line style="position:absolute" from="9314,309" to="9203,301" stroked="true" strokeweight=".183011pt" strokecolor="#ff00ff"/>
            <v:line style="position:absolute" from="9200,301" to="9096,293" stroked="true" strokeweight=".183011pt" strokecolor="#ff00ff"/>
            <v:line style="position:absolute" from="9093,293" to="8982,293" stroked="true" strokeweight=".183037pt" strokecolor="#ff00ff"/>
            <v:line style="position:absolute" from="8978,293" to="8875,290" stroked="true" strokeweight=".18303pt" strokecolor="#ff00ff"/>
            <v:line style="position:absolute" from="8871,290" to="8760,290" stroked="true" strokeweight=".183037pt" strokecolor="#ff00ff"/>
            <v:line style="position:absolute" from="8756,290" to="8653,290" stroked="true" strokeweight=".183037pt" strokecolor="#ff00ff"/>
            <v:line style="position:absolute" from="8649,290" to="8542,290" stroked="true" strokeweight=".183037pt" strokecolor="#ff00ff"/>
            <v:line style="position:absolute" from="8539,290" to="8432,290" stroked="true" strokeweight=".183037pt" strokecolor="#ff00ff"/>
            <v:line style="position:absolute" from="8428,290" to="8321,290" stroked="true" strokeweight=".183037pt" strokecolor="#ff00ff"/>
            <v:line style="position:absolute" from="8317,290" to="8206,290" stroked="true" strokeweight=".183037pt" strokecolor="#ff00ff"/>
            <v:line style="position:absolute" from="8202,290" to="8095,290" stroked="true" strokeweight=".183037pt" strokecolor="#ff00ff"/>
            <v:line style="position:absolute" from="8092,290" to="7988,290" stroked="true" strokeweight=".183037pt" strokecolor="#ff00ff"/>
            <v:line style="position:absolute" from="7985,290" to="7877,290" stroked="true" strokeweight=".183037pt" strokecolor="#ff00ff"/>
            <v:line style="position:absolute" from="7874,290" to="7767,290" stroked="true" strokeweight=".183037pt" strokecolor="#ff00ff"/>
            <v:line style="position:absolute" from="7763,290" to="7652,290" stroked="true" strokeweight=".183037pt" strokecolor="#ff00ff"/>
            <v:line style="position:absolute" from="7648,290" to="7541,290" stroked="true" strokeweight=".183037pt" strokecolor="#ff00ff"/>
            <v:line style="position:absolute" from="7538,290" to="7434,290" stroked="true" strokeweight=".183037pt" strokecolor="#ff00ff"/>
            <v:line style="position:absolute" from="7431,290" to="7323,290" stroked="true" strokeweight=".183037pt" strokecolor="#ff00ff"/>
            <v:line style="position:absolute" from="7320,290" to="7212,290" stroked="true" strokeweight=".183037pt" strokecolor="#ff00ff"/>
            <v:line style="position:absolute" from="7209,290" to="7098,290" stroked="true" strokeweight=".183037pt" strokecolor="#ff00ff"/>
            <v:line style="position:absolute" from="7094,290" to="6987,290" stroked="true" strokeweight=".183037pt" strokecolor="#ff00ff"/>
            <v:line style="position:absolute" from="6984,290" to="6880,290" stroked="true" strokeweight=".183037pt" strokecolor="#ff00ff"/>
            <v:line style="position:absolute" from="6876,290" to="6769,290" stroked="true" strokeweight=".183037pt" strokecolor="#ff00ff"/>
            <v:line style="position:absolute" from="6766,290" to="6658,290" stroked="true" strokeweight=".183037pt" strokecolor="#ff00ff"/>
            <v:line style="position:absolute" from="6655,290" to="6544,290" stroked="true" strokeweight=".183037pt" strokecolor="#ff00ff"/>
            <v:line style="position:absolute" from="6540,290" to="6433,290" stroked="true" strokeweight=".183037pt" strokecolor="#ff00ff"/>
            <v:line style="position:absolute" from="6429,290" to="6326,290" stroked="true" strokeweight=".183037pt" strokecolor="#ff00ff"/>
            <v:line style="position:absolute" from="6322,290" to="6215,290" stroked="true" strokeweight=".183037pt" strokecolor="#ff00ff"/>
            <v:line style="position:absolute" from="6211,290" to="6104,290" stroked="true" strokeweight=".183037pt" strokecolor="#ff00ff"/>
            <v:line style="position:absolute" from="6100,290" to="5990,290" stroked="true" strokeweight=".183037pt" strokecolor="#ff00ff"/>
            <v:line style="position:absolute" from="5986,290" to="5879,290" stroked="true" strokeweight=".183037pt" strokecolor="#ff00ff"/>
            <v:line style="position:absolute" from="5875,290" to="5768,290" stroked="true" strokeweight=".183037pt" strokecolor="#ff00ff"/>
            <v:line style="position:absolute" from="5764,290" to="5661,290" stroked="true" strokeweight=".183037pt" strokecolor="#ff00ff"/>
            <v:line style="position:absolute" from="5657,290" to="5550,290" stroked="true" strokeweight=".183037pt" strokecolor="#ff00ff"/>
            <v:line style="position:absolute" from="5546,290" to="5435,290" stroked="true" strokeweight=".183037pt" strokecolor="#ff00ff"/>
            <v:line style="position:absolute" from="5432,290" to="5328,290" stroked="true" strokeweight=".183037pt" strokecolor="#ff00ff"/>
            <v:line style="position:absolute" from="5325,290" to="5214,290" stroked="true" strokeweight=".183037pt" strokecolor="#ff00ff"/>
            <v:line style="position:absolute" from="5210,290" to="5107,290" stroked="true" strokeweight=".183037pt" strokecolor="#ff00ff"/>
            <v:line style="position:absolute" from="5103,290" to="4996,290" stroked="true" strokeweight=".183037pt" strokecolor="#ff00ff"/>
            <v:line style="position:absolute" from="4992,290" to="4881,290" stroked="true" strokeweight=".183037pt" strokecolor="#ff00ff"/>
            <v:line style="position:absolute" from="4878,290" to="4774,293" stroked="true" strokeweight=".18303pt" strokecolor="#ff00ff"/>
            <v:line style="position:absolute" from="4770,293" to="4660,293" stroked="true" strokeweight=".183037pt" strokecolor="#ff00ff"/>
            <v:line style="position:absolute" from="4656,293" to="4553,301" stroked="true" strokeweight=".18301pt" strokecolor="#ff00ff"/>
            <v:line style="position:absolute" from="4549,301" to="4442,305" stroked="true" strokeweight=".18303pt" strokecolor="#ff00ff"/>
            <v:line style="position:absolute" from="4438,305" to="4331,316" stroked="true" strokeweight=".18298pt" strokecolor="#ff00ff"/>
            <v:line style="position:absolute" from="4327,316" to="4220,335" stroked="true" strokeweight=".182877pt" strokecolor="#ff00ff"/>
            <v:line style="position:absolute" from="4216,335" to="4106,366" stroked="true" strokeweight=".182668pt" strokecolor="#ff00ff"/>
            <v:line style="position:absolute" from="4102,366" to="3995,411" stroked="true" strokeweight=".182225pt" strokecolor="#ff00ff"/>
            <v:line style="position:absolute" from="3991,411" to="3888,487" stroked="true" strokeweight=".181202pt" strokecolor="#ff00ff"/>
            <w10:wrap type="topAndBottom"/>
          </v:group>
        </w:pict>
      </w:r>
    </w:p>
    <w:p>
      <w:pPr>
        <w:pStyle w:val="BodyText"/>
      </w:pPr>
    </w:p>
    <w:p>
      <w:pPr>
        <w:pStyle w:val="BodyText"/>
        <w:spacing w:before="8"/>
        <w:rPr>
          <w:sz w:val="30"/>
        </w:rPr>
      </w:pPr>
    </w:p>
    <w:p>
      <w:pPr>
        <w:spacing w:line="309" w:lineRule="auto" w:before="0"/>
        <w:ind w:left="4406" w:right="741" w:hanging="3555"/>
        <w:jc w:val="left"/>
        <w:rPr>
          <w:sz w:val="24"/>
        </w:rPr>
      </w:pPr>
      <w:r>
        <w:rPr>
          <w:sz w:val="20"/>
        </w:rPr>
        <w:t>Figura 15.3.1: Diagrama de distribución de especies de plata elaborado con el programa de MEDUSA (</w:t>
      </w:r>
      <w:r>
        <w:rPr>
          <w:sz w:val="24"/>
        </w:rPr>
        <w:t>MEDUSA</w:t>
      </w:r>
      <w:r>
        <w:rPr>
          <w:position w:val="8"/>
          <w:sz w:val="16"/>
        </w:rPr>
        <w:t>®, </w:t>
      </w:r>
      <w:r>
        <w:rPr>
          <w:sz w:val="24"/>
        </w:rPr>
        <w:t>2004)</w:t>
      </w:r>
    </w:p>
    <w:p>
      <w:pPr>
        <w:spacing w:after="0" w:line="309" w:lineRule="auto"/>
        <w:jc w:val="left"/>
        <w:rPr>
          <w:sz w:val="24"/>
        </w:rPr>
        <w:sectPr>
          <w:pgSz w:w="12240" w:h="15840"/>
          <w:pgMar w:header="0" w:footer="654" w:top="1080" w:bottom="840" w:left="1040" w:right="560"/>
        </w:sectPr>
      </w:pPr>
    </w:p>
    <w:p>
      <w:pPr>
        <w:pStyle w:val="BodyText"/>
        <w:rPr>
          <w:sz w:val="20"/>
        </w:rPr>
      </w:pPr>
    </w:p>
    <w:p>
      <w:pPr>
        <w:pStyle w:val="BodyText"/>
        <w:rPr>
          <w:sz w:val="20"/>
        </w:rPr>
      </w:pPr>
    </w:p>
    <w:p>
      <w:pPr>
        <w:pStyle w:val="BodyText"/>
        <w:rPr>
          <w:sz w:val="21"/>
        </w:rPr>
      </w:pPr>
    </w:p>
    <w:p>
      <w:pPr>
        <w:pStyle w:val="BodyText"/>
        <w:ind w:left="2768"/>
        <w:rPr>
          <w:sz w:val="20"/>
        </w:rPr>
      </w:pPr>
      <w:r>
        <w:rPr>
          <w:sz w:val="20"/>
        </w:rPr>
        <w:pict>
          <v:group style="width:250.5pt;height:172pt;mso-position-horizontal-relative:char;mso-position-vertical-relative:line" coordorigin="0,0" coordsize="5010,3440">
            <v:line style="position:absolute" from="2,2" to="2,3435" stroked="true" strokeweight=".160593pt" strokecolor="#000000"/>
            <v:line style="position:absolute" from="2,3438" to="5004,3438" stroked="true" strokeweight=".165312pt" strokecolor="#000000"/>
            <v:line style="position:absolute" from="2,3094" to="55,3094" stroked="true" strokeweight=".165312pt" strokecolor="#000000"/>
            <v:line style="position:absolute" from="2,2751" to="55,2751" stroked="true" strokeweight=".165312pt" strokecolor="#000000"/>
            <v:line style="position:absolute" from="2,2407" to="55,2407" stroked="true" strokeweight=".165312pt" strokecolor="#000000"/>
            <v:line style="position:absolute" from="2,2064" to="55,2064" stroked="true" strokeweight=".165312pt" strokecolor="#000000"/>
            <v:line style="position:absolute" from="2,1720" to="55,1720" stroked="true" strokeweight=".165312pt" strokecolor="#000000"/>
            <v:line style="position:absolute" from="2,1376" to="55,1376" stroked="true" strokeweight=".165312pt" strokecolor="#000000"/>
            <v:line style="position:absolute" from="2,1033" to="55,1033" stroked="true" strokeweight=".165312pt" strokecolor="#000000"/>
            <v:line style="position:absolute" from="2,689" to="55,689" stroked="true" strokeweight=".165312pt" strokecolor="#000000"/>
            <v:line style="position:absolute" from="2,346" to="55,346" stroked="true" strokeweight=".165312pt" strokecolor="#000000"/>
            <v:line style="position:absolute" from="2,2" to="55,2" stroked="true" strokeweight=".165312pt" strokecolor="#000000"/>
            <v:line style="position:absolute" from="2,3438" to="2,3383" stroked="true" strokeweight=".160593pt" strokecolor="#000000"/>
            <v:line style="position:absolute" from="456,3438" to="456,3383" stroked="true" strokeweight=".160593pt" strokecolor="#000000"/>
            <v:line style="position:absolute" from="910,3438" to="910,3383" stroked="true" strokeweight=".160593pt" strokecolor="#000000"/>
            <v:line style="position:absolute" from="1367,3438" to="1367,3383" stroked="true" strokeweight=".160593pt" strokecolor="#000000"/>
            <v:line style="position:absolute" from="1821,3438" to="1821,3383" stroked="true" strokeweight=".160593pt" strokecolor="#000000"/>
            <v:line style="position:absolute" from="2274,3438" to="2274,3383" stroked="true" strokeweight=".160593pt" strokecolor="#000000"/>
            <v:line style="position:absolute" from="2732,3438" to="2732,3383" stroked="true" strokeweight=".160593pt" strokecolor="#000000"/>
            <v:line style="position:absolute" from="3185,3438" to="3185,3383" stroked="true" strokeweight=".160593pt" strokecolor="#000000"/>
            <v:line style="position:absolute" from="3639,3438" to="3639,3383" stroked="true" strokeweight=".160593pt" strokecolor="#000000"/>
            <v:line style="position:absolute" from="4096,3438" to="4096,3383" stroked="true" strokeweight=".160593pt" strokecolor="#000000"/>
            <v:line style="position:absolute" from="4550,3438" to="4550,3383" stroked="true" strokeweight=".160593pt" strokecolor="#000000"/>
            <v:line style="position:absolute" from="5007,3438" to="5007,3383" stroked="true" strokeweight=".160593pt" strokecolor="#000000"/>
            <v:line style="position:absolute" from="2,112" to="95,88" stroked="true" strokeweight=".16502pt" strokecolor="#8000ff"/>
            <v:line style="position:absolute" from="99,88" to="196,74" stroked="true" strokeweight=".16522pt" strokecolor="#8000ff"/>
            <v:line style="position:absolute" from="199,74" to="299,64" stroked="true" strokeweight=".165261pt" strokecolor="#8000ff"/>
            <v:line style="position:absolute" from="302,64" to="399,60" stroked="true" strokeweight=".165306pt" strokecolor="#8000ff"/>
            <v:line style="position:absolute" from="402,60" to="499,57" stroked="true" strokeweight=".165307pt" strokecolor="#8000ff"/>
            <v:line style="position:absolute" from="502,57" to="599,57" stroked="true" strokeweight=".165312pt" strokecolor="#8000ff"/>
            <v:line style="position:absolute" from="603,57" to="696,54" stroked="true" strokeweight=".165306pt" strokecolor="#8000ff"/>
            <v:line style="position:absolute" from="699,54" to="799,54" stroked="true" strokeweight=".165312pt" strokecolor="#8000ff"/>
            <v:line style="position:absolute" from="803,54" to="896,54" stroked="true" strokeweight=".165312pt" strokecolor="#8000ff"/>
            <v:line style="position:absolute" from="900,54" to="1000,57" stroked="true" strokeweight=".165307pt" strokecolor="#8000ff"/>
            <v:line style="position:absolute" from="1003,57" to="1100,60" stroked="true" strokeweight=".165307pt" strokecolor="#8000ff"/>
            <v:line style="position:absolute" from="1103,60" to="1197,71" stroked="true" strokeweight=".165253pt" strokecolor="#8000ff"/>
            <v:line style="position:absolute" from="1200,71" to="1300,105" stroked="true" strokeweight=".164811pt" strokecolor="#8000ff"/>
            <v:line style="position:absolute" from="1303,105" to="1400,1998" stroked="true" strokeweight=".160606pt" strokecolor="#8000ff"/>
            <v:line style="position:absolute" from="1400,2002" to="1504,2912" stroked="true" strokeweight=".160654pt" strokecolor="#8000ff"/>
            <v:line style="position:absolute" from="1504,2916" to="1604,3246" stroked="true" strokeweight=".16099pt" strokecolor="#8000ff"/>
            <v:line style="position:absolute" from="1604,3249" to="1697,3366" stroked="true" strokeweight=".162437pt" strokecolor="#8000ff"/>
            <v:line style="position:absolute" from="1701,3369" to="1797,3414" stroked="true" strokeweight=".164483pt" strokecolor="#8000ff"/>
            <v:line style="position:absolute" from="1801,3414" to="1957,3438" stroked="true" strokeweight=".165205pt" strokecolor="#8000ff"/>
            <v:line style="position:absolute" from="5007,60" to="4910,60" stroked="true" strokeweight=".165312pt" strokecolor="#000080"/>
            <v:line style="position:absolute" from="4907,60" to="4807,60" stroked="true" strokeweight=".165312pt" strokecolor="#000080"/>
            <v:line style="position:absolute" from="4804,60" to="4710,60" stroked="true" strokeweight=".165312pt" strokecolor="#000080"/>
            <v:line style="position:absolute" from="4707,60" to="4607,60" stroked="true" strokeweight=".165312pt" strokecolor="#000080"/>
            <v:line style="position:absolute" from="4604,60" to="4510,60" stroked="true" strokeweight=".165312pt" strokecolor="#000080"/>
            <v:line style="position:absolute" from="4507,60" to="4407,60" stroked="true" strokeweight=".165312pt" strokecolor="#000080"/>
            <v:line style="position:absolute" from="4403,60" to="4310,60" stroked="true" strokeweight=".165312pt" strokecolor="#000080"/>
            <v:line style="position:absolute" from="4307,60" to="4210,60" stroked="true" strokeweight=".165312pt" strokecolor="#000080"/>
            <v:line style="position:absolute" from="4206,60" to="4110,60" stroked="true" strokeweight=".165312pt" strokecolor="#000080"/>
            <v:line style="position:absolute" from="4106,60" to="4010,60" stroked="true" strokeweight=".165312pt" strokecolor="#000080"/>
            <v:line style="position:absolute" from="4006,60" to="3906,60" stroked="true" strokeweight=".165312pt" strokecolor="#000080"/>
            <v:line style="position:absolute" from="3903,60" to="3806,60" stroked="true" strokeweight=".165312pt" strokecolor="#000080"/>
            <v:line style="position:absolute" from="3803,60" to="3709,60" stroked="true" strokeweight=".165312pt" strokecolor="#000080"/>
            <v:line style="position:absolute" from="3706,60" to="3609,60" stroked="true" strokeweight=".165312pt" strokecolor="#000080"/>
            <v:line style="position:absolute" from="3606,60" to="3509,60" stroked="true" strokeweight=".165312pt" strokecolor="#000080"/>
            <v:line style="position:absolute" from="3506,60" to="3405,60" stroked="true" strokeweight=".165312pt" strokecolor="#000080"/>
            <v:line style="position:absolute" from="3402,60" to="3305,60" stroked="true" strokeweight=".165312pt" strokecolor="#000080"/>
            <v:line style="position:absolute" from="3302,60" to="3209,60" stroked="true" strokeweight=".165312pt" strokecolor="#000080"/>
            <v:line style="position:absolute" from="3205,60" to="3109,60" stroked="true" strokeweight=".165312pt" strokecolor="#000080"/>
            <v:line style="position:absolute" from="3105,60" to="3008,60" stroked="true" strokeweight=".165312pt" strokecolor="#000080"/>
            <v:line style="position:absolute" from="3005,60" to="2905,60" stroked="true" strokeweight=".165312pt" strokecolor="#000080"/>
            <v:line style="position:absolute" from="2902,60" to="2805,60" stroked="true" strokeweight=".165312pt" strokecolor="#000080"/>
            <v:line style="position:absolute" from="2802,60" to="2708,60" stroked="true" strokeweight=".165312pt" strokecolor="#000080"/>
            <v:line style="position:absolute" from="2705,60" to="2608,60" stroked="true" strokeweight=".165312pt" strokecolor="#000080"/>
            <v:line style="position:absolute" from="2605,60" to="2508,60" stroked="true" strokeweight=".165312pt" strokecolor="#000080"/>
            <v:line style="position:absolute" from="2505,60" to="2405,60" stroked="true" strokeweight=".165312pt" strokecolor="#000080"/>
            <v:line style="position:absolute" from="2401,60" to="2304,60" stroked="true" strokeweight=".165312pt" strokecolor="#000080"/>
            <v:line style="position:absolute" from="2301,60" to="2208,60" stroked="true" strokeweight=".165312pt" strokecolor="#000080"/>
            <v:line style="position:absolute" from="2204,60" to="2108,60" stroked="true" strokeweight=".165312pt" strokecolor="#000080"/>
            <v:line style="position:absolute" from="2104,60" to="2007,64" stroked="true" strokeweight=".165306pt" strokecolor="#000080"/>
            <v:line style="position:absolute" from="2004,64" to="1904,71" stroked="true" strokeweight=".165289pt" strokecolor="#000080"/>
            <v:line style="position:absolute" from="1901,71" to="1804,88" stroked="true" strokeweight=".165167pt" strokecolor="#000080"/>
            <v:line style="position:absolute" from="1801,88" to="1704,133" stroked="true" strokeweight=".164485pt" strokecolor="#000080"/>
            <v:line style="position:absolute" from="1701,133" to="1607,249" stroked="true" strokeweight=".162438pt" strokecolor="#000080"/>
            <v:line style="position:absolute" from="1604,253" to="1504,590" stroked="true" strokeweight=".160975pt" strokecolor="#000080"/>
            <v:line style="position:absolute" from="1504,593" to="1400,1514" stroked="true" strokeweight=".160652pt" strokecolor="#000080"/>
            <v:line style="position:absolute" from="1400,1517" to="1303,3435" stroked="true" strokeweight=".160605pt" strokecolor="#000080"/>
          </v:group>
        </w:pict>
      </w:r>
      <w:r>
        <w:rPr>
          <w:sz w:val="20"/>
        </w:rPr>
      </w:r>
    </w:p>
    <w:p>
      <w:pPr>
        <w:pStyle w:val="BodyText"/>
        <w:rPr>
          <w:sz w:val="20"/>
        </w:rPr>
      </w:pPr>
    </w:p>
    <w:p>
      <w:pPr>
        <w:pStyle w:val="BodyText"/>
        <w:spacing w:before="5"/>
        <w:rPr>
          <w:sz w:val="22"/>
        </w:rPr>
      </w:pPr>
    </w:p>
    <w:p>
      <w:pPr>
        <w:spacing w:line="307" w:lineRule="auto" w:before="74"/>
        <w:ind w:left="3902" w:right="1005" w:hanging="2792"/>
        <w:jc w:val="left"/>
        <w:rPr>
          <w:sz w:val="20"/>
        </w:rPr>
      </w:pPr>
      <w:r>
        <w:rPr>
          <w:sz w:val="20"/>
        </w:rPr>
        <w:t>Figura 15.3.2: Diagrama de distribución de especies del mercurio.elaborado con el programa de MEDUSA, (</w:t>
      </w:r>
      <w:r>
        <w:rPr>
          <w:sz w:val="24"/>
        </w:rPr>
        <w:t>MEDUSA</w:t>
      </w:r>
      <w:r>
        <w:rPr>
          <w:position w:val="8"/>
          <w:sz w:val="16"/>
        </w:rPr>
        <w:t>®, </w:t>
      </w:r>
      <w:r>
        <w:rPr>
          <w:sz w:val="24"/>
        </w:rPr>
        <w:t>2004</w:t>
      </w:r>
      <w:r>
        <w:rPr>
          <w:sz w:val="20"/>
        </w:rPr>
        <w:t>).</w:t>
      </w:r>
    </w:p>
    <w:p>
      <w:pPr>
        <w:pStyle w:val="BodyText"/>
        <w:rPr>
          <w:sz w:val="26"/>
        </w:rPr>
      </w:pPr>
    </w:p>
    <w:p>
      <w:pPr>
        <w:pStyle w:val="BodyText"/>
        <w:spacing w:line="360" w:lineRule="auto" w:before="204"/>
        <w:ind w:left="662" w:right="572"/>
        <w:jc w:val="both"/>
      </w:pPr>
      <w:r>
        <w:rPr/>
        <w:t>Se planteó un tratamiento de residuos por medio de electrólisis para la recuperación de los</w:t>
      </w:r>
      <w:r>
        <w:rPr>
          <w:spacing w:val="-17"/>
        </w:rPr>
        <w:t> </w:t>
      </w:r>
      <w:r>
        <w:rPr/>
        <w:t>metales</w:t>
      </w:r>
      <w:r>
        <w:rPr>
          <w:spacing w:val="-20"/>
        </w:rPr>
        <w:t> </w:t>
      </w:r>
      <w:r>
        <w:rPr/>
        <w:t>utilizados</w:t>
      </w:r>
      <w:r>
        <w:rPr>
          <w:spacing w:val="-17"/>
        </w:rPr>
        <w:t> </w:t>
      </w:r>
      <w:r>
        <w:rPr/>
        <w:t>como</w:t>
      </w:r>
      <w:r>
        <w:rPr>
          <w:spacing w:val="-19"/>
        </w:rPr>
        <w:t> </w:t>
      </w:r>
      <w:r>
        <w:rPr/>
        <w:t>sales</w:t>
      </w:r>
      <w:r>
        <w:rPr>
          <w:spacing w:val="-20"/>
        </w:rPr>
        <w:t> </w:t>
      </w:r>
      <w:r>
        <w:rPr/>
        <w:t>en</w:t>
      </w:r>
      <w:r>
        <w:rPr>
          <w:spacing w:val="-19"/>
        </w:rPr>
        <w:t> </w:t>
      </w:r>
      <w:r>
        <w:rPr/>
        <w:t>la</w:t>
      </w:r>
      <w:r>
        <w:rPr>
          <w:spacing w:val="-19"/>
        </w:rPr>
        <w:t> </w:t>
      </w:r>
      <w:r>
        <w:rPr/>
        <w:t>determinación</w:t>
      </w:r>
      <w:r>
        <w:rPr>
          <w:spacing w:val="-18"/>
        </w:rPr>
        <w:t> </w:t>
      </w:r>
      <w:r>
        <w:rPr/>
        <w:t>de</w:t>
      </w:r>
      <w:r>
        <w:rPr>
          <w:spacing w:val="-19"/>
        </w:rPr>
        <w:t> </w:t>
      </w:r>
      <w:r>
        <w:rPr/>
        <w:t>la</w:t>
      </w:r>
      <w:r>
        <w:rPr>
          <w:spacing w:val="-14"/>
        </w:rPr>
        <w:t> </w:t>
      </w:r>
      <w:r>
        <w:rPr/>
        <w:t>demanda</w:t>
      </w:r>
      <w:r>
        <w:rPr>
          <w:spacing w:val="-21"/>
        </w:rPr>
        <w:t> </w:t>
      </w:r>
      <w:r>
        <w:rPr/>
        <w:t>química</w:t>
      </w:r>
      <w:r>
        <w:rPr>
          <w:spacing w:val="-17"/>
        </w:rPr>
        <w:t> </w:t>
      </w:r>
      <w:r>
        <w:rPr/>
        <w:t>de</w:t>
      </w:r>
      <w:r>
        <w:rPr>
          <w:spacing w:val="-19"/>
        </w:rPr>
        <w:t> </w:t>
      </w:r>
      <w:r>
        <w:rPr/>
        <w:t>oxígeno, con la finalidad de ser</w:t>
      </w:r>
      <w:r>
        <w:rPr>
          <w:spacing w:val="-12"/>
        </w:rPr>
        <w:t> </w:t>
      </w:r>
      <w:r>
        <w:rPr/>
        <w:t>reusados.</w:t>
      </w:r>
    </w:p>
    <w:p>
      <w:pPr>
        <w:pStyle w:val="BodyText"/>
      </w:pPr>
    </w:p>
    <w:p>
      <w:pPr>
        <w:pStyle w:val="BodyText"/>
        <w:spacing w:line="360" w:lineRule="auto" w:before="142"/>
        <w:ind w:left="662" w:right="567"/>
        <w:jc w:val="both"/>
      </w:pPr>
      <w:r>
        <w:rPr/>
        <w:t>Para la electrólisis que se realizó se utilizaron electrodos de titanio usados porque es un material</w:t>
      </w:r>
      <w:r>
        <w:rPr>
          <w:spacing w:val="-12"/>
        </w:rPr>
        <w:t> </w:t>
      </w:r>
      <w:r>
        <w:rPr/>
        <w:t>inerte,</w:t>
      </w:r>
      <w:r>
        <w:rPr>
          <w:spacing w:val="-13"/>
        </w:rPr>
        <w:t> </w:t>
      </w:r>
      <w:r>
        <w:rPr/>
        <w:t>excelente</w:t>
      </w:r>
      <w:r>
        <w:rPr>
          <w:spacing w:val="-10"/>
        </w:rPr>
        <w:t> </w:t>
      </w:r>
      <w:r>
        <w:rPr/>
        <w:t>reproducción</w:t>
      </w:r>
      <w:r>
        <w:rPr>
          <w:spacing w:val="-11"/>
        </w:rPr>
        <w:t> </w:t>
      </w:r>
      <w:r>
        <w:rPr/>
        <w:t>de</w:t>
      </w:r>
      <w:r>
        <w:rPr>
          <w:spacing w:val="-13"/>
        </w:rPr>
        <w:t> </w:t>
      </w:r>
      <w:r>
        <w:rPr/>
        <w:t>potencial,</w:t>
      </w:r>
      <w:r>
        <w:rPr>
          <w:spacing w:val="-11"/>
        </w:rPr>
        <w:t> </w:t>
      </w:r>
      <w:r>
        <w:rPr/>
        <w:t>entre</w:t>
      </w:r>
      <w:r>
        <w:rPr>
          <w:spacing w:val="-11"/>
        </w:rPr>
        <w:t> </w:t>
      </w:r>
      <w:r>
        <w:rPr/>
        <w:t>otras</w:t>
      </w:r>
      <w:r>
        <w:rPr>
          <w:spacing w:val="-12"/>
        </w:rPr>
        <w:t> </w:t>
      </w:r>
      <w:r>
        <w:rPr/>
        <w:t>razones.</w:t>
      </w:r>
      <w:r>
        <w:rPr>
          <w:spacing w:val="-13"/>
        </w:rPr>
        <w:t> </w:t>
      </w:r>
      <w:r>
        <w:rPr/>
        <w:t>A</w:t>
      </w:r>
      <w:r>
        <w:rPr>
          <w:spacing w:val="-5"/>
        </w:rPr>
        <w:t> </w:t>
      </w:r>
      <w:r>
        <w:rPr/>
        <w:t>la</w:t>
      </w:r>
      <w:r>
        <w:rPr>
          <w:spacing w:val="-11"/>
        </w:rPr>
        <w:t> </w:t>
      </w:r>
      <w:r>
        <w:rPr/>
        <w:t>solución</w:t>
      </w:r>
      <w:r>
        <w:rPr>
          <w:spacing w:val="-11"/>
        </w:rPr>
        <w:t> </w:t>
      </w:r>
      <w:r>
        <w:rPr/>
        <w:t>se le aplicó una corriente de 0.500 A, la cual solo duró alrededor de 5 minutos, parándose en ese momento el tratamiento, ya que la corriente bajaba hasta</w:t>
      </w:r>
      <w:r>
        <w:rPr>
          <w:spacing w:val="-20"/>
        </w:rPr>
        <w:t> </w:t>
      </w:r>
      <w:r>
        <w:rPr/>
        <w:t>cero.</w:t>
      </w:r>
    </w:p>
    <w:p>
      <w:pPr>
        <w:pStyle w:val="BodyText"/>
      </w:pPr>
    </w:p>
    <w:p>
      <w:pPr>
        <w:pStyle w:val="BodyText"/>
        <w:spacing w:line="360" w:lineRule="auto" w:before="142"/>
        <w:ind w:left="662" w:right="566"/>
        <w:jc w:val="both"/>
      </w:pPr>
      <w:r>
        <w:rPr/>
        <w:t>Una</w:t>
      </w:r>
      <w:r>
        <w:rPr>
          <w:spacing w:val="-8"/>
        </w:rPr>
        <w:t> </w:t>
      </w:r>
      <w:r>
        <w:rPr/>
        <w:t>vez</w:t>
      </w:r>
      <w:r>
        <w:rPr>
          <w:spacing w:val="-12"/>
        </w:rPr>
        <w:t> </w:t>
      </w:r>
      <w:r>
        <w:rPr/>
        <w:t>obtenidos</w:t>
      </w:r>
      <w:r>
        <w:rPr>
          <w:spacing w:val="-9"/>
        </w:rPr>
        <w:t> </w:t>
      </w:r>
      <w:r>
        <w:rPr/>
        <w:t>los</w:t>
      </w:r>
      <w:r>
        <w:rPr>
          <w:spacing w:val="-11"/>
        </w:rPr>
        <w:t> </w:t>
      </w:r>
      <w:r>
        <w:rPr/>
        <w:t>depósitos</w:t>
      </w:r>
      <w:r>
        <w:rPr>
          <w:spacing w:val="-9"/>
        </w:rPr>
        <w:t> </w:t>
      </w:r>
      <w:r>
        <w:rPr/>
        <w:t>de</w:t>
      </w:r>
      <w:r>
        <w:rPr>
          <w:spacing w:val="-8"/>
        </w:rPr>
        <w:t> </w:t>
      </w:r>
      <w:r>
        <w:rPr/>
        <w:t>la</w:t>
      </w:r>
      <w:r>
        <w:rPr>
          <w:spacing w:val="-11"/>
        </w:rPr>
        <w:t> </w:t>
      </w:r>
      <w:r>
        <w:rPr/>
        <w:t>electrólisis,</w:t>
      </w:r>
      <w:r>
        <w:rPr>
          <w:spacing w:val="-5"/>
        </w:rPr>
        <w:t> </w:t>
      </w:r>
      <w:r>
        <w:rPr/>
        <w:t>éstos</w:t>
      </w:r>
      <w:r>
        <w:rPr>
          <w:spacing w:val="-9"/>
        </w:rPr>
        <w:t> </w:t>
      </w:r>
      <w:r>
        <w:rPr/>
        <w:t>se</w:t>
      </w:r>
      <w:r>
        <w:rPr>
          <w:spacing w:val="-8"/>
        </w:rPr>
        <w:t> </w:t>
      </w:r>
      <w:r>
        <w:rPr/>
        <w:t>recuperaron</w:t>
      </w:r>
      <w:r>
        <w:rPr>
          <w:spacing w:val="-8"/>
        </w:rPr>
        <w:t> </w:t>
      </w:r>
      <w:r>
        <w:rPr/>
        <w:t>de</w:t>
      </w:r>
      <w:r>
        <w:rPr>
          <w:spacing w:val="-8"/>
        </w:rPr>
        <w:t> </w:t>
      </w:r>
      <w:r>
        <w:rPr/>
        <w:t>los</w:t>
      </w:r>
      <w:r>
        <w:rPr>
          <w:spacing w:val="-9"/>
        </w:rPr>
        <w:t> </w:t>
      </w:r>
      <w:r>
        <w:rPr/>
        <w:t>electrodos y del fondo del vaso para redisolverlos en ácido nítrico al 10%. </w:t>
      </w:r>
      <w:r>
        <w:rPr>
          <w:color w:val="FF0000"/>
        </w:rPr>
        <w:t>y eliminar impurezas, se evaporo todo el ácido recolectando de esta manera los</w:t>
      </w:r>
      <w:r>
        <w:rPr>
          <w:color w:val="FF0000"/>
          <w:spacing w:val="-30"/>
        </w:rPr>
        <w:t> </w:t>
      </w:r>
      <w:r>
        <w:rPr>
          <w:color w:val="FF0000"/>
        </w:rPr>
        <w:t>depósitos.</w:t>
      </w:r>
    </w:p>
    <w:p>
      <w:pPr>
        <w:pStyle w:val="BodyText"/>
      </w:pPr>
    </w:p>
    <w:p>
      <w:pPr>
        <w:pStyle w:val="BodyText"/>
        <w:spacing w:line="360" w:lineRule="auto" w:before="142"/>
        <w:ind w:left="662" w:right="566"/>
        <w:jc w:val="both"/>
      </w:pPr>
      <w:r>
        <w:rPr/>
        <w:t>Enseguida se realizaron experimentos de voltamperometría cíclica a los depósitos como se</w:t>
      </w:r>
      <w:r>
        <w:rPr>
          <w:spacing w:val="-7"/>
        </w:rPr>
        <w:t> </w:t>
      </w:r>
      <w:r>
        <w:rPr/>
        <w:t>menciona</w:t>
      </w:r>
      <w:r>
        <w:rPr>
          <w:spacing w:val="-7"/>
        </w:rPr>
        <w:t> </w:t>
      </w:r>
      <w:r>
        <w:rPr/>
        <w:t>en</w:t>
      </w:r>
      <w:r>
        <w:rPr>
          <w:spacing w:val="-5"/>
        </w:rPr>
        <w:t> </w:t>
      </w:r>
      <w:r>
        <w:rPr/>
        <w:t>el</w:t>
      </w:r>
      <w:r>
        <w:rPr>
          <w:spacing w:val="-8"/>
        </w:rPr>
        <w:t> </w:t>
      </w:r>
      <w:r>
        <w:rPr/>
        <w:t>apartado</w:t>
      </w:r>
      <w:r>
        <w:rPr>
          <w:spacing w:val="-7"/>
        </w:rPr>
        <w:t> </w:t>
      </w:r>
      <w:r>
        <w:rPr/>
        <w:t>de</w:t>
      </w:r>
      <w:r>
        <w:rPr>
          <w:spacing w:val="-9"/>
        </w:rPr>
        <w:t> </w:t>
      </w:r>
      <w:r>
        <w:rPr/>
        <w:t>metodología,</w:t>
      </w:r>
      <w:r>
        <w:rPr>
          <w:spacing w:val="-7"/>
        </w:rPr>
        <w:t> </w:t>
      </w:r>
      <w:r>
        <w:rPr/>
        <w:t>para</w:t>
      </w:r>
      <w:r>
        <w:rPr>
          <w:spacing w:val="-8"/>
        </w:rPr>
        <w:t> </w:t>
      </w:r>
      <w:r>
        <w:rPr/>
        <w:t>poder</w:t>
      </w:r>
      <w:r>
        <w:rPr>
          <w:spacing w:val="-6"/>
        </w:rPr>
        <w:t> </w:t>
      </w:r>
      <w:r>
        <w:rPr/>
        <w:t>realizar</w:t>
      </w:r>
      <w:r>
        <w:rPr>
          <w:spacing w:val="-6"/>
        </w:rPr>
        <w:t> </w:t>
      </w:r>
      <w:r>
        <w:rPr/>
        <w:t>una</w:t>
      </w:r>
      <w:r>
        <w:rPr>
          <w:spacing w:val="-5"/>
        </w:rPr>
        <w:t> </w:t>
      </w:r>
      <w:r>
        <w:rPr/>
        <w:t>comparación</w:t>
      </w:r>
      <w:r>
        <w:rPr>
          <w:spacing w:val="2"/>
        </w:rPr>
        <w:t> </w:t>
      </w:r>
      <w:r>
        <w:rPr/>
        <w:t>de</w:t>
      </w:r>
      <w:r>
        <w:rPr>
          <w:spacing w:val="-5"/>
        </w:rPr>
        <w:t> </w:t>
      </w:r>
      <w:r>
        <w:rPr/>
        <w:t>los voltamperogramas generados con los de las soluciones estándar de mercurio y plata antes</w:t>
      </w:r>
      <w:r>
        <w:rPr>
          <w:spacing w:val="-6"/>
        </w:rPr>
        <w:t> </w:t>
      </w:r>
      <w:r>
        <w:rPr/>
        <w:t>realizados.</w:t>
      </w:r>
    </w:p>
    <w:p>
      <w:pPr>
        <w:spacing w:after="0" w:line="360" w:lineRule="auto"/>
        <w:jc w:val="both"/>
        <w:sectPr>
          <w:pgSz w:w="12240" w:h="15840"/>
          <w:pgMar w:header="0" w:footer="654" w:top="1500" w:bottom="1060" w:left="1040" w:right="560"/>
        </w:sectPr>
      </w:pPr>
    </w:p>
    <w:p>
      <w:pPr>
        <w:pStyle w:val="BodyText"/>
        <w:spacing w:line="360" w:lineRule="auto" w:before="46"/>
        <w:ind w:left="662" w:right="286"/>
      </w:pPr>
      <w:r>
        <w:rPr/>
        <w:t>Todos los potenciales descritos en ésta sección son referidos al electrodo de Ag/AgCl como referencia.</w:t>
      </w:r>
    </w:p>
    <w:p>
      <w:pPr>
        <w:pStyle w:val="BodyText"/>
      </w:pPr>
    </w:p>
    <w:p>
      <w:pPr>
        <w:pStyle w:val="BodyText"/>
        <w:spacing w:line="360" w:lineRule="auto" w:before="142"/>
        <w:ind w:left="662" w:right="286"/>
      </w:pPr>
      <w:r>
        <w:rPr/>
        <w:t>Para el estándar de plata se realizó un barrido de potencial de -0.500 a 0.700 V; el estándar de mercurio se realizó en un intervalo de -0.450 a 0.650 V.</w:t>
      </w:r>
    </w:p>
    <w:p>
      <w:pPr>
        <w:pStyle w:val="BodyText"/>
      </w:pPr>
    </w:p>
    <w:p>
      <w:pPr>
        <w:pStyle w:val="BodyText"/>
        <w:spacing w:line="360" w:lineRule="auto" w:before="142"/>
        <w:ind w:left="662" w:right="663"/>
      </w:pPr>
      <w:r>
        <w:rPr/>
        <w:t>El barrido de potencial de los depósitos se realizó en un intervalo de -0.490 a 0.800 V, que es donde se pueden encontrar los metales en estudio (mercurio y plata).</w:t>
      </w:r>
    </w:p>
    <w:p>
      <w:pPr>
        <w:pStyle w:val="BodyText"/>
      </w:pPr>
    </w:p>
    <w:p>
      <w:pPr>
        <w:pStyle w:val="BodyText"/>
        <w:spacing w:before="142"/>
        <w:ind w:left="662" w:right="286"/>
      </w:pPr>
      <w:r>
        <w:rPr/>
        <w:t>Los voltamperogramas de los estándares de plata y mercurio se muestran en las figuras</w:t>
      </w:r>
    </w:p>
    <w:p>
      <w:pPr>
        <w:pStyle w:val="BodyText"/>
        <w:spacing w:line="360" w:lineRule="auto" w:before="139"/>
        <w:ind w:left="662" w:right="663"/>
      </w:pPr>
      <w:r>
        <w:rPr/>
        <w:t>15.3.3 y 15.3.2 los cuales sirvieron de referencia para comparar los voltamperogramas de los depósitos. En ellos podemos observar los picos característicos de cada metal.</w:t>
      </w:r>
    </w:p>
    <w:p>
      <w:pPr>
        <w:pStyle w:val="BodyText"/>
        <w:rPr>
          <w:sz w:val="20"/>
        </w:rPr>
      </w:pPr>
    </w:p>
    <w:p>
      <w:pPr>
        <w:pStyle w:val="BodyText"/>
        <w:rPr>
          <w:sz w:val="20"/>
        </w:rPr>
      </w:pPr>
    </w:p>
    <w:p>
      <w:pPr>
        <w:pStyle w:val="BodyText"/>
        <w:spacing w:before="5"/>
        <w:rPr>
          <w:sz w:val="28"/>
        </w:rPr>
      </w:pPr>
      <w:r>
        <w:rPr/>
        <w:pict>
          <v:group style="position:absolute;margin-left:97.800003pt;margin-top:18.300859pt;width:442.65pt;height:299.2pt;mso-position-horizontal-relative:page;mso-position-vertical-relative:paragraph;z-index:2680;mso-wrap-distance-left:0;mso-wrap-distance-right:0" coordorigin="1956,366" coordsize="8853,5984">
            <v:line style="position:absolute" from="5966,5820" to="5966,1214" stroked="true" strokeweight=".72pt" strokecolor="#858585"/>
            <v:line style="position:absolute" from="2592,4668" to="8955,4668" stroked="true" strokeweight=".72pt" strokecolor="#858585"/>
            <v:shape style="position:absolute;left:4138;top:3698;width:4548;height:2138" type="#_x0000_t75" stroked="false">
              <v:imagedata r:id="rId32" o:title=""/>
            </v:shape>
            <v:shape style="position:absolute;left:6576;top:3774;width:39;height:39" coordorigin="6576,3774" coordsize="39,39" path="m6595,3774l6576,3813,6615,3813,6595,3774xe" filled="true" fillcolor="#9bba58" stroked="false">
              <v:path arrowok="t"/>
              <v:fill type="solid"/>
            </v:shape>
            <v:shape style="position:absolute;left:6576;top:3774;width:39;height:39" coordorigin="6576,3774" coordsize="39,39" path="m6595,3774l6615,3813,6576,3813,6595,3774xe" filled="false" stroked="true" strokeweight=".72pt" strokecolor="#97b853">
              <v:path arrowok="t"/>
            </v:shape>
            <v:shape style="position:absolute;left:6595;top:3474;width:39;height:39" coordorigin="6595,3474" coordsize="39,39" path="m6615,3474l6595,3513,6634,3513,6615,3474xe" filled="true" fillcolor="#9bba58" stroked="false">
              <v:path arrowok="t"/>
              <v:fill type="solid"/>
            </v:shape>
            <v:shape style="position:absolute;left:6595;top:3474;width:39;height:39" coordorigin="6595,3474" coordsize="39,39" path="m6615,3474l6634,3513,6595,3513,6615,3474xe" filled="false" stroked="true" strokeweight=".72pt" strokecolor="#97b853">
              <v:path arrowok="t"/>
            </v:shape>
            <v:shape style="position:absolute;left:6615;top:3429;width:39;height:39" coordorigin="6615,3429" coordsize="39,39" path="m6634,3429l6615,3467,6653,3467,6634,3429xe" filled="true" fillcolor="#9bba58" stroked="false">
              <v:path arrowok="t"/>
              <v:fill type="solid"/>
            </v:shape>
            <v:shape style="position:absolute;left:6615;top:3429;width:39;height:39" coordorigin="6615,3429" coordsize="39,39" path="m6634,3429l6653,3467,6615,3467,6634,3429xe" filled="false" stroked="true" strokeweight=".72pt" strokecolor="#97b853">
              <v:path arrowok="t"/>
            </v:shape>
            <v:shape style="position:absolute;left:6636;top:3558;width:39;height:39" coordorigin="6636,3558" coordsize="39,39" path="m6655,3558l6636,3597,6675,3597,6655,3558xe" filled="true" fillcolor="#9bba58" stroked="false">
              <v:path arrowok="t"/>
              <v:fill type="solid"/>
            </v:shape>
            <v:shape style="position:absolute;left:6636;top:3558;width:39;height:39" coordorigin="6636,3558" coordsize="39,39" path="m6655,3558l6675,3597,6636,3597,6655,3558xe" filled="false" stroked="true" strokeweight=".72pt" strokecolor="#97b853">
              <v:path arrowok="t"/>
            </v:shape>
            <v:shape style="position:absolute;left:6655;top:3796;width:39;height:39" coordorigin="6655,3796" coordsize="39,39" path="m6675,3796l6655,3834,6694,3834,6675,3796xe" filled="true" fillcolor="#9bba58" stroked="false">
              <v:path arrowok="t"/>
              <v:fill type="solid"/>
            </v:shape>
            <v:shape style="position:absolute;left:6655;top:3796;width:39;height:39" coordorigin="6655,3796" coordsize="39,39" path="m6675,3796l6694,3834,6655,3834,6675,3796xe" filled="false" stroked="true" strokeweight=".72pt" strokecolor="#97b853">
              <v:path arrowok="t"/>
            </v:shape>
            <v:shape style="position:absolute;left:6677;top:4002;width:39;height:39" coordorigin="6677,4002" coordsize="39,39" path="m6696,4002l6677,4041,6716,4041,6696,4002xe" filled="true" fillcolor="#9bba58" stroked="false">
              <v:path arrowok="t"/>
              <v:fill type="solid"/>
            </v:shape>
            <v:shape style="position:absolute;left:6677;top:4002;width:39;height:39" coordorigin="6677,4002" coordsize="39,39" path="m6696,4002l6716,4041,6677,4041,6696,4002xe" filled="false" stroked="true" strokeweight=".72pt" strokecolor="#97b853">
              <v:path arrowok="t"/>
            </v:shape>
            <v:shape style="position:absolute;left:8055;top:3902;width:39;height:39" coordorigin="8055,3902" coordsize="39,39" path="m8074,3902l8055,3940,8093,3940,8074,3902xe" filled="true" fillcolor="#9bba58" stroked="false">
              <v:path arrowok="t"/>
              <v:fill type="solid"/>
            </v:shape>
            <v:shape style="position:absolute;left:8055;top:3902;width:39;height:39" coordorigin="8055,3902" coordsize="39,39" path="m8074,3902l8093,3940,8055,3940,8074,3902xe" filled="false" stroked="true" strokeweight=".72pt" strokecolor="#97b853">
              <v:path arrowok="t"/>
            </v:shape>
            <v:shape style="position:absolute;left:8074;top:3539;width:39;height:39" coordorigin="8074,3539" coordsize="39,39" path="m8093,3539l8074,3578,8112,3578,8093,3539xe" filled="true" fillcolor="#9bba58" stroked="false">
              <v:path arrowok="t"/>
              <v:fill type="solid"/>
            </v:shape>
            <v:shape style="position:absolute;left:8074;top:3539;width:39;height:39" coordorigin="8074,3539" coordsize="39,39" path="m8093,3539l8112,3578,8074,3578,8093,3539xe" filled="false" stroked="true" strokeweight=".72pt" strokecolor="#97b853">
              <v:path arrowok="t"/>
            </v:shape>
            <v:shape style="position:absolute;left:8093;top:3071;width:39;height:39" coordorigin="8093,3071" coordsize="39,39" path="m8112,3071l8093,3110,8132,3110,8112,3071xe" filled="true" fillcolor="#9bba58" stroked="false">
              <v:path arrowok="t"/>
              <v:fill type="solid"/>
            </v:shape>
            <v:shape style="position:absolute;left:8093;top:3071;width:39;height:39" coordorigin="8093,3071" coordsize="39,39" path="m8112,3071l8132,3110,8093,3110,8112,3071xe" filled="false" stroked="true" strokeweight=".72pt" strokecolor="#97b853">
              <v:path arrowok="t"/>
            </v:shape>
            <v:shape style="position:absolute;left:8115;top:2577;width:39;height:39" coordorigin="8115,2577" coordsize="39,39" path="m8134,2577l8115,2615,8153,2615,8134,2577xe" filled="true" fillcolor="#9bba58" stroked="false">
              <v:path arrowok="t"/>
              <v:fill type="solid"/>
            </v:shape>
            <v:shape style="position:absolute;left:8115;top:2577;width:39;height:39" coordorigin="8115,2577" coordsize="39,39" path="m8134,2577l8153,2615,8115,2615,8134,2577xe" filled="false" stroked="true" strokeweight=".72pt" strokecolor="#97b853">
              <v:path arrowok="t"/>
            </v:shape>
            <v:shape style="position:absolute;left:8134;top:2150;width:39;height:39" coordorigin="8134,2150" coordsize="39,39" path="m8153,2150l8134,2188,8172,2188,8153,2150xe" filled="true" fillcolor="#9bba58" stroked="false">
              <v:path arrowok="t"/>
              <v:fill type="solid"/>
            </v:shape>
            <v:shape style="position:absolute;left:8134;top:2150;width:39;height:39" coordorigin="8134,2150" coordsize="39,39" path="m8153,2150l8172,2188,8134,2188,8153,2150xe" filled="false" stroked="true" strokeweight=".72pt" strokecolor="#97b853">
              <v:path arrowok="t"/>
            </v:shape>
            <v:shape style="position:absolute;left:8155;top:1977;width:39;height:39" coordorigin="8155,1977" coordsize="39,39" path="m8175,1977l8155,2015,8194,2015,8175,1977xe" filled="true" fillcolor="#9bba58" stroked="false">
              <v:path arrowok="t"/>
              <v:fill type="solid"/>
            </v:shape>
            <v:shape style="position:absolute;left:8155;top:1977;width:39;height:39" coordorigin="8155,1977" coordsize="39,39" path="m8175,1977l8194,2015,8155,2015,8175,1977xe" filled="false" stroked="true" strokeweight=".72pt" strokecolor="#97b853">
              <v:path arrowok="t"/>
            </v:shape>
            <v:shape style="position:absolute;left:8175;top:2186;width:39;height:39" coordorigin="8175,2186" coordsize="39,39" path="m8194,2186l8175,2224,8213,2224,8194,2186xe" filled="true" fillcolor="#9bba58" stroked="false">
              <v:path arrowok="t"/>
              <v:fill type="solid"/>
            </v:shape>
            <v:shape style="position:absolute;left:8175;top:2186;width:39;height:39" coordorigin="8175,2186" coordsize="39,39" path="m8194,2186l8213,2224,8175,2224,8194,2186xe" filled="false" stroked="true" strokeweight=".72pt" strokecolor="#97b853">
              <v:path arrowok="t"/>
            </v:shape>
            <v:shape style="position:absolute;left:8196;top:2483;width:39;height:39" coordorigin="8196,2483" coordsize="39,39" path="m8215,2483l8196,2522,8235,2522,8215,2483xe" filled="true" fillcolor="#9bba58" stroked="false">
              <v:path arrowok="t"/>
              <v:fill type="solid"/>
            </v:shape>
            <v:shape style="position:absolute;left:8196;top:2483;width:39;height:39" coordorigin="8196,2483" coordsize="39,39" path="m8215,2483l8235,2522,8196,2522,8215,2483xe" filled="false" stroked="true" strokeweight=".72pt" strokecolor="#97b853">
              <v:path arrowok="t"/>
            </v:shape>
            <v:shape style="position:absolute;left:8215;top:2795;width:39;height:39" coordorigin="8215,2795" coordsize="39,39" path="m8235,2795l8215,2834,8254,2834,8235,2795xe" filled="true" fillcolor="#9bba58" stroked="false">
              <v:path arrowok="t"/>
              <v:fill type="solid"/>
            </v:shape>
            <v:shape style="position:absolute;left:8215;top:2795;width:39;height:39" coordorigin="8215,2795" coordsize="39,39" path="m8235,2795l8254,2834,8215,2834,8235,2795xe" filled="false" stroked="true" strokeweight=".72pt" strokecolor="#97b853">
              <v:path arrowok="t"/>
            </v:shape>
            <v:shape style="position:absolute;left:8237;top:3083;width:39;height:39" coordorigin="8237,3083" coordsize="39,39" path="m8256,3083l8237,3122,8276,3122,8256,3083xe" filled="true" fillcolor="#9bba58" stroked="false">
              <v:path arrowok="t"/>
              <v:fill type="solid"/>
            </v:shape>
            <v:shape style="position:absolute;left:8237;top:3083;width:39;height:39" coordorigin="8237,3083" coordsize="39,39" path="m8256,3083l8276,3122,8237,3122,8256,3083xe" filled="false" stroked="true" strokeweight=".72pt" strokecolor="#97b853">
              <v:path arrowok="t"/>
            </v:shape>
            <v:shape style="position:absolute;left:8256;top:3326;width:39;height:39" coordorigin="8256,3326" coordsize="39,39" path="m8275,3326l8256,3364,8295,3364,8275,3326xe" filled="true" fillcolor="#9bba58" stroked="false">
              <v:path arrowok="t"/>
              <v:fill type="solid"/>
            </v:shape>
            <v:shape style="position:absolute;left:8256;top:3326;width:39;height:39" coordorigin="8256,3326" coordsize="39,39" path="m8275,3326l8295,3364,8256,3364,8275,3326xe" filled="false" stroked="true" strokeweight=".72pt" strokecolor="#97b853">
              <v:path arrowok="t"/>
            </v:shape>
            <v:shape style="position:absolute;left:8275;top:3539;width:39;height:39" coordorigin="8275,3539" coordsize="39,39" path="m8295,3539l8275,3578,8314,3578,8295,3539xe" filled="true" fillcolor="#9bba58" stroked="false">
              <v:path arrowok="t"/>
              <v:fill type="solid"/>
            </v:shape>
            <v:shape style="position:absolute;left:8275;top:3539;width:39;height:39" coordorigin="8275,3539" coordsize="39,39" path="m8295,3539l8314,3578,8275,3578,8295,3539xe" filled="false" stroked="true" strokeweight=".72pt" strokecolor="#97b853">
              <v:path arrowok="t"/>
            </v:shape>
            <v:rect style="position:absolute;left:1964;top:374;width:8838;height:5969" filled="false" stroked="true" strokeweight=".75pt" strokecolor="#858585"/>
            <v:shape style="position:absolute;left:5101;top:575;width:1013;height:832" type="#_x0000_t202" filled="false" stroked="false">
              <v:textbox inset="0,0,0,0">
                <w:txbxContent>
                  <w:p>
                    <w:pPr>
                      <w:spacing w:line="390" w:lineRule="exact" w:before="0"/>
                      <w:ind w:left="15" w:right="-9" w:firstLine="0"/>
                      <w:jc w:val="left"/>
                      <w:rPr>
                        <w:b/>
                        <w:sz w:val="36"/>
                      </w:rPr>
                    </w:pPr>
                    <w:r>
                      <w:rPr>
                        <w:rFonts w:ascii="Calibri" w:hAnsi="Calibri"/>
                        <w:b/>
                        <w:sz w:val="36"/>
                      </w:rPr>
                      <w:t>Ag</w:t>
                    </w:r>
                    <w:r>
                      <w:rPr>
                        <w:rFonts w:ascii="Calibri" w:hAnsi="Calibri"/>
                        <w:b/>
                        <w:position w:val="11"/>
                        <w:sz w:val="24"/>
                      </w:rPr>
                      <w:t>o  </w:t>
                    </w:r>
                    <w:r>
                      <w:rPr>
                        <w:b/>
                        <w:sz w:val="36"/>
                      </w:rPr>
                      <w:t></w:t>
                    </w:r>
                  </w:p>
                  <w:p>
                    <w:pPr>
                      <w:spacing w:line="225" w:lineRule="exact" w:before="216"/>
                      <w:ind w:left="0" w:right="-9" w:firstLine="0"/>
                      <w:jc w:val="left"/>
                      <w:rPr>
                        <w:b/>
                        <w:sz w:val="20"/>
                      </w:rPr>
                    </w:pPr>
                    <w:r>
                      <w:rPr>
                        <w:b/>
                        <w:sz w:val="20"/>
                      </w:rPr>
                      <w:t>i(A)</w:t>
                    </w:r>
                  </w:p>
                </w:txbxContent>
              </v:textbox>
              <w10:wrap type="none"/>
            </v:shape>
            <v:shape style="position:absolute;left:6278;top:580;width:509;height:378" type="#_x0000_t202" filled="false" stroked="false">
              <v:textbox inset="0,0,0,0">
                <w:txbxContent>
                  <w:p>
                    <w:pPr>
                      <w:spacing w:line="378" w:lineRule="exact" w:before="0"/>
                      <w:ind w:left="0" w:right="-20" w:firstLine="0"/>
                      <w:jc w:val="left"/>
                      <w:rPr>
                        <w:rFonts w:ascii="Calibri"/>
                        <w:b/>
                        <w:sz w:val="24"/>
                      </w:rPr>
                    </w:pPr>
                    <w:r>
                      <w:rPr>
                        <w:rFonts w:ascii="Calibri"/>
                        <w:b/>
                        <w:sz w:val="36"/>
                      </w:rPr>
                      <w:t>Ag</w:t>
                    </w:r>
                    <w:r>
                      <w:rPr>
                        <w:rFonts w:ascii="Calibri"/>
                        <w:b/>
                        <w:position w:val="11"/>
                        <w:sz w:val="24"/>
                      </w:rPr>
                      <w:t>+</w:t>
                    </w:r>
                  </w:p>
                </w:txbxContent>
              </v:textbox>
              <w10:wrap type="none"/>
            </v:shape>
            <v:shape style="position:absolute;left:6948;top:580;width:700;height:378" type="#_x0000_t202" filled="false" stroked="false">
              <v:textbox inset="0,0,0,0">
                <w:txbxContent>
                  <w:p>
                    <w:pPr>
                      <w:spacing w:line="378" w:lineRule="exact" w:before="0"/>
                      <w:ind w:left="0" w:right="-18" w:firstLine="0"/>
                      <w:jc w:val="left"/>
                      <w:rPr>
                        <w:rFonts w:ascii="Calibri"/>
                        <w:b/>
                        <w:sz w:val="24"/>
                      </w:rPr>
                    </w:pPr>
                    <w:r>
                      <w:rPr>
                        <w:rFonts w:ascii="Calibri"/>
                        <w:b/>
                        <w:sz w:val="36"/>
                      </w:rPr>
                      <w:t>+ 1e</w:t>
                    </w:r>
                    <w:r>
                      <w:rPr>
                        <w:rFonts w:ascii="Calibri"/>
                        <w:b/>
                        <w:position w:val="11"/>
                        <w:sz w:val="24"/>
                      </w:rPr>
                      <w:t>-</w:t>
                    </w:r>
                  </w:p>
                </w:txbxContent>
              </v:textbox>
              <w10:wrap type="none"/>
            </v:shape>
            <v:shape style="position:absolute;left:5065;top:1699;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2.50E-04</w:t>
                    </w:r>
                  </w:p>
                </w:txbxContent>
              </v:textbox>
              <w10:wrap type="none"/>
            </v:shape>
            <v:shape style="position:absolute;left:9001;top:1955;width:1497;height:180" type="#_x0000_t202" filled="false" stroked="false">
              <v:textbox inset="0,0,0,0">
                <w:txbxContent>
                  <w:p>
                    <w:pPr>
                      <w:spacing w:line="180" w:lineRule="exact" w:before="0"/>
                      <w:ind w:left="0" w:right="-16" w:firstLine="0"/>
                      <w:jc w:val="left"/>
                      <w:rPr>
                        <w:b/>
                        <w:sz w:val="18"/>
                      </w:rPr>
                    </w:pPr>
                    <w:r>
                      <w:rPr>
                        <w:b/>
                        <w:color w:val="92D050"/>
                        <w:sz w:val="18"/>
                      </w:rPr>
                      <w:t>▲</w:t>
                    </w:r>
                    <w:r>
                      <w:rPr>
                        <w:b/>
                        <w:sz w:val="18"/>
                      </w:rPr>
                      <w:t>Estándar de</w:t>
                    </w:r>
                    <w:r>
                      <w:rPr>
                        <w:b/>
                        <w:spacing w:val="-6"/>
                        <w:sz w:val="18"/>
                      </w:rPr>
                      <w:t> </w:t>
                    </w:r>
                    <w:r>
                      <w:rPr>
                        <w:b/>
                        <w:sz w:val="18"/>
                      </w:rPr>
                      <w:t>Ag</w:t>
                    </w:r>
                  </w:p>
                </w:txbxContent>
              </v:textbox>
              <w10:wrap type="none"/>
            </v:shape>
            <v:shape style="position:absolute;left:5065;top:2505;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1.80E-04</w:t>
                    </w:r>
                  </w:p>
                </w:txbxContent>
              </v:textbox>
              <w10:wrap type="none"/>
            </v:shape>
            <v:shape style="position:absolute;left:5065;top:3310;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1.10E-04</w:t>
                    </w:r>
                  </w:p>
                </w:txbxContent>
              </v:textbox>
              <w10:wrap type="none"/>
            </v:shape>
            <v:shape style="position:absolute;left:5065;top:4116;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4.00E-05</w:t>
                    </w:r>
                  </w:p>
                </w:txbxContent>
              </v:textbox>
              <w10:wrap type="none"/>
            </v:shape>
            <v:shape style="position:absolute;left:2510;top:4837;width:165;height:200" type="#_x0000_t202" filled="false" stroked="false">
              <v:textbox inset="0,0,0,0">
                <w:txbxContent>
                  <w:p>
                    <w:pPr>
                      <w:spacing w:line="199" w:lineRule="exact" w:before="0"/>
                      <w:ind w:left="0" w:right="-18" w:firstLine="0"/>
                      <w:jc w:val="left"/>
                      <w:rPr>
                        <w:rFonts w:ascii="Calibri"/>
                        <w:sz w:val="20"/>
                      </w:rPr>
                    </w:pPr>
                    <w:r>
                      <w:rPr>
                        <w:rFonts w:ascii="Calibri"/>
                        <w:sz w:val="20"/>
                      </w:rPr>
                      <w:t>-1</w:t>
                    </w:r>
                  </w:p>
                </w:txbxContent>
              </v:textbox>
              <w10:wrap type="none"/>
            </v:shape>
            <v:shape style="position:absolute;left:3110;top:4837;width:1665;height:200" type="#_x0000_t202" filled="false" stroked="false">
              <v:textbox inset="0,0,0,0">
                <w:txbxContent>
                  <w:p>
                    <w:pPr>
                      <w:tabs>
                        <w:tab w:pos="674" w:val="left" w:leader="none"/>
                        <w:tab w:pos="1350" w:val="left" w:leader="none"/>
                      </w:tabs>
                      <w:spacing w:line="199" w:lineRule="exact" w:before="0"/>
                      <w:ind w:left="0" w:right="0" w:firstLine="0"/>
                      <w:jc w:val="left"/>
                      <w:rPr>
                        <w:rFonts w:ascii="Calibri"/>
                        <w:sz w:val="20"/>
                      </w:rPr>
                    </w:pPr>
                    <w:r>
                      <w:rPr>
                        <w:rFonts w:ascii="Calibri"/>
                        <w:sz w:val="20"/>
                      </w:rPr>
                      <w:t>-0.8</w:t>
                      <w:tab/>
                      <w:t>-0.6</w:t>
                      <w:tab/>
                      <w:t>-0.4</w:t>
                    </w:r>
                  </w:p>
                </w:txbxContent>
              </v:textbox>
              <w10:wrap type="none"/>
            </v:shape>
            <v:shape style="position:absolute;left:5004;top:4837;width:778;height:285" type="#_x0000_t202" filled="false" stroked="false">
              <v:textbox inset="0,0,0,0">
                <w:txbxContent>
                  <w:p>
                    <w:pPr>
                      <w:spacing w:line="285" w:lineRule="exact" w:before="0"/>
                      <w:ind w:left="0" w:right="-15" w:firstLine="0"/>
                      <w:jc w:val="left"/>
                      <w:rPr>
                        <w:rFonts w:ascii="Calibri"/>
                        <w:sz w:val="20"/>
                      </w:rPr>
                    </w:pPr>
                    <w:r>
                      <w:rPr>
                        <w:rFonts w:ascii="Calibri"/>
                        <w:spacing w:val="1"/>
                        <w:w w:val="99"/>
                        <w:sz w:val="20"/>
                      </w:rPr>
                      <w:t>-</w:t>
                    </w:r>
                    <w:r>
                      <w:rPr>
                        <w:rFonts w:ascii="Calibri"/>
                        <w:spacing w:val="-33"/>
                        <w:w w:val="99"/>
                        <w:sz w:val="20"/>
                      </w:rPr>
                      <w:t>3</w:t>
                    </w:r>
                    <w:r>
                      <w:rPr>
                        <w:rFonts w:ascii="Calibri"/>
                        <w:spacing w:val="-29"/>
                        <w:w w:val="99"/>
                        <w:position w:val="9"/>
                        <w:sz w:val="20"/>
                      </w:rPr>
                      <w:t>-</w:t>
                    </w:r>
                    <w:r>
                      <w:rPr>
                        <w:rFonts w:ascii="Calibri"/>
                        <w:spacing w:val="-21"/>
                        <w:w w:val="99"/>
                        <w:sz w:val="20"/>
                      </w:rPr>
                      <w:t>.</w:t>
                    </w:r>
                    <w:r>
                      <w:rPr>
                        <w:rFonts w:ascii="Calibri"/>
                        <w:spacing w:val="-81"/>
                        <w:w w:val="99"/>
                        <w:position w:val="9"/>
                        <w:sz w:val="20"/>
                      </w:rPr>
                      <w:t>0</w:t>
                    </w:r>
                    <w:r>
                      <w:rPr>
                        <w:rFonts w:ascii="Calibri"/>
                        <w:spacing w:val="-21"/>
                        <w:w w:val="99"/>
                        <w:sz w:val="20"/>
                      </w:rPr>
                      <w:t>0</w:t>
                    </w:r>
                    <w:r>
                      <w:rPr>
                        <w:rFonts w:ascii="Calibri"/>
                        <w:spacing w:val="-30"/>
                        <w:w w:val="99"/>
                        <w:position w:val="9"/>
                        <w:sz w:val="20"/>
                      </w:rPr>
                      <w:t>.</w:t>
                    </w:r>
                    <w:r>
                      <w:rPr>
                        <w:rFonts w:ascii="Calibri"/>
                        <w:spacing w:val="-72"/>
                        <w:w w:val="99"/>
                        <w:sz w:val="20"/>
                      </w:rPr>
                      <w:t>0</w:t>
                    </w:r>
                    <w:r>
                      <w:rPr>
                        <w:rFonts w:ascii="Calibri"/>
                        <w:spacing w:val="-30"/>
                        <w:w w:val="99"/>
                        <w:position w:val="9"/>
                        <w:sz w:val="20"/>
                      </w:rPr>
                      <w:t>2</w:t>
                    </w:r>
                    <w:r>
                      <w:rPr>
                        <w:rFonts w:ascii="Calibri"/>
                        <w:w w:val="99"/>
                        <w:sz w:val="20"/>
                      </w:rPr>
                      <w:t>E</w:t>
                    </w:r>
                    <w:r>
                      <w:rPr>
                        <w:rFonts w:ascii="Calibri"/>
                        <w:spacing w:val="1"/>
                        <w:w w:val="99"/>
                        <w:sz w:val="20"/>
                      </w:rPr>
                      <w:t>-</w:t>
                    </w:r>
                    <w:r>
                      <w:rPr>
                        <w:rFonts w:ascii="Calibri"/>
                        <w:w w:val="99"/>
                        <w:sz w:val="20"/>
                      </w:rPr>
                      <w:t>05</w:t>
                    </w:r>
                  </w:p>
                </w:txbxContent>
              </v:textbox>
              <w10:wrap type="none"/>
            </v:shape>
            <v:shape style="position:absolute;left:5917;top:483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6516;top:483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0.2</w:t>
                    </w:r>
                  </w:p>
                </w:txbxContent>
              </v:textbox>
              <w10:wrap type="none"/>
            </v:shape>
            <v:shape style="position:absolute;left:7191;top:483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0.4</w:t>
                    </w:r>
                  </w:p>
                </w:txbxContent>
              </v:textbox>
              <w10:wrap type="none"/>
            </v:shape>
            <v:shape style="position:absolute;left:7866;top:483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0.6</w:t>
                    </w:r>
                  </w:p>
                </w:txbxContent>
              </v:textbox>
              <w10:wrap type="none"/>
            </v:shape>
            <v:shape style="position:absolute;left:8542;top:4556;width:1951;height:480" type="#_x0000_t202" filled="false" stroked="false">
              <v:textbox inset="0,0,0,0">
                <w:txbxContent>
                  <w:p>
                    <w:pPr>
                      <w:spacing w:line="204" w:lineRule="exact" w:before="0"/>
                      <w:ind w:left="565" w:right="-15" w:firstLine="0"/>
                      <w:jc w:val="left"/>
                      <w:rPr>
                        <w:b/>
                        <w:sz w:val="20"/>
                      </w:rPr>
                    </w:pPr>
                    <w:r>
                      <w:rPr>
                        <w:b/>
                        <w:sz w:val="20"/>
                      </w:rPr>
                      <w:t>V (vs</w:t>
                    </w:r>
                    <w:r>
                      <w:rPr>
                        <w:b/>
                        <w:spacing w:val="-8"/>
                        <w:sz w:val="20"/>
                      </w:rPr>
                      <w:t> </w:t>
                    </w:r>
                    <w:r>
                      <w:rPr>
                        <w:b/>
                        <w:sz w:val="20"/>
                      </w:rPr>
                      <w:t>Ag/AgCl)</w:t>
                    </w:r>
                  </w:p>
                  <w:p>
                    <w:pPr>
                      <w:tabs>
                        <w:tab w:pos="751" w:val="left" w:leader="none"/>
                      </w:tabs>
                      <w:spacing w:line="240" w:lineRule="exact" w:before="36"/>
                      <w:ind w:left="0" w:right="0" w:firstLine="0"/>
                      <w:jc w:val="left"/>
                      <w:rPr>
                        <w:rFonts w:ascii="Calibri"/>
                        <w:sz w:val="20"/>
                      </w:rPr>
                    </w:pPr>
                    <w:r>
                      <w:rPr>
                        <w:rFonts w:ascii="Calibri"/>
                        <w:sz w:val="20"/>
                      </w:rPr>
                      <w:t>0.8</w:t>
                      <w:tab/>
                      <w:t>1</w:t>
                    </w:r>
                  </w:p>
                </w:txbxContent>
              </v:textbox>
              <w10:wrap type="none"/>
            </v:shape>
            <v:shape style="position:absolute;left:5004;top:5728;width:778;height:200" type="#_x0000_t202" filled="false" stroked="false">
              <v:textbox inset="0,0,0,0">
                <w:txbxContent>
                  <w:p>
                    <w:pPr>
                      <w:spacing w:line="199" w:lineRule="exact" w:before="0"/>
                      <w:ind w:left="0" w:right="-20" w:firstLine="0"/>
                      <w:jc w:val="left"/>
                      <w:rPr>
                        <w:rFonts w:ascii="Calibri"/>
                        <w:sz w:val="20"/>
                      </w:rPr>
                    </w:pPr>
                    <w:r>
                      <w:rPr>
                        <w:rFonts w:ascii="Calibri"/>
                        <w:sz w:val="20"/>
                      </w:rPr>
                      <w:t>-1.00E-04</w:t>
                    </w:r>
                  </w:p>
                </w:txbxContent>
              </v:textbox>
              <w10:wrap type="none"/>
            </v:shape>
            <w10:wrap type="topAndBottom"/>
          </v:group>
        </w:pict>
      </w:r>
    </w:p>
    <w:p>
      <w:pPr>
        <w:pStyle w:val="BodyText"/>
      </w:pPr>
    </w:p>
    <w:p>
      <w:pPr>
        <w:spacing w:before="205"/>
        <w:ind w:left="1563" w:right="1475" w:firstLine="0"/>
        <w:jc w:val="center"/>
        <w:rPr>
          <w:b/>
          <w:sz w:val="20"/>
        </w:rPr>
      </w:pPr>
      <w:r>
        <w:rPr>
          <w:b/>
          <w:sz w:val="20"/>
        </w:rPr>
        <w:t>Figura 15.3.3: Voltamperograma cíclico de la solución estándar de plata.</w:t>
      </w:r>
    </w:p>
    <w:p>
      <w:pPr>
        <w:spacing w:after="0"/>
        <w:jc w:val="center"/>
        <w:rPr>
          <w:sz w:val="20"/>
        </w:rPr>
        <w:sectPr>
          <w:pgSz w:w="12240" w:h="15840"/>
          <w:pgMar w:header="0" w:footer="654" w:top="1500" w:bottom="1060" w:left="1040" w:right="560"/>
        </w:sectPr>
      </w:pPr>
    </w:p>
    <w:p>
      <w:pPr>
        <w:pStyle w:val="BodyText"/>
        <w:spacing w:before="6"/>
        <w:rPr>
          <w:b/>
          <w:sz w:val="27"/>
        </w:rPr>
      </w:pPr>
    </w:p>
    <w:p>
      <w:pPr>
        <w:pStyle w:val="BodyText"/>
        <w:ind w:left="916"/>
        <w:rPr>
          <w:sz w:val="20"/>
        </w:rPr>
      </w:pPr>
      <w:r>
        <w:rPr>
          <w:sz w:val="20"/>
        </w:rPr>
        <w:pict>
          <v:group style="width:449.65pt;height:276.55pt;mso-position-horizontal-relative:char;mso-position-vertical-relative:line" coordorigin="0,0" coordsize="8993,5531">
            <v:line style="position:absolute" from="2381,5302" to="2381,848" stroked="true" strokeweight=".72pt" strokecolor="#858585"/>
            <v:line style="position:absolute" from="2318,5302" to="2381,5302" stroked="true" strokeweight=".72pt" strokecolor="#858585"/>
            <v:line style="position:absolute" from="2318,4647" to="2381,4647" stroked="true" strokeweight=".72pt" strokecolor="#858585"/>
            <v:line style="position:absolute" from="2318,3991" to="2381,3991" stroked="true" strokeweight=".72pt" strokecolor="#858585"/>
            <v:line style="position:absolute" from="2318,3336" to="2381,3336" stroked="true" strokeweight=".72pt" strokecolor="#858585"/>
            <v:line style="position:absolute" from="2318,2681" to="2381,2681" stroked="true" strokeweight=".72pt" strokecolor="#858585"/>
            <v:line style="position:absolute" from="2318,2028" to="2381,2028" stroked="true" strokeweight=".72pt" strokecolor="#858585"/>
            <v:line style="position:absolute" from="2318,1373" to="2381,1373" stroked="true" strokeweight=".72pt" strokecolor="#858585"/>
            <v:line style="position:absolute" from="617,3075" to="7426,3075" stroked="true" strokeweight=".72pt" strokecolor="#858585"/>
            <v:line style="position:absolute" from="617,3075" to="617,3140" stroked="true" strokeweight=".72pt" strokecolor="#858585"/>
            <v:line style="position:absolute" from="1877,3075" to="1877,3140" stroked="true" strokeweight=".72pt" strokecolor="#858585"/>
            <v:line style="position:absolute" from="3137,3075" to="3137,3140" stroked="true" strokeweight=".72pt" strokecolor="#858585"/>
            <v:line style="position:absolute" from="4399,3075" to="4399,3140" stroked="true" strokeweight=".72pt" strokecolor="#858585"/>
            <v:line style="position:absolute" from="5659,3075" to="5659,3140" stroked="true" strokeweight=".72pt" strokecolor="#858585"/>
            <v:line style="position:absolute" from="6922,3075" to="6922,3140" stroked="true" strokeweight=".72pt" strokecolor="#858585"/>
            <v:shape style="position:absolute;left:600;top:3430;width:2777;height:770" type="#_x0000_t75" stroked="false">
              <v:imagedata r:id="rId33" o:title=""/>
            </v:shape>
            <v:shape style="position:absolute;left:3360;top:3161;width:39;height:39" coordorigin="3360,3161" coordsize="39,39" path="m3379,3161l3360,3199,3399,3199,3379,3161xe" filled="true" fillcolor="#9bba58" stroked="false">
              <v:path arrowok="t"/>
              <v:fill type="solid"/>
            </v:shape>
            <v:shape style="position:absolute;left:3360;top:3161;width:39;height:39" coordorigin="3360,3161" coordsize="39,39" path="m3379,3161l3399,3199,3360,3199,3379,3161xe" filled="false" stroked="true" strokeweight=".72pt" strokecolor="#97b853">
              <v:path arrowok="t"/>
            </v:shape>
            <v:shape style="position:absolute;left:3392;top:2717;width:39;height:39" coordorigin="3392,2717" coordsize="39,39" path="m3411,2717l3392,2755,3430,2755,3411,2717xe" filled="true" fillcolor="#9bba58" stroked="false">
              <v:path arrowok="t"/>
              <v:fill type="solid"/>
            </v:shape>
            <v:shape style="position:absolute;left:3392;top:2717;width:39;height:39" coordorigin="3392,2717" coordsize="39,39" path="m3411,2717l3430,2755,3392,2755,3411,2717xe" filled="false" stroked="true" strokeweight=".72pt" strokecolor="#97b853">
              <v:path arrowok="t"/>
            </v:shape>
            <v:shape style="position:absolute;left:3423;top:2256;width:39;height:39" coordorigin="3423,2256" coordsize="39,39" path="m3442,2256l3423,2295,3461,2295,3442,2256xe" filled="true" fillcolor="#9bba58" stroked="false">
              <v:path arrowok="t"/>
              <v:fill type="solid"/>
            </v:shape>
            <v:shape style="position:absolute;left:3423;top:2256;width:39;height:39" coordorigin="3423,2256" coordsize="39,39" path="m3442,2256l3461,2295,3423,2295,3442,2256xe" filled="false" stroked="true" strokeweight=".72pt" strokecolor="#97b853">
              <v:path arrowok="t"/>
            </v:shape>
            <v:shape style="position:absolute;left:3444;top:1810;width:144;height:182" type="#_x0000_t75" stroked="false">
              <v:imagedata r:id="rId34" o:title=""/>
            </v:shape>
            <v:shape style="position:absolute;left:3051;top:1745;width:2383;height:1915" type="#_x0000_t75" stroked="false">
              <v:imagedata r:id="rId35" o:title=""/>
            </v:shape>
            <v:shape style="position:absolute;left:3029;top:3783;width:39;height:39" coordorigin="3029,3783" coordsize="39,39" path="m3048,3783l3029,3821,3068,3821,3048,3783xe" filled="true" fillcolor="#9bba58" stroked="false">
              <v:path arrowok="t"/>
              <v:fill type="solid"/>
            </v:shape>
            <v:shape style="position:absolute;left:3029;top:3783;width:39;height:39" coordorigin="3029,3783" coordsize="39,39" path="m3048,3783l3068,3821,3029,3821,3048,3783xe" filled="false" stroked="true" strokeweight=".72pt" strokecolor="#97b853">
              <v:path arrowok="t"/>
            </v:shape>
            <v:shape style="position:absolute;left:2998;top:3960;width:39;height:39" coordorigin="2998,3960" coordsize="39,39" path="m3017,3960l2998,3999,3036,3999,3017,3960xe" filled="true" fillcolor="#9bba58" stroked="false">
              <v:path arrowok="t"/>
              <v:fill type="solid"/>
            </v:shape>
            <v:shape style="position:absolute;left:2998;top:3960;width:39;height:39" coordorigin="2998,3960" coordsize="39,39" path="m3017,3960l3036,3999,2998,3999,3017,3960xe" filled="false" stroked="true" strokeweight=".72pt" strokecolor="#97b853">
              <v:path arrowok="t"/>
            </v:shape>
            <v:shape style="position:absolute;left:2967;top:4135;width:39;height:39" coordorigin="2967,4135" coordsize="39,39" path="m2986,4135l2967,4174,3005,4174,2986,4135xe" filled="true" fillcolor="#9bba58" stroked="false">
              <v:path arrowok="t"/>
              <v:fill type="solid"/>
            </v:shape>
            <v:shape style="position:absolute;left:2967;top:4135;width:39;height:39" coordorigin="2967,4135" coordsize="39,39" path="m2986,4135l3005,4174,2967,4174,2986,4135xe" filled="false" stroked="true" strokeweight=".72pt" strokecolor="#97b853">
              <v:path arrowok="t"/>
            </v:shape>
            <v:shape style="position:absolute;left:2938;top:4289;width:39;height:39" coordorigin="2938,4289" coordsize="39,39" path="m2957,4289l2938,4328,2976,4328,2957,4289xe" filled="true" fillcolor="#9bba58" stroked="false">
              <v:path arrowok="t"/>
              <v:fill type="solid"/>
            </v:shape>
            <v:shape style="position:absolute;left:2938;top:4289;width:39;height:39" coordorigin="2938,4289" coordsize="39,39" path="m2957,4289l2976,4328,2938,4328,2957,4289xe" filled="false" stroked="true" strokeweight=".72pt" strokecolor="#97b853">
              <v:path arrowok="t"/>
            </v:shape>
            <v:shape style="position:absolute;left:2907;top:4411;width:39;height:39" coordorigin="2907,4411" coordsize="39,39" path="m2926,4411l2907,4450,2945,4450,2926,4411xe" filled="true" fillcolor="#9bba58" stroked="false">
              <v:path arrowok="t"/>
              <v:fill type="solid"/>
            </v:shape>
            <v:shape style="position:absolute;left:2907;top:4411;width:39;height:39" coordorigin="2907,4411" coordsize="39,39" path="m2926,4411l2945,4450,2907,4450,2926,4411xe" filled="false" stroked="true" strokeweight=".72pt" strokecolor="#97b853">
              <v:path arrowok="t"/>
            </v:shape>
            <v:shape style="position:absolute;left:2355;top:4493;width:569;height:197" type="#_x0000_t75" stroked="false">
              <v:imagedata r:id="rId36" o:title=""/>
            </v:shape>
            <v:rect style="position:absolute;left:8;top:8;width:8838;height:5516" filled="false" stroked="true" strokeweight=".75pt" strokecolor="#858585"/>
            <v:rect style="position:absolute;left:7088;top:1304;width:1905;height:427" filled="true" fillcolor="#ffffff" stroked="false">
              <v:fill type="solid"/>
            </v:rect>
            <v:shape style="position:absolute;left:2876;top:208;width:2845;height:931" type="#_x0000_t202" filled="false" stroked="false">
              <v:textbox inset="0,0,0,0">
                <w:txbxContent>
                  <w:p>
                    <w:pPr>
                      <w:spacing w:line="390" w:lineRule="exact" w:before="0"/>
                      <w:ind w:left="255" w:right="0" w:firstLine="0"/>
                      <w:jc w:val="left"/>
                      <w:rPr>
                        <w:rFonts w:ascii="Calibri" w:hAnsi="Calibri"/>
                        <w:b/>
                        <w:sz w:val="24"/>
                      </w:rPr>
                    </w:pPr>
                    <w:r>
                      <w:rPr>
                        <w:rFonts w:ascii="Calibri" w:hAnsi="Calibri"/>
                        <w:b/>
                        <w:sz w:val="36"/>
                      </w:rPr>
                      <w:t>Hg</w:t>
                    </w:r>
                    <w:r>
                      <w:rPr>
                        <w:rFonts w:ascii="Calibri" w:hAnsi="Calibri"/>
                        <w:b/>
                        <w:position w:val="11"/>
                        <w:sz w:val="24"/>
                      </w:rPr>
                      <w:t>o </w:t>
                    </w:r>
                    <w:r>
                      <w:rPr>
                        <w:b/>
                        <w:sz w:val="36"/>
                      </w:rPr>
                      <w:t> </w:t>
                    </w:r>
                    <w:r>
                      <w:rPr>
                        <w:rFonts w:ascii="Calibri" w:hAnsi="Calibri"/>
                        <w:b/>
                        <w:sz w:val="36"/>
                      </w:rPr>
                      <w:t>Hg</w:t>
                    </w:r>
                    <w:r>
                      <w:rPr>
                        <w:rFonts w:ascii="Calibri" w:hAnsi="Calibri"/>
                        <w:b/>
                        <w:position w:val="11"/>
                        <w:sz w:val="24"/>
                      </w:rPr>
                      <w:t>2+   </w:t>
                    </w:r>
                    <w:r>
                      <w:rPr>
                        <w:rFonts w:ascii="Calibri" w:hAnsi="Calibri"/>
                        <w:b/>
                        <w:sz w:val="36"/>
                      </w:rPr>
                      <w:t>+ 2e</w:t>
                    </w:r>
                    <w:r>
                      <w:rPr>
                        <w:rFonts w:ascii="Calibri" w:hAnsi="Calibri"/>
                        <w:b/>
                        <w:position w:val="11"/>
                        <w:sz w:val="24"/>
                      </w:rPr>
                      <w:t>-</w:t>
                    </w:r>
                  </w:p>
                  <w:p>
                    <w:pPr>
                      <w:spacing w:line="225" w:lineRule="exact" w:before="314"/>
                      <w:ind w:left="0" w:right="0" w:firstLine="0"/>
                      <w:jc w:val="left"/>
                      <w:rPr>
                        <w:b/>
                        <w:sz w:val="20"/>
                      </w:rPr>
                    </w:pPr>
                    <w:r>
                      <w:rPr>
                        <w:b/>
                        <w:sz w:val="20"/>
                      </w:rPr>
                      <w:t>i(A)</w:t>
                    </w:r>
                  </w:p>
                </w:txbxContent>
              </v:textbox>
              <w10:wrap type="none"/>
            </v:shape>
            <v:shape style="position:absolute;left:1480;top:1280;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1.30E-04</w:t>
                    </w:r>
                  </w:p>
                </w:txbxContent>
              </v:textbox>
              <w10:wrap type="none"/>
            </v:shape>
            <v:shape style="position:absolute;left:7240;top:1400;width:1501;height:180" type="#_x0000_t202" filled="false" stroked="false">
              <v:textbox inset="0,0,0,0">
                <w:txbxContent>
                  <w:p>
                    <w:pPr>
                      <w:spacing w:line="180" w:lineRule="exact" w:before="0"/>
                      <w:ind w:left="0" w:right="-18" w:firstLine="0"/>
                      <w:jc w:val="left"/>
                      <w:rPr>
                        <w:b/>
                        <w:sz w:val="18"/>
                      </w:rPr>
                    </w:pPr>
                    <w:r>
                      <w:rPr>
                        <w:b/>
                        <w:color w:val="92D050"/>
                        <w:sz w:val="18"/>
                      </w:rPr>
                      <w:t>▲</w:t>
                    </w:r>
                    <w:r>
                      <w:rPr>
                        <w:b/>
                        <w:sz w:val="18"/>
                      </w:rPr>
                      <w:t>Estándar de Hg</w:t>
                    </w:r>
                  </w:p>
                </w:txbxContent>
              </v:textbox>
              <w10:wrap type="none"/>
            </v:shape>
            <v:shape style="position:absolute;left:1480;top:1935;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8.00E-05</w:t>
                    </w:r>
                  </w:p>
                </w:txbxContent>
              </v:textbox>
              <w10:wrap type="none"/>
            </v:shape>
            <v:shape style="position:absolute;left:1480;top:2590;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3.00E-05</w:t>
                    </w:r>
                  </w:p>
                </w:txbxContent>
              </v:textbox>
              <w10:wrap type="none"/>
            </v:shape>
            <v:shape style="position:absolute;left:408;top:3243;width:4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-0.35</w:t>
                    </w:r>
                  </w:p>
                </w:txbxContent>
              </v:textbox>
              <w10:wrap type="none"/>
            </v:shape>
            <v:shape style="position:absolute;left:1419;top:3243;width:778;height:201" type="#_x0000_t202" filled="false" stroked="false">
              <v:textbox inset="0,0,0,0">
                <w:txbxContent>
                  <w:p>
                    <w:pPr>
                      <w:spacing w:line="201" w:lineRule="exact" w:before="0"/>
                      <w:ind w:left="0" w:right="-9" w:firstLine="0"/>
                      <w:jc w:val="left"/>
                      <w:rPr>
                        <w:rFonts w:ascii="Calibri"/>
                        <w:sz w:val="20"/>
                      </w:rPr>
                    </w:pPr>
                    <w:r>
                      <w:rPr>
                        <w:rFonts w:ascii="Calibri"/>
                        <w:spacing w:val="-25"/>
                        <w:sz w:val="20"/>
                      </w:rPr>
                      <w:t>-2.0-00E.-105</w:t>
                    </w:r>
                  </w:p>
                </w:txbxContent>
              </v:textbox>
              <w10:wrap type="none"/>
            </v:shape>
            <v:shape style="position:absolute;left:2962;top:3243;width:356;height:200" type="#_x0000_t202" filled="false" stroked="false">
              <v:textbox inset="0,0,0,0">
                <w:txbxContent>
                  <w:p>
                    <w:pPr>
                      <w:spacing w:line="199" w:lineRule="exact" w:before="0"/>
                      <w:ind w:left="0" w:right="-19" w:firstLine="0"/>
                      <w:jc w:val="left"/>
                      <w:rPr>
                        <w:rFonts w:ascii="Calibri"/>
                        <w:sz w:val="20"/>
                      </w:rPr>
                    </w:pPr>
                    <w:r>
                      <w:rPr>
                        <w:rFonts w:ascii="Calibri"/>
                        <w:sz w:val="20"/>
                      </w:rPr>
                      <w:t>0.15</w:t>
                    </w:r>
                  </w:p>
                </w:txbxContent>
              </v:textbox>
              <w10:wrap type="none"/>
            </v:shape>
            <v:shape style="position:absolute;left:4273;top:324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0.4</w:t>
                    </w:r>
                  </w:p>
                </w:txbxContent>
              </v:textbox>
              <w10:wrap type="none"/>
            </v:shape>
            <v:shape style="position:absolute;left:5484;top:3243;width:356;height:200" type="#_x0000_t202" filled="false" stroked="false">
              <v:textbox inset="0,0,0,0">
                <w:txbxContent>
                  <w:p>
                    <w:pPr>
                      <w:spacing w:line="199" w:lineRule="exact" w:before="0"/>
                      <w:ind w:left="0" w:right="-19" w:firstLine="0"/>
                      <w:jc w:val="left"/>
                      <w:rPr>
                        <w:rFonts w:ascii="Calibri"/>
                        <w:sz w:val="20"/>
                      </w:rPr>
                    </w:pPr>
                    <w:r>
                      <w:rPr>
                        <w:rFonts w:ascii="Calibri"/>
                        <w:sz w:val="20"/>
                      </w:rPr>
                      <w:t>0.65</w:t>
                    </w:r>
                  </w:p>
                </w:txbxContent>
              </v:textbox>
              <w10:wrap type="none"/>
            </v:shape>
            <v:shape style="position:absolute;left:6795;top:324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0.9</w:t>
                    </w:r>
                  </w:p>
                </w:txbxContent>
              </v:textbox>
              <w10:wrap type="none"/>
            </v:shape>
            <v:shape style="position:absolute;left:7257;top:3625;width:1386;height:200" type="#_x0000_t202" filled="false" stroked="false">
              <v:textbox inset="0,0,0,0">
                <w:txbxContent>
                  <w:p>
                    <w:pPr>
                      <w:spacing w:line="199" w:lineRule="exact" w:before="0"/>
                      <w:ind w:left="0" w:right="-16" w:firstLine="0"/>
                      <w:jc w:val="left"/>
                      <w:rPr>
                        <w:b/>
                        <w:sz w:val="20"/>
                      </w:rPr>
                    </w:pPr>
                    <w:r>
                      <w:rPr>
                        <w:b/>
                        <w:sz w:val="20"/>
                      </w:rPr>
                      <w:t>V (vs</w:t>
                    </w:r>
                    <w:r>
                      <w:rPr>
                        <w:b/>
                        <w:spacing w:val="-7"/>
                        <w:sz w:val="20"/>
                      </w:rPr>
                      <w:t> </w:t>
                    </w:r>
                    <w:r>
                      <w:rPr>
                        <w:b/>
                        <w:sz w:val="20"/>
                      </w:rPr>
                      <w:t>Ag/AgCl)</w:t>
                    </w:r>
                  </w:p>
                </w:txbxContent>
              </v:textbox>
              <w10:wrap type="none"/>
            </v:shape>
            <v:shape style="position:absolute;left:1419;top:3900;width:778;height:200" type="#_x0000_t202" filled="false" stroked="false">
              <v:textbox inset="0,0,0,0">
                <w:txbxContent>
                  <w:p>
                    <w:pPr>
                      <w:spacing w:line="199" w:lineRule="exact" w:before="0"/>
                      <w:ind w:left="0" w:right="-20" w:firstLine="0"/>
                      <w:jc w:val="left"/>
                      <w:rPr>
                        <w:rFonts w:ascii="Calibri"/>
                        <w:sz w:val="20"/>
                      </w:rPr>
                    </w:pPr>
                    <w:r>
                      <w:rPr>
                        <w:rFonts w:ascii="Calibri"/>
                        <w:sz w:val="20"/>
                      </w:rPr>
                      <w:t>-7.00E-05</w:t>
                    </w:r>
                  </w:p>
                </w:txbxContent>
              </v:textbox>
              <w10:wrap type="none"/>
            </v:shape>
            <v:shape style="position:absolute;left:1419;top:4555;width:778;height:200" type="#_x0000_t202" filled="false" stroked="false">
              <v:textbox inset="0,0,0,0">
                <w:txbxContent>
                  <w:p>
                    <w:pPr>
                      <w:spacing w:line="199" w:lineRule="exact" w:before="0"/>
                      <w:ind w:left="0" w:right="-20" w:firstLine="0"/>
                      <w:jc w:val="left"/>
                      <w:rPr>
                        <w:rFonts w:ascii="Calibri"/>
                        <w:sz w:val="20"/>
                      </w:rPr>
                    </w:pPr>
                    <w:r>
                      <w:rPr>
                        <w:rFonts w:ascii="Calibri"/>
                        <w:sz w:val="20"/>
                      </w:rPr>
                      <w:t>-1.20E-04</w:t>
                    </w:r>
                  </w:p>
                </w:txbxContent>
              </v:textbox>
              <w10:wrap type="none"/>
            </v:shape>
            <v:shape style="position:absolute;left:1419;top:5210;width:778;height:200" type="#_x0000_t202" filled="false" stroked="false">
              <v:textbox inset="0,0,0,0">
                <w:txbxContent>
                  <w:p>
                    <w:pPr>
                      <w:spacing w:line="199" w:lineRule="exact" w:before="0"/>
                      <w:ind w:left="0" w:right="-20" w:firstLine="0"/>
                      <w:jc w:val="left"/>
                      <w:rPr>
                        <w:rFonts w:ascii="Calibri"/>
                        <w:sz w:val="20"/>
                      </w:rPr>
                    </w:pPr>
                    <w:r>
                      <w:rPr>
                        <w:rFonts w:ascii="Calibri"/>
                        <w:sz w:val="20"/>
                      </w:rPr>
                      <w:t>-1.70E-04</w:t>
                    </w:r>
                  </w:p>
                </w:txbxContent>
              </v:textbox>
              <w10:wrap type="none"/>
            </v:shape>
          </v:group>
        </w:pict>
      </w:r>
      <w:r>
        <w:rPr>
          <w:sz w:val="20"/>
        </w:rPr>
      </w:r>
    </w:p>
    <w:p>
      <w:pPr>
        <w:pStyle w:val="BodyText"/>
        <w:rPr>
          <w:b/>
          <w:sz w:val="20"/>
        </w:rPr>
      </w:pPr>
    </w:p>
    <w:p>
      <w:pPr>
        <w:pStyle w:val="BodyText"/>
        <w:spacing w:before="1"/>
        <w:rPr>
          <w:b/>
          <w:sz w:val="16"/>
        </w:rPr>
      </w:pPr>
    </w:p>
    <w:p>
      <w:pPr>
        <w:spacing w:before="74"/>
        <w:ind w:left="1933" w:right="286" w:firstLine="0"/>
        <w:jc w:val="left"/>
        <w:rPr>
          <w:b/>
          <w:sz w:val="20"/>
        </w:rPr>
      </w:pPr>
      <w:r>
        <w:rPr>
          <w:b/>
          <w:sz w:val="20"/>
        </w:rPr>
        <w:t>Figura 15.3.4: Voltamperograma cíclico de una solución de mercurio (II).</w:t>
      </w:r>
    </w:p>
    <w:p>
      <w:pPr>
        <w:pStyle w:val="BodyText"/>
        <w:rPr>
          <w:b/>
          <w:sz w:val="20"/>
        </w:rPr>
      </w:pPr>
    </w:p>
    <w:p>
      <w:pPr>
        <w:pStyle w:val="BodyText"/>
        <w:rPr>
          <w:b/>
          <w:sz w:val="20"/>
        </w:rPr>
      </w:pPr>
    </w:p>
    <w:p>
      <w:pPr>
        <w:pStyle w:val="BodyText"/>
        <w:rPr>
          <w:b/>
          <w:sz w:val="20"/>
        </w:rPr>
      </w:pPr>
    </w:p>
    <w:p>
      <w:pPr>
        <w:pStyle w:val="BodyText"/>
        <w:spacing w:before="2"/>
        <w:rPr>
          <w:b/>
          <w:sz w:val="19"/>
        </w:rPr>
      </w:pPr>
    </w:p>
    <w:p>
      <w:pPr>
        <w:pStyle w:val="BodyText"/>
        <w:spacing w:line="360" w:lineRule="auto" w:before="1"/>
        <w:ind w:left="662" w:right="566"/>
        <w:jc w:val="both"/>
      </w:pPr>
      <w:r>
        <w:rPr/>
        <w:t>La figura 15.3.5 muestra todas las soluciones los estándares, el medio electrolítico, la muestra residual sin tratamiento electrolítico y los depósitos obtenidos de la electrólisis. En</w:t>
      </w:r>
      <w:r>
        <w:rPr>
          <w:spacing w:val="-5"/>
        </w:rPr>
        <w:t> </w:t>
      </w:r>
      <w:r>
        <w:rPr/>
        <w:t>la</w:t>
      </w:r>
      <w:r>
        <w:rPr>
          <w:spacing w:val="-7"/>
        </w:rPr>
        <w:t> </w:t>
      </w:r>
      <w:r>
        <w:rPr/>
        <w:t>figura</w:t>
      </w:r>
      <w:r>
        <w:rPr>
          <w:spacing w:val="-4"/>
        </w:rPr>
        <w:t> </w:t>
      </w:r>
      <w:r>
        <w:rPr/>
        <w:t>15.3.6</w:t>
      </w:r>
      <w:r>
        <w:rPr>
          <w:spacing w:val="-4"/>
        </w:rPr>
        <w:t> </w:t>
      </w:r>
      <w:r>
        <w:rPr/>
        <w:t>se</w:t>
      </w:r>
      <w:r>
        <w:rPr>
          <w:spacing w:val="-7"/>
        </w:rPr>
        <w:t> </w:t>
      </w:r>
      <w:r>
        <w:rPr/>
        <w:t>observan</w:t>
      </w:r>
      <w:r>
        <w:rPr>
          <w:spacing w:val="-3"/>
        </w:rPr>
        <w:t> </w:t>
      </w:r>
      <w:r>
        <w:rPr/>
        <w:t>los</w:t>
      </w:r>
      <w:r>
        <w:rPr>
          <w:spacing w:val="-5"/>
        </w:rPr>
        <w:t> </w:t>
      </w:r>
      <w:r>
        <w:rPr/>
        <w:t>voltamperogramas</w:t>
      </w:r>
      <w:r>
        <w:rPr>
          <w:spacing w:val="-5"/>
        </w:rPr>
        <w:t> </w:t>
      </w:r>
      <w:r>
        <w:rPr/>
        <w:t>de</w:t>
      </w:r>
      <w:r>
        <w:rPr>
          <w:spacing w:val="-5"/>
        </w:rPr>
        <w:t> </w:t>
      </w:r>
      <w:r>
        <w:rPr/>
        <w:t>los</w:t>
      </w:r>
      <w:r>
        <w:rPr>
          <w:spacing w:val="-5"/>
        </w:rPr>
        <w:t> </w:t>
      </w:r>
      <w:r>
        <w:rPr/>
        <w:t>depósitos</w:t>
      </w:r>
      <w:r>
        <w:rPr>
          <w:spacing w:val="-5"/>
        </w:rPr>
        <w:t> </w:t>
      </w:r>
      <w:r>
        <w:rPr/>
        <w:t>obtenidos,</w:t>
      </w:r>
      <w:r>
        <w:rPr>
          <w:spacing w:val="-2"/>
        </w:rPr>
        <w:t> </w:t>
      </w:r>
      <w:r>
        <w:rPr/>
        <w:t>en</w:t>
      </w:r>
      <w:r>
        <w:rPr>
          <w:spacing w:val="-5"/>
        </w:rPr>
        <w:t> </w:t>
      </w:r>
      <w:r>
        <w:rPr/>
        <w:t>los cuales se observan los picos característicos de oxidación de la plata, mientras que en la figura 15.3.7 se muestra el voltamperograma de la solución de residuos sin</w:t>
      </w:r>
      <w:r>
        <w:rPr>
          <w:spacing w:val="-19"/>
        </w:rPr>
        <w:t> </w:t>
      </w:r>
      <w:r>
        <w:rPr/>
        <w:t>tratamiento.</w:t>
      </w:r>
    </w:p>
    <w:p>
      <w:pPr>
        <w:spacing w:after="0" w:line="360" w:lineRule="auto"/>
        <w:jc w:val="both"/>
        <w:sectPr>
          <w:pgSz w:w="12240" w:h="15840"/>
          <w:pgMar w:header="0" w:footer="654" w:top="1500" w:bottom="1060" w:left="1040" w:right="560"/>
        </w:sectPr>
      </w:pPr>
    </w:p>
    <w:p>
      <w:pPr>
        <w:pStyle w:val="BodyText"/>
        <w:rPr>
          <w:sz w:val="20"/>
        </w:rPr>
      </w:pPr>
      <w:r>
        <w:rPr/>
        <w:pict>
          <v:shape style="position:absolute;margin-left:147.719238pt;margin-top:88.937752pt;width:13.3pt;height:23.5pt;mso-position-horizontal-relative:page;mso-position-vertical-relative:page;z-index:3856" type="#_x0000_t202" filled="false" stroked="false">
            <v:textbox inset="0,0,0,0" style="layout-flow:vertical;mso-layout-flow-alt:bottom-to-top">
              <w:txbxContent>
                <w:p>
                  <w:pPr>
                    <w:spacing w:line="248" w:lineRule="exact" w:before="0"/>
                    <w:ind w:left="20" w:right="-54" w:firstLine="0"/>
                    <w:jc w:val="left"/>
                    <w:rPr>
                      <w:rFonts w:ascii="Calibri"/>
                      <w:b/>
                      <w:sz w:val="22"/>
                    </w:rPr>
                  </w:pPr>
                  <w:r>
                    <w:rPr>
                      <w:rFonts w:ascii="Calibri"/>
                      <w:b/>
                      <w:w w:val="102"/>
                      <w:sz w:val="22"/>
                    </w:rPr>
                    <w:t>i</w:t>
                  </w:r>
                  <w:r>
                    <w:rPr>
                      <w:rFonts w:ascii="Calibri"/>
                      <w:b/>
                      <w:sz w:val="22"/>
                    </w:rPr>
                    <w:t> </w:t>
                  </w:r>
                  <w:r>
                    <w:rPr>
                      <w:rFonts w:ascii="Calibri"/>
                      <w:b/>
                      <w:spacing w:val="-6"/>
                      <w:sz w:val="22"/>
                    </w:rPr>
                    <w:t> </w:t>
                  </w:r>
                  <w:r>
                    <w:rPr>
                      <w:rFonts w:ascii="Calibri"/>
                      <w:b/>
                      <w:spacing w:val="5"/>
                      <w:w w:val="102"/>
                      <w:sz w:val="22"/>
                    </w:rPr>
                    <w:t>(</w:t>
                  </w:r>
                  <w:r>
                    <w:rPr>
                      <w:rFonts w:ascii="Calibri"/>
                      <w:b/>
                      <w:spacing w:val="-2"/>
                      <w:w w:val="102"/>
                      <w:sz w:val="22"/>
                    </w:rPr>
                    <w:t>A</w:t>
                  </w:r>
                  <w:r>
                    <w:rPr>
                      <w:rFonts w:ascii="Calibri"/>
                      <w:b/>
                      <w:w w:val="102"/>
                      <w:sz w:val="22"/>
                    </w:rPr>
                    <w:t>)</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spacing w:before="74"/>
        <w:ind w:left="982" w:right="1453" w:firstLine="0"/>
        <w:jc w:val="center"/>
        <w:rPr>
          <w:b/>
          <w:sz w:val="20"/>
        </w:rPr>
      </w:pPr>
      <w:r>
        <w:rPr/>
        <w:pict>
          <v:group style="position:absolute;margin-left:88.912621pt;margin-top:-278.748657pt;width:467.55pt;height:254.3pt;mso-position-horizontal-relative:page;mso-position-vertical-relative:paragraph;z-index:3424" coordorigin="1778,-5575" coordsize="9351,5086">
            <v:shape style="position:absolute;left:802;top:4731;width:6841;height:3721" coordorigin="802,4731" coordsize="6841,3721" path="m4533,-1021l4533,-4730m2506,-2083l9351,-2083e" filled="false" stroked="true" strokeweight=".749158pt" strokecolor="#858585">
              <v:path arrowok="t"/>
            </v:shape>
            <v:shape style="position:absolute;left:2469;top:-2658;width:6184;height:1182" type="#_x0000_t75" stroked="false">
              <v:imagedata r:id="rId37" o:title=""/>
            </v:shape>
            <v:line style="position:absolute" from="7789,-2389" to="7835,-2389" stroked="true" strokeweight="2.243515pt" strokecolor="#c0504d"/>
            <v:rect style="position:absolute;left:7789;top:-2412;width:45;height:45" filled="false" stroked="true" strokeweight=".749903pt" strokecolor="#bd4a47"/>
            <v:line style="position:absolute" from="7819,-2464" to="7865,-2464" stroked="true" strokeweight="2.243515pt" strokecolor="#c0504d"/>
            <v:rect style="position:absolute;left:7819;top:-2486;width:45;height:45" filled="false" stroked="true" strokeweight=".749903pt" strokecolor="#bd4a47"/>
            <v:line style="position:absolute" from="7850,-2524" to="7895,-2524" stroked="true" strokeweight="2.243515pt" strokecolor="#c0504d"/>
            <v:rect style="position:absolute;left:7850;top:-2546;width:45;height:45" filled="false" stroked="true" strokeweight=".749903pt" strokecolor="#bd4a47"/>
            <v:line style="position:absolute" from="7880,-2554" to="7925,-2554" stroked="true" strokeweight="2.243515pt" strokecolor="#c0504d"/>
            <v:rect style="position:absolute;left:7880;top:-2576;width:45;height:45" filled="false" stroked="true" strokeweight=".749903pt" strokecolor="#bd4a47"/>
            <v:line style="position:absolute" from="7910,-2554" to="7955,-2554" stroked="true" strokeweight="2.243515pt" strokecolor="#c0504d"/>
            <v:rect style="position:absolute;left:7910;top:-2576;width:45;height:45" filled="false" stroked="true" strokeweight=".749903pt" strokecolor="#bd4a47"/>
            <v:line style="position:absolute" from="7940,-2539" to="7985,-2539" stroked="true" strokeweight="2.243515pt" strokecolor="#c0504d"/>
            <v:rect style="position:absolute;left:7940;top:-2561;width:45;height:45" filled="false" stroked="true" strokeweight=".749903pt" strokecolor="#bd4a47"/>
            <v:line style="position:absolute" from="7970,-2494" to="8015,-2494" stroked="true" strokeweight="2.243515pt" strokecolor="#c0504d"/>
            <v:rect style="position:absolute;left:7970;top:-2516;width:45;height:45" filled="false" stroked="true" strokeweight=".749903pt" strokecolor="#bd4a47"/>
            <v:shape style="position:absolute;left:6844;top:-2830;width:61;height:60" coordorigin="6844,-2830" coordsize="61,60" path="m6874,-2801l6844,-2771,6904,-2771,6874,-2801xm6904,-2830l6844,-2830,6874,-2801,6904,-2830xe" filled="true" fillcolor="#8063a1" stroked="false">
              <v:path arrowok="t"/>
              <v:fill type="solid"/>
            </v:shape>
            <v:shape style="position:absolute;left:5137;top:6636;width:60;height:60" coordorigin="5137,6636" coordsize="60,60" path="m6904,-2771l6844,-2830m6844,-2771l6904,-2830e" filled="false" stroked="true" strokeweight=".749907pt" strokecolor="#7c5f9f">
              <v:path arrowok="t"/>
            </v:shape>
            <v:shape style="position:absolute;left:6874;top:-3040;width:61;height:60" coordorigin="6874,-3040" coordsize="61,60" path="m6904,-3010l6874,-2980,6934,-2980,6904,-3010xm6934,-3040l6874,-3040,6904,-3010,6934,-3040xe" filled="true" fillcolor="#8063a1" stroked="false">
              <v:path arrowok="t"/>
              <v:fill type="solid"/>
            </v:shape>
            <v:shape style="position:absolute;left:5167;top:6426;width:60;height:60" coordorigin="5167,6426" coordsize="60,60" path="m6934,-2980l6874,-3040m6874,-2980l6934,-3040e" filled="false" stroked="true" strokeweight=".749907pt" strokecolor="#7c5f9f">
              <v:path arrowok="t"/>
            </v:shape>
            <v:shape style="position:absolute;left:6904;top:-3264;width:61;height:60" coordorigin="6904,-3264" coordsize="61,60" path="m6934,-3234l6904,-3204,6964,-3204,6934,-3234xm6964,-3264l6904,-3264,6934,-3234,6964,-3264xe" filled="true" fillcolor="#8063a1" stroked="false">
              <v:path arrowok="t"/>
              <v:fill type="solid"/>
            </v:shape>
            <v:shape style="position:absolute;left:5197;top:6201;width:60;height:60" coordorigin="5197,6201" coordsize="60,60" path="m6964,-3204l6904,-3264m6904,-3204l6964,-3264e" filled="false" stroked="true" strokeweight=".749907pt" strokecolor="#7c5f9f">
              <v:path arrowok="t"/>
            </v:shape>
            <v:shape style="position:absolute;left:6934;top:-3518;width:61;height:60" coordorigin="6934,-3518" coordsize="61,60" path="m6964,-3489l6934,-3459,6994,-3459,6964,-3489xm6994,-3518l6934,-3518,6964,-3489,6994,-3518xe" filled="true" fillcolor="#8063a1" stroked="false">
              <v:path arrowok="t"/>
              <v:fill type="solid"/>
            </v:shape>
            <v:shape style="position:absolute;left:5227;top:5946;width:60;height:60" coordorigin="5227,5946" coordsize="60,60" path="m6994,-3459l6934,-3518m6934,-3459l6994,-3518e" filled="false" stroked="true" strokeweight=".749907pt" strokecolor="#7c5f9f">
              <v:path arrowok="t"/>
            </v:shape>
            <v:shape style="position:absolute;left:6964;top:-3803;width:61;height:60" coordorigin="6964,-3803" coordsize="61,60" path="m6994,-3773l6964,-3743,7024,-3743,6994,-3773xm7024,-3803l6964,-3803,6994,-3773,7024,-3803xe" filled="true" fillcolor="#8063a1" stroked="false">
              <v:path arrowok="t"/>
              <v:fill type="solid"/>
            </v:shape>
            <v:shape style="position:absolute;left:5257;top:5661;width:60;height:60" coordorigin="5257,5661" coordsize="60,60" path="m7024,-3743l6964,-3803m6964,-3743l7024,-3803e" filled="false" stroked="true" strokeweight=".749907pt" strokecolor="#7c5f9f">
              <v:path arrowok="t"/>
            </v:shape>
            <v:shape style="position:absolute;left:6994;top:-4087;width:61;height:60" coordorigin="6994,-4087" coordsize="61,60" path="m7024,-4057l6994,-4027,7054,-4027,7024,-4057xm7054,-4087l6994,-4087,7024,-4057,7054,-4087xe" filled="true" fillcolor="#8063a1" stroked="false">
              <v:path arrowok="t"/>
              <v:fill type="solid"/>
            </v:shape>
            <v:shape style="position:absolute;left:5287;top:5376;width:60;height:60" coordorigin="5287,5376" coordsize="60,60" path="m7054,-4027l6994,-4087m6994,-4027l7054,-4087e" filled="false" stroked="true" strokeweight=".749907pt" strokecolor="#7c5f9f">
              <v:path arrowok="t"/>
            </v:shape>
            <v:shape style="position:absolute;left:7024;top:-4326;width:61;height:60" coordorigin="7024,-4326" coordsize="61,60" path="m7054,-4296l7024,-4266,7084,-4266,7054,-4296xm7084,-4326l7024,-4326,7054,-4296,7084,-4326xe" filled="true" fillcolor="#8063a1" stroked="false">
              <v:path arrowok="t"/>
              <v:fill type="solid"/>
            </v:shape>
            <v:shape style="position:absolute;left:5317;top:5136;width:60;height:60" coordorigin="5317,5136" coordsize="60,60" path="m7084,-4266l7024,-4326m7024,-4266l7084,-4326e" filled="false" stroked="true" strokeweight=".749907pt" strokecolor="#7c5f9f">
              <v:path arrowok="t"/>
            </v:shape>
            <v:shape style="position:absolute;left:7047;top:-4618;width:195;height:224" type="#_x0000_t75" stroked="false">
              <v:imagedata r:id="rId38" o:title=""/>
            </v:shape>
            <v:shape style="position:absolute;left:7204;top:-4356;width:61;height:60" coordorigin="7204,-4356" coordsize="61,60" path="m7234,-4326l7204,-4296,7264,-4296,7234,-4326xm7264,-4356l7204,-4356,7234,-4326,7264,-4356xe" filled="true" fillcolor="#8063a1" stroked="false">
              <v:path arrowok="t"/>
              <v:fill type="solid"/>
            </v:shape>
            <v:shape style="position:absolute;left:5497;top:5106;width:60;height:60" coordorigin="5497,5106" coordsize="60,60" path="m7264,-4296l7204,-4356m7204,-4296l7264,-4356e" filled="false" stroked="true" strokeweight=".749907pt" strokecolor="#7c5f9f">
              <v:path arrowok="t"/>
            </v:shape>
            <v:shape style="position:absolute;left:7234;top:-4087;width:61;height:60" coordorigin="7234,-4087" coordsize="61,60" path="m7264,-4057l7234,-4027,7294,-4027,7264,-4057xm7294,-4087l7234,-4087,7264,-4057,7294,-4087xe" filled="true" fillcolor="#8063a1" stroked="false">
              <v:path arrowok="t"/>
              <v:fill type="solid"/>
            </v:shape>
            <v:shape style="position:absolute;left:5527;top:5376;width:60;height:60" coordorigin="5527,5376" coordsize="60,60" path="m7294,-4027l7234,-4087m7234,-4027l7294,-4087e" filled="false" stroked="true" strokeweight=".749907pt" strokecolor="#7c5f9f">
              <v:path arrowok="t"/>
            </v:shape>
            <v:shape style="position:absolute;left:7264;top:-3833;width:61;height:60" coordorigin="7264,-3833" coordsize="61,60" path="m7294,-3803l7264,-3773,7324,-3773,7294,-3803xm7324,-3833l7264,-3833,7294,-3803,7324,-3833xe" filled="true" fillcolor="#8063a1" stroked="false">
              <v:path arrowok="t"/>
              <v:fill type="solid"/>
            </v:shape>
            <v:shape style="position:absolute;left:5557;top:5631;width:60;height:60" coordorigin="5557,5631" coordsize="60,60" path="m7324,-3773l7264,-3833m7264,-3773l7324,-3833e" filled="false" stroked="true" strokeweight=".749907pt" strokecolor="#7c5f9f">
              <v:path arrowok="t"/>
            </v:shape>
            <v:shape style="position:absolute;left:7294;top:-3623;width:61;height:60" coordorigin="7294,-3623" coordsize="61,60" path="m7324,-3593l7294,-3563,7354,-3563,7324,-3593xm7354,-3623l7294,-3623,7324,-3593,7354,-3623xe" filled="true" fillcolor="#8063a1" stroked="false">
              <v:path arrowok="t"/>
              <v:fill type="solid"/>
            </v:shape>
            <v:shape style="position:absolute;left:5587;top:5841;width:60;height:60" coordorigin="5587,5841" coordsize="60,60" path="m7354,-3563l7294,-3623m7294,-3563l7354,-3623e" filled="false" stroked="true" strokeweight=".749907pt" strokecolor="#7c5f9f">
              <v:path arrowok="t"/>
            </v:shape>
            <v:shape style="position:absolute;left:7324;top:-3354;width:61;height:60" coordorigin="7324,-3354" coordsize="61,60" path="m7354,-3324l7324,-3294,7384,-3294,7354,-3324xm7384,-3354l7324,-3354,7354,-3324,7384,-3354xe" filled="true" fillcolor="#8063a1" stroked="false">
              <v:path arrowok="t"/>
              <v:fill type="solid"/>
            </v:shape>
            <v:shape style="position:absolute;left:5617;top:6111;width:60;height:60" coordorigin="5617,6111" coordsize="60,60" path="m7384,-3294l7324,-3354m7324,-3294l7384,-3354e" filled="false" stroked="true" strokeweight=".749907pt" strokecolor="#7c5f9f">
              <v:path arrowok="t"/>
            </v:shape>
            <v:shape style="position:absolute;left:2469;top:-2973;width:6169;height:1810" type="#_x0000_t75" stroked="false">
              <v:imagedata r:id="rId39" o:title=""/>
            </v:shape>
            <v:shape style="position:absolute;left:9138;top:-4727;width:81;height:80" coordorigin="9138,-4727" coordsize="81,80" path="m9178,-4727l9138,-4687,9178,-4647,9218,-4687,9178,-4727xe" filled="true" fillcolor="#4f81bc" stroked="false">
              <v:path arrowok="t"/>
              <v:fill type="solid"/>
            </v:shape>
            <v:shape style="position:absolute;left:9138;top:-4727;width:81;height:80" coordorigin="9138,-4727" coordsize="81,80" path="m9178,-4727l9218,-4687,9178,-4647,9138,-4687,9178,-4727e" filled="false" stroked="true" strokeweight=".749154pt" strokecolor="#497dba">
              <v:path arrowok="t"/>
            </v:shape>
            <v:line style="position:absolute" from="9156,-4304" to="9201,-4304" stroked="true" strokeweight="2.243515pt" strokecolor="#c0504d"/>
            <v:rect style="position:absolute;left:9156;top:-4326;width:45;height:45" filled="false" stroked="true" strokeweight=".749154pt" strokecolor="#bd4a47"/>
            <v:shape style="position:absolute;left:9156;top:-3937;width:46;height:45" coordorigin="9156,-3937" coordsize="46,45" path="m9178,-3915l9156,-3892,9201,-3892,9178,-3915xm9201,-3937l9156,-3937,9178,-3915,9201,-3937xe" filled="true" fillcolor="#8063a1" stroked="false">
              <v:path arrowok="t"/>
              <v:fill type="solid"/>
            </v:shape>
            <v:shape style="position:absolute;left:7448;top:5526;width:45;height:45" coordorigin="7448,5526" coordsize="45,45" path="m9201,-3892l9156,-3937m9156,-3892l9201,-3937e" filled="false" stroked="true" strokeweight=".749158pt" strokecolor="#7c5f9f">
              <v:path arrowok="t"/>
            </v:shape>
            <v:shape style="position:absolute;left:9156;top:-3548;width:30;height:30" coordorigin="9156,-3548" coordsize="30,30" path="m9178,-3533l9156,-3518,9186,-3518,9186,-3528,9178,-3533xm9186,-3548l9156,-3548,9178,-3533,9186,-3538,9186,-3548xe" filled="true" fillcolor="#4aacc5" stroked="false">
              <v:path arrowok="t"/>
              <v:fill type="solid"/>
            </v:shape>
            <v:line style="position:absolute" from="9201,-3518" to="9156,-3548" stroked="true" strokeweight=".748647pt" strokecolor="#46aac5"/>
            <v:line style="position:absolute" from="9178,-3533" to="9193,-3533" stroked="true" strokeweight="1.495676pt" strokecolor="#46aac5"/>
            <v:line style="position:absolute" from="9156,-3518" to="9201,-3548" stroked="true" strokeweight=".748647pt" strokecolor="#46aac5"/>
            <v:shape style="position:absolute;left:9158;top:-3168;width:41;height:40" coordorigin="9158,-3168" coordsize="41,40" path="m9178,-3168l9158,-3128,9198,-3128,9178,-3168xe" filled="true" fillcolor="#9bba58" stroked="false">
              <v:path arrowok="t"/>
              <v:fill type="solid"/>
            </v:shape>
            <v:shape style="position:absolute;left:9158;top:-3168;width:41;height:40" coordorigin="9158,-3168" coordsize="41,40" path="m9178,-3168l9198,-3128,9158,-3128,9178,-3168e" filled="false" stroked="true" strokeweight=".749154pt" strokecolor="#97b853">
              <v:path arrowok="t"/>
            </v:shape>
            <v:rect style="position:absolute;left:1786;top:-5567;width:9336;height:5070" filled="false" stroked="true" strokeweight=".749188pt" strokecolor="#858585"/>
            <v:shape style="position:absolute;left:3637;top:-4815;width:717;height:1794" type="#_x0000_t202" filled="false" stroked="false">
              <v:textbox inset="0,0,0,0">
                <w:txbxContent>
                  <w:p>
                    <w:pPr>
                      <w:spacing w:line="198" w:lineRule="exact" w:before="0"/>
                      <w:ind w:left="0" w:right="-17" w:firstLine="0"/>
                      <w:jc w:val="left"/>
                      <w:rPr>
                        <w:rFonts w:ascii="Calibri"/>
                        <w:sz w:val="19"/>
                      </w:rPr>
                    </w:pPr>
                    <w:r>
                      <w:rPr>
                        <w:rFonts w:ascii="Calibri"/>
                        <w:w w:val="105"/>
                        <w:sz w:val="19"/>
                      </w:rPr>
                      <w:t>1,00E-03</w:t>
                    </w:r>
                  </w:p>
                  <w:p>
                    <w:pPr>
                      <w:spacing w:line="240" w:lineRule="auto" w:before="1"/>
                      <w:rPr>
                        <w:b/>
                        <w:sz w:val="26"/>
                      </w:rPr>
                    </w:pPr>
                  </w:p>
                  <w:p>
                    <w:pPr>
                      <w:spacing w:before="1"/>
                      <w:ind w:left="0" w:right="-17" w:firstLine="0"/>
                      <w:jc w:val="left"/>
                      <w:rPr>
                        <w:rFonts w:ascii="Calibri"/>
                        <w:sz w:val="19"/>
                      </w:rPr>
                    </w:pPr>
                    <w:r>
                      <w:rPr>
                        <w:rFonts w:ascii="Calibri"/>
                        <w:w w:val="105"/>
                        <w:sz w:val="19"/>
                      </w:rPr>
                      <w:t>8,00E-04</w:t>
                    </w:r>
                  </w:p>
                  <w:p>
                    <w:pPr>
                      <w:spacing w:line="240" w:lineRule="auto" w:before="2"/>
                      <w:rPr>
                        <w:b/>
                        <w:sz w:val="26"/>
                      </w:rPr>
                    </w:pPr>
                  </w:p>
                  <w:p>
                    <w:pPr>
                      <w:spacing w:before="0"/>
                      <w:ind w:left="0" w:right="-17" w:firstLine="0"/>
                      <w:jc w:val="left"/>
                      <w:rPr>
                        <w:rFonts w:ascii="Calibri"/>
                        <w:sz w:val="19"/>
                      </w:rPr>
                    </w:pPr>
                    <w:r>
                      <w:rPr>
                        <w:rFonts w:ascii="Calibri"/>
                        <w:w w:val="105"/>
                        <w:sz w:val="19"/>
                      </w:rPr>
                      <w:t>6,00E-04</w:t>
                    </w:r>
                  </w:p>
                  <w:p>
                    <w:pPr>
                      <w:spacing w:line="240" w:lineRule="auto" w:before="1"/>
                      <w:rPr>
                        <w:b/>
                        <w:sz w:val="26"/>
                      </w:rPr>
                    </w:pPr>
                  </w:p>
                  <w:p>
                    <w:pPr>
                      <w:spacing w:line="230" w:lineRule="exact" w:before="0"/>
                      <w:ind w:left="0" w:right="-17" w:firstLine="0"/>
                      <w:jc w:val="left"/>
                      <w:rPr>
                        <w:rFonts w:ascii="Calibri"/>
                        <w:sz w:val="19"/>
                      </w:rPr>
                    </w:pPr>
                    <w:r>
                      <w:rPr>
                        <w:rFonts w:ascii="Calibri"/>
                        <w:w w:val="105"/>
                        <w:sz w:val="19"/>
                      </w:rPr>
                      <w:t>4,00E-04</w:t>
                    </w:r>
                  </w:p>
                </w:txbxContent>
              </v:textbox>
              <w10:wrap type="none"/>
            </v:shape>
            <v:shape style="position:absolute;left:9316;top:-4787;width:1633;height:1774" type="#_x0000_t202" filled="false" stroked="false">
              <v:textbox inset="0,0,0,0">
                <w:txbxContent>
                  <w:p>
                    <w:pPr>
                      <w:spacing w:line="228" w:lineRule="exact" w:before="0"/>
                      <w:ind w:left="0" w:right="-17" w:firstLine="0"/>
                      <w:jc w:val="left"/>
                      <w:rPr>
                        <w:rFonts w:ascii="Calibri" w:hAnsi="Calibri"/>
                        <w:sz w:val="22"/>
                      </w:rPr>
                    </w:pPr>
                    <w:r>
                      <w:rPr>
                        <w:rFonts w:ascii="Calibri" w:hAnsi="Calibri"/>
                        <w:w w:val="105"/>
                        <w:sz w:val="22"/>
                      </w:rPr>
                      <w:t>ácido perclórico</w:t>
                    </w:r>
                  </w:p>
                  <w:p>
                    <w:pPr>
                      <w:spacing w:line="345" w:lineRule="auto" w:before="118"/>
                      <w:ind w:left="0" w:right="-17" w:firstLine="0"/>
                      <w:jc w:val="left"/>
                      <w:rPr>
                        <w:rFonts w:ascii="Calibri" w:hAnsi="Calibri"/>
                        <w:sz w:val="22"/>
                      </w:rPr>
                    </w:pPr>
                    <w:r>
                      <w:rPr>
                        <w:rFonts w:ascii="Calibri" w:hAnsi="Calibri"/>
                        <w:spacing w:val="-3"/>
                        <w:w w:val="105"/>
                        <w:sz w:val="22"/>
                      </w:rPr>
                      <w:t>estándarAg </w:t>
                    </w:r>
                    <w:r>
                      <w:rPr>
                        <w:rFonts w:ascii="Calibri" w:hAnsi="Calibri"/>
                        <w:w w:val="105"/>
                        <w:sz w:val="22"/>
                      </w:rPr>
                      <w:t>residuos</w:t>
                    </w:r>
                    <w:r>
                      <w:rPr>
                        <w:rFonts w:ascii="Calibri" w:hAnsi="Calibri"/>
                        <w:spacing w:val="-35"/>
                        <w:w w:val="105"/>
                        <w:sz w:val="22"/>
                      </w:rPr>
                      <w:t> </w:t>
                    </w:r>
                    <w:r>
                      <w:rPr>
                        <w:rFonts w:ascii="Calibri" w:hAnsi="Calibri"/>
                        <w:w w:val="105"/>
                        <w:sz w:val="22"/>
                      </w:rPr>
                      <w:t>sin</w:t>
                    </w:r>
                    <w:r>
                      <w:rPr>
                        <w:rFonts w:ascii="Calibri" w:hAnsi="Calibri"/>
                        <w:spacing w:val="-35"/>
                        <w:w w:val="105"/>
                        <w:sz w:val="22"/>
                      </w:rPr>
                      <w:t> </w:t>
                    </w:r>
                    <w:r>
                      <w:rPr>
                        <w:rFonts w:ascii="Calibri" w:hAnsi="Calibri"/>
                        <w:w w:val="105"/>
                        <w:sz w:val="22"/>
                      </w:rPr>
                      <w:t>tratar </w:t>
                    </w:r>
                    <w:r>
                      <w:rPr>
                        <w:rFonts w:ascii="Calibri" w:hAnsi="Calibri"/>
                        <w:spacing w:val="-3"/>
                        <w:w w:val="105"/>
                        <w:sz w:val="22"/>
                      </w:rPr>
                      <w:t>redisueltos</w:t>
                    </w:r>
                  </w:p>
                  <w:p>
                    <w:pPr>
                      <w:spacing w:line="266" w:lineRule="exact" w:before="0"/>
                      <w:ind w:left="0" w:right="-17" w:firstLine="0"/>
                      <w:jc w:val="left"/>
                      <w:rPr>
                        <w:rFonts w:ascii="Calibri" w:hAnsi="Calibri"/>
                        <w:sz w:val="22"/>
                      </w:rPr>
                    </w:pPr>
                    <w:r>
                      <w:rPr>
                        <w:rFonts w:ascii="Calibri" w:hAnsi="Calibri"/>
                        <w:w w:val="105"/>
                        <w:sz w:val="22"/>
                      </w:rPr>
                      <w:t>estándar Hg</w:t>
                    </w:r>
                  </w:p>
                </w:txbxContent>
              </v:textbox>
              <w10:wrap type="none"/>
            </v:shape>
            <v:shape style="position:absolute;left:3637;top:-2684;width:717;height:196" type="#_x0000_t202" filled="false" stroked="false">
              <v:textbox inset="0,0,0,0">
                <w:txbxContent>
                  <w:p>
                    <w:pPr>
                      <w:spacing w:line="195" w:lineRule="exact" w:before="0"/>
                      <w:ind w:left="0" w:right="-17" w:firstLine="0"/>
                      <w:jc w:val="left"/>
                      <w:rPr>
                        <w:rFonts w:ascii="Calibri"/>
                        <w:sz w:val="19"/>
                      </w:rPr>
                    </w:pPr>
                    <w:r>
                      <w:rPr>
                        <w:rFonts w:ascii="Calibri"/>
                        <w:w w:val="105"/>
                        <w:sz w:val="19"/>
                      </w:rPr>
                      <w:t>2,00E-04</w:t>
                    </w:r>
                  </w:p>
                </w:txbxContent>
              </v:textbox>
              <w10:wrap type="none"/>
            </v:shape>
            <v:shape style="position:absolute;left:2348;top:-1890;width:312;height:196" type="#_x0000_t202" filled="false" stroked="false">
              <v:textbox inset="0,0,0,0">
                <w:txbxContent>
                  <w:p>
                    <w:pPr>
                      <w:spacing w:line="196" w:lineRule="exact" w:before="0"/>
                      <w:ind w:left="0" w:right="-7" w:firstLine="0"/>
                      <w:jc w:val="left"/>
                      <w:rPr>
                        <w:rFonts w:ascii="Calibri"/>
                        <w:sz w:val="19"/>
                      </w:rPr>
                    </w:pPr>
                    <w:r>
                      <w:rPr>
                        <w:rFonts w:ascii="Calibri"/>
                        <w:sz w:val="19"/>
                      </w:rPr>
                      <w:t>-0,4</w:t>
                    </w:r>
                  </w:p>
                </w:txbxContent>
              </v:textbox>
              <w10:wrap type="none"/>
            </v:shape>
            <v:shape style="position:absolute;left:3061;top:-1890;width:417;height:196" type="#_x0000_t202" filled="false" stroked="false">
              <v:textbox inset="0,0,0,0">
                <w:txbxContent>
                  <w:p>
                    <w:pPr>
                      <w:spacing w:line="196" w:lineRule="exact" w:before="0"/>
                      <w:ind w:left="0" w:right="-18" w:firstLine="0"/>
                      <w:jc w:val="left"/>
                      <w:rPr>
                        <w:rFonts w:ascii="Calibri"/>
                        <w:sz w:val="19"/>
                      </w:rPr>
                    </w:pPr>
                    <w:r>
                      <w:rPr>
                        <w:rFonts w:ascii="Calibri"/>
                        <w:w w:val="105"/>
                        <w:sz w:val="19"/>
                      </w:rPr>
                      <w:t>-0,25</w:t>
                    </w:r>
                  </w:p>
                </w:txbxContent>
              </v:textbox>
              <w10:wrap type="none"/>
            </v:shape>
            <v:shape style="position:absolute;left:3576;top:-2151;width:785;height:729" type="#_x0000_t202" filled="false" stroked="false">
              <v:textbox inset="0,0,0,0">
                <w:txbxContent>
                  <w:p>
                    <w:pPr>
                      <w:spacing w:line="198" w:lineRule="exact" w:before="0"/>
                      <w:ind w:left="23" w:right="0" w:firstLine="0"/>
                      <w:jc w:val="center"/>
                      <w:rPr>
                        <w:rFonts w:ascii="Calibri"/>
                        <w:sz w:val="19"/>
                      </w:rPr>
                    </w:pPr>
                    <w:r>
                      <w:rPr>
                        <w:rFonts w:ascii="Calibri"/>
                        <w:w w:val="105"/>
                        <w:sz w:val="19"/>
                      </w:rPr>
                      <w:t>0,00E+00</w:t>
                    </w:r>
                  </w:p>
                  <w:p>
                    <w:pPr>
                      <w:spacing w:before="29"/>
                      <w:ind w:left="124" w:right="0" w:firstLine="0"/>
                      <w:jc w:val="center"/>
                      <w:rPr>
                        <w:rFonts w:ascii="Calibri"/>
                        <w:sz w:val="19"/>
                      </w:rPr>
                    </w:pPr>
                    <w:r>
                      <w:rPr>
                        <w:rFonts w:ascii="Calibri"/>
                        <w:w w:val="105"/>
                        <w:sz w:val="19"/>
                      </w:rPr>
                      <w:t>-0,1</w:t>
                    </w:r>
                  </w:p>
                  <w:p>
                    <w:pPr>
                      <w:spacing w:line="230" w:lineRule="exact" w:before="39"/>
                      <w:ind w:left="1" w:right="5" w:firstLine="0"/>
                      <w:jc w:val="center"/>
                      <w:rPr>
                        <w:rFonts w:ascii="Calibri"/>
                        <w:sz w:val="19"/>
                      </w:rPr>
                    </w:pPr>
                    <w:r>
                      <w:rPr>
                        <w:rFonts w:ascii="Calibri"/>
                        <w:sz w:val="19"/>
                      </w:rPr>
                      <w:t>-2,00E-04</w:t>
                    </w:r>
                  </w:p>
                </w:txbxContent>
              </v:textbox>
              <w10:wrap type="none"/>
            </v:shape>
            <v:shape style="position:absolute;left:4619;top:-1890;width:356;height:196" type="#_x0000_t202" filled="false" stroked="false">
              <v:textbox inset="0,0,0,0">
                <w:txbxContent>
                  <w:p>
                    <w:pPr>
                      <w:spacing w:line="196" w:lineRule="exact" w:before="0"/>
                      <w:ind w:left="0" w:right="-18" w:firstLine="0"/>
                      <w:jc w:val="left"/>
                      <w:rPr>
                        <w:rFonts w:ascii="Calibri"/>
                        <w:sz w:val="19"/>
                      </w:rPr>
                    </w:pPr>
                    <w:r>
                      <w:rPr>
                        <w:rFonts w:ascii="Calibri"/>
                        <w:w w:val="105"/>
                        <w:sz w:val="19"/>
                      </w:rPr>
                      <w:t>0,05</w:t>
                    </w:r>
                  </w:p>
                </w:txbxContent>
              </v:textbox>
              <w10:wrap type="none"/>
            </v:shape>
            <v:shape style="position:absolute;left:5434;top:-1890;width:251;height:196" type="#_x0000_t202" filled="false" stroked="false">
              <v:textbox inset="0,0,0,0">
                <w:txbxContent>
                  <w:p>
                    <w:pPr>
                      <w:spacing w:line="196" w:lineRule="exact" w:before="0"/>
                      <w:ind w:left="0" w:right="-9" w:firstLine="0"/>
                      <w:jc w:val="left"/>
                      <w:rPr>
                        <w:rFonts w:ascii="Calibri"/>
                        <w:sz w:val="19"/>
                      </w:rPr>
                    </w:pPr>
                    <w:r>
                      <w:rPr>
                        <w:rFonts w:ascii="Calibri"/>
                        <w:sz w:val="19"/>
                      </w:rPr>
                      <w:t>0,2</w:t>
                    </w:r>
                  </w:p>
                </w:txbxContent>
              </v:textbox>
              <w10:wrap type="none"/>
            </v:shape>
            <v:shape style="position:absolute;left:6147;top:-1890;width:357;height:196" type="#_x0000_t202" filled="false" stroked="false">
              <v:textbox inset="0,0,0,0">
                <w:txbxContent>
                  <w:p>
                    <w:pPr>
                      <w:spacing w:line="196" w:lineRule="exact" w:before="0"/>
                      <w:ind w:left="0" w:right="-17" w:firstLine="0"/>
                      <w:jc w:val="left"/>
                      <w:rPr>
                        <w:rFonts w:ascii="Calibri"/>
                        <w:sz w:val="19"/>
                      </w:rPr>
                    </w:pPr>
                    <w:r>
                      <w:rPr>
                        <w:rFonts w:ascii="Calibri"/>
                        <w:w w:val="105"/>
                        <w:sz w:val="19"/>
                      </w:rPr>
                      <w:t>0,35</w:t>
                    </w:r>
                  </w:p>
                </w:txbxContent>
              </v:textbox>
              <w10:wrap type="none"/>
            </v:shape>
            <v:shape style="position:absolute;left:6962;top:-1890;width:250;height:196" type="#_x0000_t202" filled="false" stroked="false">
              <v:textbox inset="0,0,0,0">
                <w:txbxContent>
                  <w:p>
                    <w:pPr>
                      <w:spacing w:line="196" w:lineRule="exact" w:before="0"/>
                      <w:ind w:left="0" w:right="-10" w:firstLine="0"/>
                      <w:jc w:val="left"/>
                      <w:rPr>
                        <w:rFonts w:ascii="Calibri"/>
                        <w:sz w:val="19"/>
                      </w:rPr>
                    </w:pPr>
                    <w:r>
                      <w:rPr>
                        <w:rFonts w:ascii="Calibri"/>
                        <w:sz w:val="19"/>
                      </w:rPr>
                      <w:t>0,5</w:t>
                    </w:r>
                  </w:p>
                </w:txbxContent>
              </v:textbox>
              <w10:wrap type="none"/>
            </v:shape>
            <v:shape style="position:absolute;left:7675;top:-1890;width:1065;height:196" type="#_x0000_t202" filled="false" stroked="false">
              <v:textbox inset="0,0,0,0">
                <w:txbxContent>
                  <w:p>
                    <w:pPr>
                      <w:tabs>
                        <w:tab w:pos="814" w:val="left" w:leader="none"/>
                      </w:tabs>
                      <w:spacing w:line="196" w:lineRule="exact" w:before="0"/>
                      <w:ind w:left="0" w:right="0" w:firstLine="0"/>
                      <w:jc w:val="left"/>
                      <w:rPr>
                        <w:rFonts w:ascii="Calibri"/>
                        <w:sz w:val="19"/>
                      </w:rPr>
                    </w:pPr>
                    <w:r>
                      <w:rPr>
                        <w:rFonts w:ascii="Calibri"/>
                        <w:w w:val="105"/>
                        <w:sz w:val="19"/>
                      </w:rPr>
                      <w:t>0,65</w:t>
                      <w:tab/>
                    </w:r>
                    <w:r>
                      <w:rPr>
                        <w:rFonts w:ascii="Calibri"/>
                        <w:sz w:val="19"/>
                      </w:rPr>
                      <w:t>0,8</w:t>
                    </w:r>
                  </w:p>
                </w:txbxContent>
              </v:textbox>
              <w10:wrap type="none"/>
            </v:shape>
            <v:shape style="position:absolute;left:9202;top:-1890;width:356;height:196" type="#_x0000_t202" filled="false" stroked="false">
              <v:textbox inset="0,0,0,0">
                <w:txbxContent>
                  <w:p>
                    <w:pPr>
                      <w:spacing w:line="196" w:lineRule="exact" w:before="0"/>
                      <w:ind w:left="0" w:right="-18" w:firstLine="0"/>
                      <w:jc w:val="left"/>
                      <w:rPr>
                        <w:rFonts w:ascii="Calibri"/>
                        <w:sz w:val="19"/>
                      </w:rPr>
                    </w:pPr>
                    <w:r>
                      <w:rPr>
                        <w:rFonts w:ascii="Calibri"/>
                        <w:w w:val="105"/>
                        <w:sz w:val="19"/>
                      </w:rPr>
                      <w:t>0,95</w:t>
                    </w:r>
                  </w:p>
                </w:txbxContent>
              </v:textbox>
              <w10:wrap type="none"/>
            </v:shape>
            <v:shape style="position:absolute;left:8135;top:-1564;width:1178;height:196" type="#_x0000_t202" filled="false" stroked="false">
              <v:textbox inset="0,0,0,0">
                <w:txbxContent>
                  <w:p>
                    <w:pPr>
                      <w:spacing w:line="195" w:lineRule="exact" w:before="0"/>
                      <w:ind w:left="0" w:right="-20" w:firstLine="0"/>
                      <w:jc w:val="left"/>
                      <w:rPr>
                        <w:rFonts w:ascii="Calibri"/>
                        <w:b/>
                        <w:sz w:val="19"/>
                      </w:rPr>
                    </w:pPr>
                    <w:r>
                      <w:rPr>
                        <w:rFonts w:ascii="Calibri"/>
                        <w:b/>
                        <w:w w:val="105"/>
                        <w:sz w:val="19"/>
                      </w:rPr>
                      <w:t>V (vs Ag/AgCl)</w:t>
                    </w:r>
                  </w:p>
                </w:txbxContent>
              </v:textbox>
              <w10:wrap type="none"/>
            </v:shape>
            <v:shape style="position:absolute;left:3576;top:-1085;width:778;height:196" type="#_x0000_t202" filled="false" stroked="false">
              <v:textbox inset="0,0,0,0">
                <w:txbxContent>
                  <w:p>
                    <w:pPr>
                      <w:spacing w:line="195" w:lineRule="exact" w:before="0"/>
                      <w:ind w:left="0" w:right="-17" w:firstLine="0"/>
                      <w:jc w:val="left"/>
                      <w:rPr>
                        <w:rFonts w:ascii="Calibri"/>
                        <w:sz w:val="19"/>
                      </w:rPr>
                    </w:pPr>
                    <w:r>
                      <w:rPr>
                        <w:rFonts w:ascii="Calibri"/>
                        <w:w w:val="105"/>
                        <w:sz w:val="19"/>
                      </w:rPr>
                      <w:t>-4,00E-04</w:t>
                    </w:r>
                  </w:p>
                </w:txbxContent>
              </v:textbox>
              <w10:wrap type="none"/>
            </v:shape>
            <w10:wrap type="none"/>
          </v:group>
        </w:pict>
      </w:r>
      <w:r>
        <w:rPr/>
        <w:pict>
          <v:group style="position:absolute;margin-left:94.050003pt;margin-top:58.714878pt;width:451.5pt;height:264pt;mso-position-horizontal-relative:page;mso-position-vertical-relative:paragraph;z-index:3832" coordorigin="1881,1174" coordsize="9030,5280">
            <v:shape style="position:absolute;left:2412;top:1403;width:6939;height:4520" coordorigin="2412,1403" coordsize="6939,4520" path="m4726,5922l4726,1403m4663,5922l4726,5922m4663,5209l4726,5209m4663,4497l4726,4497m4663,3781l4726,3781m4663,3069l4726,3069m4663,2356l4726,2356m4663,1641l4726,1641m2412,4257l9350,4257m2412,4257l2412,4321m3338,4257l3338,4321m4262,4257l4262,4321m5189,4257l5189,4321m6113,4257l6113,4321m7039,4257l7039,4321m7963,4257l7963,4321m8890,4257l8890,4321e" filled="false" stroked="true" strokeweight=".72pt" strokecolor="#858585">
              <v:path arrowok="t"/>
            </v:shape>
            <v:shape style="position:absolute;left:2405;top:4107;width:3271;height:1817" type="#_x0000_t75" stroked="false">
              <v:imagedata r:id="rId40" o:title=""/>
            </v:shape>
            <v:shape style="position:absolute;left:5659;top:3805;width:39;height:39" coordorigin="5659,3805" coordsize="39,39" path="m5678,3805l5659,3824,5678,3843,5697,3824,5678,3805xe" filled="true" fillcolor="#4f81bc" stroked="false">
              <v:path arrowok="t"/>
              <v:fill type="solid"/>
            </v:shape>
            <v:shape style="position:absolute;left:5659;top:3805;width:39;height:39" coordorigin="5659,3805" coordsize="39,39" path="m5678,3805l5697,3824,5678,3843,5659,3824,5678,3805xe" filled="false" stroked="true" strokeweight=".72pt" strokecolor="#497dba">
              <v:path arrowok="t"/>
            </v:shape>
            <v:shape style="position:absolute;left:5688;top:3126;width:39;height:39" coordorigin="5688,3126" coordsize="39,39" path="m5707,3126l5688,3145,5707,3164,5726,3145,5707,3126xe" filled="true" fillcolor="#4f81bc" stroked="false">
              <v:path arrowok="t"/>
              <v:fill type="solid"/>
            </v:shape>
            <v:shape style="position:absolute;left:5688;top:3126;width:39;height:39" coordorigin="5688,3126" coordsize="39,39" path="m5707,3126l5726,3145,5707,3164,5688,3145,5707,3126xe" filled="false" stroked="true" strokeweight=".72pt" strokecolor="#497dba">
              <v:path arrowok="t"/>
            </v:shape>
            <v:shape style="position:absolute;left:5714;top:2533;width:39;height:39" coordorigin="5714,2533" coordsize="39,39" path="m5733,2533l5714,2552,5733,2571,5753,2552,5733,2533xe" filled="true" fillcolor="#4f81bc" stroked="false">
              <v:path arrowok="t"/>
              <v:fill type="solid"/>
            </v:shape>
            <v:shape style="position:absolute;left:5714;top:2533;width:39;height:39" coordorigin="5714,2533" coordsize="39,39" path="m5733,2533l5753,2552,5733,2571,5714,2552,5733,2533xe" filled="false" stroked="true" strokeweight=".72pt" strokecolor="#497dba">
              <v:path arrowok="t"/>
            </v:shape>
            <v:shape style="position:absolute;left:5743;top:2197;width:39;height:39" coordorigin="5743,2197" coordsize="39,39" path="m5762,2197l5743,2216,5762,2235,5781,2216,5762,2197xe" filled="true" fillcolor="#4f81bc" stroked="false">
              <v:path arrowok="t"/>
              <v:fill type="solid"/>
            </v:shape>
            <v:shape style="position:absolute;left:5743;top:2197;width:39;height:39" coordorigin="5743,2197" coordsize="39,39" path="m5762,2197l5781,2216,5762,2235,5743,2216,5762,2197xe" filled="false" stroked="true" strokeweight=".72pt" strokecolor="#497dba">
              <v:path arrowok="t"/>
            </v:shape>
            <v:shape style="position:absolute;left:5769;top:2269;width:39;height:39" coordorigin="5769,2269" coordsize="39,39" path="m5788,2269l5769,2288,5788,2307,5808,2288,5788,2269xe" filled="true" fillcolor="#4f81bc" stroked="false">
              <v:path arrowok="t"/>
              <v:fill type="solid"/>
            </v:shape>
            <v:shape style="position:absolute;left:5769;top:2269;width:39;height:39" coordorigin="5769,2269" coordsize="39,39" path="m5788,2269l5808,2288,5788,2307,5769,2288,5788,2269xe" filled="false" stroked="true" strokeweight=".72pt" strokecolor="#497dba">
              <v:path arrowok="t"/>
            </v:shape>
            <v:shape style="position:absolute;left:5798;top:2571;width:39;height:39" coordorigin="5798,2571" coordsize="39,39" path="m5817,2571l5798,2591,5817,2610,5837,2591,5817,2571xe" filled="true" fillcolor="#4f81bc" stroked="false">
              <v:path arrowok="t"/>
              <v:fill type="solid"/>
            </v:shape>
            <v:shape style="position:absolute;left:5798;top:2571;width:39;height:39" coordorigin="5798,2571" coordsize="39,39" path="m5817,2571l5837,2591,5817,2610,5798,2591,5817,2571xe" filled="false" stroked="true" strokeweight=".72pt" strokecolor="#497dba">
              <v:path arrowok="t"/>
            </v:shape>
            <v:shape style="position:absolute;left:5825;top:2727;width:39;height:39" coordorigin="5825,2727" coordsize="39,39" path="m5844,2727l5825,2747,5844,2766,5863,2747,5844,2727xe" filled="true" fillcolor="#4f81bc" stroked="false">
              <v:path arrowok="t"/>
              <v:fill type="solid"/>
            </v:shape>
            <v:shape style="position:absolute;left:5825;top:2727;width:39;height:39" coordorigin="5825,2727" coordsize="39,39" path="m5844,2727l5863,2747,5844,2766,5825,2747,5844,2727xe" filled="false" stroked="true" strokeweight=".72pt" strokecolor="#497dba">
              <v:path arrowok="t"/>
            </v:shape>
            <v:shape style="position:absolute;left:5853;top:2672;width:39;height:39" coordorigin="5853,2672" coordsize="39,39" path="m5873,2672l5853,2691,5873,2711,5892,2691,5873,2672xe" filled="true" fillcolor="#4f81bc" stroked="false">
              <v:path arrowok="t"/>
              <v:fill type="solid"/>
            </v:shape>
            <v:shape style="position:absolute;left:5853;top:2672;width:39;height:39" coordorigin="5853,2672" coordsize="39,39" path="m5873,2672l5892,2691,5873,2711,5853,2691,5873,2672xe" filled="false" stroked="true" strokeweight=".72pt" strokecolor="#497dba">
              <v:path arrowok="t"/>
            </v:shape>
            <v:shape style="position:absolute;left:5882;top:2442;width:39;height:39" coordorigin="5882,2442" coordsize="39,39" path="m5901,2442l5882,2461,5901,2480,5921,2461,5901,2442xe" filled="true" fillcolor="#4f81bc" stroked="false">
              <v:path arrowok="t"/>
              <v:fill type="solid"/>
            </v:shape>
            <v:shape style="position:absolute;left:5882;top:2442;width:39;height:39" coordorigin="5882,2442" coordsize="39,39" path="m5901,2442l5921,2461,5901,2480,5882,2461,5901,2442xe" filled="false" stroked="true" strokeweight=".72pt" strokecolor="#497dba">
              <v:path arrowok="t"/>
            </v:shape>
            <v:shape style="position:absolute;left:5909;top:2099;width:39;height:39" coordorigin="5909,2099" coordsize="39,39" path="m5928,2099l5909,2118,5928,2137,5947,2118,5928,2099xe" filled="true" fillcolor="#4f81bc" stroked="false">
              <v:path arrowok="t"/>
              <v:fill type="solid"/>
            </v:shape>
            <v:shape style="position:absolute;left:5909;top:2099;width:39;height:39" coordorigin="5909,2099" coordsize="39,39" path="m5928,2099l5947,2118,5928,2137,5909,2118,5928,2099xe" filled="false" stroked="true" strokeweight=".72pt" strokecolor="#497dba">
              <v:path arrowok="t"/>
            </v:shape>
            <v:shape style="position:absolute;left:5937;top:1717;width:39;height:39" coordorigin="5937,1717" coordsize="39,39" path="m5957,1717l5937,1736,5957,1755,5976,1736,5957,1717xe" filled="true" fillcolor="#4f81bc" stroked="false">
              <v:path arrowok="t"/>
              <v:fill type="solid"/>
            </v:shape>
            <v:shape style="position:absolute;left:5937;top:1717;width:39;height:39" coordorigin="5937,1717" coordsize="39,39" path="m5957,1717l5976,1736,5957,1755,5937,1736,5957,1717xe" filled="false" stroked="true" strokeweight=".72pt" strokecolor="#497dba">
              <v:path arrowok="t"/>
            </v:shape>
            <v:shape style="position:absolute;left:5964;top:1621;width:39;height:39" coordorigin="5964,1621" coordsize="39,39" path="m5983,1621l5964,1640,5983,1659,6002,1640,5983,1621xe" filled="true" fillcolor="#4f81bc" stroked="false">
              <v:path arrowok="t"/>
              <v:fill type="solid"/>
            </v:shape>
            <v:shape style="position:absolute;left:5964;top:1621;width:39;height:39" coordorigin="5964,1621" coordsize="39,39" path="m5983,1621l6002,1640,5983,1659,5964,1640,5983,1621xe" filled="false" stroked="true" strokeweight=".72pt" strokecolor="#497dba">
              <v:path arrowok="t"/>
            </v:shape>
            <v:shape style="position:absolute;left:5993;top:1741;width:39;height:39" coordorigin="5993,1741" coordsize="39,39" path="m6012,1741l5993,1760,6012,1779,6031,1760,6012,1741xe" filled="true" fillcolor="#4f81bc" stroked="false">
              <v:path arrowok="t"/>
              <v:fill type="solid"/>
            </v:shape>
            <v:shape style="position:absolute;left:5993;top:1741;width:39;height:39" coordorigin="5993,1741" coordsize="39,39" path="m6012,1741l6031,1760,6012,1779,5993,1760,6012,1741xe" filled="false" stroked="true" strokeweight=".72pt" strokecolor="#497dba">
              <v:path arrowok="t"/>
            </v:shape>
            <v:shape style="position:absolute;left:6019;top:1962;width:39;height:39" coordorigin="6019,1962" coordsize="39,39" path="m6038,1962l6019,1981,6038,2000,6057,1981,6038,1962xe" filled="true" fillcolor="#4f81bc" stroked="false">
              <v:path arrowok="t"/>
              <v:fill type="solid"/>
            </v:shape>
            <v:shape style="position:absolute;left:6019;top:1962;width:39;height:39" coordorigin="6019,1962" coordsize="39,39" path="m6038,1962l6057,1981,6038,2000,6019,1981,6038,1962xe" filled="false" stroked="true" strokeweight=".72pt" strokecolor="#497dba">
              <v:path arrowok="t"/>
            </v:shape>
            <v:shape style="position:absolute;left:6048;top:2171;width:39;height:39" coordorigin="6048,2171" coordsize="39,39" path="m6067,2171l6048,2190,6067,2209,6086,2190,6067,2171xe" filled="true" fillcolor="#4f81bc" stroked="false">
              <v:path arrowok="t"/>
              <v:fill type="solid"/>
            </v:shape>
            <v:shape style="position:absolute;left:6048;top:2171;width:39;height:39" coordorigin="6048,2171" coordsize="39,39" path="m6067,2171l6086,2190,6067,2209,6048,2190,6067,2171xe" filled="false" stroked="true" strokeweight=".72pt" strokecolor="#497dba">
              <v:path arrowok="t"/>
            </v:shape>
            <v:shape style="position:absolute;left:6074;top:2367;width:39;height:39" coordorigin="6074,2367" coordsize="39,39" path="m6093,2367l6074,2387,6093,2406,6113,2387,6093,2367xe" filled="true" fillcolor="#4f81bc" stroked="false">
              <v:path arrowok="t"/>
              <v:fill type="solid"/>
            </v:shape>
            <v:shape style="position:absolute;left:6074;top:2367;width:39;height:39" coordorigin="6074,2367" coordsize="39,39" path="m6093,2367l6113,2387,6093,2406,6074,2387,6093,2367xe" filled="false" stroked="true" strokeweight=".72pt" strokecolor="#497dba">
              <v:path arrowok="t"/>
            </v:shape>
            <v:shape style="position:absolute;left:6103;top:2531;width:39;height:39" coordorigin="6103,2531" coordsize="39,39" path="m6122,2531l6103,2550,6122,2569,6141,2550,6122,2531xe" filled="true" fillcolor="#4f81bc" stroked="false">
              <v:path arrowok="t"/>
              <v:fill type="solid"/>
            </v:shape>
            <v:shape style="position:absolute;left:6103;top:2531;width:39;height:39" coordorigin="6103,2531" coordsize="39,39" path="m6122,2531l6141,2550,6122,2569,6103,2550,6122,2531xe" filled="false" stroked="true" strokeweight=".72pt" strokecolor="#497dba">
              <v:path arrowok="t"/>
            </v:shape>
            <v:shape style="position:absolute;left:6132;top:2670;width:39;height:39" coordorigin="6132,2670" coordsize="39,39" path="m6151,2670l6132,2689,6151,2708,6170,2689,6151,2670xe" filled="true" fillcolor="#4f81bc" stroked="false">
              <v:path arrowok="t"/>
              <v:fill type="solid"/>
            </v:shape>
            <v:shape style="position:absolute;left:6132;top:2670;width:39;height:39" coordorigin="6132,2670" coordsize="39,39" path="m6151,2670l6170,2689,6151,2708,6132,2689,6151,2670xe" filled="false" stroked="true" strokeweight=".72pt" strokecolor="#497dba">
              <v:path arrowok="t"/>
            </v:shape>
            <v:shape style="position:absolute;left:6158;top:2795;width:39;height:39" coordorigin="6158,2795" coordsize="39,39" path="m6177,2795l6158,2814,6177,2833,6197,2814,6177,2795xe" filled="true" fillcolor="#4f81bc" stroked="false">
              <v:path arrowok="t"/>
              <v:fill type="solid"/>
            </v:shape>
            <v:shape style="position:absolute;left:6158;top:2795;width:39;height:39" coordorigin="6158,2795" coordsize="39,39" path="m6177,2795l6197,2814,6177,2833,6158,2814,6177,2795xe" filled="false" stroked="true" strokeweight=".72pt" strokecolor="#497dba">
              <v:path arrowok="t"/>
            </v:shape>
            <v:shape style="position:absolute;left:6187;top:2907;width:39;height:39" coordorigin="6187,2907" coordsize="39,39" path="m6206,2907l6187,2927,6206,2946,6225,2927,6206,2907xe" filled="true" fillcolor="#4f81bc" stroked="false">
              <v:path arrowok="t"/>
              <v:fill type="solid"/>
            </v:shape>
            <v:shape style="position:absolute;left:6187;top:2907;width:39;height:39" coordorigin="6187,2907" coordsize="39,39" path="m6206,2907l6225,2927,6206,2946,6187,2927,6206,2907xe" filled="false" stroked="true" strokeweight=".72pt" strokecolor="#497dba">
              <v:path arrowok="t"/>
            </v:shape>
            <v:shape style="position:absolute;left:6213;top:3001;width:39;height:39" coordorigin="6213,3001" coordsize="39,39" path="m6233,3001l6213,3020,6233,3039,6252,3020,6233,3001xe" filled="true" fillcolor="#4f81bc" stroked="false">
              <v:path arrowok="t"/>
              <v:fill type="solid"/>
            </v:shape>
            <v:shape style="position:absolute;left:6213;top:3001;width:39;height:39" coordorigin="6213,3001" coordsize="39,39" path="m6233,3001l6252,3020,6233,3039,6213,3020,6233,3001xe" filled="false" stroked="true" strokeweight=".72pt" strokecolor="#497dba">
              <v:path arrowok="t"/>
            </v:shape>
            <v:shape style="position:absolute;left:6242;top:3085;width:39;height:39" coordorigin="6242,3085" coordsize="39,39" path="m6261,3085l6242,3104,6261,3123,6281,3104,6261,3085xe" filled="true" fillcolor="#4f81bc" stroked="false">
              <v:path arrowok="t"/>
              <v:fill type="solid"/>
            </v:shape>
            <v:shape style="position:absolute;left:6242;top:3085;width:39;height:39" coordorigin="6242,3085" coordsize="39,39" path="m6261,3085l6281,3104,6261,3123,6242,3104,6261,3085xe" filled="false" stroked="true" strokeweight=".72pt" strokecolor="#497dba">
              <v:path arrowok="t"/>
            </v:shape>
            <v:shape style="position:absolute;left:6269;top:3159;width:39;height:39" coordorigin="6269,3159" coordsize="39,39" path="m6288,3159l6269,3179,6288,3198,6307,3179,6288,3159xe" filled="true" fillcolor="#4f81bc" stroked="false">
              <v:path arrowok="t"/>
              <v:fill type="solid"/>
            </v:shape>
            <v:shape style="position:absolute;left:6269;top:3159;width:39;height:39" coordorigin="6269,3159" coordsize="39,39" path="m6288,3159l6307,3179,6288,3198,6269,3179,6288,3159xe" filled="false" stroked="true" strokeweight=".72pt" strokecolor="#497dba">
              <v:path arrowok="t"/>
            </v:shape>
            <v:shape style="position:absolute;left:6297;top:3217;width:39;height:39" coordorigin="6297,3217" coordsize="39,39" path="m6317,3217l6297,3236,6317,3255,6336,3236,6317,3217xe" filled="true" fillcolor="#4f81bc" stroked="false">
              <v:path arrowok="t"/>
              <v:fill type="solid"/>
            </v:shape>
            <v:shape style="position:absolute;left:6297;top:3217;width:39;height:39" coordorigin="6297,3217" coordsize="39,39" path="m6317,3217l6336,3236,6317,3255,6297,3236,6317,3217xe" filled="false" stroked="true" strokeweight=".72pt" strokecolor="#497dba">
              <v:path arrowok="t"/>
            </v:shape>
            <v:shape style="position:absolute;left:6326;top:3270;width:39;height:39" coordorigin="6326,3270" coordsize="39,39" path="m6345,3270l6326,3289,6345,3308,6365,3289,6345,3270xe" filled="true" fillcolor="#4f81bc" stroked="false">
              <v:path arrowok="t"/>
              <v:fill type="solid"/>
            </v:shape>
            <v:shape style="position:absolute;left:6326;top:3270;width:39;height:39" coordorigin="6326,3270" coordsize="39,39" path="m6345,3270l6365,3289,6345,3308,6326,3289,6345,3270xe" filled="false" stroked="true" strokeweight=".72pt" strokecolor="#497dba">
              <v:path arrowok="t"/>
            </v:shape>
            <v:shape style="position:absolute;left:6353;top:3313;width:39;height:39" coordorigin="6353,3313" coordsize="39,39" path="m6372,3313l6353,3332,6372,3351,6391,3332,6372,3313xe" filled="true" fillcolor="#4f81bc" stroked="false">
              <v:path arrowok="t"/>
              <v:fill type="solid"/>
            </v:shape>
            <v:shape style="position:absolute;left:6353;top:3313;width:39;height:39" coordorigin="6353,3313" coordsize="39,39" path="m6372,3313l6391,3332,6372,3351,6353,3332,6372,3313xe" filled="false" stroked="true" strokeweight=".72pt" strokecolor="#497dba">
              <v:path arrowok="t"/>
            </v:shape>
            <v:shape style="position:absolute;left:6381;top:3349;width:39;height:39" coordorigin="6381,3349" coordsize="39,39" path="m6400,3349l6381,3368,6400,3387,6420,3368,6400,3349xe" filled="true" fillcolor="#4f81bc" stroked="false">
              <v:path arrowok="t"/>
              <v:fill type="solid"/>
            </v:shape>
            <v:shape style="position:absolute;left:6381;top:3349;width:39;height:39" coordorigin="6381,3349" coordsize="39,39" path="m6400,3349l6420,3368,6400,3387,6381,3368,6400,3349xe" filled="false" stroked="true" strokeweight=".72pt" strokecolor="#497dba">
              <v:path arrowok="t"/>
            </v:shape>
            <v:shape style="position:absolute;left:6408;top:3383;width:39;height:39" coordorigin="6408,3383" coordsize="39,39" path="m6427,3383l6408,3402,6427,3421,6446,3402,6427,3383xe" filled="true" fillcolor="#4f81bc" stroked="false">
              <v:path arrowok="t"/>
              <v:fill type="solid"/>
            </v:shape>
            <v:shape style="position:absolute;left:6408;top:3383;width:39;height:39" coordorigin="6408,3383" coordsize="39,39" path="m6427,3383l6446,3402,6427,3421,6408,3402,6427,3383xe" filled="false" stroked="true" strokeweight=".72pt" strokecolor="#497dba">
              <v:path arrowok="t"/>
            </v:shape>
            <v:shape style="position:absolute;left:6437;top:3407;width:39;height:39" coordorigin="6437,3407" coordsize="39,39" path="m6456,3407l6437,3426,6456,3445,6475,3426,6456,3407xe" filled="true" fillcolor="#4f81bc" stroked="false">
              <v:path arrowok="t"/>
              <v:fill type="solid"/>
            </v:shape>
            <v:shape style="position:absolute;left:6437;top:3407;width:39;height:39" coordorigin="6437,3407" coordsize="39,39" path="m6456,3407l6475,3426,6456,3445,6437,3426,6456,3407xe" filled="false" stroked="true" strokeweight=".72pt" strokecolor="#497dba">
              <v:path arrowok="t"/>
            </v:shape>
            <v:shape style="position:absolute;left:6463;top:3431;width:39;height:39" coordorigin="6463,3431" coordsize="39,39" path="m6482,3431l6463,3450,6482,3469,6501,3450,6482,3431xe" filled="true" fillcolor="#4f81bc" stroked="false">
              <v:path arrowok="t"/>
              <v:fill type="solid"/>
            </v:shape>
            <v:shape style="position:absolute;left:6463;top:3431;width:39;height:39" coordorigin="6463,3431" coordsize="39,39" path="m6482,3431l6501,3450,6482,3469,6463,3450,6482,3431xe" filled="false" stroked="true" strokeweight=".72pt" strokecolor="#497dba">
              <v:path arrowok="t"/>
            </v:shape>
            <v:shape style="position:absolute;left:6492;top:3445;width:39;height:39" coordorigin="6492,3445" coordsize="39,39" path="m6511,3445l6492,3464,6511,3483,6530,3464,6511,3445xe" filled="true" fillcolor="#4f81bc" stroked="false">
              <v:path arrowok="t"/>
              <v:fill type="solid"/>
            </v:shape>
            <v:shape style="position:absolute;left:6492;top:3445;width:39;height:39" coordorigin="6492,3445" coordsize="39,39" path="m6511,3445l6530,3464,6511,3483,6492,3464,6511,3445xe" filled="false" stroked="true" strokeweight=".72pt" strokecolor="#497dba">
              <v:path arrowok="t"/>
            </v:shape>
            <v:shape style="position:absolute;left:6520;top:3464;width:39;height:39" coordorigin="6520,3464" coordsize="39,39" path="m6540,3464l6520,3483,6540,3503,6559,3483,6540,3464xe" filled="true" fillcolor="#4f81bc" stroked="false">
              <v:path arrowok="t"/>
              <v:fill type="solid"/>
            </v:shape>
            <v:shape style="position:absolute;left:6520;top:3464;width:39;height:39" coordorigin="6520,3464" coordsize="39,39" path="m6540,3464l6559,3483,6540,3503,6520,3483,6540,3464xe" filled="false" stroked="true" strokeweight=".72pt" strokecolor="#497dba">
              <v:path arrowok="t"/>
            </v:shape>
            <v:shape style="position:absolute;left:6547;top:3479;width:39;height:39" coordorigin="6547,3479" coordsize="39,39" path="m6566,3479l6547,3498,6566,3517,6585,3498,6566,3479xe" filled="true" fillcolor="#4f81bc" stroked="false">
              <v:path arrowok="t"/>
              <v:fill type="solid"/>
            </v:shape>
            <v:shape style="position:absolute;left:6547;top:3479;width:39;height:39" coordorigin="6547,3479" coordsize="39,39" path="m6566,3479l6585,3498,6566,3517,6547,3498,6566,3479xe" filled="false" stroked="true" strokeweight=".72pt" strokecolor="#497dba">
              <v:path arrowok="t"/>
            </v:shape>
            <v:shape style="position:absolute;left:6576;top:3491;width:39;height:39" coordorigin="6576,3491" coordsize="39,39" path="m6595,3491l6576,3510,6595,3529,6614,3510,6595,3491xe" filled="true" fillcolor="#4f81bc" stroked="false">
              <v:path arrowok="t"/>
              <v:fill type="solid"/>
            </v:shape>
            <v:shape style="position:absolute;left:6576;top:3491;width:39;height:39" coordorigin="6576,3491" coordsize="39,39" path="m6595,3491l6614,3510,6595,3529,6576,3510,6595,3491xe" filled="false" stroked="true" strokeweight=".72pt" strokecolor="#497dba">
              <v:path arrowok="t"/>
            </v:shape>
            <v:shape style="position:absolute;left:6602;top:3503;width:39;height:39" coordorigin="6602,3503" coordsize="39,39" path="m6621,3503l6602,3522,6621,3541,6641,3522,6621,3503xe" filled="true" fillcolor="#4f81bc" stroked="false">
              <v:path arrowok="t"/>
              <v:fill type="solid"/>
            </v:shape>
            <v:shape style="position:absolute;left:6602;top:3503;width:39;height:39" coordorigin="6602,3503" coordsize="39,39" path="m6621,3503l6641,3522,6621,3541,6602,3522,6621,3503xe" filled="false" stroked="true" strokeweight=".72pt" strokecolor="#497dba">
              <v:path arrowok="t"/>
            </v:shape>
            <v:shape style="position:absolute;left:6631;top:3510;width:39;height:39" coordorigin="6631,3510" coordsize="39,39" path="m6650,3510l6631,3529,6650,3548,6669,3529,6650,3510xe" filled="true" fillcolor="#4f81bc" stroked="false">
              <v:path arrowok="t"/>
              <v:fill type="solid"/>
            </v:shape>
            <v:shape style="position:absolute;left:6631;top:3510;width:39;height:39" coordorigin="6631,3510" coordsize="39,39" path="m6650,3510l6669,3529,6650,3548,6631,3529,6650,3510xe" filled="false" stroked="true" strokeweight=".72pt" strokecolor="#497dba">
              <v:path arrowok="t"/>
            </v:shape>
            <v:shape style="position:absolute;left:6657;top:3512;width:39;height:39" coordorigin="6657,3512" coordsize="39,39" path="m6677,3512l6657,3531,6677,3551,6696,3531,6677,3512xe" filled="true" fillcolor="#4f81bc" stroked="false">
              <v:path arrowok="t"/>
              <v:fill type="solid"/>
            </v:shape>
            <v:shape style="position:absolute;left:6657;top:3512;width:39;height:39" coordorigin="6657,3512" coordsize="39,39" path="m6677,3512l6696,3531,6677,3551,6657,3531,6677,3512xe" filled="false" stroked="true" strokeweight=".72pt" strokecolor="#497dba">
              <v:path arrowok="t"/>
            </v:shape>
            <v:shape style="position:absolute;left:6686;top:3519;width:39;height:39" coordorigin="6686,3519" coordsize="39,39" path="m6705,3519l6686,3539,6705,3558,6725,3539,6705,3519xe" filled="true" fillcolor="#4f81bc" stroked="false">
              <v:path arrowok="t"/>
              <v:fill type="solid"/>
            </v:shape>
            <v:shape style="position:absolute;left:6686;top:3519;width:39;height:39" coordorigin="6686,3519" coordsize="39,39" path="m6705,3519l6725,3539,6705,3558,6686,3539,6705,3519xe" filled="false" stroked="true" strokeweight=".72pt" strokecolor="#497dba">
              <v:path arrowok="t"/>
            </v:shape>
            <v:shape style="position:absolute;left:6713;top:3524;width:39;height:39" coordorigin="6713,3524" coordsize="39,39" path="m6732,3524l6713,3543,6732,3563,6751,3543,6732,3524xe" filled="true" fillcolor="#4f81bc" stroked="false">
              <v:path arrowok="t"/>
              <v:fill type="solid"/>
            </v:shape>
            <v:shape style="position:absolute;left:6713;top:3524;width:39;height:39" coordorigin="6713,3524" coordsize="39,39" path="m6732,3524l6751,3543,6732,3563,6713,3543,6732,3524xe" filled="false" stroked="true" strokeweight=".72pt" strokecolor="#497dba">
              <v:path arrowok="t"/>
            </v:shape>
            <v:shape style="position:absolute;left:6741;top:3529;width:39;height:39" coordorigin="6741,3529" coordsize="39,39" path="m6760,3529l6741,3548,6760,3567,6780,3548,6760,3529xe" filled="true" fillcolor="#4f81bc" stroked="false">
              <v:path arrowok="t"/>
              <v:fill type="solid"/>
            </v:shape>
            <v:shape style="position:absolute;left:6741;top:3529;width:39;height:39" coordorigin="6741,3529" coordsize="39,39" path="m6760,3529l6780,3548,6760,3567,6741,3548,6760,3529xe" filled="false" stroked="true" strokeweight=".72pt" strokecolor="#497dba">
              <v:path arrowok="t"/>
            </v:shape>
            <v:shape style="position:absolute;left:6770;top:3531;width:39;height:39" coordorigin="6770,3531" coordsize="39,39" path="m6789,3531l6770,3551,6789,3570,6809,3551,6789,3531xe" filled="true" fillcolor="#4f81bc" stroked="false">
              <v:path arrowok="t"/>
              <v:fill type="solid"/>
            </v:shape>
            <v:shape style="position:absolute;left:6770;top:3531;width:39;height:39" coordorigin="6770,3531" coordsize="39,39" path="m6789,3531l6809,3551,6789,3570,6770,3551,6789,3531xe" filled="false" stroked="true" strokeweight=".72pt" strokecolor="#497dba">
              <v:path arrowok="t"/>
            </v:shape>
            <v:shape style="position:absolute;left:6797;top:3534;width:39;height:39" coordorigin="6797,3534" coordsize="39,39" path="m6816,3534l6797,3553,6816,3572,6835,3553,6816,3534xe" filled="true" fillcolor="#4f81bc" stroked="false">
              <v:path arrowok="t"/>
              <v:fill type="solid"/>
            </v:shape>
            <v:shape style="position:absolute;left:6797;top:3534;width:39;height:39" coordorigin="6797,3534" coordsize="39,39" path="m6816,3534l6835,3553,6816,3572,6797,3553,6816,3534xe" filled="false" stroked="true" strokeweight=".72pt" strokecolor="#497dba">
              <v:path arrowok="t"/>
            </v:shape>
            <v:shape style="position:absolute;left:6825;top:3534;width:39;height:39" coordorigin="6825,3534" coordsize="39,39" path="m6845,3534l6825,3553,6845,3572,6864,3553,6845,3534xe" filled="true" fillcolor="#4f81bc" stroked="false">
              <v:path arrowok="t"/>
              <v:fill type="solid"/>
            </v:shape>
            <v:shape style="position:absolute;left:6825;top:3534;width:39;height:39" coordorigin="6825,3534" coordsize="39,39" path="m6845,3534l6864,3553,6845,3572,6825,3553,6845,3534xe" filled="false" stroked="true" strokeweight=".72pt" strokecolor="#497dba">
              <v:path arrowok="t"/>
            </v:shape>
            <v:shape style="position:absolute;left:6852;top:3529;width:39;height:39" coordorigin="6852,3529" coordsize="39,39" path="m6871,3529l6852,3548,6871,3567,6890,3548,6871,3529xe" filled="true" fillcolor="#4f81bc" stroked="false">
              <v:path arrowok="t"/>
              <v:fill type="solid"/>
            </v:shape>
            <v:shape style="position:absolute;left:6852;top:3529;width:39;height:39" coordorigin="6852,3529" coordsize="39,39" path="m6871,3529l6890,3548,6871,3567,6852,3548,6871,3529xe" filled="false" stroked="true" strokeweight=".72pt" strokecolor="#497dba">
              <v:path arrowok="t"/>
            </v:shape>
            <v:shape style="position:absolute;left:6880;top:3524;width:39;height:39" coordorigin="6880,3524" coordsize="39,39" path="m6900,3524l6880,3543,6900,3563,6919,3543,6900,3524xe" filled="true" fillcolor="#4f81bc" stroked="false">
              <v:path arrowok="t"/>
              <v:fill type="solid"/>
            </v:shape>
            <v:shape style="position:absolute;left:6880;top:3524;width:39;height:39" coordorigin="6880,3524" coordsize="39,39" path="m6900,3524l6919,3543,6900,3563,6880,3543,6900,3524xe" filled="false" stroked="true" strokeweight=".72pt" strokecolor="#497dba">
              <v:path arrowok="t"/>
            </v:shape>
            <v:shape style="position:absolute;left:6907;top:3517;width:39;height:39" coordorigin="6907,3517" coordsize="39,39" path="m6926,3517l6907,3536,6926,3555,6945,3536,6926,3517xe" filled="true" fillcolor="#4f81bc" stroked="false">
              <v:path arrowok="t"/>
              <v:fill type="solid"/>
            </v:shape>
            <v:shape style="position:absolute;left:6907;top:3517;width:39;height:39" coordorigin="6907,3517" coordsize="39,39" path="m6926,3517l6945,3536,6926,3555,6907,3536,6926,3517xe" filled="false" stroked="true" strokeweight=".72pt" strokecolor="#497dba">
              <v:path arrowok="t"/>
            </v:shape>
            <v:shape style="position:absolute;left:6936;top:3505;width:39;height:39" coordorigin="6936,3505" coordsize="39,39" path="m6955,3505l6936,3524,6955,3543,6974,3524,6955,3505xe" filled="true" fillcolor="#4f81bc" stroked="false">
              <v:path arrowok="t"/>
              <v:fill type="solid"/>
            </v:shape>
            <v:shape style="position:absolute;left:6936;top:3505;width:39;height:39" coordorigin="6936,3505" coordsize="39,39" path="m6955,3505l6974,3524,6955,3543,6936,3524,6955,3505xe" filled="false" stroked="true" strokeweight=".72pt" strokecolor="#497dba">
              <v:path arrowok="t"/>
            </v:shape>
            <v:shape style="position:absolute;left:6965;top:3498;width:39;height:39" coordorigin="6965,3498" coordsize="39,39" path="m6984,3498l6965,3517,6984,3536,7003,3517,6984,3498xe" filled="true" fillcolor="#4f81bc" stroked="false">
              <v:path arrowok="t"/>
              <v:fill type="solid"/>
            </v:shape>
            <v:shape style="position:absolute;left:6965;top:3498;width:39;height:39" coordorigin="6965,3498" coordsize="39,39" path="m6984,3498l7003,3517,6984,3536,6965,3517,6984,3498xe" filled="false" stroked="true" strokeweight=".72pt" strokecolor="#497dba">
              <v:path arrowok="t"/>
            </v:shape>
            <v:shape style="position:absolute;left:6991;top:3483;width:39;height:39" coordorigin="6991,3483" coordsize="39,39" path="m7010,3483l6991,3503,7010,3522,7029,3503,7010,3483xe" filled="true" fillcolor="#4f81bc" stroked="false">
              <v:path arrowok="t"/>
              <v:fill type="solid"/>
            </v:shape>
            <v:shape style="position:absolute;left:6991;top:3483;width:39;height:39" coordorigin="6991,3483" coordsize="39,39" path="m7010,3483l7029,3503,7010,3522,6991,3503,7010,3483xe" filled="false" stroked="true" strokeweight=".72pt" strokecolor="#497dba">
              <v:path arrowok="t"/>
            </v:shape>
            <v:shape style="position:absolute;left:7020;top:3469;width:39;height:39" coordorigin="7020,3469" coordsize="39,39" path="m7039,3469l7020,3488,7039,3507,7058,3488,7039,3469xe" filled="true" fillcolor="#4f81bc" stroked="false">
              <v:path arrowok="t"/>
              <v:fill type="solid"/>
            </v:shape>
            <v:shape style="position:absolute;left:7020;top:3469;width:39;height:39" coordorigin="7020,3469" coordsize="39,39" path="m7039,3469l7058,3488,7039,3507,7020,3488,7039,3469xe" filled="false" stroked="true" strokeweight=".72pt" strokecolor="#497dba">
              <v:path arrowok="t"/>
            </v:shape>
            <v:shape style="position:absolute;left:7046;top:3452;width:39;height:39" coordorigin="7046,3452" coordsize="39,39" path="m7065,3452l7046,3471,7065,3491,7085,3471,7065,3452xe" filled="true" fillcolor="#4f81bc" stroked="false">
              <v:path arrowok="t"/>
              <v:fill type="solid"/>
            </v:shape>
            <v:shape style="position:absolute;left:7046;top:3452;width:39;height:39" coordorigin="7046,3452" coordsize="39,39" path="m7065,3452l7085,3471,7065,3491,7046,3471,7065,3452xe" filled="false" stroked="true" strokeweight=".72pt" strokecolor="#497dba">
              <v:path arrowok="t"/>
            </v:shape>
            <v:shape style="position:absolute;left:7075;top:3435;width:39;height:39" coordorigin="7075,3435" coordsize="39,39" path="m7094,3435l7075,3455,7094,3474,7113,3455,7094,3435xe" filled="true" fillcolor="#4f81bc" stroked="false">
              <v:path arrowok="t"/>
              <v:fill type="solid"/>
            </v:shape>
            <v:shape style="position:absolute;left:7075;top:3435;width:39;height:39" coordorigin="7075,3435" coordsize="39,39" path="m7094,3435l7113,3455,7094,3474,7075,3455,7094,3435xe" filled="false" stroked="true" strokeweight=".72pt" strokecolor="#497dba">
              <v:path arrowok="t"/>
            </v:shape>
            <v:shape style="position:absolute;left:7101;top:3409;width:39;height:39" coordorigin="7101,3409" coordsize="39,39" path="m7120,3409l7101,3428,7120,3447,7140,3428,7120,3409xe" filled="true" fillcolor="#4f81bc" stroked="false">
              <v:path arrowok="t"/>
              <v:fill type="solid"/>
            </v:shape>
            <v:shape style="position:absolute;left:7101;top:3409;width:39;height:39" coordorigin="7101,3409" coordsize="39,39" path="m7120,3409l7140,3428,7120,3447,7101,3428,7120,3409xe" filled="false" stroked="true" strokeweight=".72pt" strokecolor="#497dba">
              <v:path arrowok="t"/>
            </v:shape>
            <v:shape style="position:absolute;left:7130;top:3383;width:39;height:39" coordorigin="7130,3383" coordsize="39,39" path="m7149,3383l7130,3402,7149,3421,7169,3402,7149,3383xe" filled="true" fillcolor="#4f81bc" stroked="false">
              <v:path arrowok="t"/>
              <v:fill type="solid"/>
            </v:shape>
            <v:shape style="position:absolute;left:7130;top:3383;width:39;height:39" coordorigin="7130,3383" coordsize="39,39" path="m7149,3383l7169,3402,7149,3421,7130,3402,7149,3383xe" filled="false" stroked="true" strokeweight=".72pt" strokecolor="#497dba">
              <v:path arrowok="t"/>
            </v:shape>
            <v:shape style="position:absolute;left:7159;top:3349;width:39;height:39" coordorigin="7159,3349" coordsize="39,39" path="m7178,3349l7159,3368,7178,3387,7197,3368,7178,3349xe" filled="true" fillcolor="#4f81bc" stroked="false">
              <v:path arrowok="t"/>
              <v:fill type="solid"/>
            </v:shape>
            <v:shape style="position:absolute;left:7159;top:3349;width:39;height:39" coordorigin="7159,3349" coordsize="39,39" path="m7178,3349l7197,3368,7178,3387,7159,3368,7178,3349xe" filled="false" stroked="true" strokeweight=".72pt" strokecolor="#497dba">
              <v:path arrowok="t"/>
            </v:shape>
            <v:shape style="position:absolute;left:7185;top:3299;width:39;height:39" coordorigin="7185,3299" coordsize="39,39" path="m7205,3299l7185,3318,7205,3337,7224,3318,7205,3299xe" filled="true" fillcolor="#4f81bc" stroked="false">
              <v:path arrowok="t"/>
              <v:fill type="solid"/>
            </v:shape>
            <v:shape style="position:absolute;left:7185;top:3299;width:39;height:39" coordorigin="7185,3299" coordsize="39,39" path="m7205,3299l7224,3318,7205,3337,7185,3318,7205,3299xe" filled="false" stroked="true" strokeweight=".72pt" strokecolor="#497dba">
              <v:path arrowok="t"/>
            </v:shape>
            <v:shape style="position:absolute;left:7214;top:3234;width:39;height:39" coordorigin="7214,3234" coordsize="39,39" path="m7233,3234l7214,3253,7233,3272,7253,3253,7233,3234xe" filled="true" fillcolor="#4f81bc" stroked="false">
              <v:path arrowok="t"/>
              <v:fill type="solid"/>
            </v:shape>
            <v:shape style="position:absolute;left:7214;top:3234;width:39;height:39" coordorigin="7214,3234" coordsize="39,39" path="m7233,3234l7253,3253,7233,3272,7214,3253,7233,3234xe" filled="false" stroked="true" strokeweight=".72pt" strokecolor="#497dba">
              <v:path arrowok="t"/>
            </v:shape>
            <v:shape style="position:absolute;left:7240;top:3152;width:39;height:39" coordorigin="7240,3152" coordsize="39,39" path="m7260,3152l7240,3171,7260,3191,7279,3171,7260,3152xe" filled="true" fillcolor="#4f81bc" stroked="false">
              <v:path arrowok="t"/>
              <v:fill type="solid"/>
            </v:shape>
            <v:shape style="position:absolute;left:7240;top:3152;width:39;height:39" coordorigin="7240,3152" coordsize="39,39" path="m7260,3152l7279,3171,7260,3191,7240,3171,7260,3152xe" filled="false" stroked="true" strokeweight=".72pt" strokecolor="#497dba">
              <v:path arrowok="t"/>
            </v:shape>
            <v:shape style="position:absolute;left:7269;top:3061;width:39;height:39" coordorigin="7269,3061" coordsize="39,39" path="m7288,3061l7269,3080,7288,3099,7308,3080,7288,3061xe" filled="true" fillcolor="#4f81bc" stroked="false">
              <v:path arrowok="t"/>
              <v:fill type="solid"/>
            </v:shape>
            <v:shape style="position:absolute;left:7269;top:3061;width:39;height:39" coordorigin="7269,3061" coordsize="39,39" path="m7288,3061l7308,3080,7288,3099,7269,3080,7288,3061xe" filled="false" stroked="true" strokeweight=".72pt" strokecolor="#497dba">
              <v:path arrowok="t"/>
            </v:shape>
            <v:shape style="position:absolute;left:7296;top:2963;width:39;height:39" coordorigin="7296,2963" coordsize="39,39" path="m7315,2963l7296,2982,7315,3001,7334,2982,7315,2963xe" filled="true" fillcolor="#4f81bc" stroked="false">
              <v:path arrowok="t"/>
              <v:fill type="solid"/>
            </v:shape>
            <v:shape style="position:absolute;left:7296;top:2963;width:39;height:39" coordorigin="7296,2963" coordsize="39,39" path="m7315,2963l7334,2982,7315,3001,7296,2982,7315,2963xe" filled="false" stroked="true" strokeweight=".72pt" strokecolor="#497dba">
              <v:path arrowok="t"/>
            </v:shape>
            <v:shape style="position:absolute;left:7325;top:2871;width:39;height:39" coordorigin="7325,2871" coordsize="39,39" path="m7344,2871l7325,2891,7344,2910,7363,2891,7344,2871xe" filled="true" fillcolor="#4f81bc" stroked="false">
              <v:path arrowok="t"/>
              <v:fill type="solid"/>
            </v:shape>
            <v:shape style="position:absolute;left:7325;top:2871;width:39;height:39" coordorigin="7325,2871" coordsize="39,39" path="m7344,2871l7363,2891,7344,2910,7325,2891,7344,2871xe" filled="false" stroked="true" strokeweight=".72pt" strokecolor="#497dba">
              <v:path arrowok="t"/>
            </v:shape>
            <v:shape style="position:absolute;left:7351;top:2809;width:39;height:39" coordorigin="7351,2809" coordsize="39,39" path="m7370,2809l7351,2828,7370,2847,7389,2828,7370,2809xe" filled="true" fillcolor="#4f81bc" stroked="false">
              <v:path arrowok="t"/>
              <v:fill type="solid"/>
            </v:shape>
            <v:shape style="position:absolute;left:7351;top:2809;width:39;height:39" coordorigin="7351,2809" coordsize="39,39" path="m7370,2809l7389,2828,7370,2847,7351,2828,7370,2809xe" filled="false" stroked="true" strokeweight=".72pt" strokecolor="#497dba">
              <v:path arrowok="t"/>
            </v:shape>
            <v:shape style="position:absolute;left:7380;top:2730;width:39;height:39" coordorigin="7380,2730" coordsize="39,39" path="m7399,2730l7380,2749,7399,2768,7418,2749,7399,2730xe" filled="true" fillcolor="#4f81bc" stroked="false">
              <v:path arrowok="t"/>
              <v:fill type="solid"/>
            </v:shape>
            <v:shape style="position:absolute;left:7380;top:2730;width:39;height:39" coordorigin="7380,2730" coordsize="39,39" path="m7399,2730l7418,2749,7399,2768,7380,2749,7399,2730xe" filled="false" stroked="true" strokeweight=".72pt" strokecolor="#497dba">
              <v:path arrowok="t"/>
            </v:shape>
            <v:shape style="position:absolute;left:7409;top:2605;width:39;height:39" coordorigin="7409,2605" coordsize="39,39" path="m7428,2605l7409,2624,7428,2643,7447,2624,7428,2605xe" filled="true" fillcolor="#4f81bc" stroked="false">
              <v:path arrowok="t"/>
              <v:fill type="solid"/>
            </v:shape>
            <v:shape style="position:absolute;left:7409;top:2605;width:39;height:39" coordorigin="7409,2605" coordsize="39,39" path="m7428,2605l7447,2624,7428,2643,7409,2624,7428,2605xe" filled="false" stroked="true" strokeweight=".72pt" strokecolor="#497dba">
              <v:path arrowok="t"/>
            </v:shape>
            <v:shape style="position:absolute;left:7435;top:2439;width:39;height:39" coordorigin="7435,2439" coordsize="39,39" path="m7454,2439l7435,2459,7454,2478,7473,2459,7454,2439xe" filled="true" fillcolor="#4f81bc" stroked="false">
              <v:path arrowok="t"/>
              <v:fill type="solid"/>
            </v:shape>
            <v:shape style="position:absolute;left:7435;top:2439;width:39;height:39" coordorigin="7435,2439" coordsize="39,39" path="m7454,2439l7473,2459,7454,2478,7435,2459,7454,2439xe" filled="false" stroked="true" strokeweight=".72pt" strokecolor="#497dba">
              <v:path arrowok="t"/>
            </v:shape>
            <v:shape style="position:absolute;left:7464;top:2226;width:39;height:39" coordorigin="7464,2226" coordsize="39,39" path="m7483,2226l7464,2245,7483,2264,7502,2245,7483,2226xe" filled="true" fillcolor="#4f81bc" stroked="false">
              <v:path arrowok="t"/>
              <v:fill type="solid"/>
            </v:shape>
            <v:shape style="position:absolute;left:7464;top:2226;width:39;height:39" coordorigin="7464,2226" coordsize="39,39" path="m7483,2226l7502,2245,7483,2264,7464,2245,7483,2226xe" filled="false" stroked="true" strokeweight=".72pt" strokecolor="#497dba">
              <v:path arrowok="t"/>
            </v:shape>
            <v:shape style="position:absolute;left:7490;top:1991;width:39;height:39" coordorigin="7490,1991" coordsize="39,39" path="m7509,1991l7490,2010,7509,2029,7529,2010,7509,1991xe" filled="true" fillcolor="#4f81bc" stroked="false">
              <v:path arrowok="t"/>
              <v:fill type="solid"/>
            </v:shape>
            <v:shape style="position:absolute;left:7490;top:1991;width:39;height:39" coordorigin="7490,1991" coordsize="39,39" path="m7509,1991l7529,2010,7509,2029,7490,2010,7509,1991xe" filled="false" stroked="true" strokeweight=".72pt" strokecolor="#497dba">
              <v:path arrowok="t"/>
            </v:shape>
            <v:shape style="position:absolute;left:7512;top:1662;width:137;height:197" type="#_x0000_t75" stroked="false">
              <v:imagedata r:id="rId41" o:title=""/>
            </v:shape>
            <v:shape style="position:absolute;left:7629;top:1861;width:39;height:39" coordorigin="7629,1861" coordsize="39,39" path="m7648,1861l7629,1880,7648,1899,7668,1880,7648,1861xe" filled="true" fillcolor="#4f81bc" stroked="false">
              <v:path arrowok="t"/>
              <v:fill type="solid"/>
            </v:shape>
            <v:shape style="position:absolute;left:7629;top:1861;width:39;height:39" coordorigin="7629,1861" coordsize="39,39" path="m7648,1861l7668,1880,7648,1899,7629,1880,7648,1861xe" filled="false" stroked="true" strokeweight=".72pt" strokecolor="#497dba">
              <v:path arrowok="t"/>
            </v:shape>
            <v:shape style="position:absolute;left:7658;top:1991;width:39;height:39" coordorigin="7658,1991" coordsize="39,39" path="m7677,1991l7658,2010,7677,2029,7697,2010,7677,1991xe" filled="true" fillcolor="#4f81bc" stroked="false">
              <v:path arrowok="t"/>
              <v:fill type="solid"/>
            </v:shape>
            <v:shape style="position:absolute;left:7658;top:1991;width:39;height:39" coordorigin="7658,1991" coordsize="39,39" path="m7677,1991l7697,2010,7677,2029,7658,2010,7677,1991xe" filled="false" stroked="true" strokeweight=".72pt" strokecolor="#497dba">
              <v:path arrowok="t"/>
            </v:shape>
            <v:shape style="position:absolute;left:2395;top:2151;width:6058;height:3703" type="#_x0000_t75" stroked="false">
              <v:imagedata r:id="rId42" o:title=""/>
            </v:shape>
            <v:shape style="position:absolute;left:5798;top:2015;width:39;height:39" coordorigin="5798,2015" coordsize="39,39" path="m5817,2034l5798,2053,5837,2053,5817,2034xm5837,2015l5798,2015,5817,2034,5837,2015xe" filled="true" fillcolor="#8063a1" stroked="false">
              <v:path arrowok="t"/>
              <v:fill type="solid"/>
            </v:shape>
            <v:shape style="position:absolute;left:5798;top:2015;width:39;height:39" coordorigin="5798,2015" coordsize="39,39" path="m5837,2053l5798,2015m5798,2053l5837,2015e" filled="false" stroked="true" strokeweight=".72pt" strokecolor="#7c5f9f">
              <v:path arrowok="t"/>
            </v:shape>
            <v:shape style="position:absolute;left:9756;top:3251;width:39;height:39" coordorigin="9756,3251" coordsize="39,39" path="m9775,3251l9756,3270,9775,3289,9794,3270,9775,3251xe" filled="true" fillcolor="#4f81bc" stroked="false">
              <v:path arrowok="t"/>
              <v:fill type="solid"/>
            </v:shape>
            <v:shape style="position:absolute;left:9756;top:3251;width:39;height:39" coordorigin="9756,3251" coordsize="39,39" path="m9775,3251l9794,3270,9775,3289,9756,3270,9775,3251xe" filled="false" stroked="true" strokeweight=".72pt" strokecolor="#497dba">
              <v:path arrowok="t"/>
            </v:shape>
            <v:shape style="position:absolute;left:9756;top:3613;width:39;height:39" coordorigin="9756,3613" coordsize="39,39" path="m9775,3613l9756,3652,9794,3652,9775,3613xe" filled="true" fillcolor="#9bba58" stroked="false">
              <v:path arrowok="t"/>
              <v:fill type="solid"/>
            </v:shape>
            <v:shape style="position:absolute;left:9756;top:3613;width:39;height:39" coordorigin="9756,3613" coordsize="39,39" path="m9775,3613l9794,3652,9756,3652,9775,3613xe" filled="false" stroked="true" strokeweight=".72pt" strokecolor="#97b853">
              <v:path arrowok="t"/>
            </v:shape>
            <v:shape style="position:absolute;left:9756;top:3976;width:39;height:39" coordorigin="9756,3976" coordsize="39,39" path="m9775,3995l9756,4014,9794,4014,9775,3995xm9794,3976l9756,3976,9775,3995,9794,3976xe" filled="true" fillcolor="#8063a1" stroked="false">
              <v:path arrowok="t"/>
              <v:fill type="solid"/>
            </v:shape>
            <v:shape style="position:absolute;left:9756;top:3976;width:39;height:39" coordorigin="9756,3976" coordsize="39,39" path="m9794,4014l9756,3976m9756,4014l9794,3976e" filled="false" stroked="true" strokeweight=".75pt" strokecolor="#7c5f9f">
              <v:path arrowok="t"/>
            </v:shape>
            <v:shape style="position:absolute;left:9756;top:4336;width:20;height:39" coordorigin="9756,4336" coordsize="20,39" path="m9775,4355l9756,4374,9775,4374,9775,4355xm9775,4336l9756,4336,9775,4355,9775,4336xe" filled="true" fillcolor="#4aacc5" stroked="false">
              <v:path arrowok="t"/>
              <v:fill type="solid"/>
            </v:shape>
            <v:shape style="position:absolute;left:9756;top:4336;width:39;height:39" coordorigin="9756,4336" coordsize="39,39" path="m9794,4374l9756,4336m9775,4336l9775,4374m9756,4374l9794,4336e" filled="false" stroked="true" strokeweight=".75pt" strokecolor="#46aac5">
              <v:path arrowok="t"/>
            </v:shape>
            <v:rect style="position:absolute;left:1889;top:1182;width:9015;height:5265" filled="false" stroked="true" strokeweight=".75pt" strokecolor="#858585"/>
            <v:shape style="position:absolute;left:3824;top:1550;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1.10E-04</w:t>
                    </w:r>
                  </w:p>
                </w:txbxContent>
              </v:textbox>
              <w10:wrap type="none"/>
            </v:shape>
            <v:shape style="position:absolute;left:3824;top:2264;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8.00E-05</w:t>
                    </w:r>
                  </w:p>
                </w:txbxContent>
              </v:textbox>
              <w10:wrap type="none"/>
            </v:shape>
            <v:shape style="position:absolute;left:3824;top:2977;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5.00E-05</w:t>
                    </w:r>
                  </w:p>
                </w:txbxContent>
              </v:textbox>
              <w10:wrap type="none"/>
            </v:shape>
            <v:shape style="position:absolute;left:9881;top:3180;width:820;height:200" type="#_x0000_t202" filled="false" stroked="false">
              <v:textbox inset="0,0,0,0">
                <w:txbxContent>
                  <w:p>
                    <w:pPr>
                      <w:spacing w:line="199" w:lineRule="exact" w:before="0"/>
                      <w:ind w:left="0" w:right="-17" w:firstLine="0"/>
                      <w:jc w:val="left"/>
                      <w:rPr>
                        <w:rFonts w:ascii="Calibri"/>
                        <w:sz w:val="20"/>
                      </w:rPr>
                    </w:pPr>
                    <w:r>
                      <w:rPr>
                        <w:rFonts w:ascii="Calibri"/>
                        <w:sz w:val="20"/>
                      </w:rPr>
                      <w:t>muestra</w:t>
                    </w:r>
                    <w:r>
                      <w:rPr>
                        <w:rFonts w:ascii="Calibri"/>
                        <w:spacing w:val="-5"/>
                        <w:sz w:val="20"/>
                      </w:rPr>
                      <w:t> </w:t>
                    </w:r>
                    <w:r>
                      <w:rPr>
                        <w:rFonts w:ascii="Calibri"/>
                        <w:sz w:val="20"/>
                      </w:rPr>
                      <w:t>1</w:t>
                    </w:r>
                  </w:p>
                </w:txbxContent>
              </v:textbox>
              <w10:wrap type="none"/>
            </v:shape>
            <v:shape style="position:absolute;left:3824;top:3691;width:71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2.00E-05</w:t>
                    </w:r>
                  </w:p>
                </w:txbxContent>
              </v:textbox>
              <w10:wrap type="none"/>
            </v:shape>
            <v:shape style="position:absolute;left:9881;top:3541;width:821;height:924" type="#_x0000_t202" filled="false" stroked="false">
              <v:textbox inset="0,0,0,0">
                <w:txbxContent>
                  <w:p>
                    <w:pPr>
                      <w:spacing w:line="203" w:lineRule="exact" w:before="0"/>
                      <w:ind w:left="0" w:right="-17" w:firstLine="0"/>
                      <w:jc w:val="left"/>
                      <w:rPr>
                        <w:rFonts w:ascii="Calibri"/>
                        <w:sz w:val="20"/>
                      </w:rPr>
                    </w:pPr>
                    <w:r>
                      <w:rPr>
                        <w:rFonts w:ascii="Calibri"/>
                        <w:sz w:val="20"/>
                      </w:rPr>
                      <w:t>muestra</w:t>
                    </w:r>
                    <w:r>
                      <w:rPr>
                        <w:rFonts w:ascii="Calibri"/>
                        <w:spacing w:val="-4"/>
                        <w:sz w:val="20"/>
                      </w:rPr>
                      <w:t> </w:t>
                    </w:r>
                    <w:r>
                      <w:rPr>
                        <w:rFonts w:ascii="Calibri"/>
                        <w:sz w:val="20"/>
                      </w:rPr>
                      <w:t>2</w:t>
                    </w:r>
                  </w:p>
                  <w:p>
                    <w:pPr>
                      <w:spacing w:before="117"/>
                      <w:ind w:left="0" w:right="-16" w:firstLine="0"/>
                      <w:jc w:val="left"/>
                      <w:rPr>
                        <w:rFonts w:ascii="Calibri"/>
                        <w:sz w:val="20"/>
                      </w:rPr>
                    </w:pPr>
                    <w:r>
                      <w:rPr>
                        <w:rFonts w:ascii="Calibri"/>
                        <w:sz w:val="20"/>
                      </w:rPr>
                      <w:t>muestra</w:t>
                    </w:r>
                    <w:r>
                      <w:rPr>
                        <w:rFonts w:ascii="Calibri"/>
                        <w:spacing w:val="-5"/>
                        <w:sz w:val="20"/>
                      </w:rPr>
                      <w:t> </w:t>
                    </w:r>
                    <w:r>
                      <w:rPr>
                        <w:rFonts w:ascii="Calibri"/>
                        <w:sz w:val="20"/>
                      </w:rPr>
                      <w:t>3</w:t>
                    </w:r>
                  </w:p>
                  <w:p>
                    <w:pPr>
                      <w:spacing w:line="240" w:lineRule="exact" w:before="118"/>
                      <w:ind w:left="0" w:right="-16" w:firstLine="0"/>
                      <w:jc w:val="left"/>
                      <w:rPr>
                        <w:rFonts w:ascii="Calibri"/>
                        <w:sz w:val="20"/>
                      </w:rPr>
                    </w:pPr>
                    <w:r>
                      <w:rPr>
                        <w:rFonts w:ascii="Calibri"/>
                        <w:sz w:val="20"/>
                      </w:rPr>
                      <w:t>muestra</w:t>
                    </w:r>
                    <w:r>
                      <w:rPr>
                        <w:rFonts w:ascii="Calibri"/>
                        <w:spacing w:val="-5"/>
                        <w:sz w:val="20"/>
                      </w:rPr>
                      <w:t> </w:t>
                    </w:r>
                    <w:r>
                      <w:rPr>
                        <w:rFonts w:ascii="Calibri"/>
                        <w:sz w:val="20"/>
                      </w:rPr>
                      <w:t>4</w:t>
                    </w:r>
                  </w:p>
                </w:txbxContent>
              </v:textbox>
              <w10:wrap type="none"/>
            </v:shape>
            <v:shape style="position:absolute;left:2256;top:4426;width:315;height:200" type="#_x0000_t202" filled="false" stroked="false">
              <v:textbox inset="0,0,0,0">
                <w:txbxContent>
                  <w:p>
                    <w:pPr>
                      <w:spacing w:line="199" w:lineRule="exact" w:before="0"/>
                      <w:ind w:left="0" w:right="-20" w:firstLine="0"/>
                      <w:jc w:val="left"/>
                      <w:rPr>
                        <w:rFonts w:ascii="Calibri"/>
                        <w:sz w:val="20"/>
                      </w:rPr>
                    </w:pPr>
                    <w:r>
                      <w:rPr>
                        <w:rFonts w:ascii="Calibri"/>
                        <w:sz w:val="20"/>
                      </w:rPr>
                      <w:t>-0.5</w:t>
                    </w:r>
                  </w:p>
                </w:txbxContent>
              </v:textbox>
              <w10:wrap type="none"/>
            </v:shape>
            <v:shape style="position:absolute;left:3181;top:4404;width:1360;height:222" type="#_x0000_t202" filled="false" stroked="false">
              <v:textbox inset="0,0,0,0">
                <w:txbxContent>
                  <w:p>
                    <w:pPr>
                      <w:tabs>
                        <w:tab w:pos="582" w:val="left" w:leader="none"/>
                      </w:tabs>
                      <w:spacing w:line="221" w:lineRule="exact" w:before="0"/>
                      <w:ind w:left="0" w:right="0" w:firstLine="0"/>
                      <w:jc w:val="left"/>
                      <w:rPr>
                        <w:rFonts w:ascii="Calibri"/>
                        <w:sz w:val="20"/>
                      </w:rPr>
                    </w:pPr>
                    <w:r>
                      <w:rPr>
                        <w:rFonts w:ascii="Calibri"/>
                        <w:spacing w:val="1"/>
                        <w:w w:val="99"/>
                        <w:position w:val="-1"/>
                        <w:sz w:val="20"/>
                      </w:rPr>
                      <w:t>-</w:t>
                    </w:r>
                    <w:r>
                      <w:rPr>
                        <w:rFonts w:ascii="Calibri"/>
                        <w:w w:val="99"/>
                        <w:position w:val="-1"/>
                        <w:sz w:val="20"/>
                      </w:rPr>
                      <w:t>0.3</w:t>
                    </w:r>
                    <w:r>
                      <w:rPr>
                        <w:rFonts w:ascii="Calibri"/>
                        <w:position w:val="-1"/>
                        <w:sz w:val="20"/>
                      </w:rPr>
                      <w:tab/>
                    </w:r>
                    <w:r>
                      <w:rPr>
                        <w:rFonts w:ascii="Calibri"/>
                        <w:spacing w:val="1"/>
                        <w:w w:val="99"/>
                        <w:sz w:val="20"/>
                      </w:rPr>
                      <w:t>-</w:t>
                    </w:r>
                    <w:r>
                      <w:rPr>
                        <w:rFonts w:ascii="Calibri"/>
                        <w:w w:val="99"/>
                        <w:sz w:val="20"/>
                      </w:rPr>
                      <w:t>1.0</w:t>
                    </w:r>
                    <w:r>
                      <w:rPr>
                        <w:rFonts w:ascii="Calibri"/>
                        <w:spacing w:val="-73"/>
                        <w:w w:val="99"/>
                        <w:sz w:val="20"/>
                      </w:rPr>
                      <w:t>0</w:t>
                    </w:r>
                    <w:r>
                      <w:rPr>
                        <w:rFonts w:ascii="Calibri"/>
                        <w:spacing w:val="1"/>
                        <w:w w:val="99"/>
                        <w:position w:val="-1"/>
                        <w:sz w:val="20"/>
                      </w:rPr>
                      <w:t>-</w:t>
                    </w:r>
                    <w:r>
                      <w:rPr>
                        <w:rFonts w:ascii="Calibri"/>
                        <w:spacing w:val="-91"/>
                        <w:w w:val="99"/>
                        <w:position w:val="-1"/>
                        <w:sz w:val="20"/>
                      </w:rPr>
                      <w:t>0</w:t>
                    </w:r>
                    <w:r>
                      <w:rPr>
                        <w:rFonts w:ascii="Calibri"/>
                        <w:spacing w:val="-7"/>
                        <w:w w:val="99"/>
                        <w:sz w:val="20"/>
                      </w:rPr>
                      <w:t>E</w:t>
                    </w:r>
                    <w:r>
                      <w:rPr>
                        <w:rFonts w:ascii="Calibri"/>
                        <w:spacing w:val="-44"/>
                        <w:w w:val="99"/>
                        <w:position w:val="-1"/>
                        <w:sz w:val="20"/>
                      </w:rPr>
                      <w:t>.</w:t>
                    </w:r>
                    <w:r>
                      <w:rPr>
                        <w:rFonts w:ascii="Calibri"/>
                        <w:spacing w:val="-18"/>
                        <w:w w:val="99"/>
                        <w:sz w:val="20"/>
                      </w:rPr>
                      <w:t>-</w:t>
                    </w:r>
                    <w:r>
                      <w:rPr>
                        <w:rFonts w:ascii="Calibri"/>
                        <w:spacing w:val="-83"/>
                        <w:w w:val="99"/>
                        <w:position w:val="-1"/>
                        <w:sz w:val="20"/>
                      </w:rPr>
                      <w:t>1</w:t>
                    </w:r>
                    <w:r>
                      <w:rPr>
                        <w:rFonts w:ascii="Calibri"/>
                        <w:w w:val="99"/>
                        <w:sz w:val="20"/>
                      </w:rPr>
                      <w:t>05</w:t>
                    </w:r>
                  </w:p>
                </w:txbxContent>
              </v:textbox>
              <w10:wrap type="none"/>
            </v:shape>
            <v:shape style="position:absolute;left:5063;top:442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0.1</w:t>
                    </w:r>
                  </w:p>
                </w:txbxContent>
              </v:textbox>
              <w10:wrap type="none"/>
            </v:shape>
            <v:shape style="position:absolute;left:5988;top:4426;width:254;height:200" type="#_x0000_t202" filled="false" stroked="false">
              <v:textbox inset="0,0,0,0">
                <w:txbxContent>
                  <w:p>
                    <w:pPr>
                      <w:spacing w:line="199" w:lineRule="exact" w:before="0"/>
                      <w:ind w:left="0" w:right="-20" w:firstLine="0"/>
                      <w:jc w:val="left"/>
                      <w:rPr>
                        <w:rFonts w:ascii="Calibri"/>
                        <w:sz w:val="20"/>
                      </w:rPr>
                    </w:pPr>
                    <w:r>
                      <w:rPr>
                        <w:rFonts w:ascii="Calibri"/>
                        <w:sz w:val="20"/>
                      </w:rPr>
                      <w:t>0.3</w:t>
                    </w:r>
                  </w:p>
                </w:txbxContent>
              </v:textbox>
              <w10:wrap type="none"/>
            </v:shape>
            <v:shape style="position:absolute;left:6913;top:442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0.5</w:t>
                    </w:r>
                  </w:p>
                </w:txbxContent>
              </v:textbox>
              <w10:wrap type="none"/>
            </v:shape>
            <v:shape style="position:absolute;left:7838;top:442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0.7</w:t>
                    </w:r>
                  </w:p>
                </w:txbxContent>
              </v:textbox>
              <w10:wrap type="none"/>
            </v:shape>
            <v:shape style="position:absolute;left:8764;top:442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0.9</w:t>
                    </w:r>
                  </w:p>
                </w:txbxContent>
              </v:textbox>
              <w10:wrap type="none"/>
            </v:shape>
            <v:shape style="position:absolute;left:7908;top:4950;width:1820;height:200" type="#_x0000_t202" filled="false" stroked="false">
              <v:textbox inset="0,0,0,0">
                <w:txbxContent>
                  <w:p>
                    <w:pPr>
                      <w:spacing w:line="199" w:lineRule="exact" w:before="0"/>
                      <w:ind w:left="0" w:right="-12" w:firstLine="0"/>
                      <w:jc w:val="left"/>
                      <w:rPr>
                        <w:rFonts w:ascii="Calibri"/>
                        <w:b/>
                        <w:sz w:val="20"/>
                      </w:rPr>
                    </w:pPr>
                    <w:r>
                      <w:rPr>
                        <w:rFonts w:ascii="Calibri"/>
                        <w:b/>
                        <w:sz w:val="20"/>
                      </w:rPr>
                      <w:t>Voltaje (V) vs</w:t>
                    </w:r>
                    <w:r>
                      <w:rPr>
                        <w:rFonts w:ascii="Calibri"/>
                        <w:b/>
                        <w:spacing w:val="-9"/>
                        <w:sz w:val="20"/>
                      </w:rPr>
                      <w:t> </w:t>
                    </w:r>
                    <w:r>
                      <w:rPr>
                        <w:rFonts w:ascii="Calibri"/>
                        <w:b/>
                        <w:sz w:val="20"/>
                      </w:rPr>
                      <w:t>Ag/AgCl</w:t>
                    </w:r>
                  </w:p>
                </w:txbxContent>
              </v:textbox>
              <w10:wrap type="none"/>
            </v:shape>
            <v:shape style="position:absolute;left:3763;top:5118;width:778;height:200" type="#_x0000_t202" filled="false" stroked="false">
              <v:textbox inset="0,0,0,0">
                <w:txbxContent>
                  <w:p>
                    <w:pPr>
                      <w:spacing w:line="199" w:lineRule="exact" w:before="0"/>
                      <w:ind w:left="0" w:right="-20" w:firstLine="0"/>
                      <w:jc w:val="left"/>
                      <w:rPr>
                        <w:rFonts w:ascii="Calibri"/>
                        <w:sz w:val="20"/>
                      </w:rPr>
                    </w:pPr>
                    <w:r>
                      <w:rPr>
                        <w:rFonts w:ascii="Calibri"/>
                        <w:sz w:val="20"/>
                      </w:rPr>
                      <w:t>-4.00E-05</w:t>
                    </w:r>
                  </w:p>
                </w:txbxContent>
              </v:textbox>
              <w10:wrap type="none"/>
            </v:shape>
            <v:shape style="position:absolute;left:3763;top:5831;width:778;height:200" type="#_x0000_t202" filled="false" stroked="false">
              <v:textbox inset="0,0,0,0">
                <w:txbxContent>
                  <w:p>
                    <w:pPr>
                      <w:spacing w:line="199" w:lineRule="exact" w:before="0"/>
                      <w:ind w:left="0" w:right="-20" w:firstLine="0"/>
                      <w:jc w:val="left"/>
                      <w:rPr>
                        <w:rFonts w:ascii="Calibri"/>
                        <w:sz w:val="20"/>
                      </w:rPr>
                    </w:pPr>
                    <w:r>
                      <w:rPr>
                        <w:rFonts w:ascii="Calibri"/>
                        <w:sz w:val="20"/>
                      </w:rPr>
                      <w:t>-7.00E-05</w:t>
                    </w:r>
                  </w:p>
                </w:txbxContent>
              </v:textbox>
              <w10:wrap type="none"/>
            </v:shape>
            <w10:wrap type="none"/>
          </v:group>
        </w:pict>
      </w:r>
      <w:r>
        <w:rPr/>
        <w:pict>
          <v:shape style="position:absolute;margin-left:154.970001pt;margin-top:83.80246pt;width:12pt;height:18.9pt;mso-position-horizontal-relative:page;mso-position-vertical-relative:paragraph;z-index:3880" type="#_x0000_t202" filled="false" stroked="false">
            <v:textbox inset="0,0,0,0" style="layout-flow:vertical;mso-layout-flow-alt:bottom-to-top">
              <w:txbxContent>
                <w:p>
                  <w:pPr>
                    <w:spacing w:line="223" w:lineRule="exact" w:before="0"/>
                    <w:ind w:left="20" w:right="-44" w:firstLine="0"/>
                    <w:jc w:val="left"/>
                    <w:rPr>
                      <w:rFonts w:ascii="Calibri"/>
                      <w:b/>
                      <w:sz w:val="20"/>
                    </w:rPr>
                  </w:pPr>
                  <w:r>
                    <w:rPr>
                      <w:rFonts w:ascii="Calibri"/>
                      <w:b/>
                      <w:w w:val="99"/>
                      <w:sz w:val="20"/>
                    </w:rPr>
                    <w:t>i</w:t>
                  </w:r>
                  <w:r>
                    <w:rPr>
                      <w:rFonts w:ascii="Calibri"/>
                      <w:b/>
                      <w:spacing w:val="-2"/>
                      <w:sz w:val="20"/>
                    </w:rPr>
                    <w:t> </w:t>
                  </w:r>
                  <w:r>
                    <w:rPr>
                      <w:rFonts w:ascii="Calibri"/>
                      <w:b/>
                      <w:w w:val="99"/>
                      <w:sz w:val="20"/>
                    </w:rPr>
                    <w:t>(</w:t>
                  </w:r>
                  <w:r>
                    <w:rPr>
                      <w:rFonts w:ascii="Calibri"/>
                      <w:b/>
                      <w:spacing w:val="-1"/>
                      <w:w w:val="99"/>
                      <w:sz w:val="20"/>
                    </w:rPr>
                    <w:t>A</w:t>
                  </w:r>
                  <w:r>
                    <w:rPr>
                      <w:rFonts w:ascii="Calibri"/>
                      <w:b/>
                      <w:w w:val="99"/>
                      <w:sz w:val="20"/>
                    </w:rPr>
                    <w:t>)</w:t>
                  </w:r>
                </w:p>
              </w:txbxContent>
            </v:textbox>
            <w10:wrap type="none"/>
          </v:shape>
        </w:pict>
      </w:r>
      <w:r>
        <w:rPr>
          <w:b/>
          <w:sz w:val="20"/>
        </w:rPr>
        <w:t>Figura 15.3.5. Voltamperogramas cíclicos de todas las soluciones.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7"/>
        </w:rPr>
      </w:pPr>
    </w:p>
    <w:p>
      <w:pPr>
        <w:spacing w:line="360" w:lineRule="auto" w:before="0"/>
        <w:ind w:left="737" w:right="1207" w:firstLine="0"/>
        <w:jc w:val="center"/>
        <w:rPr>
          <w:b/>
          <w:sz w:val="20"/>
        </w:rPr>
      </w:pPr>
      <w:r>
        <w:rPr>
          <w:b/>
          <w:sz w:val="20"/>
        </w:rPr>
        <w:t>Figura 15.3.6: Voltamperogramas cíclicos de los depósitos redisueltos, las muestras 1 y 2 fueron corridas a la misma intensidad y las  muestras 2 y 4 corridas a la misma intensidad.</w:t>
      </w:r>
    </w:p>
    <w:p>
      <w:pPr>
        <w:spacing w:after="0" w:line="360" w:lineRule="auto"/>
        <w:jc w:val="center"/>
        <w:rPr>
          <w:sz w:val="20"/>
        </w:rPr>
        <w:sectPr>
          <w:pgSz w:w="12240" w:h="15840"/>
          <w:pgMar w:header="0" w:footer="654" w:top="1200" w:bottom="1060" w:left="1040" w:right="0"/>
        </w:sectPr>
      </w:pPr>
    </w:p>
    <w:p>
      <w:pPr>
        <w:pStyle w:val="BodyText"/>
        <w:rPr>
          <w:b/>
          <w:sz w:val="20"/>
        </w:rPr>
      </w:pPr>
      <w:r>
        <w:rPr/>
        <w:pict>
          <v:shape style="position:absolute;margin-left:151.470001pt;margin-top:103.552582pt;width:12pt;height:18.9pt;mso-position-horizontal-relative:page;mso-position-vertical-relative:page;z-index:4240" type="#_x0000_t202" filled="false" stroked="false">
            <v:textbox inset="0,0,0,0" style="layout-flow:vertical;mso-layout-flow-alt:bottom-to-top">
              <w:txbxContent>
                <w:p>
                  <w:pPr>
                    <w:spacing w:line="223" w:lineRule="exact" w:before="0"/>
                    <w:ind w:left="20" w:right="-44" w:firstLine="0"/>
                    <w:jc w:val="left"/>
                    <w:rPr>
                      <w:rFonts w:ascii="Calibri"/>
                      <w:b/>
                      <w:sz w:val="20"/>
                    </w:rPr>
                  </w:pPr>
                  <w:r>
                    <w:rPr>
                      <w:rFonts w:ascii="Calibri"/>
                      <w:b/>
                      <w:w w:val="99"/>
                      <w:sz w:val="20"/>
                    </w:rPr>
                    <w:t>i</w:t>
                  </w:r>
                  <w:r>
                    <w:rPr>
                      <w:rFonts w:ascii="Calibri"/>
                      <w:b/>
                      <w:spacing w:val="-2"/>
                      <w:sz w:val="20"/>
                    </w:rPr>
                    <w:t> </w:t>
                  </w:r>
                  <w:r>
                    <w:rPr>
                      <w:rFonts w:ascii="Calibri"/>
                      <w:b/>
                      <w:w w:val="99"/>
                      <w:sz w:val="20"/>
                    </w:rPr>
                    <w:t>(</w:t>
                  </w:r>
                  <w:r>
                    <w:rPr>
                      <w:rFonts w:ascii="Calibri"/>
                      <w:b/>
                      <w:spacing w:val="-1"/>
                      <w:w w:val="99"/>
                      <w:sz w:val="20"/>
                    </w:rPr>
                    <w:t>A</w:t>
                  </w:r>
                  <w:r>
                    <w:rPr>
                      <w:rFonts w:ascii="Calibri"/>
                      <w:b/>
                      <w:w w:val="99"/>
                      <w:sz w:val="20"/>
                    </w:rPr>
                    <w:t>)</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9"/>
        </w:rPr>
      </w:pPr>
    </w:p>
    <w:p>
      <w:pPr>
        <w:spacing w:line="360" w:lineRule="auto" w:before="74"/>
        <w:ind w:left="1401" w:right="1346" w:hanging="504"/>
        <w:jc w:val="left"/>
        <w:rPr>
          <w:b/>
          <w:sz w:val="20"/>
        </w:rPr>
      </w:pPr>
      <w:r>
        <w:rPr/>
        <w:pict>
          <v:group style="position:absolute;margin-left:122.555pt;margin-top:-247.115112pt;width:394.5pt;height:225.75pt;mso-position-horizontal-relative:page;mso-position-vertical-relative:paragraph;z-index:4216" coordorigin="2451,-4942" coordsize="7890,4515">
            <v:shape style="position:absolute;left:2983;top:-4712;width:5139;height:3754" coordorigin="2983,-4712" coordsize="5139,3754" path="m4697,-959l4697,-4712m4632,-959l4697,-959m4632,-1621l4697,-1621m4632,-2283l4697,-2283m4632,-2946l4697,-2946m4632,-3608l4697,-3608m4632,-4271l4697,-4271m2983,-2063l8122,-2063m2983,-2063l2983,-2000m3840,-2063l3840,-2000m4697,-2063l4697,-2000e" filled="false" stroked="true" strokeweight=".72pt" strokecolor="#858585">
              <v:path arrowok="t"/>
            </v:shape>
            <v:shape style="position:absolute;left:2945;top:-3020;width:4356;height:1970" type="#_x0000_t75" stroked="false">
              <v:imagedata r:id="rId43" o:title=""/>
            </v:shape>
            <v:shape style="position:absolute;left:7265;top:-2063;width:857;height:63" coordorigin="7265,-2063" coordsize="857,63" path="m7265,-2063l7265,-2000m8122,-2063l8122,-2000e" filled="false" stroked="true" strokeweight=".72pt" strokecolor="#858585">
              <v:path arrowok="t"/>
            </v:shape>
            <v:shape style="position:absolute;left:6699;top:-3147;width:39;height:39" coordorigin="6699,-3147" coordsize="39,39" path="m6718,-3147l6699,-3128,6718,-3108,6738,-3128,6718,-3147xe" filled="true" fillcolor="#4f81bc" stroked="false">
              <v:path arrowok="t"/>
              <v:fill type="solid"/>
            </v:shape>
            <v:shape style="position:absolute;left:6699;top:-3147;width:39;height:39" coordorigin="6699,-3147" coordsize="39,39" path="m6718,-3147l6738,-3128,6718,-3108,6699,-3128,6718,-3147xe" filled="false" stroked="true" strokeweight=".72pt" strokecolor="#497dba">
              <v:path arrowok="t"/>
            </v:shape>
            <v:shape style="position:absolute;left:6726;top:-3360;width:39;height:39" coordorigin="6726,-3360" coordsize="39,39" path="m6745,-3360l6726,-3341,6745,-3322,6764,-3341,6745,-3360xe" filled="true" fillcolor="#4f81bc" stroked="false">
              <v:path arrowok="t"/>
              <v:fill type="solid"/>
            </v:shape>
            <v:shape style="position:absolute;left:6726;top:-3360;width:39;height:39" coordorigin="6726,-3360" coordsize="39,39" path="m6745,-3360l6764,-3341,6745,-3322,6726,-3341,6745,-3360xe" filled="false" stroked="true" strokeweight=".72pt" strokecolor="#497dba">
              <v:path arrowok="t"/>
            </v:shape>
            <v:shape style="position:absolute;left:6750;top:-3586;width:39;height:39" coordorigin="6750,-3586" coordsize="39,39" path="m6769,-3586l6750,-3567,6769,-3548,6788,-3567,6769,-3586xe" filled="true" fillcolor="#4f81bc" stroked="false">
              <v:path arrowok="t"/>
              <v:fill type="solid"/>
            </v:shape>
            <v:shape style="position:absolute;left:6750;top:-3586;width:39;height:39" coordorigin="6750,-3586" coordsize="39,39" path="m6769,-3586l6788,-3567,6769,-3548,6750,-3567,6769,-3586xe" filled="false" stroked="true" strokeweight=".72pt" strokecolor="#497dba">
              <v:path arrowok="t"/>
            </v:shape>
            <v:shape style="position:absolute;left:6776;top:-3800;width:39;height:39" coordorigin="6776,-3800" coordsize="39,39" path="m6795,-3800l6776,-3780,6795,-3761,6815,-3780,6795,-3800xe" filled="true" fillcolor="#4f81bc" stroked="false">
              <v:path arrowok="t"/>
              <v:fill type="solid"/>
            </v:shape>
            <v:shape style="position:absolute;left:6776;top:-3800;width:39;height:39" coordorigin="6776,-3800" coordsize="39,39" path="m6795,-3800l6815,-3780,6795,-3761,6776,-3780,6795,-3800xe" filled="false" stroked="true" strokeweight=".72pt" strokecolor="#497dba">
              <v:path arrowok="t"/>
            </v:shape>
            <v:shape style="position:absolute;left:6803;top:-4004;width:39;height:39" coordorigin="6803,-4004" coordsize="39,39" path="m6822,-4004l6803,-3984,6822,-3965,6841,-3984,6822,-4004xe" filled="true" fillcolor="#4f81bc" stroked="false">
              <v:path arrowok="t"/>
              <v:fill type="solid"/>
            </v:shape>
            <v:shape style="position:absolute;left:6803;top:-4004;width:39;height:39" coordorigin="6803,-4004" coordsize="39,39" path="m6822,-4004l6841,-3984,6822,-3965,6803,-3984,6822,-4004xe" filled="false" stroked="true" strokeweight=".72pt" strokecolor="#497dba">
              <v:path arrowok="t"/>
            </v:shape>
            <v:shape style="position:absolute;left:6827;top:-4186;width:39;height:39" coordorigin="6827,-4186" coordsize="39,39" path="m6846,-4186l6827,-4167,6846,-4148,6865,-4167,6846,-4186xe" filled="true" fillcolor="#4f81bc" stroked="false">
              <v:path arrowok="t"/>
              <v:fill type="solid"/>
            </v:shape>
            <v:shape style="position:absolute;left:6827;top:-4186;width:39;height:39" coordorigin="6827,-4186" coordsize="39,39" path="m6846,-4186l6865,-4167,6846,-4148,6827,-4167,6846,-4186xe" filled="false" stroked="true" strokeweight=".72pt" strokecolor="#497dba">
              <v:path arrowok="t"/>
            </v:shape>
            <v:shape style="position:absolute;left:6853;top:-4356;width:39;height:39" coordorigin="6853,-4356" coordsize="39,39" path="m6872,-4356l6853,-4337,6872,-4318,6891,-4337,6872,-4356xe" filled="true" fillcolor="#4f81bc" stroked="false">
              <v:path arrowok="t"/>
              <v:fill type="solid"/>
            </v:shape>
            <v:shape style="position:absolute;left:6853;top:-4356;width:39;height:39" coordorigin="6853,-4356" coordsize="39,39" path="m6872,-4356l6891,-4337,6872,-4318,6853,-4337,6872,-4356xe" filled="false" stroked="true" strokeweight=".72pt" strokecolor="#497dba">
              <v:path arrowok="t"/>
            </v:shape>
            <v:shape style="position:absolute;left:6879;top:-4500;width:39;height:39" coordorigin="6879,-4500" coordsize="39,39" path="m6898,-4500l6879,-4481,6898,-4462,6918,-4481,6898,-4500xe" filled="true" fillcolor="#4f81bc" stroked="false">
              <v:path arrowok="t"/>
              <v:fill type="solid"/>
            </v:shape>
            <v:shape style="position:absolute;left:6879;top:-4500;width:39;height:39" coordorigin="6879,-4500" coordsize="39,39" path="m6898,-4500l6918,-4481,6898,-4462,6879,-4481,6898,-4500xe" filled="false" stroked="true" strokeweight=".72pt" strokecolor="#497dba">
              <v:path arrowok="t"/>
            </v:shape>
            <v:shape style="position:absolute;left:6906;top:-4584;width:39;height:39" coordorigin="6906,-4584" coordsize="39,39" path="m6925,-4584l6906,-4565,6925,-4546,6944,-4565,6925,-4584xe" filled="true" fillcolor="#4f81bc" stroked="false">
              <v:path arrowok="t"/>
              <v:fill type="solid"/>
            </v:shape>
            <v:shape style="position:absolute;left:6906;top:-4584;width:39;height:39" coordorigin="6906,-4584" coordsize="39,39" path="m6925,-4584l6944,-4565,6925,-4546,6906,-4565,6925,-4584xe" filled="false" stroked="true" strokeweight=".72pt" strokecolor="#497dba">
              <v:path arrowok="t"/>
            </v:shape>
            <v:shape style="position:absolute;left:6930;top:-4565;width:39;height:39" coordorigin="6930,-4565" coordsize="39,39" path="m6949,-4565l6930,-4546,6949,-4527,6968,-4546,6949,-4565xe" filled="true" fillcolor="#4f81bc" stroked="false">
              <v:path arrowok="t"/>
              <v:fill type="solid"/>
            </v:shape>
            <v:shape style="position:absolute;left:6930;top:-4565;width:39;height:39" coordorigin="6930,-4565" coordsize="39,39" path="m6949,-4565l6968,-4546,6949,-4527,6930,-4546,6949,-4565xe" filled="false" stroked="true" strokeweight=".72pt" strokecolor="#497dba">
              <v:path arrowok="t"/>
            </v:shape>
            <v:shape style="position:absolute;left:6956;top:-4364;width:39;height:39" coordorigin="6956,-4364" coordsize="39,39" path="m6975,-4364l6956,-4344,6975,-4325,6995,-4344,6975,-4364xe" filled="true" fillcolor="#4f81bc" stroked="false">
              <v:path arrowok="t"/>
              <v:fill type="solid"/>
            </v:shape>
            <v:shape style="position:absolute;left:6956;top:-4364;width:39;height:39" coordorigin="6956,-4364" coordsize="39,39" path="m6975,-4364l6995,-4344,6975,-4325,6956,-4344,6975,-4364xe" filled="false" stroked="true" strokeweight=".72pt" strokecolor="#497dba">
              <v:path arrowok="t"/>
            </v:shape>
            <v:shape style="position:absolute;left:6983;top:-3874;width:39;height:39" coordorigin="6983,-3874" coordsize="39,39" path="m7002,-3874l6983,-3855,7002,-3836,7021,-3855,7002,-3874xe" filled="true" fillcolor="#4f81bc" stroked="false">
              <v:path arrowok="t"/>
              <v:fill type="solid"/>
            </v:shape>
            <v:shape style="position:absolute;left:6983;top:-3874;width:39;height:39" coordorigin="6983,-3874" coordsize="39,39" path="m7002,-3874l7021,-3855,7002,-3836,6983,-3855,7002,-3874xe" filled="false" stroked="true" strokeweight=".72pt" strokecolor="#497dba">
              <v:path arrowok="t"/>
            </v:shape>
            <v:shape style="position:absolute;left:7007;top:-3291;width:39;height:39" coordorigin="7007,-3291" coordsize="39,39" path="m7026,-3291l7007,-3272,7026,-3252,7045,-3272,7026,-3291xe" filled="true" fillcolor="#4f81bc" stroked="false">
              <v:path arrowok="t"/>
              <v:fill type="solid"/>
            </v:shape>
            <v:shape style="position:absolute;left:7007;top:-3291;width:39;height:39" coordorigin="7007,-3291" coordsize="39,39" path="m7026,-3291l7045,-3272,7026,-3252,7007,-3272,7026,-3291xe" filled="false" stroked="true" strokeweight=".72pt" strokecolor="#497dba">
              <v:path arrowok="t"/>
            </v:shape>
            <v:line style="position:absolute" from="6673,-3182" to="6714,-3182" stroked="true" strokeweight="2.04pt" strokecolor="#c0504d"/>
            <v:rect style="position:absolute;left:6673;top:-3202;width:41;height:41" filled="false" stroked="true" strokeweight=".72pt" strokecolor="#bd4a47"/>
            <v:line style="position:absolute" from="6699,-3465" to="6740,-3465" stroked="true" strokeweight="2.04pt" strokecolor="#c0504d"/>
            <v:rect style="position:absolute;left:6699;top:-3485;width:41;height:41" filled="false" stroked="true" strokeweight=".72pt" strokecolor="#bd4a47"/>
            <v:line style="position:absolute" from="6726,-3762" to="6767,-3762" stroked="true" strokeweight="2.04pt" strokecolor="#c0504d"/>
            <v:rect style="position:absolute;left:6726;top:-3783;width:41;height:41" filled="false" stroked="true" strokeweight=".72pt" strokecolor="#bd4a47"/>
            <v:line style="position:absolute" from="6750,-4074" to="6791,-4074" stroked="true" strokeweight="2.04pt" strokecolor="#c0504d"/>
            <v:rect style="position:absolute;left:6750;top:-4095;width:41;height:41" filled="false" stroked="true" strokeweight=".72pt" strokecolor="#bd4a47"/>
            <v:line style="position:absolute" from="6776,-4374" to="6817,-4374" stroked="true" strokeweight="2.04pt" strokecolor="#c0504d"/>
            <v:rect style="position:absolute;left:6776;top:-4395;width:41;height:41" filled="false" stroked="true" strokeweight=".72pt" strokecolor="#bd4a47"/>
            <v:line style="position:absolute" from="6803,-4617" to="6843,-4617" stroked="true" strokeweight="2.04pt" strokecolor="#c0504d"/>
            <v:rect style="position:absolute;left:6803;top:-4637;width:41;height:41" filled="false" stroked="true" strokeweight=".72pt" strokecolor="#bd4a47"/>
            <v:line style="position:absolute" from="6930,-4665" to="6971,-4665" stroked="true" strokeweight="2.04pt" strokecolor="#c0504d"/>
            <v:rect style="position:absolute;left:6930;top:-4685;width:41;height:41" filled="false" stroked="true" strokeweight=".72pt" strokecolor="#bd4a47"/>
            <v:line style="position:absolute" from="6956,-4478" to="6997,-4478" stroked="true" strokeweight="2.04pt" strokecolor="#c0504d"/>
            <v:rect style="position:absolute;left:6956;top:-4498;width:41;height:41" filled="false" stroked="true" strokeweight=".72pt" strokecolor="#bd4a47"/>
            <v:line style="position:absolute" from="6983,-4317" to="7023,-4317" stroked="true" strokeweight="2.04pt" strokecolor="#c0504d"/>
            <v:rect style="position:absolute;left:6983;top:-4337;width:41;height:41" filled="false" stroked="true" strokeweight=".72pt" strokecolor="#bd4a47"/>
            <v:line style="position:absolute" from="7007,-4197" to="7047,-4197" stroked="true" strokeweight="2.04pt" strokecolor="#c0504d"/>
            <v:rect style="position:absolute;left:7007;top:-4217;width:41;height:41" filled="false" stroked="true" strokeweight=".72pt" strokecolor="#bd4a47"/>
            <v:line style="position:absolute" from="7033,-3986" to="7074,-3986" stroked="true" strokeweight="2.04pt" strokecolor="#c0504d"/>
            <v:rect style="position:absolute;left:7033;top:-4006;width:41;height:41" filled="false" stroked="true" strokeweight=".72pt" strokecolor="#bd4a47"/>
            <v:line style="position:absolute" from="7059,-3446" to="7100,-3446" stroked="true" strokeweight="2.04pt" strokecolor="#c0504d"/>
            <v:rect style="position:absolute;left:7059;top:-3466;width:41;height:41" filled="false" stroked="true" strokeweight=".72pt" strokecolor="#bd4a47"/>
            <v:shape style="position:absolute;left:6673;top:-3202;width:39;height:39" coordorigin="6673,-3202" coordsize="39,39" path="m6692,-3202l6673,-3164,6711,-3164,6692,-3202xe" filled="true" fillcolor="#9bba58" stroked="false">
              <v:path arrowok="t"/>
              <v:fill type="solid"/>
            </v:shape>
            <v:shape style="position:absolute;left:6673;top:-3202;width:39;height:39" coordorigin="6673,-3202" coordsize="39,39" path="m6692,-3202l6711,-3164,6673,-3164,6692,-3202xe" filled="false" stroked="true" strokeweight=".72pt" strokecolor="#97b853">
              <v:path arrowok="t"/>
            </v:shape>
            <v:shape style="position:absolute;left:6699;top:-3485;width:39;height:39" coordorigin="6699,-3485" coordsize="39,39" path="m6718,-3485l6699,-3447,6738,-3447,6718,-3485xe" filled="true" fillcolor="#9bba58" stroked="false">
              <v:path arrowok="t"/>
              <v:fill type="solid"/>
            </v:shape>
            <v:shape style="position:absolute;left:6699;top:-3485;width:39;height:39" coordorigin="6699,-3485" coordsize="39,39" path="m6718,-3485l6738,-3447,6699,-3447,6718,-3485xe" filled="false" stroked="true" strokeweight=".72pt" strokecolor="#97b853">
              <v:path arrowok="t"/>
            </v:shape>
            <v:shape style="position:absolute;left:6726;top:-3783;width:39;height:39" coordorigin="6726,-3783" coordsize="39,39" path="m6745,-3783l6726,-3744,6764,-3744,6745,-3783xe" filled="true" fillcolor="#9bba58" stroked="false">
              <v:path arrowok="t"/>
              <v:fill type="solid"/>
            </v:shape>
            <v:shape style="position:absolute;left:6726;top:-3783;width:39;height:39" coordorigin="6726,-3783" coordsize="39,39" path="m6745,-3783l6764,-3744,6726,-3744,6745,-3783xe" filled="false" stroked="true" strokeweight=".72pt" strokecolor="#97b853">
              <v:path arrowok="t"/>
            </v:shape>
            <v:shape style="position:absolute;left:6750;top:-4095;width:39;height:39" coordorigin="6750,-4095" coordsize="39,39" path="m6769,-4095l6750,-4056,6788,-4056,6769,-4095xe" filled="true" fillcolor="#9bba58" stroked="false">
              <v:path arrowok="t"/>
              <v:fill type="solid"/>
            </v:shape>
            <v:shape style="position:absolute;left:6750;top:-4095;width:39;height:39" coordorigin="6750,-4095" coordsize="39,39" path="m6769,-4095l6788,-4056,6750,-4056,6769,-4095xe" filled="false" stroked="true" strokeweight=".72pt" strokecolor="#97b853">
              <v:path arrowok="t"/>
            </v:shape>
            <v:shape style="position:absolute;left:6776;top:-4395;width:39;height:39" coordorigin="6776,-4395" coordsize="39,39" path="m6795,-4395l6776,-4356,6815,-4356,6795,-4395xe" filled="true" fillcolor="#9bba58" stroked="false">
              <v:path arrowok="t"/>
              <v:fill type="solid"/>
            </v:shape>
            <v:shape style="position:absolute;left:6776;top:-4395;width:39;height:39" coordorigin="6776,-4395" coordsize="39,39" path="m6795,-4395l6815,-4356,6776,-4356,6795,-4395xe" filled="false" stroked="true" strokeweight=".72pt" strokecolor="#97b853">
              <v:path arrowok="t"/>
            </v:shape>
            <v:shape style="position:absolute;left:6803;top:-4637;width:39;height:39" coordorigin="6803,-4637" coordsize="39,39" path="m6822,-4637l6803,-4599,6841,-4599,6822,-4637xe" filled="true" fillcolor="#9bba58" stroked="false">
              <v:path arrowok="t"/>
              <v:fill type="solid"/>
            </v:shape>
            <v:shape style="position:absolute;left:6803;top:-4637;width:39;height:39" coordorigin="6803,-4637" coordsize="39,39" path="m6822,-4637l6841,-4599,6803,-4599,6822,-4637xe" filled="false" stroked="true" strokeweight=".72pt" strokecolor="#97b853">
              <v:path arrowok="t"/>
            </v:shape>
            <v:shape style="position:absolute;left:6930;top:-4685;width:39;height:39" coordorigin="6930,-4685" coordsize="39,39" path="m6949,-4685l6930,-4647,6968,-4647,6949,-4685xe" filled="true" fillcolor="#9bba58" stroked="false">
              <v:path arrowok="t"/>
              <v:fill type="solid"/>
            </v:shape>
            <v:shape style="position:absolute;left:6930;top:-4685;width:39;height:39" coordorigin="6930,-4685" coordsize="39,39" path="m6949,-4685l6968,-4647,6930,-4647,6949,-4685xe" filled="false" stroked="true" strokeweight=".72pt" strokecolor="#97b853">
              <v:path arrowok="t"/>
            </v:shape>
            <v:shape style="position:absolute;left:6956;top:-4498;width:39;height:39" coordorigin="6956,-4498" coordsize="39,39" path="m6975,-4498l6956,-4460,6995,-4460,6975,-4498xe" filled="true" fillcolor="#9bba58" stroked="false">
              <v:path arrowok="t"/>
              <v:fill type="solid"/>
            </v:shape>
            <v:shape style="position:absolute;left:6956;top:-4498;width:39;height:39" coordorigin="6956,-4498" coordsize="39,39" path="m6975,-4498l6995,-4460,6956,-4460,6975,-4498xe" filled="false" stroked="true" strokeweight=".72pt" strokecolor="#97b853">
              <v:path arrowok="t"/>
            </v:shape>
            <v:shape style="position:absolute;left:6983;top:-4337;width:39;height:39" coordorigin="6983,-4337" coordsize="39,39" path="m7002,-4337l6983,-4299,7021,-4299,7002,-4337xe" filled="true" fillcolor="#9bba58" stroked="false">
              <v:path arrowok="t"/>
              <v:fill type="solid"/>
            </v:shape>
            <v:shape style="position:absolute;left:6983;top:-4337;width:39;height:39" coordorigin="6983,-4337" coordsize="39,39" path="m7002,-4337l7021,-4299,6983,-4299,7002,-4337xe" filled="false" stroked="true" strokeweight=".72pt" strokecolor="#97b853">
              <v:path arrowok="t"/>
            </v:shape>
            <v:shape style="position:absolute;left:7007;top:-4217;width:39;height:39" coordorigin="7007,-4217" coordsize="39,39" path="m7026,-4217l7007,-4179,7045,-4179,7026,-4217xe" filled="true" fillcolor="#9bba58" stroked="false">
              <v:path arrowok="t"/>
              <v:fill type="solid"/>
            </v:shape>
            <v:shape style="position:absolute;left:7007;top:-4217;width:39;height:39" coordorigin="7007,-4217" coordsize="39,39" path="m7026,-4217l7045,-4179,7007,-4179,7026,-4217xe" filled="false" stroked="true" strokeweight=".72pt" strokecolor="#97b853">
              <v:path arrowok="t"/>
            </v:shape>
            <v:shape style="position:absolute;left:7033;top:-4006;width:39;height:39" coordorigin="7033,-4006" coordsize="39,39" path="m7052,-4006l7033,-3968,7071,-3968,7052,-4006xe" filled="true" fillcolor="#9bba58" stroked="false">
              <v:path arrowok="t"/>
              <v:fill type="solid"/>
            </v:shape>
            <v:shape style="position:absolute;left:7033;top:-4006;width:39;height:39" coordorigin="7033,-4006" coordsize="39,39" path="m7052,-4006l7071,-3968,7033,-3968,7052,-4006xe" filled="false" stroked="true" strokeweight=".72pt" strokecolor="#97b853">
              <v:path arrowok="t"/>
            </v:shape>
            <v:shape style="position:absolute;left:7059;top:-3466;width:39;height:39" coordorigin="7059,-3466" coordsize="39,39" path="m7078,-3466l7059,-3428,7098,-3428,7078,-3466xe" filled="true" fillcolor="#9bba58" stroked="false">
              <v:path arrowok="t"/>
              <v:fill type="solid"/>
            </v:shape>
            <v:shape style="position:absolute;left:7059;top:-3466;width:39;height:39" coordorigin="7059,-3466" coordsize="39,39" path="m7078,-3466l7098,-3428,7059,-3428,7078,-3466xe" filled="false" stroked="true" strokeweight=".72pt" strokecolor="#97b853">
              <v:path arrowok="t"/>
            </v:shape>
            <v:shape style="position:absolute;left:8498;top:-3767;width:39;height:39" coordorigin="8498,-3767" coordsize="39,39" path="m8518,-3767l8498,-3747,8518,-3728,8537,-3747,8518,-3767xe" filled="true" fillcolor="#4f81bc" stroked="false">
              <v:path arrowok="t"/>
              <v:fill type="solid"/>
            </v:shape>
            <v:shape style="position:absolute;left:8498;top:-3767;width:39;height:39" coordorigin="8498,-3767" coordsize="39,39" path="m8518,-3767l8537,-3747,8518,-3728,8498,-3747,8518,-3767xe" filled="false" stroked="true" strokeweight=".72pt" strokecolor="#497dba">
              <v:path arrowok="t"/>
            </v:shape>
            <v:line style="position:absolute" from="8498,-3384" to="8539,-3384" stroked="true" strokeweight="2.04pt" strokecolor="#c0504d"/>
            <v:rect style="position:absolute;left:8498;top:-3404;width:41;height:41" filled="false" stroked="true" strokeweight=".75pt" strokecolor="#bd4a47"/>
            <v:shape style="position:absolute;left:8498;top:-3044;width:39;height:39" coordorigin="8498,-3044" coordsize="39,39" path="m8518,-3044l8498,-3006,8537,-3006,8518,-3044xe" filled="true" fillcolor="#9bba58" stroked="false">
              <v:path arrowok="t"/>
              <v:fill type="solid"/>
            </v:shape>
            <v:shape style="position:absolute;left:8498;top:-3044;width:39;height:39" coordorigin="8498,-3044" coordsize="39,39" path="m8518,-3044l8537,-3006,8498,-3006,8518,-3044xe" filled="false" stroked="true" strokeweight=".72pt" strokecolor="#97b853">
              <v:path arrowok="t"/>
            </v:shape>
            <v:rect style="position:absolute;left:2459;top:-4935;width:7875;height:4500" filled="false" stroked="true" strokeweight=".75pt" strokecolor="#858585"/>
            <v:shape style="position:absolute;left:3794;top:-4364;width:718;height:200" type="#_x0000_t202" filled="false" stroked="false">
              <v:textbox inset="0,0,0,0">
                <w:txbxContent>
                  <w:p>
                    <w:pPr>
                      <w:spacing w:line="199" w:lineRule="exact" w:before="0"/>
                      <w:ind w:left="0" w:right="-19" w:firstLine="0"/>
                      <w:jc w:val="left"/>
                      <w:rPr>
                        <w:rFonts w:ascii="Calibri"/>
                        <w:sz w:val="20"/>
                      </w:rPr>
                    </w:pPr>
                    <w:r>
                      <w:rPr>
                        <w:rFonts w:ascii="Calibri"/>
                        <w:sz w:val="20"/>
                      </w:rPr>
                      <w:t>5.00E-04</w:t>
                    </w:r>
                  </w:p>
                </w:txbxContent>
              </v:textbox>
              <w10:wrap type="none"/>
            </v:shape>
            <v:shape style="position:absolute;left:3794;top:-3701;width:718;height:200" type="#_x0000_t202" filled="false" stroked="false">
              <v:textbox inset="0,0,0,0">
                <w:txbxContent>
                  <w:p>
                    <w:pPr>
                      <w:spacing w:line="199" w:lineRule="exact" w:before="0"/>
                      <w:ind w:left="0" w:right="-19" w:firstLine="0"/>
                      <w:jc w:val="left"/>
                      <w:rPr>
                        <w:rFonts w:ascii="Calibri"/>
                        <w:sz w:val="20"/>
                      </w:rPr>
                    </w:pPr>
                    <w:r>
                      <w:rPr>
                        <w:rFonts w:ascii="Calibri"/>
                        <w:sz w:val="20"/>
                      </w:rPr>
                      <w:t>3.50E-04</w:t>
                    </w:r>
                  </w:p>
                </w:txbxContent>
              </v:textbox>
              <w10:wrap type="none"/>
            </v:shape>
            <v:shape style="position:absolute;left:8623;top:-3840;width:1404;height:562" type="#_x0000_t202" filled="false" stroked="false">
              <v:textbox inset="0,0,0,0">
                <w:txbxContent>
                  <w:p>
                    <w:pPr>
                      <w:spacing w:line="203" w:lineRule="exact" w:before="0"/>
                      <w:ind w:left="0" w:right="-13" w:firstLine="0"/>
                      <w:jc w:val="left"/>
                      <w:rPr>
                        <w:rFonts w:ascii="Calibri"/>
                        <w:sz w:val="20"/>
                      </w:rPr>
                    </w:pPr>
                    <w:r>
                      <w:rPr>
                        <w:rFonts w:ascii="Calibri"/>
                        <w:sz w:val="20"/>
                      </w:rPr>
                      <w:t>sol.</w:t>
                    </w:r>
                    <w:r>
                      <w:rPr>
                        <w:rFonts w:ascii="Calibri"/>
                        <w:spacing w:val="-8"/>
                        <w:sz w:val="20"/>
                      </w:rPr>
                      <w:t> </w:t>
                    </w:r>
                    <w:r>
                      <w:rPr>
                        <w:rFonts w:ascii="Calibri"/>
                        <w:sz w:val="20"/>
                      </w:rPr>
                      <w:t>tratamiento1</w:t>
                    </w:r>
                  </w:p>
                  <w:p>
                    <w:pPr>
                      <w:spacing w:line="240" w:lineRule="exact" w:before="118"/>
                      <w:ind w:left="0" w:right="-13" w:firstLine="0"/>
                      <w:jc w:val="left"/>
                      <w:rPr>
                        <w:rFonts w:ascii="Calibri"/>
                        <w:sz w:val="20"/>
                      </w:rPr>
                    </w:pPr>
                    <w:r>
                      <w:rPr>
                        <w:rFonts w:ascii="Calibri"/>
                        <w:sz w:val="20"/>
                      </w:rPr>
                      <w:t>sol.</w:t>
                    </w:r>
                    <w:r>
                      <w:rPr>
                        <w:rFonts w:ascii="Calibri"/>
                        <w:spacing w:val="-8"/>
                        <w:sz w:val="20"/>
                      </w:rPr>
                      <w:t> </w:t>
                    </w:r>
                    <w:r>
                      <w:rPr>
                        <w:rFonts w:ascii="Calibri"/>
                        <w:sz w:val="20"/>
                      </w:rPr>
                      <w:t>tratamiento2</w:t>
                    </w:r>
                  </w:p>
                </w:txbxContent>
              </v:textbox>
              <w10:wrap type="none"/>
            </v:shape>
            <v:shape style="position:absolute;left:3794;top:-3039;width:718;height:200" type="#_x0000_t202" filled="false" stroked="false">
              <v:textbox inset="0,0,0,0">
                <w:txbxContent>
                  <w:p>
                    <w:pPr>
                      <w:spacing w:line="199" w:lineRule="exact" w:before="0"/>
                      <w:ind w:left="0" w:right="-19" w:firstLine="0"/>
                      <w:jc w:val="left"/>
                      <w:rPr>
                        <w:rFonts w:ascii="Calibri"/>
                        <w:sz w:val="20"/>
                      </w:rPr>
                    </w:pPr>
                    <w:r>
                      <w:rPr>
                        <w:rFonts w:ascii="Calibri"/>
                        <w:sz w:val="20"/>
                      </w:rPr>
                      <w:t>2.00E-04</w:t>
                    </w:r>
                  </w:p>
                </w:txbxContent>
              </v:textbox>
              <w10:wrap type="none"/>
            </v:shape>
            <v:shape style="position:absolute;left:8623;top:-3115;width:1403;height:200" type="#_x0000_t202" filled="false" stroked="false">
              <v:textbox inset="0,0,0,0">
                <w:txbxContent>
                  <w:p>
                    <w:pPr>
                      <w:spacing w:line="199" w:lineRule="exact" w:before="0"/>
                      <w:ind w:left="0" w:right="-14" w:firstLine="0"/>
                      <w:jc w:val="left"/>
                      <w:rPr>
                        <w:rFonts w:ascii="Calibri"/>
                        <w:sz w:val="20"/>
                      </w:rPr>
                    </w:pPr>
                    <w:r>
                      <w:rPr>
                        <w:rFonts w:ascii="Calibri"/>
                        <w:sz w:val="20"/>
                      </w:rPr>
                      <w:t>sol.</w:t>
                    </w:r>
                    <w:r>
                      <w:rPr>
                        <w:rFonts w:ascii="Calibri"/>
                        <w:spacing w:val="-8"/>
                        <w:sz w:val="20"/>
                      </w:rPr>
                      <w:t> </w:t>
                    </w:r>
                    <w:r>
                      <w:rPr>
                        <w:rFonts w:ascii="Calibri"/>
                        <w:sz w:val="20"/>
                      </w:rPr>
                      <w:t>tratamiento3</w:t>
                    </w:r>
                  </w:p>
                </w:txbxContent>
              </v:textbox>
              <w10:wrap type="none"/>
            </v:shape>
            <v:shape style="position:absolute;left:3794;top:-2376;width:718;height:200" type="#_x0000_t202" filled="false" stroked="false">
              <v:textbox inset="0,0,0,0">
                <w:txbxContent>
                  <w:p>
                    <w:pPr>
                      <w:spacing w:line="199" w:lineRule="exact" w:before="0"/>
                      <w:ind w:left="0" w:right="-19" w:firstLine="0"/>
                      <w:jc w:val="left"/>
                      <w:rPr>
                        <w:rFonts w:ascii="Calibri"/>
                        <w:sz w:val="20"/>
                      </w:rPr>
                    </w:pPr>
                    <w:r>
                      <w:rPr>
                        <w:rFonts w:ascii="Calibri"/>
                        <w:sz w:val="20"/>
                      </w:rPr>
                      <w:t>5.00E-05</w:t>
                    </w:r>
                  </w:p>
                </w:txbxContent>
              </v:textbox>
              <w10:wrap type="none"/>
            </v:shape>
            <v:shape style="position:absolute;left:2826;top:-1895;width:315;height:200" type="#_x0000_t202" filled="false" stroked="false">
              <v:textbox inset="0,0,0,0">
                <w:txbxContent>
                  <w:p>
                    <w:pPr>
                      <w:spacing w:line="199" w:lineRule="exact" w:before="0"/>
                      <w:ind w:left="0" w:right="-20" w:firstLine="0"/>
                      <w:jc w:val="left"/>
                      <w:rPr>
                        <w:rFonts w:ascii="Calibri"/>
                        <w:sz w:val="20"/>
                      </w:rPr>
                    </w:pPr>
                    <w:r>
                      <w:rPr>
                        <w:rFonts w:ascii="Calibri"/>
                        <w:sz w:val="20"/>
                      </w:rPr>
                      <w:t>-0.4</w:t>
                    </w:r>
                  </w:p>
                </w:txbxContent>
              </v:textbox>
              <w10:wrap type="none"/>
            </v:shape>
            <v:shape style="position:absolute;left:3683;top:-1895;width:829;height:381" type="#_x0000_t202" filled="false" stroked="false">
              <v:textbox inset="0,0,0,0">
                <w:txbxContent>
                  <w:p>
                    <w:pPr>
                      <w:spacing w:line="172" w:lineRule="exact" w:before="0"/>
                      <w:ind w:left="0" w:right="-19" w:firstLine="0"/>
                      <w:jc w:val="left"/>
                      <w:rPr>
                        <w:rFonts w:ascii="Calibri"/>
                        <w:sz w:val="20"/>
                      </w:rPr>
                    </w:pPr>
                    <w:r>
                      <w:rPr>
                        <w:rFonts w:ascii="Calibri"/>
                        <w:sz w:val="20"/>
                      </w:rPr>
                      <w:t>-0.2</w:t>
                    </w:r>
                  </w:p>
                  <w:p>
                    <w:pPr>
                      <w:spacing w:line="209" w:lineRule="exact" w:before="0"/>
                      <w:ind w:left="50" w:right="-19" w:firstLine="0"/>
                      <w:jc w:val="left"/>
                      <w:rPr>
                        <w:rFonts w:ascii="Calibri"/>
                        <w:sz w:val="20"/>
                      </w:rPr>
                    </w:pPr>
                    <w:r>
                      <w:rPr>
                        <w:rFonts w:ascii="Calibri"/>
                        <w:sz w:val="20"/>
                      </w:rPr>
                      <w:t>-1.00E-04</w:t>
                    </w:r>
                  </w:p>
                </w:txbxContent>
              </v:textbox>
              <w10:wrap type="none"/>
            </v:shape>
            <v:shape style="position:absolute;left:4646;top:-189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5427;top:-1895;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0.2</w:t>
                    </w:r>
                  </w:p>
                </w:txbxContent>
              </v:textbox>
              <w10:wrap type="none"/>
            </v:shape>
            <v:shape style="position:absolute;left:6284;top:-1895;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0.4</w:t>
                    </w:r>
                  </w:p>
                </w:txbxContent>
              </v:textbox>
              <w10:wrap type="none"/>
            </v:shape>
            <v:shape style="position:absolute;left:7140;top:-1895;width:2171;height:547" type="#_x0000_t202" filled="false" stroked="false">
              <v:textbox inset="0,0,0,0">
                <w:txbxContent>
                  <w:p>
                    <w:pPr>
                      <w:tabs>
                        <w:tab w:pos="856" w:val="left" w:leader="none"/>
                      </w:tabs>
                      <w:spacing w:line="203" w:lineRule="exact" w:before="0"/>
                      <w:ind w:left="0" w:right="0" w:firstLine="0"/>
                      <w:jc w:val="left"/>
                      <w:rPr>
                        <w:rFonts w:ascii="Calibri"/>
                        <w:sz w:val="20"/>
                      </w:rPr>
                    </w:pPr>
                    <w:r>
                      <w:rPr>
                        <w:rFonts w:ascii="Calibri"/>
                        <w:sz w:val="20"/>
                      </w:rPr>
                      <w:t>0.6</w:t>
                      <w:tab/>
                      <w:t>0.8</w:t>
                    </w:r>
                  </w:p>
                  <w:p>
                    <w:pPr>
                      <w:spacing w:line="240" w:lineRule="exact" w:before="103"/>
                      <w:ind w:left="351" w:right="-12" w:firstLine="0"/>
                      <w:jc w:val="left"/>
                      <w:rPr>
                        <w:rFonts w:ascii="Calibri"/>
                        <w:b/>
                        <w:sz w:val="20"/>
                      </w:rPr>
                    </w:pPr>
                    <w:r>
                      <w:rPr>
                        <w:rFonts w:ascii="Calibri"/>
                        <w:b/>
                        <w:sz w:val="20"/>
                      </w:rPr>
                      <w:t>Voltaje (V) vs</w:t>
                    </w:r>
                    <w:r>
                      <w:rPr>
                        <w:rFonts w:ascii="Calibri"/>
                        <w:b/>
                        <w:spacing w:val="-9"/>
                        <w:sz w:val="20"/>
                      </w:rPr>
                      <w:t> </w:t>
                    </w:r>
                    <w:r>
                      <w:rPr>
                        <w:rFonts w:ascii="Calibri"/>
                        <w:b/>
                        <w:sz w:val="20"/>
                      </w:rPr>
                      <w:t>Ag/AgCl</w:t>
                    </w:r>
                  </w:p>
                </w:txbxContent>
              </v:textbox>
              <w10:wrap type="none"/>
            </v:shape>
            <v:shape style="position:absolute;left:3733;top:-1051;width:778;height:200" type="#_x0000_t202" filled="false" stroked="false">
              <v:textbox inset="0,0,0,0">
                <w:txbxContent>
                  <w:p>
                    <w:pPr>
                      <w:spacing w:line="199" w:lineRule="exact" w:before="0"/>
                      <w:ind w:left="0" w:right="-20" w:firstLine="0"/>
                      <w:jc w:val="left"/>
                      <w:rPr>
                        <w:rFonts w:ascii="Calibri"/>
                        <w:sz w:val="20"/>
                      </w:rPr>
                    </w:pPr>
                    <w:r>
                      <w:rPr>
                        <w:rFonts w:ascii="Calibri"/>
                        <w:sz w:val="20"/>
                      </w:rPr>
                      <w:t>-2.50E-04</w:t>
                    </w:r>
                  </w:p>
                </w:txbxContent>
              </v:textbox>
              <w10:wrap type="none"/>
            </v:shape>
            <w10:wrap type="none"/>
          </v:group>
        </w:pict>
      </w:r>
      <w:r>
        <w:rPr>
          <w:b/>
          <w:sz w:val="20"/>
        </w:rPr>
        <w:t>Figura 15.3.7: Voltamperogramas cíclicos de los residuos generados de la técnica de DQO sin tratamiento electroquímico, las tres soluciones presentan características similares.</w:t>
      </w:r>
    </w:p>
    <w:p>
      <w:pPr>
        <w:pStyle w:val="BodyText"/>
        <w:rPr>
          <w:b/>
          <w:sz w:val="20"/>
        </w:rPr>
      </w:pPr>
    </w:p>
    <w:p>
      <w:pPr>
        <w:pStyle w:val="BodyText"/>
        <w:rPr>
          <w:b/>
          <w:sz w:val="20"/>
        </w:rPr>
      </w:pPr>
    </w:p>
    <w:p>
      <w:pPr>
        <w:pStyle w:val="BodyText"/>
        <w:rPr>
          <w:b/>
          <w:sz w:val="20"/>
        </w:rPr>
      </w:pPr>
    </w:p>
    <w:p>
      <w:pPr>
        <w:pStyle w:val="BodyText"/>
        <w:spacing w:before="2"/>
        <w:rPr>
          <w:b/>
          <w:sz w:val="22"/>
        </w:rPr>
      </w:pPr>
    </w:p>
    <w:p>
      <w:pPr>
        <w:pStyle w:val="BodyText"/>
        <w:spacing w:line="360" w:lineRule="auto"/>
        <w:ind w:left="662" w:right="1127"/>
        <w:jc w:val="both"/>
      </w:pPr>
      <w:r>
        <w:rPr/>
        <w:t>Con dichos diagramas se puede corroborar que el metal que se logra recuperar de los desechos de la determinación de la DQO es la plata, al mostrar su pico característico de oxidación el voltamperograma de los depósitos comparándolo con el voltamperograma de los blancos.</w:t>
      </w:r>
    </w:p>
    <w:p>
      <w:pPr>
        <w:pStyle w:val="BodyText"/>
        <w:spacing w:before="7"/>
      </w:pPr>
    </w:p>
    <w:p>
      <w:pPr>
        <w:pStyle w:val="BodyText"/>
        <w:spacing w:line="360" w:lineRule="auto"/>
        <w:ind w:left="662" w:right="1139"/>
        <w:jc w:val="both"/>
      </w:pPr>
      <w:r>
        <w:rPr/>
        <w:t>Los metales utilizados lograron separarse recuperando uno por medio de un tratamiento electroquímico, mientras se queda en la solución, para un posterior tratamiento.</w:t>
      </w:r>
    </w:p>
    <w:p>
      <w:pPr>
        <w:pStyle w:val="BodyText"/>
        <w:spacing w:before="7"/>
      </w:pPr>
    </w:p>
    <w:p>
      <w:pPr>
        <w:pStyle w:val="BodyText"/>
        <w:spacing w:line="360" w:lineRule="auto"/>
        <w:ind w:left="662" w:right="1127"/>
        <w:jc w:val="both"/>
      </w:pPr>
      <w:r>
        <w:rPr/>
        <w:t>Al</w:t>
      </w:r>
      <w:r>
        <w:rPr>
          <w:spacing w:val="-7"/>
        </w:rPr>
        <w:t> </w:t>
      </w:r>
      <w:r>
        <w:rPr/>
        <w:t>realizar</w:t>
      </w:r>
      <w:r>
        <w:rPr>
          <w:spacing w:val="-7"/>
        </w:rPr>
        <w:t> </w:t>
      </w:r>
      <w:r>
        <w:rPr/>
        <w:t>el</w:t>
      </w:r>
      <w:r>
        <w:rPr>
          <w:spacing w:val="-7"/>
        </w:rPr>
        <w:t> </w:t>
      </w:r>
      <w:r>
        <w:rPr/>
        <w:t>tratamiento</w:t>
      </w:r>
      <w:r>
        <w:rPr>
          <w:spacing w:val="-6"/>
        </w:rPr>
        <w:t> </w:t>
      </w:r>
      <w:r>
        <w:rPr/>
        <w:t>de</w:t>
      </w:r>
      <w:r>
        <w:rPr>
          <w:spacing w:val="-8"/>
        </w:rPr>
        <w:t> </w:t>
      </w:r>
      <w:r>
        <w:rPr/>
        <w:t>residuos</w:t>
      </w:r>
      <w:r>
        <w:rPr>
          <w:spacing w:val="-7"/>
        </w:rPr>
        <w:t> </w:t>
      </w:r>
      <w:r>
        <w:rPr/>
        <w:t>y</w:t>
      </w:r>
      <w:r>
        <w:rPr>
          <w:spacing w:val="-9"/>
        </w:rPr>
        <w:t> </w:t>
      </w:r>
      <w:r>
        <w:rPr/>
        <w:t>poder</w:t>
      </w:r>
      <w:r>
        <w:rPr>
          <w:spacing w:val="-7"/>
        </w:rPr>
        <w:t> </w:t>
      </w:r>
      <w:r>
        <w:rPr/>
        <w:t>recuperar</w:t>
      </w:r>
      <w:r>
        <w:rPr>
          <w:spacing w:val="-7"/>
        </w:rPr>
        <w:t> </w:t>
      </w:r>
      <w:r>
        <w:rPr/>
        <w:t>uno</w:t>
      </w:r>
      <w:r>
        <w:rPr>
          <w:spacing w:val="-6"/>
        </w:rPr>
        <w:t> </w:t>
      </w:r>
      <w:r>
        <w:rPr/>
        <w:t>de</w:t>
      </w:r>
      <w:r>
        <w:rPr>
          <w:spacing w:val="-6"/>
        </w:rPr>
        <w:t> </w:t>
      </w:r>
      <w:r>
        <w:rPr/>
        <w:t>los</w:t>
      </w:r>
      <w:r>
        <w:rPr>
          <w:spacing w:val="-9"/>
        </w:rPr>
        <w:t> </w:t>
      </w:r>
      <w:r>
        <w:rPr/>
        <w:t>metales</w:t>
      </w:r>
      <w:r>
        <w:rPr>
          <w:spacing w:val="-9"/>
        </w:rPr>
        <w:t> </w:t>
      </w:r>
      <w:r>
        <w:rPr/>
        <w:t>más</w:t>
      </w:r>
      <w:r>
        <w:rPr>
          <w:spacing w:val="-9"/>
        </w:rPr>
        <w:t> </w:t>
      </w:r>
      <w:r>
        <w:rPr/>
        <w:t>costosos para</w:t>
      </w:r>
      <w:r>
        <w:rPr>
          <w:spacing w:val="-16"/>
        </w:rPr>
        <w:t> </w:t>
      </w:r>
      <w:r>
        <w:rPr/>
        <w:t>la</w:t>
      </w:r>
      <w:r>
        <w:rPr>
          <w:spacing w:val="-18"/>
        </w:rPr>
        <w:t> </w:t>
      </w:r>
      <w:r>
        <w:rPr/>
        <w:t>determinación</w:t>
      </w:r>
      <w:r>
        <w:rPr>
          <w:spacing w:val="-18"/>
        </w:rPr>
        <w:t> </w:t>
      </w:r>
      <w:r>
        <w:rPr/>
        <w:t>de</w:t>
      </w:r>
      <w:r>
        <w:rPr>
          <w:spacing w:val="-16"/>
        </w:rPr>
        <w:t> </w:t>
      </w:r>
      <w:r>
        <w:rPr/>
        <w:t>la</w:t>
      </w:r>
      <w:r>
        <w:rPr>
          <w:spacing w:val="-16"/>
        </w:rPr>
        <w:t> </w:t>
      </w:r>
      <w:r>
        <w:rPr/>
        <w:t>DQO,</w:t>
      </w:r>
      <w:r>
        <w:rPr>
          <w:spacing w:val="-16"/>
        </w:rPr>
        <w:t> </w:t>
      </w:r>
      <w:r>
        <w:rPr/>
        <w:t>se</w:t>
      </w:r>
      <w:r>
        <w:rPr>
          <w:spacing w:val="-18"/>
        </w:rPr>
        <w:t> </w:t>
      </w:r>
      <w:r>
        <w:rPr/>
        <w:t>ayuda</w:t>
      </w:r>
      <w:r>
        <w:rPr>
          <w:spacing w:val="-16"/>
        </w:rPr>
        <w:t> </w:t>
      </w:r>
      <w:r>
        <w:rPr/>
        <w:t>a</w:t>
      </w:r>
      <w:r>
        <w:rPr>
          <w:spacing w:val="-18"/>
        </w:rPr>
        <w:t> </w:t>
      </w:r>
      <w:r>
        <w:rPr/>
        <w:t>la</w:t>
      </w:r>
      <w:r>
        <w:rPr>
          <w:spacing w:val="-16"/>
        </w:rPr>
        <w:t> </w:t>
      </w:r>
      <w:r>
        <w:rPr/>
        <w:t>disminución</w:t>
      </w:r>
      <w:r>
        <w:rPr>
          <w:spacing w:val="-18"/>
        </w:rPr>
        <w:t> </w:t>
      </w:r>
      <w:r>
        <w:rPr/>
        <w:t>de</w:t>
      </w:r>
      <w:r>
        <w:rPr>
          <w:spacing w:val="-16"/>
        </w:rPr>
        <w:t> </w:t>
      </w:r>
      <w:r>
        <w:rPr/>
        <w:t>residuos</w:t>
      </w:r>
      <w:r>
        <w:rPr>
          <w:spacing w:val="-16"/>
        </w:rPr>
        <w:t> </w:t>
      </w:r>
      <w:r>
        <w:rPr/>
        <w:t>tóxicos</w:t>
      </w:r>
      <w:r>
        <w:rPr>
          <w:spacing w:val="-16"/>
        </w:rPr>
        <w:t> </w:t>
      </w:r>
      <w:r>
        <w:rPr/>
        <w:t>y</w:t>
      </w:r>
      <w:r>
        <w:rPr>
          <w:spacing w:val="-19"/>
        </w:rPr>
        <w:t> </w:t>
      </w:r>
      <w:r>
        <w:rPr/>
        <w:t>al</w:t>
      </w:r>
      <w:r>
        <w:rPr>
          <w:spacing w:val="-9"/>
        </w:rPr>
        <w:t> </w:t>
      </w:r>
      <w:r>
        <w:rPr/>
        <w:t>reúso de reactivos en el laboratorio, como lo indican los principios de la química</w:t>
      </w:r>
      <w:r>
        <w:rPr>
          <w:spacing w:val="-24"/>
        </w:rPr>
        <w:t> </w:t>
      </w:r>
      <w:r>
        <w:rPr/>
        <w:t>verde.</w:t>
      </w:r>
    </w:p>
    <w:p>
      <w:pPr>
        <w:spacing w:after="0" w:line="360" w:lineRule="auto"/>
        <w:jc w:val="both"/>
        <w:sectPr>
          <w:pgSz w:w="12240" w:h="15840"/>
          <w:pgMar w:header="0" w:footer="654" w:top="1480" w:bottom="1060" w:left="104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91" w:lineRule="auto" w:before="140"/>
        <w:ind w:left="3408" w:hanging="267"/>
      </w:pPr>
      <w:r>
        <w:rPr>
          <w:w w:val="95"/>
        </w:rPr>
        <w:t>DISCUSIÓN </w:t>
      </w:r>
      <w:r>
        <w:rPr/>
        <w:t>GENERAL</w:t>
      </w:r>
    </w:p>
    <w:p>
      <w:pPr>
        <w:spacing w:after="0" w:line="391" w:lineRule="auto"/>
        <w:sectPr>
          <w:pgSz w:w="12240" w:h="15840"/>
          <w:pgMar w:header="0" w:footer="654" w:top="1500" w:bottom="1060" w:left="1040" w:right="560"/>
        </w:sectPr>
      </w:pPr>
    </w:p>
    <w:p>
      <w:pPr>
        <w:pStyle w:val="Heading3"/>
        <w:numPr>
          <w:ilvl w:val="0"/>
          <w:numId w:val="7"/>
        </w:numPr>
        <w:tabs>
          <w:tab w:pos="1195" w:val="left" w:leader="none"/>
        </w:tabs>
        <w:spacing w:line="240" w:lineRule="auto" w:before="48" w:after="0"/>
        <w:ind w:left="1194" w:right="0" w:hanging="532"/>
        <w:jc w:val="both"/>
      </w:pPr>
      <w:r>
        <w:rPr/>
        <w:t>DISCUSIÓN</w:t>
      </w:r>
      <w:r>
        <w:rPr>
          <w:spacing w:val="-10"/>
        </w:rPr>
        <w:t> </w:t>
      </w:r>
      <w:r>
        <w:rPr/>
        <w:t>GENERAL</w:t>
      </w:r>
    </w:p>
    <w:p>
      <w:pPr>
        <w:pStyle w:val="BodyText"/>
        <w:spacing w:before="9"/>
        <w:rPr>
          <w:b/>
          <w:sz w:val="33"/>
        </w:rPr>
      </w:pPr>
    </w:p>
    <w:p>
      <w:pPr>
        <w:pStyle w:val="BodyText"/>
        <w:spacing w:line="360" w:lineRule="auto"/>
        <w:ind w:left="662" w:right="567"/>
        <w:jc w:val="both"/>
      </w:pPr>
      <w:r>
        <w:rPr/>
        <w:t>A sustituir el agente oxidante tóxico y cancerígeno (Cr(VI)) por uno menos tóxico con el </w:t>
      </w:r>
      <w:r>
        <w:rPr>
          <w:position w:val="1"/>
        </w:rPr>
        <w:t>medio</w:t>
      </w:r>
      <w:r>
        <w:rPr>
          <w:spacing w:val="-13"/>
          <w:position w:val="1"/>
        </w:rPr>
        <w:t> </w:t>
      </w:r>
      <w:r>
        <w:rPr>
          <w:position w:val="1"/>
        </w:rPr>
        <w:t>ambiente</w:t>
      </w:r>
      <w:r>
        <w:rPr>
          <w:spacing w:val="-13"/>
          <w:position w:val="1"/>
        </w:rPr>
        <w:t> </w:t>
      </w:r>
      <w:r>
        <w:rPr>
          <w:position w:val="1"/>
        </w:rPr>
        <w:t>como</w:t>
      </w:r>
      <w:r>
        <w:rPr>
          <w:spacing w:val="-13"/>
          <w:position w:val="1"/>
        </w:rPr>
        <w:t> </w:t>
      </w:r>
      <w:r>
        <w:rPr>
          <w:position w:val="1"/>
        </w:rPr>
        <w:t>lo</w:t>
      </w:r>
      <w:r>
        <w:rPr>
          <w:spacing w:val="-13"/>
          <w:position w:val="1"/>
        </w:rPr>
        <w:t> </w:t>
      </w:r>
      <w:r>
        <w:rPr>
          <w:position w:val="1"/>
        </w:rPr>
        <w:t>es</w:t>
      </w:r>
      <w:r>
        <w:rPr>
          <w:spacing w:val="-14"/>
          <w:position w:val="1"/>
        </w:rPr>
        <w:t> </w:t>
      </w:r>
      <w:r>
        <w:rPr>
          <w:position w:val="1"/>
        </w:rPr>
        <w:t>el</w:t>
      </w:r>
      <w:r>
        <w:rPr>
          <w:spacing w:val="-17"/>
          <w:position w:val="1"/>
        </w:rPr>
        <w:t> </w:t>
      </w:r>
      <w:r>
        <w:rPr>
          <w:position w:val="1"/>
        </w:rPr>
        <w:t>peróxido</w:t>
      </w:r>
      <w:r>
        <w:rPr>
          <w:spacing w:val="-13"/>
          <w:position w:val="1"/>
        </w:rPr>
        <w:t> </w:t>
      </w:r>
      <w:r>
        <w:rPr>
          <w:position w:val="1"/>
        </w:rPr>
        <w:t>de</w:t>
      </w:r>
      <w:r>
        <w:rPr>
          <w:spacing w:val="-13"/>
          <w:position w:val="1"/>
        </w:rPr>
        <w:t> </w:t>
      </w:r>
      <w:r>
        <w:rPr>
          <w:position w:val="1"/>
        </w:rPr>
        <w:t>hidrógeno</w:t>
      </w:r>
      <w:r>
        <w:rPr>
          <w:spacing w:val="-13"/>
          <w:position w:val="1"/>
        </w:rPr>
        <w:t> </w:t>
      </w:r>
      <w:r>
        <w:rPr>
          <w:position w:val="1"/>
        </w:rPr>
        <w:t>(H</w:t>
      </w:r>
      <w:r>
        <w:rPr>
          <w:sz w:val="16"/>
        </w:rPr>
        <w:t>2</w:t>
      </w:r>
      <w:r>
        <w:rPr>
          <w:position w:val="1"/>
        </w:rPr>
        <w:t>O</w:t>
      </w:r>
      <w:r>
        <w:rPr>
          <w:sz w:val="16"/>
        </w:rPr>
        <w:t>2</w:t>
      </w:r>
      <w:r>
        <w:rPr>
          <w:position w:val="1"/>
        </w:rPr>
        <w:t>),</w:t>
      </w:r>
      <w:r>
        <w:rPr>
          <w:spacing w:val="-13"/>
          <w:position w:val="1"/>
        </w:rPr>
        <w:t> </w:t>
      </w:r>
      <w:r>
        <w:rPr>
          <w:position w:val="1"/>
        </w:rPr>
        <w:t>se</w:t>
      </w:r>
      <w:r>
        <w:rPr>
          <w:spacing w:val="-13"/>
          <w:position w:val="1"/>
        </w:rPr>
        <w:t> </w:t>
      </w:r>
      <w:r>
        <w:rPr>
          <w:position w:val="1"/>
        </w:rPr>
        <w:t>logra</w:t>
      </w:r>
      <w:r>
        <w:rPr>
          <w:spacing w:val="-16"/>
          <w:position w:val="1"/>
        </w:rPr>
        <w:t> </w:t>
      </w:r>
      <w:r>
        <w:rPr>
          <w:position w:val="1"/>
        </w:rPr>
        <w:t>obtener</w:t>
      </w:r>
      <w:r>
        <w:rPr>
          <w:spacing w:val="-15"/>
          <w:position w:val="1"/>
        </w:rPr>
        <w:t> </w:t>
      </w:r>
      <w:r>
        <w:rPr>
          <w:position w:val="1"/>
        </w:rPr>
        <w:t>una</w:t>
      </w:r>
      <w:r>
        <w:rPr>
          <w:spacing w:val="-13"/>
          <w:position w:val="1"/>
        </w:rPr>
        <w:t> </w:t>
      </w:r>
      <w:r>
        <w:rPr>
          <w:position w:val="1"/>
        </w:rPr>
        <w:t>técnica </w:t>
      </w:r>
      <w:r>
        <w:rPr/>
        <w:t>más amigable con el medio ambiente. Se realizaron determinaciones de la DQO en 5 tipos distintos de agua residual, para verificar que la técnica podía aplicarse a diferentes tipos</w:t>
      </w:r>
      <w:r>
        <w:rPr>
          <w:spacing w:val="-10"/>
        </w:rPr>
        <w:t> </w:t>
      </w:r>
      <w:r>
        <w:rPr/>
        <w:t>de</w:t>
      </w:r>
      <w:r>
        <w:rPr>
          <w:spacing w:val="-9"/>
        </w:rPr>
        <w:t> </w:t>
      </w:r>
      <w:r>
        <w:rPr/>
        <w:t>agua,</w:t>
      </w:r>
      <w:r>
        <w:rPr>
          <w:spacing w:val="-10"/>
        </w:rPr>
        <w:t> </w:t>
      </w:r>
      <w:r>
        <w:rPr/>
        <w:t>con</w:t>
      </w:r>
      <w:r>
        <w:rPr>
          <w:spacing w:val="-9"/>
        </w:rPr>
        <w:t> </w:t>
      </w:r>
      <w:r>
        <w:rPr/>
        <w:t>parámetros</w:t>
      </w:r>
      <w:r>
        <w:rPr>
          <w:spacing w:val="-10"/>
        </w:rPr>
        <w:t> </w:t>
      </w:r>
      <w:r>
        <w:rPr/>
        <w:t>de</w:t>
      </w:r>
      <w:r>
        <w:rPr>
          <w:spacing w:val="-9"/>
        </w:rPr>
        <w:t> </w:t>
      </w:r>
      <w:r>
        <w:rPr/>
        <w:t>DQO</w:t>
      </w:r>
      <w:r>
        <w:rPr>
          <w:spacing w:val="-7"/>
        </w:rPr>
        <w:t> </w:t>
      </w:r>
      <w:r>
        <w:rPr/>
        <w:t>de</w:t>
      </w:r>
      <w:r>
        <w:rPr>
          <w:spacing w:val="-9"/>
        </w:rPr>
        <w:t> </w:t>
      </w:r>
      <w:r>
        <w:rPr/>
        <w:t>diferentes</w:t>
      </w:r>
      <w:r>
        <w:rPr>
          <w:spacing w:val="-9"/>
        </w:rPr>
        <w:t> </w:t>
      </w:r>
      <w:r>
        <w:rPr/>
        <w:t>concentraciones.</w:t>
      </w:r>
      <w:r>
        <w:rPr>
          <w:spacing w:val="-10"/>
        </w:rPr>
        <w:t> </w:t>
      </w:r>
      <w:r>
        <w:rPr/>
        <w:t>Los</w:t>
      </w:r>
      <w:r>
        <w:rPr>
          <w:spacing w:val="-10"/>
        </w:rPr>
        <w:t> </w:t>
      </w:r>
      <w:r>
        <w:rPr/>
        <w:t>resultados</w:t>
      </w:r>
      <w:r>
        <w:rPr>
          <w:spacing w:val="-10"/>
        </w:rPr>
        <w:t> </w:t>
      </w:r>
      <w:r>
        <w:rPr/>
        <w:t>de ésta prueba se compararon con los obtenidos de la técnica estandarizada, logrando obtener resultados favorables y comparados estadísticamente. Para ello se utilizó la prueba de Fisher, en donde se pudo constatar que los resultados con peróxido de hidrógeno,</w:t>
      </w:r>
      <w:r>
        <w:rPr>
          <w:spacing w:val="-14"/>
        </w:rPr>
        <w:t> </w:t>
      </w:r>
      <w:r>
        <w:rPr/>
        <w:t>se</w:t>
      </w:r>
      <w:r>
        <w:rPr>
          <w:spacing w:val="-14"/>
        </w:rPr>
        <w:t> </w:t>
      </w:r>
      <w:r>
        <w:rPr/>
        <w:t>encontraban</w:t>
      </w:r>
      <w:r>
        <w:rPr>
          <w:spacing w:val="-14"/>
        </w:rPr>
        <w:t> </w:t>
      </w:r>
      <w:r>
        <w:rPr/>
        <w:t>dentro</w:t>
      </w:r>
      <w:r>
        <w:rPr>
          <w:spacing w:val="-14"/>
        </w:rPr>
        <w:t> </w:t>
      </w:r>
      <w:r>
        <w:rPr/>
        <w:t>del</w:t>
      </w:r>
      <w:r>
        <w:rPr>
          <w:spacing w:val="-8"/>
        </w:rPr>
        <w:t> </w:t>
      </w:r>
      <w:r>
        <w:rPr/>
        <w:t>intervalo</w:t>
      </w:r>
      <w:r>
        <w:rPr>
          <w:spacing w:val="-11"/>
        </w:rPr>
        <w:t> </w:t>
      </w:r>
      <w:r>
        <w:rPr/>
        <w:t>establecido</w:t>
      </w:r>
      <w:r>
        <w:rPr>
          <w:spacing w:val="-12"/>
        </w:rPr>
        <w:t> </w:t>
      </w:r>
      <w:r>
        <w:rPr/>
        <w:t>por</w:t>
      </w:r>
      <w:r>
        <w:rPr>
          <w:spacing w:val="-13"/>
        </w:rPr>
        <w:t> </w:t>
      </w:r>
      <w:r>
        <w:rPr/>
        <w:t>dica</w:t>
      </w:r>
      <w:r>
        <w:rPr>
          <w:spacing w:val="-17"/>
        </w:rPr>
        <w:t> </w:t>
      </w:r>
      <w:r>
        <w:rPr/>
        <w:t>prueba.</w:t>
      </w:r>
      <w:r>
        <w:rPr>
          <w:spacing w:val="-12"/>
        </w:rPr>
        <w:t> </w:t>
      </w:r>
      <w:r>
        <w:rPr/>
        <w:t>Esto</w:t>
      </w:r>
      <w:r>
        <w:rPr>
          <w:spacing w:val="-13"/>
        </w:rPr>
        <w:t> </w:t>
      </w:r>
      <w:r>
        <w:rPr/>
        <w:t>permitió tener una técnica más económica también debido al uso de un agente con mayor </w:t>
      </w:r>
      <w:r>
        <w:rPr>
          <w:position w:val="1"/>
        </w:rPr>
        <w:t>potencial</w:t>
      </w:r>
      <w:r>
        <w:rPr>
          <w:spacing w:val="-6"/>
          <w:position w:val="1"/>
        </w:rPr>
        <w:t> </w:t>
      </w:r>
      <w:r>
        <w:rPr>
          <w:position w:val="1"/>
        </w:rPr>
        <w:t>estándar</w:t>
      </w:r>
      <w:r>
        <w:rPr>
          <w:spacing w:val="-5"/>
          <w:position w:val="1"/>
        </w:rPr>
        <w:t> </w:t>
      </w:r>
      <w:r>
        <w:rPr>
          <w:position w:val="1"/>
        </w:rPr>
        <w:t>(H</w:t>
      </w:r>
      <w:r>
        <w:rPr>
          <w:sz w:val="16"/>
        </w:rPr>
        <w:t>2</w:t>
      </w:r>
      <w:r>
        <w:rPr>
          <w:position w:val="1"/>
        </w:rPr>
        <w:t>O</w:t>
      </w:r>
      <w:r>
        <w:rPr>
          <w:sz w:val="16"/>
        </w:rPr>
        <w:t>2</w:t>
      </w:r>
      <w:r>
        <w:rPr>
          <w:position w:val="1"/>
        </w:rPr>
        <w:t>),</w:t>
      </w:r>
      <w:r>
        <w:rPr>
          <w:spacing w:val="-4"/>
          <w:position w:val="1"/>
        </w:rPr>
        <w:t> </w:t>
      </w:r>
      <w:r>
        <w:rPr>
          <w:position w:val="1"/>
        </w:rPr>
        <w:t>pudiendo</w:t>
      </w:r>
      <w:r>
        <w:rPr>
          <w:spacing w:val="-6"/>
          <w:position w:val="1"/>
        </w:rPr>
        <w:t> </w:t>
      </w:r>
      <w:r>
        <w:rPr>
          <w:position w:val="1"/>
        </w:rPr>
        <w:t>eliminar</w:t>
      </w:r>
      <w:r>
        <w:rPr>
          <w:spacing w:val="-6"/>
          <w:position w:val="1"/>
        </w:rPr>
        <w:t> </w:t>
      </w:r>
      <w:r>
        <w:rPr>
          <w:position w:val="1"/>
        </w:rPr>
        <w:t>el</w:t>
      </w:r>
      <w:r>
        <w:rPr>
          <w:spacing w:val="-5"/>
          <w:position w:val="1"/>
        </w:rPr>
        <w:t> </w:t>
      </w:r>
      <w:r>
        <w:rPr>
          <w:position w:val="1"/>
        </w:rPr>
        <w:t>proceso</w:t>
      </w:r>
      <w:r>
        <w:rPr>
          <w:spacing w:val="-6"/>
          <w:position w:val="1"/>
        </w:rPr>
        <w:t> </w:t>
      </w:r>
      <w:r>
        <w:rPr>
          <w:position w:val="1"/>
        </w:rPr>
        <w:t>de</w:t>
      </w:r>
      <w:r>
        <w:rPr>
          <w:spacing w:val="-6"/>
          <w:position w:val="1"/>
        </w:rPr>
        <w:t> </w:t>
      </w:r>
      <w:r>
        <w:rPr>
          <w:position w:val="1"/>
        </w:rPr>
        <w:t>calentamiento (2</w:t>
      </w:r>
      <w:r>
        <w:rPr>
          <w:spacing w:val="-7"/>
          <w:position w:val="1"/>
        </w:rPr>
        <w:t> </w:t>
      </w:r>
      <w:r>
        <w:rPr>
          <w:position w:val="1"/>
        </w:rPr>
        <w:t>h</w:t>
      </w:r>
      <w:r>
        <w:rPr>
          <w:spacing w:val="-6"/>
          <w:position w:val="1"/>
        </w:rPr>
        <w:t> </w:t>
      </w:r>
      <w:r>
        <w:rPr>
          <w:position w:val="1"/>
        </w:rPr>
        <w:t>a</w:t>
      </w:r>
      <w:r>
        <w:rPr>
          <w:spacing w:val="-6"/>
          <w:position w:val="1"/>
        </w:rPr>
        <w:t> </w:t>
      </w:r>
      <w:r>
        <w:rPr>
          <w:position w:val="1"/>
        </w:rPr>
        <w:t>150º</w:t>
      </w:r>
      <w:r>
        <w:rPr>
          <w:spacing w:val="-6"/>
          <w:position w:val="1"/>
        </w:rPr>
        <w:t> </w:t>
      </w:r>
      <w:r>
        <w:rPr>
          <w:position w:val="1"/>
        </w:rPr>
        <w:t>C), </w:t>
      </w:r>
      <w:r>
        <w:rPr/>
        <w:t>siendo necesario solo dejar reaccionar los tubos por dos horas, cubiertos de la luz. Por tanto</w:t>
      </w:r>
      <w:r>
        <w:rPr>
          <w:spacing w:val="-6"/>
        </w:rPr>
        <w:t> </w:t>
      </w:r>
      <w:r>
        <w:rPr/>
        <w:t>la</w:t>
      </w:r>
      <w:r>
        <w:rPr>
          <w:spacing w:val="-6"/>
        </w:rPr>
        <w:t> </w:t>
      </w:r>
      <w:r>
        <w:rPr/>
        <w:t>técnica</w:t>
      </w:r>
      <w:r>
        <w:rPr>
          <w:spacing w:val="-6"/>
        </w:rPr>
        <w:t> </w:t>
      </w:r>
      <w:r>
        <w:rPr/>
        <w:t>utiliza</w:t>
      </w:r>
      <w:r>
        <w:rPr>
          <w:spacing w:val="-4"/>
        </w:rPr>
        <w:t> </w:t>
      </w:r>
      <w:r>
        <w:rPr/>
        <w:t>un</w:t>
      </w:r>
      <w:r>
        <w:rPr>
          <w:spacing w:val="-6"/>
        </w:rPr>
        <w:t> </w:t>
      </w:r>
      <w:r>
        <w:rPr/>
        <w:t>agente</w:t>
      </w:r>
      <w:r>
        <w:rPr>
          <w:spacing w:val="-5"/>
        </w:rPr>
        <w:t> </w:t>
      </w:r>
      <w:r>
        <w:rPr/>
        <w:t>más</w:t>
      </w:r>
      <w:r>
        <w:rPr>
          <w:spacing w:val="-9"/>
        </w:rPr>
        <w:t> </w:t>
      </w:r>
      <w:r>
        <w:rPr/>
        <w:t>amigable</w:t>
      </w:r>
      <w:r>
        <w:rPr>
          <w:spacing w:val="-6"/>
        </w:rPr>
        <w:t> </w:t>
      </w:r>
      <w:r>
        <w:rPr/>
        <w:t>para</w:t>
      </w:r>
      <w:r>
        <w:rPr>
          <w:spacing w:val="-7"/>
        </w:rPr>
        <w:t> </w:t>
      </w:r>
      <w:r>
        <w:rPr/>
        <w:t>el</w:t>
      </w:r>
      <w:r>
        <w:rPr>
          <w:spacing w:val="-7"/>
        </w:rPr>
        <w:t> </w:t>
      </w:r>
      <w:r>
        <w:rPr/>
        <w:t>medio</w:t>
      </w:r>
      <w:r>
        <w:rPr>
          <w:spacing w:val="-6"/>
        </w:rPr>
        <w:t> </w:t>
      </w:r>
      <w:r>
        <w:rPr/>
        <w:t>ambiente</w:t>
      </w:r>
      <w:r>
        <w:rPr>
          <w:spacing w:val="-6"/>
        </w:rPr>
        <w:t> </w:t>
      </w:r>
      <w:r>
        <w:rPr/>
        <w:t>y</w:t>
      </w:r>
      <w:r>
        <w:rPr>
          <w:spacing w:val="-9"/>
        </w:rPr>
        <w:t> </w:t>
      </w:r>
      <w:r>
        <w:rPr/>
        <w:t>ser</w:t>
      </w:r>
      <w:r>
        <w:rPr>
          <w:spacing w:val="-7"/>
        </w:rPr>
        <w:t> </w:t>
      </w:r>
      <w:r>
        <w:rPr/>
        <w:t>humano,</w:t>
      </w:r>
      <w:r>
        <w:rPr>
          <w:spacing w:val="-3"/>
        </w:rPr>
        <w:t> </w:t>
      </w:r>
      <w:r>
        <w:rPr/>
        <w:t>se disminuye</w:t>
      </w:r>
      <w:r>
        <w:rPr>
          <w:spacing w:val="-13"/>
        </w:rPr>
        <w:t> </w:t>
      </w:r>
      <w:r>
        <w:rPr/>
        <w:t>el</w:t>
      </w:r>
      <w:r>
        <w:rPr>
          <w:spacing w:val="-14"/>
        </w:rPr>
        <w:t> </w:t>
      </w:r>
      <w:r>
        <w:rPr/>
        <w:t>consumo</w:t>
      </w:r>
      <w:r>
        <w:rPr>
          <w:spacing w:val="-16"/>
        </w:rPr>
        <w:t> </w:t>
      </w:r>
      <w:r>
        <w:rPr/>
        <w:t>energético</w:t>
      </w:r>
      <w:r>
        <w:rPr>
          <w:spacing w:val="-13"/>
        </w:rPr>
        <w:t> </w:t>
      </w:r>
      <w:r>
        <w:rPr/>
        <w:t>al</w:t>
      </w:r>
      <w:r>
        <w:rPr>
          <w:spacing w:val="-10"/>
        </w:rPr>
        <w:t> </w:t>
      </w:r>
      <w:r>
        <w:rPr/>
        <w:t>eliminar</w:t>
      </w:r>
      <w:r>
        <w:rPr>
          <w:spacing w:val="-15"/>
        </w:rPr>
        <w:t> </w:t>
      </w:r>
      <w:r>
        <w:rPr/>
        <w:t>el</w:t>
      </w:r>
      <w:r>
        <w:rPr>
          <w:spacing w:val="-14"/>
        </w:rPr>
        <w:t> </w:t>
      </w:r>
      <w:r>
        <w:rPr/>
        <w:t>proceso</w:t>
      </w:r>
      <w:r>
        <w:rPr>
          <w:spacing w:val="-13"/>
        </w:rPr>
        <w:t> </w:t>
      </w:r>
      <w:r>
        <w:rPr/>
        <w:t>de</w:t>
      </w:r>
      <w:r>
        <w:rPr>
          <w:spacing w:val="-11"/>
        </w:rPr>
        <w:t> </w:t>
      </w:r>
      <w:r>
        <w:rPr/>
        <w:t>calentamiento,</w:t>
      </w:r>
      <w:r>
        <w:rPr>
          <w:spacing w:val="-13"/>
        </w:rPr>
        <w:t> </w:t>
      </w:r>
      <w:r>
        <w:rPr/>
        <w:t>lo</w:t>
      </w:r>
      <w:r>
        <w:rPr>
          <w:spacing w:val="-13"/>
        </w:rPr>
        <w:t> </w:t>
      </w:r>
      <w:r>
        <w:rPr/>
        <w:t>cual</w:t>
      </w:r>
      <w:r>
        <w:rPr>
          <w:spacing w:val="-14"/>
        </w:rPr>
        <w:t> </w:t>
      </w:r>
      <w:r>
        <w:rPr/>
        <w:t>también ayuda a que sea una técnica menos costosa ya que no consume la misma cantidad de electricidad y ayuda al cambio</w:t>
      </w:r>
      <w:r>
        <w:rPr>
          <w:spacing w:val="-14"/>
        </w:rPr>
        <w:t> </w:t>
      </w:r>
      <w:r>
        <w:rPr/>
        <w:t>climático.</w:t>
      </w:r>
    </w:p>
    <w:p>
      <w:pPr>
        <w:pStyle w:val="BodyText"/>
        <w:spacing w:line="360" w:lineRule="auto" w:before="204"/>
        <w:ind w:left="662" w:right="566"/>
        <w:jc w:val="both"/>
      </w:pPr>
      <w:r>
        <w:rPr/>
        <w:t>Una vez obtenidos los resultados esperados, se procedió a hacerle mejoras a la técnica verde de DQO (agente oxidante peróxido de hidrógeno). Dado que se utilizan sales de plata y mercurio en la técnica estandarizada, se pretendió disminuir la cantidad de estas o</w:t>
      </w:r>
      <w:r>
        <w:rPr>
          <w:spacing w:val="-8"/>
        </w:rPr>
        <w:t> </w:t>
      </w:r>
      <w:r>
        <w:rPr/>
        <w:t>al</w:t>
      </w:r>
      <w:r>
        <w:rPr>
          <w:spacing w:val="-12"/>
        </w:rPr>
        <w:t> </w:t>
      </w:r>
      <w:r>
        <w:rPr/>
        <w:t>menos</w:t>
      </w:r>
      <w:r>
        <w:rPr>
          <w:spacing w:val="-12"/>
        </w:rPr>
        <w:t> </w:t>
      </w:r>
      <w:r>
        <w:rPr/>
        <w:t>de</w:t>
      </w:r>
      <w:r>
        <w:rPr>
          <w:spacing w:val="-11"/>
        </w:rPr>
        <w:t> </w:t>
      </w:r>
      <w:r>
        <w:rPr/>
        <w:t>una</w:t>
      </w:r>
      <w:r>
        <w:rPr>
          <w:spacing w:val="-11"/>
        </w:rPr>
        <w:t> </w:t>
      </w:r>
      <w:r>
        <w:rPr/>
        <w:t>de</w:t>
      </w:r>
      <w:r>
        <w:rPr>
          <w:spacing w:val="-11"/>
        </w:rPr>
        <w:t> </w:t>
      </w:r>
      <w:r>
        <w:rPr/>
        <w:t>ellas,</w:t>
      </w:r>
      <w:r>
        <w:rPr>
          <w:spacing w:val="-9"/>
        </w:rPr>
        <w:t> </w:t>
      </w:r>
      <w:r>
        <w:rPr/>
        <w:t>con</w:t>
      </w:r>
      <w:r>
        <w:rPr>
          <w:spacing w:val="-8"/>
        </w:rPr>
        <w:t> </w:t>
      </w:r>
      <w:r>
        <w:rPr/>
        <w:t>la</w:t>
      </w:r>
      <w:r>
        <w:rPr>
          <w:spacing w:val="-13"/>
        </w:rPr>
        <w:t> </w:t>
      </w:r>
      <w:r>
        <w:rPr/>
        <w:t>finalidad</w:t>
      </w:r>
      <w:r>
        <w:rPr>
          <w:spacing w:val="-11"/>
        </w:rPr>
        <w:t> </w:t>
      </w:r>
      <w:r>
        <w:rPr/>
        <w:t>de</w:t>
      </w:r>
      <w:r>
        <w:rPr>
          <w:spacing w:val="-8"/>
        </w:rPr>
        <w:t> </w:t>
      </w:r>
      <w:r>
        <w:rPr/>
        <w:t>que</w:t>
      </w:r>
      <w:r>
        <w:rPr>
          <w:spacing w:val="-8"/>
        </w:rPr>
        <w:t> </w:t>
      </w:r>
      <w:r>
        <w:rPr/>
        <w:t>los</w:t>
      </w:r>
      <w:r>
        <w:rPr>
          <w:spacing w:val="-11"/>
        </w:rPr>
        <w:t> </w:t>
      </w:r>
      <w:r>
        <w:rPr/>
        <w:t>residuos</w:t>
      </w:r>
      <w:r>
        <w:rPr>
          <w:spacing w:val="-3"/>
        </w:rPr>
        <w:t> </w:t>
      </w:r>
      <w:r>
        <w:rPr/>
        <w:t>generados</w:t>
      </w:r>
      <w:r>
        <w:rPr>
          <w:spacing w:val="-14"/>
        </w:rPr>
        <w:t> </w:t>
      </w:r>
      <w:r>
        <w:rPr/>
        <w:t>fuesen</w:t>
      </w:r>
      <w:r>
        <w:rPr>
          <w:spacing w:val="-11"/>
        </w:rPr>
        <w:t> </w:t>
      </w:r>
      <w:r>
        <w:rPr/>
        <w:t>menos tóxicos.</w:t>
      </w:r>
      <w:r>
        <w:rPr>
          <w:spacing w:val="-18"/>
        </w:rPr>
        <w:t> </w:t>
      </w:r>
      <w:r>
        <w:rPr/>
        <w:t>Se</w:t>
      </w:r>
      <w:r>
        <w:rPr>
          <w:spacing w:val="-18"/>
        </w:rPr>
        <w:t> </w:t>
      </w:r>
      <w:r>
        <w:rPr/>
        <w:t>hicieron</w:t>
      </w:r>
      <w:r>
        <w:rPr>
          <w:spacing w:val="-18"/>
        </w:rPr>
        <w:t> </w:t>
      </w:r>
      <w:r>
        <w:rPr/>
        <w:t>pruebas</w:t>
      </w:r>
      <w:r>
        <w:rPr>
          <w:spacing w:val="-19"/>
        </w:rPr>
        <w:t> </w:t>
      </w:r>
      <w:r>
        <w:rPr/>
        <w:t>con</w:t>
      </w:r>
      <w:r>
        <w:rPr>
          <w:spacing w:val="-18"/>
        </w:rPr>
        <w:t> </w:t>
      </w:r>
      <w:r>
        <w:rPr/>
        <w:t>la</w:t>
      </w:r>
      <w:r>
        <w:rPr>
          <w:spacing w:val="-18"/>
        </w:rPr>
        <w:t> </w:t>
      </w:r>
      <w:r>
        <w:rPr/>
        <w:t>sal</w:t>
      </w:r>
      <w:r>
        <w:rPr>
          <w:spacing w:val="-19"/>
        </w:rPr>
        <w:t> </w:t>
      </w:r>
      <w:r>
        <w:rPr/>
        <w:t>de</w:t>
      </w:r>
      <w:r>
        <w:rPr>
          <w:spacing w:val="-18"/>
        </w:rPr>
        <w:t> </w:t>
      </w:r>
      <w:r>
        <w:rPr/>
        <w:t>mercurio</w:t>
      </w:r>
      <w:r>
        <w:rPr>
          <w:spacing w:val="-18"/>
        </w:rPr>
        <w:t> </w:t>
      </w:r>
      <w:r>
        <w:rPr/>
        <w:t>(sulfato</w:t>
      </w:r>
      <w:r>
        <w:rPr>
          <w:spacing w:val="-20"/>
        </w:rPr>
        <w:t> </w:t>
      </w:r>
      <w:r>
        <w:rPr/>
        <w:t>de</w:t>
      </w:r>
      <w:r>
        <w:rPr>
          <w:spacing w:val="-20"/>
        </w:rPr>
        <w:t> </w:t>
      </w:r>
      <w:r>
        <w:rPr/>
        <w:t>mercurio(II)),</w:t>
      </w:r>
      <w:r>
        <w:rPr>
          <w:spacing w:val="-19"/>
        </w:rPr>
        <w:t> </w:t>
      </w:r>
      <w:r>
        <w:rPr/>
        <w:t>disminuyendo su concentración a la mitad, pero no se obtuvieron los resultados esperados, ya que la cantidad de DQO obtenida tanto con la técnica estandarizada como con la técnica verde resultaban ser significativamente diferentes en la mayoría de los tipos de agua residual. Esto</w:t>
      </w:r>
      <w:r>
        <w:rPr>
          <w:spacing w:val="-11"/>
        </w:rPr>
        <w:t> </w:t>
      </w:r>
      <w:r>
        <w:rPr/>
        <w:t>probablemente</w:t>
      </w:r>
      <w:r>
        <w:rPr>
          <w:spacing w:val="-9"/>
        </w:rPr>
        <w:t> </w:t>
      </w:r>
      <w:r>
        <w:rPr/>
        <w:t>se</w:t>
      </w:r>
      <w:r>
        <w:rPr>
          <w:spacing w:val="-14"/>
        </w:rPr>
        <w:t> </w:t>
      </w:r>
      <w:r>
        <w:rPr/>
        <w:t>debió</w:t>
      </w:r>
      <w:r>
        <w:rPr>
          <w:spacing w:val="-14"/>
        </w:rPr>
        <w:t> </w:t>
      </w:r>
      <w:r>
        <w:rPr/>
        <w:t>a</w:t>
      </w:r>
      <w:r>
        <w:rPr>
          <w:spacing w:val="-12"/>
        </w:rPr>
        <w:t> </w:t>
      </w:r>
      <w:r>
        <w:rPr/>
        <w:t>que</w:t>
      </w:r>
      <w:r>
        <w:rPr>
          <w:spacing w:val="-10"/>
        </w:rPr>
        <w:t> </w:t>
      </w:r>
      <w:r>
        <w:rPr/>
        <w:t>las</w:t>
      </w:r>
      <w:r>
        <w:rPr>
          <w:spacing w:val="-14"/>
        </w:rPr>
        <w:t> </w:t>
      </w:r>
      <w:r>
        <w:rPr/>
        <w:t>muestras</w:t>
      </w:r>
      <w:r>
        <w:rPr>
          <w:spacing w:val="-13"/>
        </w:rPr>
        <w:t> </w:t>
      </w:r>
      <w:r>
        <w:rPr/>
        <w:t>de</w:t>
      </w:r>
      <w:r>
        <w:rPr>
          <w:spacing w:val="-12"/>
        </w:rPr>
        <w:t> </w:t>
      </w:r>
      <w:r>
        <w:rPr/>
        <w:t>agua</w:t>
      </w:r>
      <w:r>
        <w:rPr>
          <w:spacing w:val="-10"/>
        </w:rPr>
        <w:t> </w:t>
      </w:r>
      <w:r>
        <w:rPr/>
        <w:t>contienen</w:t>
      </w:r>
      <w:r>
        <w:rPr>
          <w:spacing w:val="-14"/>
        </w:rPr>
        <w:t> </w:t>
      </w:r>
      <w:r>
        <w:rPr/>
        <w:t>elevadas</w:t>
      </w:r>
      <w:r>
        <w:rPr>
          <w:spacing w:val="-13"/>
        </w:rPr>
        <w:t> </w:t>
      </w:r>
      <w:r>
        <w:rPr/>
        <w:t>cantidades de</w:t>
      </w:r>
      <w:r>
        <w:rPr>
          <w:spacing w:val="-6"/>
        </w:rPr>
        <w:t> </w:t>
      </w:r>
      <w:r>
        <w:rPr/>
        <w:t>haluros</w:t>
      </w:r>
      <w:r>
        <w:rPr>
          <w:spacing w:val="-8"/>
        </w:rPr>
        <w:t> </w:t>
      </w:r>
      <w:r>
        <w:rPr/>
        <w:t>no</w:t>
      </w:r>
      <w:r>
        <w:rPr>
          <w:spacing w:val="-8"/>
        </w:rPr>
        <w:t> </w:t>
      </w:r>
      <w:r>
        <w:rPr/>
        <w:t>alcanza</w:t>
      </w:r>
      <w:r>
        <w:rPr>
          <w:spacing w:val="-6"/>
        </w:rPr>
        <w:t> </w:t>
      </w:r>
      <w:r>
        <w:rPr/>
        <w:t>la</w:t>
      </w:r>
      <w:r>
        <w:rPr>
          <w:spacing w:val="-6"/>
        </w:rPr>
        <w:t> </w:t>
      </w:r>
      <w:r>
        <w:rPr/>
        <w:t>sal</w:t>
      </w:r>
      <w:r>
        <w:rPr>
          <w:spacing w:val="-7"/>
        </w:rPr>
        <w:t> </w:t>
      </w:r>
      <w:r>
        <w:rPr/>
        <w:t>de</w:t>
      </w:r>
      <w:r>
        <w:rPr>
          <w:spacing w:val="-8"/>
        </w:rPr>
        <w:t> </w:t>
      </w:r>
      <w:r>
        <w:rPr/>
        <w:t>mercurio</w:t>
      </w:r>
      <w:r>
        <w:rPr>
          <w:spacing w:val="-8"/>
        </w:rPr>
        <w:t> </w:t>
      </w:r>
      <w:r>
        <w:rPr/>
        <w:t>a</w:t>
      </w:r>
      <w:r>
        <w:rPr>
          <w:spacing w:val="-6"/>
        </w:rPr>
        <w:t> </w:t>
      </w:r>
      <w:r>
        <w:rPr/>
        <w:t>reaccionar</w:t>
      </w:r>
      <w:r>
        <w:rPr>
          <w:spacing w:val="-7"/>
        </w:rPr>
        <w:t> </w:t>
      </w:r>
      <w:r>
        <w:rPr/>
        <w:t>con</w:t>
      </w:r>
      <w:r>
        <w:rPr>
          <w:spacing w:val="-1"/>
        </w:rPr>
        <w:t> </w:t>
      </w:r>
      <w:r>
        <w:rPr/>
        <w:t>todos</w:t>
      </w:r>
      <w:r>
        <w:rPr>
          <w:spacing w:val="-9"/>
        </w:rPr>
        <w:t> </w:t>
      </w:r>
      <w:r>
        <w:rPr/>
        <w:t>ellos,</w:t>
      </w:r>
      <w:r>
        <w:rPr>
          <w:spacing w:val="-6"/>
        </w:rPr>
        <w:t> </w:t>
      </w:r>
      <w:r>
        <w:rPr/>
        <w:t>quedando</w:t>
      </w:r>
      <w:r>
        <w:rPr>
          <w:spacing w:val="-8"/>
        </w:rPr>
        <w:t> </w:t>
      </w:r>
      <w:r>
        <w:rPr/>
        <w:t>algunos libres</w:t>
      </w:r>
      <w:r>
        <w:rPr>
          <w:spacing w:val="-9"/>
        </w:rPr>
        <w:t> </w:t>
      </w:r>
      <w:r>
        <w:rPr/>
        <w:t>para</w:t>
      </w:r>
      <w:r>
        <w:rPr>
          <w:spacing w:val="-9"/>
        </w:rPr>
        <w:t> </w:t>
      </w:r>
      <w:r>
        <w:rPr/>
        <w:t>reaccionar</w:t>
      </w:r>
      <w:r>
        <w:rPr>
          <w:spacing w:val="-9"/>
        </w:rPr>
        <w:t> </w:t>
      </w:r>
      <w:r>
        <w:rPr/>
        <w:t>con</w:t>
      </w:r>
      <w:r>
        <w:rPr>
          <w:spacing w:val="-8"/>
        </w:rPr>
        <w:t> </w:t>
      </w:r>
      <w:r>
        <w:rPr/>
        <w:t>el</w:t>
      </w:r>
      <w:r>
        <w:rPr>
          <w:spacing w:val="-10"/>
        </w:rPr>
        <w:t> </w:t>
      </w:r>
      <w:r>
        <w:rPr/>
        <w:t>agente</w:t>
      </w:r>
      <w:r>
        <w:rPr>
          <w:spacing w:val="-8"/>
        </w:rPr>
        <w:t> </w:t>
      </w:r>
      <w:r>
        <w:rPr/>
        <w:t>oxidante,</w:t>
      </w:r>
      <w:r>
        <w:rPr>
          <w:spacing w:val="-9"/>
        </w:rPr>
        <w:t> </w:t>
      </w:r>
      <w:r>
        <w:rPr/>
        <w:t>generando</w:t>
      </w:r>
      <w:r>
        <w:rPr>
          <w:spacing w:val="-8"/>
        </w:rPr>
        <w:t> </w:t>
      </w:r>
      <w:r>
        <w:rPr/>
        <w:t>una</w:t>
      </w:r>
      <w:r>
        <w:rPr>
          <w:spacing w:val="-8"/>
        </w:rPr>
        <w:t> </w:t>
      </w:r>
      <w:r>
        <w:rPr/>
        <w:t>lectura</w:t>
      </w:r>
      <w:r>
        <w:rPr>
          <w:spacing w:val="-8"/>
        </w:rPr>
        <w:t> </w:t>
      </w:r>
      <w:r>
        <w:rPr/>
        <w:t>errónea</w:t>
      </w:r>
      <w:r>
        <w:rPr>
          <w:spacing w:val="-11"/>
        </w:rPr>
        <w:t> </w:t>
      </w:r>
      <w:r>
        <w:rPr/>
        <w:t>de</w:t>
      </w:r>
      <w:r>
        <w:rPr>
          <w:spacing w:val="-8"/>
        </w:rPr>
        <w:t> </w:t>
      </w:r>
      <w:r>
        <w:rPr/>
        <w:t>la</w:t>
      </w:r>
      <w:r>
        <w:rPr>
          <w:spacing w:val="-9"/>
        </w:rPr>
        <w:t> </w:t>
      </w:r>
      <w:r>
        <w:rPr/>
        <w:t>DQO. Por ello se descarta está  posibilidad de disminuir la cantidad de sulfato de</w:t>
      </w:r>
      <w:r>
        <w:rPr>
          <w:spacing w:val="-27"/>
        </w:rPr>
        <w:t> </w:t>
      </w:r>
      <w:r>
        <w:rPr/>
        <w:t>mercurio.</w:t>
      </w:r>
    </w:p>
    <w:p>
      <w:pPr>
        <w:pStyle w:val="BodyText"/>
        <w:spacing w:line="360" w:lineRule="auto" w:before="204"/>
        <w:ind w:left="662" w:right="567"/>
        <w:jc w:val="both"/>
      </w:pPr>
      <w:r>
        <w:rPr/>
        <w:t>La</w:t>
      </w:r>
      <w:r>
        <w:rPr>
          <w:spacing w:val="-13"/>
        </w:rPr>
        <w:t> </w:t>
      </w:r>
      <w:r>
        <w:rPr/>
        <w:t>siguiente</w:t>
      </w:r>
      <w:r>
        <w:rPr>
          <w:spacing w:val="-13"/>
        </w:rPr>
        <w:t> </w:t>
      </w:r>
      <w:r>
        <w:rPr/>
        <w:t>sal</w:t>
      </w:r>
      <w:r>
        <w:rPr>
          <w:spacing w:val="-14"/>
        </w:rPr>
        <w:t> </w:t>
      </w:r>
      <w:r>
        <w:rPr/>
        <w:t>que</w:t>
      </w:r>
      <w:r>
        <w:rPr>
          <w:spacing w:val="-13"/>
        </w:rPr>
        <w:t> </w:t>
      </w:r>
      <w:r>
        <w:rPr/>
        <w:t>se</w:t>
      </w:r>
      <w:r>
        <w:rPr>
          <w:spacing w:val="-15"/>
        </w:rPr>
        <w:t> </w:t>
      </w:r>
      <w:r>
        <w:rPr/>
        <w:t>disminuyó</w:t>
      </w:r>
      <w:r>
        <w:rPr>
          <w:spacing w:val="-10"/>
        </w:rPr>
        <w:t> </w:t>
      </w:r>
      <w:r>
        <w:rPr/>
        <w:t>a</w:t>
      </w:r>
      <w:r>
        <w:rPr>
          <w:spacing w:val="-13"/>
        </w:rPr>
        <w:t> </w:t>
      </w:r>
      <w:r>
        <w:rPr/>
        <w:t>la</w:t>
      </w:r>
      <w:r>
        <w:rPr>
          <w:spacing w:val="-13"/>
        </w:rPr>
        <w:t> </w:t>
      </w:r>
      <w:r>
        <w:rPr/>
        <w:t>mitad</w:t>
      </w:r>
      <w:r>
        <w:rPr>
          <w:spacing w:val="-13"/>
        </w:rPr>
        <w:t> </w:t>
      </w:r>
      <w:r>
        <w:rPr/>
        <w:t>de</w:t>
      </w:r>
      <w:r>
        <w:rPr>
          <w:spacing w:val="-13"/>
        </w:rPr>
        <w:t> </w:t>
      </w:r>
      <w:r>
        <w:rPr/>
        <w:t>su</w:t>
      </w:r>
      <w:r>
        <w:rPr>
          <w:spacing w:val="-13"/>
        </w:rPr>
        <w:t> </w:t>
      </w:r>
      <w:r>
        <w:rPr/>
        <w:t>concentración</w:t>
      </w:r>
      <w:r>
        <w:rPr>
          <w:spacing w:val="-13"/>
        </w:rPr>
        <w:t> </w:t>
      </w:r>
      <w:r>
        <w:rPr/>
        <w:t>es</w:t>
      </w:r>
      <w:r>
        <w:rPr>
          <w:spacing w:val="-14"/>
        </w:rPr>
        <w:t> </w:t>
      </w:r>
      <w:r>
        <w:rPr/>
        <w:t>la</w:t>
      </w:r>
      <w:r>
        <w:rPr>
          <w:spacing w:val="-13"/>
        </w:rPr>
        <w:t> </w:t>
      </w:r>
      <w:r>
        <w:rPr/>
        <w:t>de</w:t>
      </w:r>
      <w:r>
        <w:rPr>
          <w:spacing w:val="-13"/>
        </w:rPr>
        <w:t> </w:t>
      </w:r>
      <w:r>
        <w:rPr/>
        <w:t>sulfato</w:t>
      </w:r>
      <w:r>
        <w:rPr>
          <w:spacing w:val="-13"/>
        </w:rPr>
        <w:t> </w:t>
      </w:r>
      <w:r>
        <w:rPr/>
        <w:t>de</w:t>
      </w:r>
      <w:r>
        <w:rPr>
          <w:spacing w:val="-13"/>
        </w:rPr>
        <w:t> </w:t>
      </w:r>
      <w:r>
        <w:rPr/>
        <w:t>plata, la cual no es tan tóxica como el mercurio, pero es una sal muy cara, por ello también</w:t>
      </w:r>
      <w:r>
        <w:rPr>
          <w:spacing w:val="42"/>
        </w:rPr>
        <w:t> </w:t>
      </w:r>
      <w:r>
        <w:rPr/>
        <w:t>se</w:t>
      </w:r>
    </w:p>
    <w:p>
      <w:pPr>
        <w:spacing w:after="0" w:line="360" w:lineRule="auto"/>
        <w:jc w:val="both"/>
        <w:sectPr>
          <w:pgSz w:w="12240" w:h="15840"/>
          <w:pgMar w:header="0" w:footer="654" w:top="1080" w:bottom="1060" w:left="1040" w:right="560"/>
        </w:sectPr>
      </w:pPr>
    </w:p>
    <w:p>
      <w:pPr>
        <w:pStyle w:val="BodyText"/>
        <w:spacing w:line="362" w:lineRule="auto" w:before="51"/>
        <w:ind w:left="662" w:right="578"/>
        <w:jc w:val="both"/>
      </w:pPr>
      <w:r>
        <w:rPr/>
        <w:t>propuso adicionarse solo la mitad de su concentración con respecto a la técnica estandarizada, estudiando su comportamiento.</w:t>
      </w:r>
    </w:p>
    <w:p>
      <w:pPr>
        <w:pStyle w:val="BodyText"/>
        <w:spacing w:line="360" w:lineRule="auto" w:before="201"/>
        <w:ind w:left="662" w:right="566"/>
        <w:jc w:val="both"/>
      </w:pPr>
      <w:r>
        <w:rPr/>
        <w:t>Al hacer esto se observaron los resultados favorables mostrados en el artículo enviado, para</w:t>
      </w:r>
      <w:r>
        <w:rPr>
          <w:spacing w:val="-17"/>
        </w:rPr>
        <w:t> </w:t>
      </w:r>
      <w:r>
        <w:rPr/>
        <w:t>su</w:t>
      </w:r>
      <w:r>
        <w:rPr>
          <w:spacing w:val="-19"/>
        </w:rPr>
        <w:t> </w:t>
      </w:r>
      <w:r>
        <w:rPr/>
        <w:t>publicación</w:t>
      </w:r>
      <w:r>
        <w:rPr>
          <w:spacing w:val="-18"/>
        </w:rPr>
        <w:t> </w:t>
      </w:r>
      <w:r>
        <w:rPr/>
        <w:t>(15.2).</w:t>
      </w:r>
      <w:r>
        <w:rPr>
          <w:spacing w:val="-18"/>
        </w:rPr>
        <w:t> </w:t>
      </w:r>
      <w:r>
        <w:rPr/>
        <w:t>Allí</w:t>
      </w:r>
      <w:r>
        <w:rPr>
          <w:spacing w:val="-17"/>
        </w:rPr>
        <w:t> </w:t>
      </w:r>
      <w:r>
        <w:rPr/>
        <w:t>se</w:t>
      </w:r>
      <w:r>
        <w:rPr>
          <w:spacing w:val="-19"/>
        </w:rPr>
        <w:t> </w:t>
      </w:r>
      <w:r>
        <w:rPr/>
        <w:t>comparan</w:t>
      </w:r>
      <w:r>
        <w:rPr>
          <w:spacing w:val="-19"/>
        </w:rPr>
        <w:t> </w:t>
      </w:r>
      <w:r>
        <w:rPr/>
        <w:t>con</w:t>
      </w:r>
      <w:r>
        <w:rPr>
          <w:spacing w:val="-17"/>
        </w:rPr>
        <w:t> </w:t>
      </w:r>
      <w:r>
        <w:rPr/>
        <w:t>los</w:t>
      </w:r>
      <w:r>
        <w:rPr>
          <w:spacing w:val="-20"/>
        </w:rPr>
        <w:t> </w:t>
      </w:r>
      <w:r>
        <w:rPr/>
        <w:t>obtenidos</w:t>
      </w:r>
      <w:r>
        <w:rPr>
          <w:spacing w:val="-22"/>
        </w:rPr>
        <w:t> </w:t>
      </w:r>
      <w:r>
        <w:rPr/>
        <w:t>de</w:t>
      </w:r>
      <w:r>
        <w:rPr>
          <w:spacing w:val="-19"/>
        </w:rPr>
        <w:t> </w:t>
      </w:r>
      <w:r>
        <w:rPr/>
        <w:t>la</w:t>
      </w:r>
      <w:r>
        <w:rPr>
          <w:spacing w:val="-19"/>
        </w:rPr>
        <w:t> </w:t>
      </w:r>
      <w:r>
        <w:rPr/>
        <w:t>técnica</w:t>
      </w:r>
      <w:r>
        <w:rPr>
          <w:spacing w:val="-19"/>
        </w:rPr>
        <w:t> </w:t>
      </w:r>
      <w:r>
        <w:rPr/>
        <w:t>estandarizada de</w:t>
      </w:r>
      <w:r>
        <w:rPr>
          <w:spacing w:val="-4"/>
        </w:rPr>
        <w:t> </w:t>
      </w:r>
      <w:r>
        <w:rPr/>
        <w:t>los</w:t>
      </w:r>
      <w:r>
        <w:rPr>
          <w:spacing w:val="-6"/>
        </w:rPr>
        <w:t> </w:t>
      </w:r>
      <w:r>
        <w:rPr/>
        <w:t>5</w:t>
      </w:r>
      <w:r>
        <w:rPr>
          <w:spacing w:val="-4"/>
        </w:rPr>
        <w:t> </w:t>
      </w:r>
      <w:r>
        <w:rPr/>
        <w:t>tipos</w:t>
      </w:r>
      <w:r>
        <w:rPr>
          <w:spacing w:val="-7"/>
        </w:rPr>
        <w:t> </w:t>
      </w:r>
      <w:r>
        <w:rPr/>
        <w:t>de</w:t>
      </w:r>
      <w:r>
        <w:rPr>
          <w:spacing w:val="-6"/>
        </w:rPr>
        <w:t> </w:t>
      </w:r>
      <w:r>
        <w:rPr/>
        <w:t>agua</w:t>
      </w:r>
      <w:r>
        <w:rPr>
          <w:spacing w:val="-6"/>
        </w:rPr>
        <w:t> </w:t>
      </w:r>
      <w:r>
        <w:rPr/>
        <w:t>residual,</w:t>
      </w:r>
      <w:r>
        <w:rPr>
          <w:spacing w:val="-7"/>
        </w:rPr>
        <w:t> </w:t>
      </w:r>
      <w:r>
        <w:rPr/>
        <w:t>utilizando</w:t>
      </w:r>
      <w:r>
        <w:rPr>
          <w:spacing w:val="-4"/>
        </w:rPr>
        <w:t> </w:t>
      </w:r>
      <w:r>
        <w:rPr/>
        <w:t>la</w:t>
      </w:r>
      <w:r>
        <w:rPr>
          <w:spacing w:val="-6"/>
        </w:rPr>
        <w:t> </w:t>
      </w:r>
      <w:r>
        <w:rPr/>
        <w:t>prueba</w:t>
      </w:r>
      <w:r>
        <w:rPr>
          <w:spacing w:val="-6"/>
        </w:rPr>
        <w:t> </w:t>
      </w:r>
      <w:r>
        <w:rPr/>
        <w:t>de Fisher.</w:t>
      </w:r>
      <w:r>
        <w:rPr>
          <w:spacing w:val="-4"/>
        </w:rPr>
        <w:t> </w:t>
      </w:r>
      <w:r>
        <w:rPr/>
        <w:t>Esta</w:t>
      </w:r>
      <w:r>
        <w:rPr>
          <w:spacing w:val="-5"/>
        </w:rPr>
        <w:t> </w:t>
      </w:r>
      <w:r>
        <w:rPr/>
        <w:t>mostró</w:t>
      </w:r>
      <w:r>
        <w:rPr>
          <w:spacing w:val="-6"/>
        </w:rPr>
        <w:t> </w:t>
      </w:r>
      <w:r>
        <w:rPr/>
        <w:t>que</w:t>
      </w:r>
      <w:r>
        <w:rPr>
          <w:spacing w:val="-4"/>
        </w:rPr>
        <w:t> </w:t>
      </w:r>
      <w:r>
        <w:rPr/>
        <w:t>todos</w:t>
      </w:r>
      <w:r>
        <w:rPr>
          <w:spacing w:val="-7"/>
        </w:rPr>
        <w:t> </w:t>
      </w:r>
      <w:r>
        <w:rPr/>
        <w:t>los resultados estaban dentro del parámetro marcado por dicha prueba, con lo que se logra hacer</w:t>
      </w:r>
      <w:r>
        <w:rPr>
          <w:spacing w:val="-18"/>
        </w:rPr>
        <w:t> </w:t>
      </w:r>
      <w:r>
        <w:rPr/>
        <w:t>una</w:t>
      </w:r>
      <w:r>
        <w:rPr>
          <w:spacing w:val="-18"/>
        </w:rPr>
        <w:t> </w:t>
      </w:r>
      <w:r>
        <w:rPr/>
        <w:t>técnica</w:t>
      </w:r>
      <w:r>
        <w:rPr>
          <w:spacing w:val="-18"/>
        </w:rPr>
        <w:t> </w:t>
      </w:r>
      <w:r>
        <w:rPr/>
        <w:t>aún</w:t>
      </w:r>
      <w:r>
        <w:rPr>
          <w:spacing w:val="-18"/>
        </w:rPr>
        <w:t> </w:t>
      </w:r>
      <w:r>
        <w:rPr/>
        <w:t>más</w:t>
      </w:r>
      <w:r>
        <w:rPr>
          <w:spacing w:val="-17"/>
        </w:rPr>
        <w:t> </w:t>
      </w:r>
      <w:r>
        <w:rPr/>
        <w:t>verde,</w:t>
      </w:r>
      <w:r>
        <w:rPr>
          <w:spacing w:val="-18"/>
        </w:rPr>
        <w:t> </w:t>
      </w:r>
      <w:r>
        <w:rPr/>
        <w:t>ya</w:t>
      </w:r>
      <w:r>
        <w:rPr>
          <w:spacing w:val="-17"/>
        </w:rPr>
        <w:t> </w:t>
      </w:r>
      <w:r>
        <w:rPr/>
        <w:t>que</w:t>
      </w:r>
      <w:r>
        <w:rPr>
          <w:spacing w:val="-17"/>
        </w:rPr>
        <w:t> </w:t>
      </w:r>
      <w:r>
        <w:rPr/>
        <w:t>se</w:t>
      </w:r>
      <w:r>
        <w:rPr>
          <w:spacing w:val="-17"/>
        </w:rPr>
        <w:t> </w:t>
      </w:r>
      <w:r>
        <w:rPr/>
        <w:t>disminuye</w:t>
      </w:r>
      <w:r>
        <w:rPr>
          <w:spacing w:val="-17"/>
        </w:rPr>
        <w:t> </w:t>
      </w:r>
      <w:r>
        <w:rPr/>
        <w:t>la</w:t>
      </w:r>
      <w:r>
        <w:rPr>
          <w:spacing w:val="-17"/>
        </w:rPr>
        <w:t> </w:t>
      </w:r>
      <w:r>
        <w:rPr/>
        <w:t>cantidad</w:t>
      </w:r>
      <w:r>
        <w:rPr>
          <w:spacing w:val="-17"/>
        </w:rPr>
        <w:t> </w:t>
      </w:r>
      <w:r>
        <w:rPr/>
        <w:t>de</w:t>
      </w:r>
      <w:r>
        <w:rPr>
          <w:spacing w:val="-17"/>
        </w:rPr>
        <w:t> </w:t>
      </w:r>
      <w:r>
        <w:rPr/>
        <w:t>residuos</w:t>
      </w:r>
      <w:r>
        <w:rPr>
          <w:spacing w:val="-17"/>
        </w:rPr>
        <w:t> </w:t>
      </w:r>
      <w:r>
        <w:rPr/>
        <w:t>generados utilizando menor cantidad de uno de ellos y se disminuye el costo al ser uno de los reactivos más caros de la técnica de la</w:t>
      </w:r>
      <w:r>
        <w:rPr>
          <w:spacing w:val="-14"/>
        </w:rPr>
        <w:t> </w:t>
      </w:r>
      <w:r>
        <w:rPr/>
        <w:t>DQO.</w:t>
      </w:r>
    </w:p>
    <w:p>
      <w:pPr>
        <w:pStyle w:val="BodyText"/>
        <w:spacing w:line="360" w:lineRule="auto" w:before="205"/>
        <w:ind w:left="662" w:right="566"/>
        <w:jc w:val="both"/>
      </w:pPr>
      <w:r>
        <w:rPr/>
        <w:t>Otro</w:t>
      </w:r>
      <w:r>
        <w:rPr>
          <w:spacing w:val="-7"/>
        </w:rPr>
        <w:t> </w:t>
      </w:r>
      <w:r>
        <w:rPr/>
        <w:t>de</w:t>
      </w:r>
      <w:r>
        <w:rPr>
          <w:spacing w:val="-6"/>
        </w:rPr>
        <w:t> </w:t>
      </w:r>
      <w:r>
        <w:rPr/>
        <w:t>los</w:t>
      </w:r>
      <w:r>
        <w:rPr>
          <w:spacing w:val="-6"/>
        </w:rPr>
        <w:t> </w:t>
      </w:r>
      <w:r>
        <w:rPr/>
        <w:t>inconvenientes</w:t>
      </w:r>
      <w:r>
        <w:rPr>
          <w:spacing w:val="-7"/>
        </w:rPr>
        <w:t> </w:t>
      </w:r>
      <w:r>
        <w:rPr/>
        <w:t>de</w:t>
      </w:r>
      <w:r>
        <w:rPr>
          <w:spacing w:val="-6"/>
        </w:rPr>
        <w:t> </w:t>
      </w:r>
      <w:r>
        <w:rPr/>
        <w:t>utilizar</w:t>
      </w:r>
      <w:r>
        <w:rPr>
          <w:spacing w:val="-7"/>
        </w:rPr>
        <w:t> </w:t>
      </w:r>
      <w:r>
        <w:rPr/>
        <w:t>la</w:t>
      </w:r>
      <w:r>
        <w:rPr>
          <w:spacing w:val="-6"/>
        </w:rPr>
        <w:t> </w:t>
      </w:r>
      <w:r>
        <w:rPr/>
        <w:t>técnica</w:t>
      </w:r>
      <w:r>
        <w:rPr>
          <w:spacing w:val="-6"/>
        </w:rPr>
        <w:t> </w:t>
      </w:r>
      <w:r>
        <w:rPr/>
        <w:t>de</w:t>
      </w:r>
      <w:r>
        <w:rPr>
          <w:spacing w:val="-6"/>
        </w:rPr>
        <w:t> </w:t>
      </w:r>
      <w:r>
        <w:rPr/>
        <w:t>la</w:t>
      </w:r>
      <w:r>
        <w:rPr>
          <w:spacing w:val="-6"/>
        </w:rPr>
        <w:t> </w:t>
      </w:r>
      <w:r>
        <w:rPr/>
        <w:t>DQO</w:t>
      </w:r>
      <w:r>
        <w:rPr>
          <w:spacing w:val="-9"/>
        </w:rPr>
        <w:t> </w:t>
      </w:r>
      <w:r>
        <w:rPr/>
        <w:t>es</w:t>
      </w:r>
      <w:r>
        <w:rPr>
          <w:spacing w:val="-2"/>
        </w:rPr>
        <w:t> </w:t>
      </w:r>
      <w:r>
        <w:rPr/>
        <w:t>el</w:t>
      </w:r>
      <w:r>
        <w:rPr>
          <w:spacing w:val="-7"/>
        </w:rPr>
        <w:t> </w:t>
      </w:r>
      <w:r>
        <w:rPr/>
        <w:t>tiempo</w:t>
      </w:r>
      <w:r>
        <w:rPr>
          <w:spacing w:val="-6"/>
        </w:rPr>
        <w:t> </w:t>
      </w:r>
      <w:r>
        <w:rPr/>
        <w:t>que</w:t>
      </w:r>
      <w:r>
        <w:rPr>
          <w:spacing w:val="-4"/>
        </w:rPr>
        <w:t> </w:t>
      </w:r>
      <w:r>
        <w:rPr/>
        <w:t>consume;</w:t>
      </w:r>
      <w:r>
        <w:rPr>
          <w:spacing w:val="-6"/>
        </w:rPr>
        <w:t> </w:t>
      </w:r>
      <w:r>
        <w:rPr/>
        <w:t>es por ello que una vez que se logró cambiar el agente oxidante y disminuir el sulfato de plata,</w:t>
      </w:r>
      <w:r>
        <w:rPr>
          <w:spacing w:val="-9"/>
        </w:rPr>
        <w:t> </w:t>
      </w:r>
      <w:r>
        <w:rPr/>
        <w:t>se</w:t>
      </w:r>
      <w:r>
        <w:rPr>
          <w:spacing w:val="-8"/>
        </w:rPr>
        <w:t> </w:t>
      </w:r>
      <w:r>
        <w:rPr/>
        <w:t>decidió</w:t>
      </w:r>
      <w:r>
        <w:rPr>
          <w:spacing w:val="-8"/>
        </w:rPr>
        <w:t> </w:t>
      </w:r>
      <w:r>
        <w:rPr/>
        <w:t>aplicar</w:t>
      </w:r>
      <w:r>
        <w:rPr>
          <w:spacing w:val="-7"/>
        </w:rPr>
        <w:t> </w:t>
      </w:r>
      <w:r>
        <w:rPr/>
        <w:t>luz</w:t>
      </w:r>
      <w:r>
        <w:rPr>
          <w:spacing w:val="-9"/>
        </w:rPr>
        <w:t> </w:t>
      </w:r>
      <w:r>
        <w:rPr/>
        <w:t>ultravioleta</w:t>
      </w:r>
      <w:r>
        <w:rPr>
          <w:spacing w:val="-6"/>
        </w:rPr>
        <w:t> </w:t>
      </w:r>
      <w:r>
        <w:rPr/>
        <w:t>con</w:t>
      </w:r>
      <w:r>
        <w:rPr>
          <w:spacing w:val="-6"/>
        </w:rPr>
        <w:t> </w:t>
      </w:r>
      <w:r>
        <w:rPr/>
        <w:t>la</w:t>
      </w:r>
      <w:r>
        <w:rPr>
          <w:spacing w:val="-8"/>
        </w:rPr>
        <w:t> </w:t>
      </w:r>
      <w:r>
        <w:rPr/>
        <w:t>finalidad</w:t>
      </w:r>
      <w:r>
        <w:rPr>
          <w:spacing w:val="-8"/>
        </w:rPr>
        <w:t> </w:t>
      </w:r>
      <w:r>
        <w:rPr/>
        <w:t>de</w:t>
      </w:r>
      <w:r>
        <w:rPr>
          <w:spacing w:val="-8"/>
        </w:rPr>
        <w:t> </w:t>
      </w:r>
      <w:r>
        <w:rPr/>
        <w:t>acelerar</w:t>
      </w:r>
      <w:r>
        <w:rPr>
          <w:spacing w:val="-10"/>
        </w:rPr>
        <w:t> </w:t>
      </w:r>
      <w:r>
        <w:rPr/>
        <w:t>la</w:t>
      </w:r>
      <w:r>
        <w:rPr>
          <w:spacing w:val="-9"/>
        </w:rPr>
        <w:t> </w:t>
      </w:r>
      <w:r>
        <w:rPr/>
        <w:t>reacción</w:t>
      </w:r>
      <w:r>
        <w:rPr>
          <w:spacing w:val="-6"/>
        </w:rPr>
        <w:t> </w:t>
      </w:r>
      <w:r>
        <w:rPr/>
        <w:t>y</w:t>
      </w:r>
      <w:r>
        <w:rPr>
          <w:spacing w:val="-9"/>
        </w:rPr>
        <w:t> </w:t>
      </w:r>
      <w:r>
        <w:rPr/>
        <w:t>disminuir el tiempo de reacción, al generar mayor cantidad de radicales hidroxilo, los cuales son los que degradan la materia orgánica, logrando disminuir el tiempo a 1 hora de</w:t>
      </w:r>
      <w:r>
        <w:rPr>
          <w:spacing w:val="-39"/>
        </w:rPr>
        <w:t> </w:t>
      </w:r>
      <w:r>
        <w:rPr/>
        <w:t>reacción. Por</w:t>
      </w:r>
      <w:r>
        <w:rPr>
          <w:spacing w:val="-5"/>
        </w:rPr>
        <w:t> </w:t>
      </w:r>
      <w:r>
        <w:rPr/>
        <w:t>ello</w:t>
      </w:r>
      <w:r>
        <w:rPr>
          <w:spacing w:val="-3"/>
        </w:rPr>
        <w:t> </w:t>
      </w:r>
      <w:r>
        <w:rPr/>
        <w:t>se</w:t>
      </w:r>
      <w:r>
        <w:rPr>
          <w:spacing w:val="-4"/>
        </w:rPr>
        <w:t> </w:t>
      </w:r>
      <w:r>
        <w:rPr/>
        <w:t>logra</w:t>
      </w:r>
      <w:r>
        <w:rPr>
          <w:spacing w:val="-4"/>
        </w:rPr>
        <w:t> </w:t>
      </w:r>
      <w:r>
        <w:rPr/>
        <w:t>tener</w:t>
      </w:r>
      <w:r>
        <w:rPr>
          <w:spacing w:val="-5"/>
        </w:rPr>
        <w:t> </w:t>
      </w:r>
      <w:r>
        <w:rPr/>
        <w:t>una</w:t>
      </w:r>
      <w:r>
        <w:rPr>
          <w:spacing w:val="-4"/>
        </w:rPr>
        <w:t> </w:t>
      </w:r>
      <w:r>
        <w:rPr/>
        <w:t>técnica</w:t>
      </w:r>
      <w:r>
        <w:rPr>
          <w:spacing w:val="-4"/>
        </w:rPr>
        <w:t> </w:t>
      </w:r>
      <w:r>
        <w:rPr/>
        <w:t>verde</w:t>
      </w:r>
      <w:r>
        <w:rPr>
          <w:spacing w:val="-3"/>
        </w:rPr>
        <w:t> </w:t>
      </w:r>
      <w:r>
        <w:rPr/>
        <w:t>de</w:t>
      </w:r>
      <w:r>
        <w:rPr>
          <w:spacing w:val="-6"/>
        </w:rPr>
        <w:t> </w:t>
      </w:r>
      <w:r>
        <w:rPr/>
        <w:t>DQO</w:t>
      </w:r>
      <w:r>
        <w:rPr>
          <w:spacing w:val="-4"/>
        </w:rPr>
        <w:t> </w:t>
      </w:r>
      <w:r>
        <w:rPr/>
        <w:t>con</w:t>
      </w:r>
      <w:r>
        <w:rPr>
          <w:spacing w:val="-4"/>
        </w:rPr>
        <w:t> </w:t>
      </w:r>
      <w:r>
        <w:rPr/>
        <w:t>menor</w:t>
      </w:r>
      <w:r>
        <w:rPr>
          <w:spacing w:val="-5"/>
        </w:rPr>
        <w:t> </w:t>
      </w:r>
      <w:r>
        <w:rPr/>
        <w:t>tiempo</w:t>
      </w:r>
      <w:r>
        <w:rPr>
          <w:spacing w:val="-4"/>
        </w:rPr>
        <w:t> </w:t>
      </w:r>
      <w:r>
        <w:rPr/>
        <w:t>de</w:t>
      </w:r>
      <w:r>
        <w:rPr>
          <w:spacing w:val="-4"/>
        </w:rPr>
        <w:t> </w:t>
      </w:r>
      <w:r>
        <w:rPr/>
        <w:t>reacción</w:t>
      </w:r>
      <w:r>
        <w:rPr>
          <w:spacing w:val="-4"/>
        </w:rPr>
        <w:t> </w:t>
      </w:r>
      <w:r>
        <w:rPr/>
        <w:t>para</w:t>
      </w:r>
      <w:r>
        <w:rPr>
          <w:spacing w:val="-4"/>
        </w:rPr>
        <w:t> </w:t>
      </w:r>
      <w:r>
        <w:rPr/>
        <w:t>un análisis más</w:t>
      </w:r>
      <w:r>
        <w:rPr>
          <w:spacing w:val="-6"/>
        </w:rPr>
        <w:t> </w:t>
      </w:r>
      <w:r>
        <w:rPr/>
        <w:t>rápido.</w:t>
      </w:r>
    </w:p>
    <w:p>
      <w:pPr>
        <w:pStyle w:val="BodyText"/>
        <w:spacing w:line="360" w:lineRule="auto" w:before="204"/>
        <w:ind w:left="662" w:right="567"/>
        <w:jc w:val="both"/>
      </w:pPr>
      <w:r>
        <w:rPr/>
        <w:t>Al tratar los residuos generados de la técnica verde de DQO se logró recuperar uno de los metales utilizados en la técnica (plata). Para ello se llevó a cabo un proceso de electrólisis, con la finalidad de depositar un metal o una combinación de ambos, y poder reusarlos. Para poder saber qué metal es el que se estaba depositando, se compararon los voltamperogramas obtenidos de los depósitos y de la solución de residuos sin tratamientos pudiendo corroborar que el depósito se trataba de la plata, mientras que el mercurio permanecía en la solución.</w:t>
      </w:r>
    </w:p>
    <w:p>
      <w:pPr>
        <w:pStyle w:val="BodyText"/>
        <w:spacing w:line="360" w:lineRule="auto" w:before="204"/>
        <w:ind w:left="662" w:right="567"/>
        <w:jc w:val="both"/>
      </w:pPr>
      <w:r>
        <w:rPr/>
        <w:t>Dichos resultados fueron parcialmente satisfactorios, ya que logra separar parte de la plata adicionada en dicho análisis. En cuanto a la solución restante de la electrólisis que contenía</w:t>
      </w:r>
      <w:r>
        <w:rPr>
          <w:spacing w:val="-8"/>
        </w:rPr>
        <w:t> </w:t>
      </w:r>
      <w:r>
        <w:rPr/>
        <w:t>el</w:t>
      </w:r>
      <w:r>
        <w:rPr>
          <w:spacing w:val="-10"/>
        </w:rPr>
        <w:t> </w:t>
      </w:r>
      <w:r>
        <w:rPr/>
        <w:t>mercurio</w:t>
      </w:r>
      <w:r>
        <w:rPr>
          <w:spacing w:val="-8"/>
        </w:rPr>
        <w:t> </w:t>
      </w:r>
      <w:r>
        <w:rPr/>
        <w:t>se</w:t>
      </w:r>
      <w:r>
        <w:rPr>
          <w:spacing w:val="-8"/>
        </w:rPr>
        <w:t> </w:t>
      </w:r>
      <w:r>
        <w:rPr/>
        <w:t>guardó,</w:t>
      </w:r>
      <w:r>
        <w:rPr>
          <w:spacing w:val="-9"/>
        </w:rPr>
        <w:t> </w:t>
      </w:r>
      <w:r>
        <w:rPr/>
        <w:t>para</w:t>
      </w:r>
      <w:r>
        <w:rPr>
          <w:spacing w:val="-9"/>
        </w:rPr>
        <w:t> </w:t>
      </w:r>
      <w:r>
        <w:rPr/>
        <w:t>un</w:t>
      </w:r>
      <w:r>
        <w:rPr>
          <w:spacing w:val="-8"/>
        </w:rPr>
        <w:t> </w:t>
      </w:r>
      <w:r>
        <w:rPr/>
        <w:t>posible</w:t>
      </w:r>
      <w:r>
        <w:rPr>
          <w:spacing w:val="-8"/>
        </w:rPr>
        <w:t> </w:t>
      </w:r>
      <w:r>
        <w:rPr/>
        <w:t>análisis</w:t>
      </w:r>
      <w:r>
        <w:rPr>
          <w:spacing w:val="-10"/>
        </w:rPr>
        <w:t> </w:t>
      </w:r>
      <w:r>
        <w:rPr/>
        <w:t>de</w:t>
      </w:r>
      <w:r>
        <w:rPr>
          <w:spacing w:val="-8"/>
        </w:rPr>
        <w:t> </w:t>
      </w:r>
      <w:r>
        <w:rPr/>
        <w:t>recuperación</w:t>
      </w:r>
      <w:r>
        <w:rPr>
          <w:spacing w:val="-8"/>
        </w:rPr>
        <w:t> </w:t>
      </w:r>
      <w:r>
        <w:rPr/>
        <w:t>de</w:t>
      </w:r>
      <w:r>
        <w:rPr>
          <w:spacing w:val="-11"/>
        </w:rPr>
        <w:t> </w:t>
      </w:r>
      <w:r>
        <w:rPr/>
        <w:t>mercurio</w:t>
      </w:r>
      <w:r>
        <w:rPr>
          <w:spacing w:val="-8"/>
        </w:rPr>
        <w:t> </w:t>
      </w:r>
      <w:r>
        <w:rPr/>
        <w:t>por otro</w:t>
      </w:r>
      <w:r>
        <w:rPr>
          <w:spacing w:val="-6"/>
        </w:rPr>
        <w:t> </w:t>
      </w:r>
      <w:r>
        <w:rPr/>
        <w:t>método.</w:t>
      </w:r>
    </w:p>
    <w:p>
      <w:pPr>
        <w:spacing w:after="0" w:line="360" w:lineRule="auto"/>
        <w:jc w:val="both"/>
        <w:sectPr>
          <w:pgSz w:w="12240" w:h="15840"/>
          <w:pgMar w:header="0" w:footer="654" w:top="1080" w:bottom="1060" w:left="1040" w:right="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1"/>
        <w:spacing w:line="918" w:lineRule="exact"/>
      </w:pPr>
      <w:r>
        <w:rPr/>
        <w:t>CONCLUSIONES</w:t>
      </w:r>
    </w:p>
    <w:p>
      <w:pPr>
        <w:spacing w:after="0" w:line="918" w:lineRule="exact"/>
        <w:sectPr>
          <w:pgSz w:w="12240" w:h="15840"/>
          <w:pgMar w:header="0" w:footer="654" w:top="1500" w:bottom="1060" w:left="1040" w:right="560"/>
        </w:sectPr>
      </w:pPr>
    </w:p>
    <w:p>
      <w:pPr>
        <w:pStyle w:val="Heading3"/>
        <w:numPr>
          <w:ilvl w:val="0"/>
          <w:numId w:val="7"/>
        </w:numPr>
        <w:tabs>
          <w:tab w:pos="1195" w:val="left" w:leader="none"/>
        </w:tabs>
        <w:spacing w:line="240" w:lineRule="auto" w:before="110" w:after="0"/>
        <w:ind w:left="1194" w:right="0" w:hanging="532"/>
        <w:jc w:val="both"/>
      </w:pPr>
      <w:r>
        <w:rPr/>
        <w:t>CONCLUSIONES</w:t>
      </w:r>
    </w:p>
    <w:p>
      <w:pPr>
        <w:pStyle w:val="BodyText"/>
        <w:rPr>
          <w:b/>
          <w:sz w:val="32"/>
        </w:rPr>
      </w:pPr>
    </w:p>
    <w:p>
      <w:pPr>
        <w:pStyle w:val="BodyText"/>
        <w:spacing w:line="360" w:lineRule="auto" w:before="234"/>
        <w:ind w:left="662" w:right="567"/>
        <w:jc w:val="both"/>
      </w:pPr>
      <w:r>
        <w:rPr/>
        <w:t>Al terminar la parte experimentalse corrobora que se obtuvieron resultados favorables, </w:t>
      </w:r>
      <w:r>
        <w:rPr>
          <w:position w:val="1"/>
        </w:rPr>
        <w:t>logrando</w:t>
      </w:r>
      <w:r>
        <w:rPr>
          <w:spacing w:val="-15"/>
          <w:position w:val="1"/>
        </w:rPr>
        <w:t> </w:t>
      </w:r>
      <w:r>
        <w:rPr>
          <w:position w:val="1"/>
        </w:rPr>
        <w:t>cambiar</w:t>
      </w:r>
      <w:r>
        <w:rPr>
          <w:spacing w:val="-19"/>
          <w:position w:val="1"/>
        </w:rPr>
        <w:t> </w:t>
      </w:r>
      <w:r>
        <w:rPr>
          <w:position w:val="1"/>
        </w:rPr>
        <w:t>el</w:t>
      </w:r>
      <w:r>
        <w:rPr>
          <w:spacing w:val="-19"/>
          <w:position w:val="1"/>
        </w:rPr>
        <w:t> </w:t>
      </w:r>
      <w:r>
        <w:rPr>
          <w:position w:val="1"/>
        </w:rPr>
        <w:t>agente</w:t>
      </w:r>
      <w:r>
        <w:rPr>
          <w:spacing w:val="-17"/>
          <w:position w:val="1"/>
        </w:rPr>
        <w:t> </w:t>
      </w:r>
      <w:r>
        <w:rPr>
          <w:position w:val="1"/>
        </w:rPr>
        <w:t>oxidante</w:t>
      </w:r>
      <w:r>
        <w:rPr>
          <w:spacing w:val="-17"/>
          <w:position w:val="1"/>
        </w:rPr>
        <w:t> </w:t>
      </w:r>
      <w:r>
        <w:rPr>
          <w:position w:val="1"/>
        </w:rPr>
        <w:t>tóxico</w:t>
      </w:r>
      <w:r>
        <w:rPr>
          <w:spacing w:val="-16"/>
          <w:position w:val="1"/>
        </w:rPr>
        <w:t> </w:t>
      </w:r>
      <w:r>
        <w:rPr>
          <w:position w:val="1"/>
        </w:rPr>
        <w:t>(K</w:t>
      </w:r>
      <w:r>
        <w:rPr>
          <w:sz w:val="16"/>
        </w:rPr>
        <w:t>2</w:t>
      </w:r>
      <w:r>
        <w:rPr>
          <w:position w:val="1"/>
        </w:rPr>
        <w:t>Cr</w:t>
      </w:r>
      <w:r>
        <w:rPr>
          <w:sz w:val="16"/>
        </w:rPr>
        <w:t>2</w:t>
      </w:r>
      <w:r>
        <w:rPr>
          <w:position w:val="1"/>
        </w:rPr>
        <w:t>O</w:t>
      </w:r>
      <w:r>
        <w:rPr>
          <w:sz w:val="16"/>
        </w:rPr>
        <w:t>7</w:t>
      </w:r>
      <w:r>
        <w:rPr>
          <w:position w:val="1"/>
        </w:rPr>
        <w:t>),</w:t>
      </w:r>
      <w:r>
        <w:rPr>
          <w:spacing w:val="-17"/>
          <w:position w:val="1"/>
        </w:rPr>
        <w:t> </w:t>
      </w:r>
      <w:r>
        <w:rPr>
          <w:position w:val="1"/>
        </w:rPr>
        <w:t>por</w:t>
      </w:r>
      <w:r>
        <w:rPr>
          <w:spacing w:val="-17"/>
          <w:position w:val="1"/>
        </w:rPr>
        <w:t> </w:t>
      </w:r>
      <w:r>
        <w:rPr>
          <w:position w:val="1"/>
        </w:rPr>
        <w:t>uno</w:t>
      </w:r>
      <w:r>
        <w:rPr>
          <w:spacing w:val="-20"/>
          <w:position w:val="1"/>
        </w:rPr>
        <w:t> </w:t>
      </w:r>
      <w:r>
        <w:rPr>
          <w:position w:val="1"/>
        </w:rPr>
        <w:t>más</w:t>
      </w:r>
      <w:r>
        <w:rPr>
          <w:spacing w:val="-19"/>
          <w:position w:val="1"/>
        </w:rPr>
        <w:t> </w:t>
      </w:r>
      <w:r>
        <w:rPr>
          <w:position w:val="1"/>
        </w:rPr>
        <w:t>amigable</w:t>
      </w:r>
      <w:r>
        <w:rPr>
          <w:spacing w:val="-16"/>
          <w:position w:val="1"/>
        </w:rPr>
        <w:t> </w:t>
      </w:r>
      <w:r>
        <w:rPr>
          <w:position w:val="1"/>
        </w:rPr>
        <w:t>con</w:t>
      </w:r>
      <w:r>
        <w:rPr>
          <w:spacing w:val="-18"/>
          <w:position w:val="1"/>
        </w:rPr>
        <w:t> </w:t>
      </w:r>
      <w:r>
        <w:rPr>
          <w:position w:val="1"/>
        </w:rPr>
        <w:t>el</w:t>
      </w:r>
      <w:r>
        <w:rPr>
          <w:spacing w:val="-19"/>
          <w:position w:val="1"/>
        </w:rPr>
        <w:t> </w:t>
      </w:r>
      <w:r>
        <w:rPr>
          <w:position w:val="1"/>
        </w:rPr>
        <w:t>medio </w:t>
      </w:r>
      <w:r>
        <w:rPr/>
        <w:t>ambiente y el ser humano, como lo indica la química verde en sus principios. El agente ambientalmente amigable que se utilizó como sustituyente fue el peróxido de hidrógeno </w:t>
      </w:r>
      <w:r>
        <w:rPr>
          <w:position w:val="1"/>
        </w:rPr>
        <w:t>(H</w:t>
      </w:r>
      <w:r>
        <w:rPr>
          <w:sz w:val="16"/>
        </w:rPr>
        <w:t>2</w:t>
      </w:r>
      <w:r>
        <w:rPr>
          <w:position w:val="1"/>
        </w:rPr>
        <w:t>O</w:t>
      </w:r>
      <w:r>
        <w:rPr>
          <w:sz w:val="16"/>
        </w:rPr>
        <w:t>2</w:t>
      </w:r>
      <w:r>
        <w:rPr>
          <w:position w:val="1"/>
        </w:rPr>
        <w:t>), adicionando todo en cantidades estequiométricas con respecto a la técnica </w:t>
      </w:r>
      <w:r>
        <w:rPr/>
        <w:t>estandarizada.</w:t>
      </w:r>
    </w:p>
    <w:p>
      <w:pPr>
        <w:pStyle w:val="BodyText"/>
        <w:spacing w:line="360" w:lineRule="auto" w:before="202"/>
        <w:ind w:left="662" w:right="569"/>
        <w:jc w:val="both"/>
      </w:pPr>
      <w:r>
        <w:rPr/>
        <w:t>Se mejoró la técnica de la determinación de la DQO disminuyendo la concentración de sulfato de plata a la mitad con respecto a las cantidades de la técnica estandarizada, lográndose obtener resultados favorables comparados estadísticamente con la técnica estandarizada,</w:t>
      </w:r>
      <w:r>
        <w:rPr>
          <w:spacing w:val="-12"/>
        </w:rPr>
        <w:t> </w:t>
      </w:r>
      <w:r>
        <w:rPr/>
        <w:t>cumpliendo</w:t>
      </w:r>
      <w:r>
        <w:rPr>
          <w:spacing w:val="-12"/>
        </w:rPr>
        <w:t> </w:t>
      </w:r>
      <w:r>
        <w:rPr/>
        <w:t>parcialmente</w:t>
      </w:r>
      <w:r>
        <w:rPr>
          <w:spacing w:val="-12"/>
        </w:rPr>
        <w:t> </w:t>
      </w:r>
      <w:r>
        <w:rPr/>
        <w:t>uno</w:t>
      </w:r>
      <w:r>
        <w:rPr>
          <w:spacing w:val="-14"/>
        </w:rPr>
        <w:t> </w:t>
      </w:r>
      <w:r>
        <w:rPr/>
        <w:t>de</w:t>
      </w:r>
      <w:r>
        <w:rPr>
          <w:spacing w:val="-12"/>
        </w:rPr>
        <w:t> </w:t>
      </w:r>
      <w:r>
        <w:rPr/>
        <w:t>los</w:t>
      </w:r>
      <w:r>
        <w:rPr>
          <w:spacing w:val="-12"/>
        </w:rPr>
        <w:t> </w:t>
      </w:r>
      <w:r>
        <w:rPr/>
        <w:t>objetivos,</w:t>
      </w:r>
      <w:r>
        <w:rPr>
          <w:spacing w:val="-12"/>
        </w:rPr>
        <w:t> </w:t>
      </w:r>
      <w:r>
        <w:rPr/>
        <w:t>ya</w:t>
      </w:r>
      <w:r>
        <w:rPr>
          <w:spacing w:val="-12"/>
        </w:rPr>
        <w:t> </w:t>
      </w:r>
      <w:r>
        <w:rPr/>
        <w:t>que</w:t>
      </w:r>
      <w:r>
        <w:rPr>
          <w:spacing w:val="-12"/>
        </w:rPr>
        <w:t> </w:t>
      </w:r>
      <w:r>
        <w:rPr/>
        <w:t>la</w:t>
      </w:r>
      <w:r>
        <w:rPr>
          <w:spacing w:val="-12"/>
        </w:rPr>
        <w:t> </w:t>
      </w:r>
      <w:r>
        <w:rPr/>
        <w:t>concentración</w:t>
      </w:r>
      <w:r>
        <w:rPr>
          <w:spacing w:val="-14"/>
        </w:rPr>
        <w:t> </w:t>
      </w:r>
      <w:r>
        <w:rPr/>
        <w:t>de la sal de mercurio no se pudo disminuir al generar resultados con una variación significativa.</w:t>
      </w:r>
    </w:p>
    <w:p>
      <w:pPr>
        <w:pStyle w:val="BodyText"/>
      </w:pPr>
    </w:p>
    <w:p>
      <w:pPr>
        <w:pStyle w:val="BodyText"/>
        <w:spacing w:line="360" w:lineRule="auto" w:before="142"/>
        <w:ind w:left="662" w:right="568"/>
        <w:jc w:val="both"/>
      </w:pPr>
      <w:r>
        <w:rPr/>
        <w:t>Aunado</w:t>
      </w:r>
      <w:r>
        <w:rPr>
          <w:spacing w:val="-18"/>
        </w:rPr>
        <w:t> </w:t>
      </w:r>
      <w:r>
        <w:rPr/>
        <w:t>a</w:t>
      </w:r>
      <w:r>
        <w:rPr>
          <w:spacing w:val="-16"/>
        </w:rPr>
        <w:t> </w:t>
      </w:r>
      <w:r>
        <w:rPr/>
        <w:t>eso</w:t>
      </w:r>
      <w:r>
        <w:rPr>
          <w:spacing w:val="-16"/>
        </w:rPr>
        <w:t> </w:t>
      </w:r>
      <w:r>
        <w:rPr/>
        <w:t>se</w:t>
      </w:r>
      <w:r>
        <w:rPr>
          <w:spacing w:val="-16"/>
        </w:rPr>
        <w:t> </w:t>
      </w:r>
      <w:r>
        <w:rPr/>
        <w:t>disminuye</w:t>
      </w:r>
      <w:r>
        <w:rPr>
          <w:spacing w:val="-15"/>
        </w:rPr>
        <w:t> </w:t>
      </w:r>
      <w:r>
        <w:rPr/>
        <w:t>del</w:t>
      </w:r>
      <w:r>
        <w:rPr>
          <w:spacing w:val="-17"/>
        </w:rPr>
        <w:t> </w:t>
      </w:r>
      <w:r>
        <w:rPr/>
        <w:t>tiempo</w:t>
      </w:r>
      <w:r>
        <w:rPr>
          <w:spacing w:val="-16"/>
        </w:rPr>
        <w:t> </w:t>
      </w:r>
      <w:r>
        <w:rPr/>
        <w:t>de</w:t>
      </w:r>
      <w:r>
        <w:rPr>
          <w:spacing w:val="-16"/>
        </w:rPr>
        <w:t> </w:t>
      </w:r>
      <w:r>
        <w:rPr/>
        <w:t>reacción</w:t>
      </w:r>
      <w:r>
        <w:rPr>
          <w:spacing w:val="-15"/>
        </w:rPr>
        <w:t> </w:t>
      </w:r>
      <w:r>
        <w:rPr/>
        <w:t>a</w:t>
      </w:r>
      <w:r>
        <w:rPr>
          <w:spacing w:val="-16"/>
        </w:rPr>
        <w:t> </w:t>
      </w:r>
      <w:r>
        <w:rPr/>
        <w:t>la</w:t>
      </w:r>
      <w:r>
        <w:rPr>
          <w:spacing w:val="-18"/>
        </w:rPr>
        <w:t> </w:t>
      </w:r>
      <w:r>
        <w:rPr/>
        <w:t>mitad</w:t>
      </w:r>
      <w:r>
        <w:rPr>
          <w:spacing w:val="-16"/>
        </w:rPr>
        <w:t> </w:t>
      </w:r>
      <w:r>
        <w:rPr/>
        <w:t>sin</w:t>
      </w:r>
      <w:r>
        <w:rPr>
          <w:spacing w:val="-16"/>
        </w:rPr>
        <w:t> </w:t>
      </w:r>
      <w:r>
        <w:rPr/>
        <w:t>la</w:t>
      </w:r>
      <w:r>
        <w:rPr>
          <w:spacing w:val="-16"/>
        </w:rPr>
        <w:t> </w:t>
      </w:r>
      <w:r>
        <w:rPr/>
        <w:t>necesidad</w:t>
      </w:r>
      <w:r>
        <w:rPr>
          <w:spacing w:val="-16"/>
        </w:rPr>
        <w:t> </w:t>
      </w:r>
      <w:r>
        <w:rPr/>
        <w:t>del</w:t>
      </w:r>
      <w:r>
        <w:rPr>
          <w:spacing w:val="-17"/>
        </w:rPr>
        <w:t> </w:t>
      </w:r>
      <w:r>
        <w:rPr/>
        <w:t>proceso de calentamiento, aplicando luz UV para acelerar la reacción, así que no solo es una técnica menos tóxica y menos costosa sino también más</w:t>
      </w:r>
      <w:r>
        <w:rPr>
          <w:spacing w:val="-19"/>
        </w:rPr>
        <w:t> </w:t>
      </w:r>
      <w:r>
        <w:rPr/>
        <w:t>rápida.</w:t>
      </w:r>
    </w:p>
    <w:p>
      <w:pPr>
        <w:pStyle w:val="BodyText"/>
      </w:pPr>
    </w:p>
    <w:p>
      <w:pPr>
        <w:pStyle w:val="BodyText"/>
        <w:spacing w:line="360" w:lineRule="auto" w:before="142"/>
        <w:ind w:left="662" w:right="567"/>
        <w:jc w:val="both"/>
      </w:pPr>
      <w:r>
        <w:rPr/>
        <w:t>Finalmente se realiza el tratamiento de residuos generados de la nueva técnica de determinación de la DQO logrando recuperar la plata utilizada en dicho análisis, para su posible reúso.</w:t>
      </w:r>
    </w:p>
    <w:p>
      <w:pPr>
        <w:pStyle w:val="BodyText"/>
      </w:pPr>
    </w:p>
    <w:p>
      <w:pPr>
        <w:pStyle w:val="BodyText"/>
        <w:spacing w:line="360" w:lineRule="auto" w:before="142"/>
        <w:ind w:left="662" w:right="566"/>
        <w:jc w:val="both"/>
      </w:pPr>
      <w:r>
        <w:rPr/>
        <w:t>Analizando los resultados podemos decir que se cumplió razonablemente con los objetivos planteados en un inicio, logrando generar una técnica más económica, menos tóxica y recuperar uno de los reactivos más costosos que se emplean en dicha técnica, la plata.</w:t>
      </w:r>
    </w:p>
    <w:p>
      <w:pPr>
        <w:spacing w:after="0" w:line="360" w:lineRule="auto"/>
        <w:jc w:val="both"/>
        <w:sectPr>
          <w:pgSz w:w="12240" w:h="15840"/>
          <w:pgMar w:header="0" w:footer="654" w:top="1500" w:bottom="1060" w:left="1040" w:right="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1"/>
        <w:spacing w:line="918" w:lineRule="exact"/>
        <w:ind w:left="2476"/>
      </w:pPr>
      <w:r>
        <w:rPr/>
        <w:t>BIBLIOGRAFÍA</w:t>
      </w:r>
    </w:p>
    <w:p>
      <w:pPr>
        <w:spacing w:after="0" w:line="918" w:lineRule="exact"/>
        <w:sectPr>
          <w:pgSz w:w="12240" w:h="15840"/>
          <w:pgMar w:header="0" w:footer="654" w:top="1500" w:bottom="1060" w:left="1040" w:right="560"/>
        </w:sectPr>
      </w:pPr>
    </w:p>
    <w:p>
      <w:pPr>
        <w:pStyle w:val="Heading3"/>
        <w:numPr>
          <w:ilvl w:val="0"/>
          <w:numId w:val="7"/>
        </w:numPr>
        <w:tabs>
          <w:tab w:pos="1195" w:val="left" w:leader="none"/>
        </w:tabs>
        <w:spacing w:line="240" w:lineRule="auto" w:before="48" w:after="0"/>
        <w:ind w:left="1194" w:right="0" w:hanging="532"/>
        <w:jc w:val="left"/>
      </w:pPr>
      <w:r>
        <w:rPr/>
        <w:t>BIBLIOGRAFÍA</w:t>
      </w:r>
    </w:p>
    <w:p>
      <w:pPr>
        <w:pStyle w:val="BodyText"/>
        <w:spacing w:before="9"/>
        <w:rPr>
          <w:b/>
          <w:sz w:val="33"/>
        </w:rPr>
      </w:pPr>
    </w:p>
    <w:p>
      <w:pPr>
        <w:pStyle w:val="BodyText"/>
        <w:spacing w:line="360" w:lineRule="auto"/>
        <w:ind w:left="662" w:right="568" w:firstLine="707"/>
        <w:jc w:val="both"/>
      </w:pPr>
      <w:r>
        <w:rPr/>
        <w:t>Ai S., Li J., Yang Y., Gao M., Pan Z., Jin L. (2004). “Study on photocatalytic </w:t>
      </w:r>
      <w:r>
        <w:rPr>
          <w:position w:val="1"/>
        </w:rPr>
        <w:t>oxidation for determination of chemical oxygen demand using a nano-TiO</w:t>
      </w:r>
      <w:r>
        <w:rPr>
          <w:sz w:val="16"/>
        </w:rPr>
        <w:t>2</w:t>
      </w:r>
      <w:r>
        <w:rPr>
          <w:position w:val="1"/>
        </w:rPr>
        <w:t>-K</w:t>
      </w:r>
      <w:r>
        <w:rPr>
          <w:sz w:val="16"/>
        </w:rPr>
        <w:t>2</w:t>
      </w:r>
      <w:r>
        <w:rPr>
          <w:position w:val="1"/>
        </w:rPr>
        <w:t>Cr</w:t>
      </w:r>
      <w:r>
        <w:rPr>
          <w:sz w:val="16"/>
        </w:rPr>
        <w:t>2</w:t>
      </w:r>
      <w:r>
        <w:rPr>
          <w:position w:val="1"/>
        </w:rPr>
        <w:t>O</w:t>
      </w:r>
      <w:r>
        <w:rPr>
          <w:sz w:val="16"/>
        </w:rPr>
        <w:t>7 </w:t>
      </w:r>
      <w:r>
        <w:rPr/>
        <w:t>system”. Analytica Chimica Acta. 509, 237-341.</w:t>
      </w:r>
    </w:p>
    <w:p>
      <w:pPr>
        <w:pStyle w:val="BodyText"/>
        <w:spacing w:line="360" w:lineRule="auto" w:before="122"/>
        <w:ind w:left="662" w:right="570" w:firstLine="707"/>
        <w:jc w:val="both"/>
      </w:pPr>
      <w:r>
        <w:rPr/>
        <w:t>Anastas P. T. Warner J. C. (2000). “Green chemistry: theory and practice Oxford: Oxford University Press”. 2-5.</w:t>
      </w:r>
    </w:p>
    <w:p>
      <w:pPr>
        <w:pStyle w:val="BodyText"/>
        <w:spacing w:line="360" w:lineRule="auto" w:before="122"/>
        <w:ind w:left="662" w:right="570" w:firstLine="707"/>
        <w:jc w:val="both"/>
      </w:pPr>
      <w:r>
        <w:rPr/>
        <w:t>APHA (American Public Health Association) AWWA (American Water Works Association) WEF (Water Environment Federation). (1998). “Standard Methods for the Examination of Water and Wastewater”. Washington DC.</w:t>
      </w:r>
    </w:p>
    <w:p>
      <w:pPr>
        <w:pStyle w:val="BodyText"/>
        <w:tabs>
          <w:tab w:pos="2412" w:val="left" w:leader="none"/>
          <w:tab w:pos="3156" w:val="left" w:leader="none"/>
          <w:tab w:pos="3521" w:val="left" w:leader="none"/>
          <w:tab w:pos="4753" w:val="left" w:leader="none"/>
          <w:tab w:pos="6303" w:val="left" w:leader="none"/>
          <w:tab w:pos="7133" w:val="left" w:leader="none"/>
          <w:tab w:pos="8176" w:val="left" w:leader="none"/>
          <w:tab w:pos="9727" w:val="left" w:leader="none"/>
        </w:tabs>
        <w:spacing w:line="360" w:lineRule="auto" w:before="125"/>
        <w:ind w:left="662" w:right="569" w:firstLine="707"/>
      </w:pPr>
      <w:r>
        <w:rPr/>
        <w:t>Arboleda </w:t>
      </w:r>
      <w:r>
        <w:rPr>
          <w:spacing w:val="59"/>
        </w:rPr>
        <w:t> </w:t>
      </w:r>
      <w:r>
        <w:rPr/>
        <w:t>C.</w:t>
        <w:tab/>
        <w:t>J.,   Herrera   L.   P.   (2015).   “Evaluación   de   un </w:t>
      </w:r>
      <w:r>
        <w:rPr>
          <w:spacing w:val="5"/>
        </w:rPr>
        <w:t> </w:t>
      </w:r>
      <w:r>
        <w:rPr/>
        <w:t>proceso </w:t>
      </w:r>
      <w:r>
        <w:rPr>
          <w:spacing w:val="57"/>
        </w:rPr>
        <w:t> </w:t>
      </w:r>
      <w:r>
        <w:rPr/>
        <w:t>de</w:t>
      </w:r>
      <w:r>
        <w:rPr>
          <w:w w:val="99"/>
        </w:rPr>
        <w:t> </w:t>
      </w:r>
      <w:r>
        <w:rPr/>
        <w:t>electrocoagulación en un reactor tipo Batch para la remoción de cromo hexavalente (Cr6+) con electrodos de aluminio-aluminio y de hierro-aluminio en condiciones de laboratorio”.</w:t>
        <w:tab/>
        <w:t>Tesis,</w:t>
        <w:tab/>
        <w:tab/>
        <w:t>Bogota</w:t>
        <w:tab/>
        <w:t>Colombia.</w:t>
        <w:tab/>
        <w:t>[En</w:t>
        <w:tab/>
        <w:t>linea]</w:t>
        <w:tab/>
        <w:t>disponible</w:t>
        <w:tab/>
        <w:t>en: http://porticus.usantotomas.edu.co:8080/xmlui/bitstream/handle/11634/613/evaluacion% 20de%20un%20proceso%20de%20electrocoagulacion%20en%20un%20reactor%20tip o%20batch%20para%20la%20remocion.pdf?sequence=1&amp;isAllowed=y [Consultado en octubre</w:t>
      </w:r>
      <w:r>
        <w:rPr>
          <w:spacing w:val="-6"/>
        </w:rPr>
        <w:t> </w:t>
      </w:r>
      <w:r>
        <w:rPr/>
        <w:t>2016].</w:t>
      </w:r>
    </w:p>
    <w:p>
      <w:pPr>
        <w:pStyle w:val="BodyText"/>
        <w:spacing w:before="125"/>
        <w:ind w:left="1437" w:right="286"/>
      </w:pPr>
      <w:r>
        <w:rPr/>
        <w:t>Armenta S., Garrigues S., De la Guardia M. (2008). “Green analytical chemistry”.</w:t>
      </w:r>
    </w:p>
    <w:p>
      <w:pPr>
        <w:pStyle w:val="BodyText"/>
        <w:spacing w:before="137"/>
        <w:ind w:left="662" w:right="286"/>
      </w:pPr>
      <w:r>
        <w:rPr/>
        <w:t>Trends in Analytical Chemistry. 27(6), 497-511.</w:t>
      </w:r>
    </w:p>
    <w:p>
      <w:pPr>
        <w:pStyle w:val="BodyText"/>
        <w:spacing w:before="6"/>
        <w:rPr>
          <w:sz w:val="22"/>
        </w:rPr>
      </w:pPr>
    </w:p>
    <w:p>
      <w:pPr>
        <w:pStyle w:val="BodyText"/>
        <w:spacing w:line="360" w:lineRule="auto"/>
        <w:ind w:left="662" w:right="570" w:firstLine="707"/>
        <w:jc w:val="both"/>
      </w:pPr>
      <w:r>
        <w:rPr/>
        <w:t>Arroyave J. A., Garcés L. F. Mejía J. (2009). “Use of Fenton’s reagent to degrade the tartrazine dye”. Lasallian Research Journal. 6(1), 27-34.</w:t>
      </w:r>
    </w:p>
    <w:p>
      <w:pPr>
        <w:pStyle w:val="BodyText"/>
        <w:spacing w:line="360" w:lineRule="auto" w:before="125"/>
        <w:ind w:left="662" w:right="565" w:firstLine="707"/>
        <w:jc w:val="both"/>
      </w:pPr>
      <w:r>
        <w:rPr/>
        <w:t>Baisheng C., Huana W., Li S. F. (2014). “Development of variable pathlength UV- vis spectroscopy combined partial-least-squares regression for wastewater chemical oxygen demand COD monitoring”. Talanta. 120, 325-330.</w:t>
      </w:r>
    </w:p>
    <w:p>
      <w:pPr>
        <w:pStyle w:val="BodyText"/>
        <w:spacing w:line="360" w:lineRule="auto" w:before="125"/>
        <w:ind w:left="662" w:right="566" w:firstLine="707"/>
        <w:jc w:val="both"/>
      </w:pPr>
      <w:r>
        <w:rPr/>
        <w:t>Benavides A., Moreno M., Sosa M., Puga S., Alcalá J. Quintana C. (2008). “Evaluación de la calidad del agua en las principales lagunas del Estado de Chihuahua”. Revista Latinoamericana de Recursos Naturales, México. 4(2), 84-88.</w:t>
      </w:r>
    </w:p>
    <w:p>
      <w:pPr>
        <w:spacing w:after="0" w:line="360" w:lineRule="auto"/>
        <w:jc w:val="both"/>
        <w:sectPr>
          <w:pgSz w:w="12240" w:h="15840"/>
          <w:pgMar w:header="0" w:footer="654" w:top="1080" w:bottom="1060" w:left="1040" w:right="560"/>
        </w:sectPr>
      </w:pPr>
    </w:p>
    <w:p>
      <w:pPr>
        <w:pStyle w:val="BodyText"/>
        <w:spacing w:line="364" w:lineRule="auto" w:before="55"/>
        <w:ind w:left="662" w:right="846" w:firstLine="707"/>
      </w:pPr>
      <w:r>
        <w:rPr/>
        <w:t>Bernal S. I., Pérez O. J., Carballo V. M. E., Sardiñas M. A. Arias C. M. (2015). “Aplicación de rizobacterias en la biorremediación del cromo hexavalente presente en aguas residuales” Cuban Journal of Biological Sciences. 4,2. 20-34.</w:t>
      </w:r>
    </w:p>
    <w:p>
      <w:pPr>
        <w:pStyle w:val="BodyText"/>
        <w:spacing w:before="9"/>
        <w:rPr>
          <w:sz w:val="34"/>
        </w:rPr>
      </w:pPr>
    </w:p>
    <w:p>
      <w:pPr>
        <w:pStyle w:val="BodyText"/>
        <w:spacing w:line="360" w:lineRule="auto"/>
        <w:ind w:left="662" w:right="286" w:firstLine="707"/>
      </w:pPr>
      <w:r>
        <w:rPr/>
        <w:t>Boyles, W. (1997). “The science of Chemical Oxygen Demand”. Technical Information Series, Booklet, Hach company. U.S.A. 9, 1-23.</w:t>
      </w:r>
    </w:p>
    <w:p>
      <w:pPr>
        <w:pStyle w:val="BodyText"/>
        <w:spacing w:line="360" w:lineRule="auto" w:before="122"/>
        <w:ind w:left="662" w:right="286" w:firstLine="707"/>
      </w:pPr>
      <w:r>
        <w:rPr/>
        <w:t>Canals A., Cuesta A., Gras L. Hernández M. R. (2002). “New ultrasound assisted chemical oxygen demand determination”. Ultrasonics Sonochemistry. 9, 143-149.</w:t>
      </w:r>
    </w:p>
    <w:p>
      <w:pPr>
        <w:pStyle w:val="BodyText"/>
        <w:spacing w:line="312" w:lineRule="auto" w:before="122"/>
        <w:ind w:left="662" w:right="568"/>
        <w:jc w:val="both"/>
      </w:pPr>
      <w:r>
        <w:rPr/>
        <w:t>Cañizares P., Martínez F., Lobato J., Rodrigo M. A. (2006). “Electrochemically assisted coagulation of wastes polluted with eriochrome black T”. </w:t>
      </w:r>
      <w:hyperlink r:id="rId44">
        <w:r>
          <w:rPr/>
          <w:t>Industrial &amp; Engineering</w:t>
        </w:r>
      </w:hyperlink>
      <w:r>
        <w:rPr/>
        <w:t> </w:t>
      </w:r>
      <w:hyperlink r:id="rId44">
        <w:r>
          <w:rPr/>
          <w:t>Chemistry Research</w:t>
        </w:r>
      </w:hyperlink>
      <w:r>
        <w:rPr/>
        <w:t>. 45, 3474 - 3480.</w:t>
      </w:r>
    </w:p>
    <w:p>
      <w:pPr>
        <w:pStyle w:val="BodyText"/>
        <w:spacing w:line="360" w:lineRule="auto" w:before="123"/>
        <w:ind w:left="662" w:right="567" w:firstLine="1415"/>
        <w:jc w:val="both"/>
      </w:pPr>
      <w:r>
        <w:rPr/>
        <w:t>Capello C., Fischer U. Hungerbühler K. (2007). “What is a green solvent?</w:t>
      </w:r>
      <w:r>
        <w:rPr>
          <w:spacing w:val="-36"/>
        </w:rPr>
        <w:t> </w:t>
      </w:r>
      <w:r>
        <w:rPr/>
        <w:t>A comprehensive framework for the environmental assessment of solvents”. Green Chemistry. 9,</w:t>
      </w:r>
      <w:r>
        <w:rPr>
          <w:spacing w:val="-7"/>
        </w:rPr>
        <w:t> </w:t>
      </w:r>
      <w:r>
        <w:rPr/>
        <w:t>927-934.</w:t>
      </w:r>
    </w:p>
    <w:p>
      <w:pPr>
        <w:pStyle w:val="BodyText"/>
        <w:tabs>
          <w:tab w:pos="2518" w:val="left" w:leader="none"/>
          <w:tab w:pos="4591" w:val="left" w:leader="none"/>
          <w:tab w:pos="5965" w:val="left" w:leader="none"/>
          <w:tab w:pos="7635" w:val="left" w:leader="none"/>
          <w:tab w:pos="9732" w:val="left" w:leader="none"/>
        </w:tabs>
        <w:spacing w:line="360" w:lineRule="auto" w:before="122"/>
        <w:ind w:left="662" w:right="572" w:firstLine="707"/>
      </w:pPr>
      <w:r>
        <w:rPr/>
        <w:t>Carreño Aguilera G. (2016) “Caracterización de una celda electroquímica de flujo cruzado con cátodo de carbón vítreo reticulado en la eliminación y recuperación de metales</w:t>
        <w:tab/>
        <w:t>pesados”.</w:t>
        <w:tab/>
        <w:t>[En</w:t>
        <w:tab/>
        <w:t>línea],</w:t>
        <w:tab/>
        <w:t>disponible</w:t>
        <w:tab/>
        <w:t>en: </w:t>
      </w:r>
      <w:hyperlink r:id="rId45">
        <w:r>
          <w:rPr/>
          <w:t>http://tesiuami.izt.uam.mx/uam/aspuam/presentatesis.php?recno=1541&amp;docs=UAM154</w:t>
        </w:r>
      </w:hyperlink>
      <w:r>
        <w:rPr/>
        <w:t> </w:t>
      </w:r>
      <w:hyperlink r:id="rId45">
        <w:r>
          <w:rPr/>
          <w:t>1.PDF</w:t>
        </w:r>
      </w:hyperlink>
      <w:r>
        <w:rPr/>
        <w:t> [Accesado el día 11 de octubre de</w:t>
      </w:r>
      <w:r>
        <w:rPr>
          <w:spacing w:val="-19"/>
        </w:rPr>
        <w:t> </w:t>
      </w:r>
      <w:r>
        <w:rPr/>
        <w:t>2016]</w:t>
      </w:r>
    </w:p>
    <w:p>
      <w:pPr>
        <w:pStyle w:val="BodyText"/>
      </w:pPr>
    </w:p>
    <w:p>
      <w:pPr>
        <w:pStyle w:val="BodyText"/>
        <w:spacing w:line="360" w:lineRule="auto" w:before="142"/>
        <w:ind w:left="662" w:right="569" w:firstLine="707"/>
        <w:jc w:val="both"/>
      </w:pPr>
      <w:r>
        <w:rPr/>
        <w:t>Chen J., Zhang J., Xian Y., Ying X., Liu M., Jin L. (2005). “Preparation and </w:t>
      </w:r>
      <w:r>
        <w:rPr>
          <w:position w:val="1"/>
        </w:rPr>
        <w:t>application of TiO</w:t>
      </w:r>
      <w:r>
        <w:rPr>
          <w:sz w:val="16"/>
        </w:rPr>
        <w:t>2 </w:t>
      </w:r>
      <w:r>
        <w:rPr>
          <w:position w:val="1"/>
        </w:rPr>
        <w:t>photocatalytic sensor for chemical oxygen demand determination in </w:t>
      </w:r>
      <w:r>
        <w:rPr/>
        <w:t>water research”. Water Research. 39, 1340-1346.</w:t>
      </w:r>
    </w:p>
    <w:p>
      <w:pPr>
        <w:pStyle w:val="BodyText"/>
        <w:spacing w:line="360" w:lineRule="auto" w:before="5"/>
        <w:ind w:left="662" w:right="568" w:firstLine="707"/>
        <w:jc w:val="both"/>
      </w:pPr>
      <w:r>
        <w:rPr/>
        <w:t>Chen B-X., Li W-Y., Gao Y-T., Chen Z-J., Zhang W.N., Liu Q-J., Chen Z., Liu J. (2016).”Involvement of polyamine oxidase-produced hydrogen peroxide during coleorhiza-limited germination of rice seeds”. Frontiers in Plant Science. 7, 1219</w:t>
      </w:r>
    </w:p>
    <w:p>
      <w:pPr>
        <w:pStyle w:val="BodyText"/>
        <w:spacing w:line="360" w:lineRule="auto" w:before="122"/>
        <w:ind w:left="662" w:right="286" w:firstLine="707"/>
      </w:pPr>
      <w:r>
        <w:rPr/>
        <w:t>Conover W. (2003). “Introduction to green chemistry”. Journal of Chemical Education. 80(3), 268-275.</w:t>
      </w:r>
    </w:p>
    <w:p>
      <w:pPr>
        <w:pStyle w:val="BodyText"/>
        <w:spacing w:line="360" w:lineRule="auto" w:before="122"/>
        <w:ind w:left="662" w:right="286" w:firstLine="707"/>
      </w:pPr>
      <w:r>
        <w:rPr/>
        <w:t>Constable</w:t>
      </w:r>
      <w:r>
        <w:rPr>
          <w:spacing w:val="-8"/>
        </w:rPr>
        <w:t> </w:t>
      </w:r>
      <w:r>
        <w:rPr/>
        <w:t>D.</w:t>
      </w:r>
      <w:r>
        <w:rPr>
          <w:spacing w:val="-8"/>
        </w:rPr>
        <w:t> </w:t>
      </w:r>
      <w:r>
        <w:rPr/>
        <w:t>J.</w:t>
      </w:r>
      <w:r>
        <w:rPr>
          <w:spacing w:val="-7"/>
        </w:rPr>
        <w:t> </w:t>
      </w:r>
      <w:r>
        <w:rPr/>
        <w:t>C.,</w:t>
      </w:r>
      <w:r>
        <w:rPr>
          <w:spacing w:val="-8"/>
        </w:rPr>
        <w:t> </w:t>
      </w:r>
      <w:r>
        <w:rPr/>
        <w:t>Curzons</w:t>
      </w:r>
      <w:r>
        <w:rPr>
          <w:spacing w:val="-8"/>
        </w:rPr>
        <w:t> </w:t>
      </w:r>
      <w:r>
        <w:rPr/>
        <w:t>A.</w:t>
      </w:r>
      <w:r>
        <w:rPr>
          <w:spacing w:val="-8"/>
        </w:rPr>
        <w:t> </w:t>
      </w:r>
      <w:r>
        <w:rPr/>
        <w:t>D.,</w:t>
      </w:r>
      <w:r>
        <w:rPr>
          <w:spacing w:val="-8"/>
        </w:rPr>
        <w:t> </w:t>
      </w:r>
      <w:r>
        <w:rPr/>
        <w:t>Dos</w:t>
      </w:r>
      <w:r>
        <w:rPr>
          <w:spacing w:val="-10"/>
        </w:rPr>
        <w:t> </w:t>
      </w:r>
      <w:r>
        <w:rPr/>
        <w:t>Santos</w:t>
      </w:r>
      <w:r>
        <w:rPr>
          <w:spacing w:val="-11"/>
        </w:rPr>
        <w:t> </w:t>
      </w:r>
      <w:r>
        <w:rPr/>
        <w:t>L.</w:t>
      </w:r>
      <w:r>
        <w:rPr>
          <w:spacing w:val="-8"/>
        </w:rPr>
        <w:t> </w:t>
      </w:r>
      <w:r>
        <w:rPr/>
        <w:t>M</w:t>
      </w:r>
      <w:r>
        <w:rPr>
          <w:spacing w:val="-9"/>
        </w:rPr>
        <w:t> </w:t>
      </w:r>
      <w:r>
        <w:rPr/>
        <w:t>.F.,</w:t>
      </w:r>
      <w:r>
        <w:rPr>
          <w:spacing w:val="-10"/>
        </w:rPr>
        <w:t> </w:t>
      </w:r>
      <w:r>
        <w:rPr/>
        <w:t>Geen</w:t>
      </w:r>
      <w:r>
        <w:rPr>
          <w:spacing w:val="-7"/>
        </w:rPr>
        <w:t> </w:t>
      </w:r>
      <w:r>
        <w:rPr/>
        <w:t>G.</w:t>
      </w:r>
      <w:r>
        <w:rPr>
          <w:spacing w:val="-10"/>
        </w:rPr>
        <w:t> </w:t>
      </w:r>
      <w:r>
        <w:rPr/>
        <w:t>R.,</w:t>
      </w:r>
      <w:r>
        <w:rPr>
          <w:spacing w:val="-10"/>
        </w:rPr>
        <w:t> </w:t>
      </w:r>
      <w:r>
        <w:rPr/>
        <w:t>Hannah</w:t>
      </w:r>
      <w:r>
        <w:rPr>
          <w:spacing w:val="-7"/>
        </w:rPr>
        <w:t> </w:t>
      </w:r>
      <w:r>
        <w:rPr/>
        <w:t>R.</w:t>
      </w:r>
      <w:r>
        <w:rPr>
          <w:spacing w:val="-8"/>
        </w:rPr>
        <w:t> </w:t>
      </w:r>
      <w:r>
        <w:rPr/>
        <w:t>E., Hayler J. D., Kitteringham J., McGuire M. A., Richardson J. E., Smith P., Webb R. L.,</w:t>
      </w:r>
      <w:r>
        <w:rPr>
          <w:spacing w:val="-37"/>
        </w:rPr>
        <w:t> </w:t>
      </w:r>
      <w:r>
        <w:rPr/>
        <w:t>Yu,</w:t>
      </w:r>
    </w:p>
    <w:p>
      <w:pPr>
        <w:spacing w:after="0" w:line="360" w:lineRule="auto"/>
        <w:sectPr>
          <w:pgSz w:w="12240" w:h="15840"/>
          <w:pgMar w:header="0" w:footer="654" w:top="1220" w:bottom="1060" w:left="1040" w:right="560"/>
        </w:sectPr>
      </w:pPr>
    </w:p>
    <w:p>
      <w:pPr>
        <w:pStyle w:val="BodyText"/>
        <w:spacing w:line="362" w:lineRule="auto" w:before="51"/>
        <w:ind w:left="662" w:right="567"/>
      </w:pPr>
      <w:r>
        <w:rPr/>
        <w:t>M. (2001). “Measures for process research and development”. Green Chemistry. 1(3), 7- 9.</w:t>
      </w:r>
    </w:p>
    <w:p>
      <w:pPr>
        <w:pStyle w:val="BodyText"/>
        <w:spacing w:before="199"/>
        <w:ind w:left="1370" w:right="286"/>
      </w:pPr>
      <w:r>
        <w:rPr/>
        <w:t>Doadrio Villarejo, A. (2004). “Ecotoxicología y acción toxicológica del mercurio”.</w:t>
      </w:r>
    </w:p>
    <w:p>
      <w:pPr>
        <w:pStyle w:val="BodyText"/>
        <w:spacing w:before="139"/>
        <w:ind w:left="662" w:right="286"/>
      </w:pPr>
      <w:r>
        <w:rPr/>
        <w:t>Anales de la Real Academia Nacional de Francia. 7(4), 933-959.</w:t>
      </w:r>
    </w:p>
    <w:p>
      <w:pPr>
        <w:pStyle w:val="BodyText"/>
        <w:spacing w:before="4"/>
        <w:rPr>
          <w:sz w:val="29"/>
        </w:rPr>
      </w:pPr>
    </w:p>
    <w:p>
      <w:pPr>
        <w:pStyle w:val="BodyText"/>
        <w:spacing w:line="360" w:lineRule="auto" w:before="1"/>
        <w:ind w:left="662" w:right="567" w:firstLine="707"/>
        <w:jc w:val="both"/>
      </w:pPr>
      <w:r>
        <w:rPr/>
        <w:t>Domini C. E., Vidal L. Canals A. (2009). “Trivalent manganese as an environmentally friendly oxidizing reagent for microware- and ultrasound- assisted chemical oxygen demand determination”. Ultrasonics Sonochemistry. 16, 686-691.</w:t>
      </w:r>
    </w:p>
    <w:p>
      <w:pPr>
        <w:pStyle w:val="BodyText"/>
        <w:spacing w:line="360" w:lineRule="auto" w:before="125"/>
        <w:ind w:left="662" w:right="568" w:firstLine="707"/>
        <w:jc w:val="both"/>
      </w:pPr>
      <w:r>
        <w:rPr/>
        <w:t>Elmorsi T., Riyad Y., Mohamed Z., Abd H. (2010). “Decolorization of Mordant red </w:t>
      </w:r>
      <w:r>
        <w:rPr>
          <w:position w:val="1"/>
        </w:rPr>
        <w:t>73 azo dye in water using H</w:t>
      </w:r>
      <w:r>
        <w:rPr>
          <w:sz w:val="16"/>
        </w:rPr>
        <w:t>2</w:t>
      </w:r>
      <w:r>
        <w:rPr>
          <w:position w:val="1"/>
        </w:rPr>
        <w:t>O</w:t>
      </w:r>
      <w:r>
        <w:rPr>
          <w:sz w:val="16"/>
        </w:rPr>
        <w:t>2</w:t>
      </w:r>
      <w:r>
        <w:rPr>
          <w:position w:val="1"/>
        </w:rPr>
        <w:t>/UV and photo-Fenton treatment”. Journal of Harzardous </w:t>
      </w:r>
      <w:r>
        <w:rPr/>
        <w:t>Materials. 174, 352-358.</w:t>
      </w:r>
    </w:p>
    <w:p>
      <w:pPr>
        <w:pStyle w:val="BodyText"/>
        <w:spacing w:line="360" w:lineRule="auto" w:before="122"/>
        <w:ind w:left="662" w:right="568" w:firstLine="707"/>
        <w:jc w:val="both"/>
      </w:pPr>
      <w:r>
        <w:rPr/>
        <w:t>Escuela Universitaria Politécnica. (2001). “Carbón Orgánico Total”. Grupo de Tratamiento de Aguas Residuales, Universidad de Sevilla.</w:t>
      </w:r>
    </w:p>
    <w:p>
      <w:pPr>
        <w:pStyle w:val="BodyText"/>
        <w:spacing w:line="360" w:lineRule="auto" w:before="122"/>
        <w:ind w:left="662" w:right="567" w:firstLine="707"/>
        <w:jc w:val="both"/>
      </w:pPr>
      <w:r>
        <w:rPr/>
        <w:t>“Demanda</w:t>
      </w:r>
      <w:r>
        <w:rPr>
          <w:spacing w:val="-16"/>
        </w:rPr>
        <w:t> </w:t>
      </w:r>
      <w:r>
        <w:rPr/>
        <w:t>Química</w:t>
      </w:r>
      <w:r>
        <w:rPr>
          <w:spacing w:val="-16"/>
        </w:rPr>
        <w:t> </w:t>
      </w:r>
      <w:r>
        <w:rPr/>
        <w:t>de</w:t>
      </w:r>
      <w:r>
        <w:rPr>
          <w:spacing w:val="-18"/>
        </w:rPr>
        <w:t> </w:t>
      </w:r>
      <w:r>
        <w:rPr/>
        <w:t>Oxígeno”.</w:t>
      </w:r>
      <w:r>
        <w:rPr>
          <w:spacing w:val="-16"/>
        </w:rPr>
        <w:t> </w:t>
      </w:r>
      <w:r>
        <w:rPr/>
        <w:t>(2004).</w:t>
      </w:r>
      <w:r>
        <w:rPr>
          <w:spacing w:val="-17"/>
        </w:rPr>
        <w:t> </w:t>
      </w:r>
      <w:r>
        <w:rPr/>
        <w:t>Temas</w:t>
      </w:r>
      <w:r>
        <w:rPr>
          <w:spacing w:val="-16"/>
        </w:rPr>
        <w:t> </w:t>
      </w:r>
      <w:r>
        <w:rPr/>
        <w:t>Ambientales.</w:t>
      </w:r>
      <w:r>
        <w:rPr>
          <w:spacing w:val="-14"/>
        </w:rPr>
        <w:t> </w:t>
      </w:r>
      <w:r>
        <w:rPr/>
        <w:t>Ministerio</w:t>
      </w:r>
      <w:r>
        <w:rPr>
          <w:spacing w:val="-16"/>
        </w:rPr>
        <w:t> </w:t>
      </w:r>
      <w:r>
        <w:rPr/>
        <w:t>del</w:t>
      </w:r>
      <w:r>
        <w:rPr>
          <w:spacing w:val="-17"/>
        </w:rPr>
        <w:t> </w:t>
      </w:r>
      <w:r>
        <w:rPr/>
        <w:t>Medio Ambiente, instituto de Hidrología, Meteorología y Estudios Ambientales, IDEAM,</w:t>
      </w:r>
      <w:r>
        <w:rPr>
          <w:spacing w:val="-33"/>
        </w:rPr>
        <w:t> </w:t>
      </w:r>
      <w:r>
        <w:rPr/>
        <w:t>Bogotá, Colombia.</w:t>
      </w:r>
      <w:r>
        <w:rPr>
          <w:spacing w:val="-6"/>
        </w:rPr>
        <w:t> </w:t>
      </w:r>
      <w:r>
        <w:rPr/>
        <w:t>3.</w:t>
      </w:r>
    </w:p>
    <w:p>
      <w:pPr>
        <w:pStyle w:val="BodyText"/>
        <w:spacing w:line="362" w:lineRule="auto" w:before="202"/>
        <w:ind w:left="662" w:right="570" w:firstLine="707"/>
        <w:jc w:val="both"/>
      </w:pPr>
      <w:r>
        <w:rPr/>
        <w:t>Faust R. (1992). “Toxicity summary for silver”. Chemical Hazard Evaluation and Communication Group Biomedical and Environmental Information Analysis Section. Health and Safety Research Division. Oak Ridge National Laboratory, Oak Ridge.</w:t>
      </w:r>
    </w:p>
    <w:p>
      <w:pPr>
        <w:pStyle w:val="BodyText"/>
        <w:tabs>
          <w:tab w:pos="2717" w:val="left" w:leader="none"/>
          <w:tab w:pos="4867" w:val="left" w:leader="none"/>
          <w:tab w:pos="6119" w:val="left" w:leader="none"/>
          <w:tab w:pos="7694" w:val="left" w:leader="none"/>
          <w:tab w:pos="9736" w:val="left" w:leader="none"/>
        </w:tabs>
        <w:spacing w:line="360" w:lineRule="auto" w:before="201"/>
        <w:ind w:left="662" w:right="568" w:firstLine="707"/>
        <w:jc w:val="both"/>
      </w:pPr>
      <w:r>
        <w:rPr/>
        <w:t>Frers, C. (2016). “Los problemas de la contaminación ambiental y humana”. Estrucplan</w:t>
        <w:tab/>
        <w:t>Consultora.</w:t>
        <w:tab/>
        <w:t>[en</w:t>
        <w:tab/>
        <w:t>línea].</w:t>
        <w:tab/>
        <w:t>Disponible</w:t>
        <w:tab/>
        <w:t>en: </w:t>
      </w:r>
      <w:hyperlink r:id="rId46">
        <w:r>
          <w:rPr/>
          <w:t>http://www.estrucplan.com.ar/articulos/verarticulo.asp?IDArticulo=1339</w:t>
        </w:r>
      </w:hyperlink>
      <w:r>
        <w:rPr/>
        <w:t>. [Accesado en octubre</w:t>
      </w:r>
      <w:r>
        <w:rPr>
          <w:spacing w:val="-6"/>
        </w:rPr>
        <w:t> </w:t>
      </w:r>
      <w:r>
        <w:rPr/>
        <w:t>2016].</w:t>
      </w:r>
    </w:p>
    <w:p>
      <w:pPr>
        <w:pStyle w:val="BodyText"/>
        <w:spacing w:line="360" w:lineRule="auto" w:before="204"/>
        <w:ind w:left="662" w:right="568" w:firstLine="707"/>
        <w:jc w:val="both"/>
      </w:pPr>
      <w:r>
        <w:rPr/>
        <w:t>Gala M. M., Gómez C. (2005). “Estudio de los parámetros de calidad del agua del embalse de Peña del águila”. Tecnología del agua.España. 25(259), 30-35.</w:t>
      </w:r>
    </w:p>
    <w:p>
      <w:pPr>
        <w:pStyle w:val="BodyText"/>
        <w:spacing w:line="360" w:lineRule="auto" w:before="204"/>
        <w:ind w:left="662" w:right="565" w:firstLine="707"/>
        <w:jc w:val="both"/>
      </w:pPr>
      <w:r>
        <w:rPr/>
        <w:t>Galvão L., Corey G. (1993). “Serie de Vigilancia 5 Cromo”, Centro Panamericano de Ecología Humana y Salud, Organización Panamericana de la Salud, Organización Mundial de Salud, 3</w:t>
      </w:r>
      <w:r>
        <w:rPr>
          <w:position w:val="8"/>
          <w:sz w:val="16"/>
        </w:rPr>
        <w:t>ra </w:t>
      </w:r>
      <w:r>
        <w:rPr/>
        <w:t>ed., Ed. Centro Panamericano de Ecología Humana. 3-4, 27, 30- 32, 51 y 75.</w:t>
      </w:r>
    </w:p>
    <w:p>
      <w:pPr>
        <w:spacing w:after="0" w:line="360" w:lineRule="auto"/>
        <w:jc w:val="both"/>
        <w:sectPr>
          <w:pgSz w:w="12240" w:h="15840"/>
          <w:pgMar w:header="0" w:footer="654" w:top="1080" w:bottom="1060" w:left="1040" w:right="560"/>
        </w:sectPr>
      </w:pPr>
    </w:p>
    <w:p>
      <w:pPr>
        <w:pStyle w:val="BodyText"/>
        <w:spacing w:line="362" w:lineRule="auto" w:before="51"/>
        <w:ind w:left="662" w:right="568" w:firstLine="707"/>
        <w:jc w:val="both"/>
      </w:pPr>
      <w:r>
        <w:rPr/>
        <w:t>García C., Martínez I. (2009). “Ventajas del método de quimiluminiscencia frente al de radioinmunoanálisis (RIA)”. Visión Científica. La Paz, Bolivia. 2(2), 60-68.</w:t>
      </w:r>
    </w:p>
    <w:p>
      <w:pPr>
        <w:pStyle w:val="BodyText"/>
        <w:spacing w:before="120"/>
        <w:ind w:left="1370" w:right="286"/>
      </w:pPr>
      <w:r>
        <w:rPr/>
        <w:t>Garritz  Ruiz  A.  (2009).  “Química  verde  y  reducción  de  riesgos”.      Editorial.</w:t>
      </w:r>
    </w:p>
    <w:p>
      <w:pPr>
        <w:pStyle w:val="BodyText"/>
        <w:spacing w:before="139"/>
        <w:ind w:left="662"/>
        <w:jc w:val="both"/>
      </w:pPr>
      <w:r>
        <w:rPr/>
        <w:t>Educación Química. México. 394-397.</w:t>
      </w:r>
    </w:p>
    <w:p>
      <w:pPr>
        <w:pStyle w:val="BodyText"/>
        <w:spacing w:before="3"/>
        <w:rPr>
          <w:sz w:val="22"/>
        </w:rPr>
      </w:pPr>
    </w:p>
    <w:p>
      <w:pPr>
        <w:pStyle w:val="BodyText"/>
        <w:spacing w:line="360" w:lineRule="auto" w:before="1"/>
        <w:ind w:left="662" w:right="570" w:firstLine="707"/>
        <w:jc w:val="both"/>
      </w:pPr>
      <w:r>
        <w:rPr/>
        <w:t>Gotor-Fernández</w:t>
      </w:r>
      <w:r>
        <w:rPr>
          <w:spacing w:val="-9"/>
        </w:rPr>
        <w:t> </w:t>
      </w:r>
      <w:r>
        <w:rPr/>
        <w:t>V.</w:t>
      </w:r>
      <w:r>
        <w:rPr>
          <w:spacing w:val="-6"/>
        </w:rPr>
        <w:t> </w:t>
      </w:r>
      <w:r>
        <w:rPr/>
        <w:t>(2010).</w:t>
      </w:r>
      <w:r>
        <w:rPr>
          <w:spacing w:val="-7"/>
        </w:rPr>
        <w:t> </w:t>
      </w:r>
      <w:r>
        <w:rPr/>
        <w:t>“Química</w:t>
      </w:r>
      <w:r>
        <w:rPr>
          <w:spacing w:val="-9"/>
        </w:rPr>
        <w:t> </w:t>
      </w:r>
      <w:r>
        <w:rPr/>
        <w:t>verda:</w:t>
      </w:r>
      <w:r>
        <w:rPr>
          <w:spacing w:val="-6"/>
        </w:rPr>
        <w:t> </w:t>
      </w:r>
      <w:r>
        <w:rPr/>
        <w:t>I’us</w:t>
      </w:r>
      <w:r>
        <w:rPr>
          <w:spacing w:val="-6"/>
        </w:rPr>
        <w:t> </w:t>
      </w:r>
      <w:r>
        <w:rPr/>
        <w:t>de</w:t>
      </w:r>
      <w:r>
        <w:rPr>
          <w:spacing w:val="-3"/>
        </w:rPr>
        <w:t> </w:t>
      </w:r>
      <w:r>
        <w:rPr/>
        <w:t>lipases</w:t>
      </w:r>
      <w:r>
        <w:rPr>
          <w:spacing w:val="-7"/>
        </w:rPr>
        <w:t> </w:t>
      </w:r>
      <w:r>
        <w:rPr/>
        <w:t>per</w:t>
      </w:r>
      <w:r>
        <w:rPr>
          <w:spacing w:val="-7"/>
        </w:rPr>
        <w:t> </w:t>
      </w:r>
      <w:r>
        <w:rPr/>
        <w:t>a</w:t>
      </w:r>
      <w:r>
        <w:rPr>
          <w:spacing w:val="-6"/>
        </w:rPr>
        <w:t> </w:t>
      </w:r>
      <w:r>
        <w:rPr/>
        <w:t>la</w:t>
      </w:r>
      <w:r>
        <w:rPr>
          <w:spacing w:val="-9"/>
        </w:rPr>
        <w:t> </w:t>
      </w:r>
      <w:r>
        <w:rPr/>
        <w:t>producción</w:t>
      </w:r>
      <w:r>
        <w:rPr>
          <w:spacing w:val="-6"/>
        </w:rPr>
        <w:t> </w:t>
      </w:r>
      <w:r>
        <w:rPr/>
        <w:t>de compostos d’interés industrail”. Revista de la Societat Catalana de Quimica. 9,</w:t>
      </w:r>
      <w:r>
        <w:rPr>
          <w:spacing w:val="-22"/>
        </w:rPr>
        <w:t> </w:t>
      </w:r>
      <w:r>
        <w:rPr/>
        <w:t>18-22.</w:t>
      </w:r>
    </w:p>
    <w:p>
      <w:pPr>
        <w:pStyle w:val="BodyText"/>
        <w:spacing w:line="360" w:lineRule="auto" w:before="122"/>
        <w:ind w:left="662" w:right="566" w:firstLine="707"/>
        <w:jc w:val="both"/>
      </w:pPr>
      <w:r>
        <w:rPr/>
        <w:t>Haswell s J., Watts P. (2003). “Synthesis in micro reactors”, Green Chemistry. 5, 240-249.</w:t>
      </w:r>
    </w:p>
    <w:p>
      <w:pPr>
        <w:pStyle w:val="BodyText"/>
        <w:spacing w:line="360" w:lineRule="auto" w:before="123"/>
        <w:ind w:left="662" w:right="572" w:firstLine="707"/>
        <w:jc w:val="both"/>
      </w:pPr>
      <w:r>
        <w:rPr/>
        <w:t>Heinke G. W., Henry J. G. (1999). “Ingeniería ambiental”, Pearson Prentice Hall, México. 111-125, 256-300, 337-357, 421-427.</w:t>
      </w:r>
    </w:p>
    <w:p>
      <w:pPr>
        <w:pStyle w:val="BodyText"/>
        <w:spacing w:line="360" w:lineRule="auto" w:before="122"/>
        <w:ind w:left="662" w:right="567" w:firstLine="707"/>
        <w:jc w:val="both"/>
      </w:pPr>
      <w:r>
        <w:rPr/>
        <w:t>Hincapié-Mejía G., Ocampo D., Restrepo M., Marín J. M. (2011). “Heterogeneous Photocatalysis and Photo-Fenton Applied to the Wash Water Treatment of Biodiesel Production Infortmacio tecnológica”.  Información Tecnológica. Chile. 22(2), 33-42.</w:t>
      </w:r>
    </w:p>
    <w:p>
      <w:pPr>
        <w:pStyle w:val="BodyText"/>
        <w:spacing w:line="360" w:lineRule="auto" w:before="125"/>
        <w:ind w:left="662" w:right="566" w:firstLine="707"/>
        <w:jc w:val="both"/>
      </w:pPr>
      <w:r>
        <w:rPr/>
        <w:t>Horváth I., Anastas P. T. (2007). “Innovations and Green Chemistry”. Chemical Reviews. 107, 2169-2173.</w:t>
      </w:r>
    </w:p>
    <w:p>
      <w:pPr>
        <w:pStyle w:val="BodyText"/>
        <w:spacing w:line="360" w:lineRule="auto" w:before="125"/>
        <w:ind w:left="662" w:right="577" w:firstLine="707"/>
        <w:jc w:val="both"/>
      </w:pPr>
      <w:r>
        <w:rPr/>
        <w:t>Hu Y., Yang Z. (2004). “A simple chemiluminescence method for determination of chemical oxygen demand values in water”. Talanta. 63, 521-526.</w:t>
      </w:r>
    </w:p>
    <w:p>
      <w:pPr>
        <w:pStyle w:val="BodyText"/>
        <w:spacing w:line="360" w:lineRule="auto" w:before="204"/>
        <w:ind w:left="662" w:right="568" w:firstLine="707"/>
        <w:jc w:val="both"/>
      </w:pPr>
      <w:r>
        <w:rPr/>
        <w:t>Hutchison J. (2009). “Green Chemistry” The Green Chemistry Program at the University of Oregon, Environmental Protection Agency and the American Chemical Society, Oregon, Estates Unites, [En línea], disponible en: </w:t>
      </w:r>
      <w:hyperlink r:id="rId47">
        <w:r>
          <w:rPr/>
          <w:t>http://www.uoregon.edu/~hutchlab/greenchem/index.html</w:t>
        </w:r>
      </w:hyperlink>
      <w:r>
        <w:rPr/>
        <w:t> [Accesado el día 11 de Mayo de 2009].</w:t>
      </w:r>
    </w:p>
    <w:p>
      <w:pPr>
        <w:pStyle w:val="BodyText"/>
        <w:spacing w:before="204"/>
        <w:ind w:left="1370" w:right="286"/>
      </w:pPr>
      <w:r>
        <w:rPr/>
        <w:t>Isarain-Chávez E., Arias C., Cabot P., Centellas F., Rodríguez R., Garrido J., Brillas</w:t>
      </w:r>
    </w:p>
    <w:p>
      <w:pPr>
        <w:pStyle w:val="BodyText"/>
        <w:spacing w:line="360" w:lineRule="auto" w:before="137"/>
        <w:ind w:left="662" w:right="568"/>
        <w:jc w:val="both"/>
      </w:pPr>
      <w:r>
        <w:rPr/>
        <w:t>E. (2010). “Mineralization of the drug β-blocker atenolol by electro-Fenton and </w:t>
      </w:r>
      <w:r>
        <w:rPr>
          <w:position w:val="1"/>
        </w:rPr>
        <w:t>photoelectro-Fenton using an air-diffusion cathode for H</w:t>
      </w:r>
      <w:r>
        <w:rPr>
          <w:sz w:val="16"/>
        </w:rPr>
        <w:t>2</w:t>
      </w:r>
      <w:r>
        <w:rPr>
          <w:position w:val="1"/>
        </w:rPr>
        <w:t>O</w:t>
      </w:r>
      <w:r>
        <w:rPr>
          <w:sz w:val="16"/>
        </w:rPr>
        <w:t>2 </w:t>
      </w:r>
      <w:r>
        <w:rPr>
          <w:position w:val="1"/>
        </w:rPr>
        <w:t>electrogeneration combined </w:t>
      </w:r>
      <w:r>
        <w:rPr/>
        <w:t>with</w:t>
      </w:r>
      <w:r>
        <w:rPr>
          <w:spacing w:val="-7"/>
        </w:rPr>
        <w:t> </w:t>
      </w:r>
      <w:r>
        <w:rPr/>
        <w:t>a</w:t>
      </w:r>
      <w:r>
        <w:rPr>
          <w:spacing w:val="-7"/>
        </w:rPr>
        <w:t> </w:t>
      </w:r>
      <w:r>
        <w:rPr/>
        <w:t>carbon-felt</w:t>
      </w:r>
      <w:r>
        <w:rPr>
          <w:spacing w:val="-8"/>
        </w:rPr>
        <w:t> </w:t>
      </w:r>
      <w:r>
        <w:rPr/>
        <w:t>cathode</w:t>
      </w:r>
      <w:r>
        <w:rPr>
          <w:spacing w:val="-9"/>
        </w:rPr>
        <w:t> </w:t>
      </w:r>
      <w:r>
        <w:rPr/>
        <w:t>for</w:t>
      </w:r>
      <w:r>
        <w:rPr>
          <w:spacing w:val="-8"/>
        </w:rPr>
        <w:t> </w:t>
      </w:r>
      <w:r>
        <w:rPr/>
        <w:t>Fe</w:t>
      </w:r>
      <w:r>
        <w:rPr>
          <w:position w:val="8"/>
          <w:sz w:val="16"/>
        </w:rPr>
        <w:t>2+</w:t>
      </w:r>
      <w:r>
        <w:rPr>
          <w:spacing w:val="14"/>
          <w:position w:val="8"/>
          <w:sz w:val="16"/>
        </w:rPr>
        <w:t> </w:t>
      </w:r>
      <w:r>
        <w:rPr/>
        <w:t>regeneration”.</w:t>
      </w:r>
      <w:r>
        <w:rPr>
          <w:spacing w:val="-8"/>
        </w:rPr>
        <w:t> </w:t>
      </w:r>
      <w:r>
        <w:rPr/>
        <w:t>Applied</w:t>
      </w:r>
      <w:r>
        <w:rPr>
          <w:spacing w:val="-7"/>
        </w:rPr>
        <w:t> </w:t>
      </w:r>
      <w:r>
        <w:rPr/>
        <w:t>Catalysis</w:t>
      </w:r>
      <w:r>
        <w:rPr>
          <w:spacing w:val="-8"/>
        </w:rPr>
        <w:t> </w:t>
      </w:r>
      <w:r>
        <w:rPr/>
        <w:t>B:</w:t>
      </w:r>
      <w:r>
        <w:rPr>
          <w:spacing w:val="-7"/>
        </w:rPr>
        <w:t> </w:t>
      </w:r>
      <w:r>
        <w:rPr/>
        <w:t>Environmental.</w:t>
      </w:r>
      <w:r>
        <w:rPr>
          <w:spacing w:val="-7"/>
        </w:rPr>
        <w:t> </w:t>
      </w:r>
      <w:r>
        <w:rPr/>
        <w:t>96, 361-369.</w:t>
      </w:r>
    </w:p>
    <w:p>
      <w:pPr>
        <w:spacing w:after="0" w:line="360" w:lineRule="auto"/>
        <w:jc w:val="both"/>
        <w:sectPr>
          <w:pgSz w:w="12240" w:h="15840"/>
          <w:pgMar w:header="0" w:footer="654" w:top="1080" w:bottom="1060" w:left="1040" w:right="560"/>
        </w:sectPr>
      </w:pPr>
    </w:p>
    <w:p>
      <w:pPr>
        <w:pStyle w:val="BodyText"/>
        <w:spacing w:line="360" w:lineRule="auto" w:before="51"/>
        <w:ind w:left="662" w:right="569" w:firstLine="707"/>
        <w:jc w:val="both"/>
      </w:pPr>
      <w:r>
        <w:rPr/>
        <w:t>Janssen L. J. J., Koene L. (2002). “The role of electrochemistry and electrochemical technology in environmental protection”. Chemical Engineering Journal. (2002). 85(2-3), 137-146.</w:t>
      </w:r>
    </w:p>
    <w:p>
      <w:pPr>
        <w:pStyle w:val="BodyText"/>
        <w:spacing w:line="360" w:lineRule="auto" w:before="125"/>
        <w:ind w:left="662" w:right="572" w:firstLine="707"/>
        <w:jc w:val="both"/>
      </w:pPr>
      <w:r>
        <w:rPr/>
        <w:t>Jirka A. M., Carter J. (1975). “Micro Semi-Automated Analysis of Surface and Wastewater for Chemical Oxygen Demand”. Analytical Chemistry. 47(8), 1397-1402.</w:t>
      </w:r>
    </w:p>
    <w:p>
      <w:pPr>
        <w:pStyle w:val="BodyText"/>
        <w:spacing w:line="360" w:lineRule="auto" w:before="204"/>
        <w:ind w:left="662" w:right="286" w:firstLine="707"/>
      </w:pPr>
      <w:r>
        <w:rPr/>
        <w:t>Kidwai, M., Mohan R. (2005). Green Chemistry. An Innovative Technology, Foundations of Chemistry. 7, 269-287.</w:t>
      </w:r>
    </w:p>
    <w:p>
      <w:pPr>
        <w:pStyle w:val="BodyText"/>
        <w:spacing w:line="360" w:lineRule="auto" w:before="204"/>
        <w:ind w:left="662" w:right="576" w:firstLine="707"/>
        <w:jc w:val="both"/>
      </w:pPr>
      <w:r>
        <w:rPr/>
        <w:t>Kirchhoff M. M. (2005), “Promoting sustainability through green chemistry”, Resources, Conservation and Recycling ACS, Washington.  44, 237-243.</w:t>
      </w:r>
    </w:p>
    <w:p>
      <w:pPr>
        <w:pStyle w:val="BodyText"/>
        <w:spacing w:line="360" w:lineRule="auto" w:before="125"/>
        <w:ind w:left="662" w:right="571" w:firstLine="707"/>
        <w:jc w:val="both"/>
      </w:pPr>
      <w:r>
        <w:rPr/>
        <w:t>Kondo T., Tamurat Y., Hoshino M., Watanabe T., Aikawa T., Yuasa M., Einaga Y. (2014). “Direct determination of chemical oxygen Ddemand by anodic decomposition of organic compounds at a diamond electrode”. </w:t>
      </w:r>
      <w:r>
        <w:rPr>
          <w:i/>
        </w:rPr>
        <w:t>Analytical Chemistry. 86,</w:t>
      </w:r>
      <w:r>
        <w:rPr/>
        <w:t>16. 8066–8072</w:t>
      </w:r>
    </w:p>
    <w:p>
      <w:pPr>
        <w:pStyle w:val="BodyText"/>
        <w:spacing w:line="360" w:lineRule="auto" w:before="204"/>
        <w:ind w:left="662" w:right="568" w:firstLine="707"/>
        <w:jc w:val="both"/>
      </w:pPr>
      <w:r>
        <w:rPr/>
        <w:t>Lacma, J. Iannacone, J., Vera G. (2007). “Toxicidad del cromo en sedimento usando Donaxobsulus Reeve 1854 (pelecypoda: Donacidae)”. Ecología Aplicada Redalyc. 6(1,2), 93-99.</w:t>
      </w:r>
    </w:p>
    <w:p>
      <w:pPr>
        <w:pStyle w:val="BodyText"/>
        <w:tabs>
          <w:tab w:pos="1263" w:val="left" w:leader="none"/>
          <w:tab w:pos="1999" w:val="left" w:leader="none"/>
          <w:tab w:pos="3240" w:val="left" w:leader="none"/>
          <w:tab w:pos="4710" w:val="left" w:leader="none"/>
          <w:tab w:pos="5685" w:val="left" w:leader="none"/>
          <w:tab w:pos="6594" w:val="left" w:leader="none"/>
          <w:tab w:pos="7291" w:val="left" w:leader="none"/>
          <w:tab w:pos="8279" w:val="left" w:leader="none"/>
          <w:tab w:pos="9732" w:val="left" w:leader="none"/>
        </w:tabs>
        <w:spacing w:line="360" w:lineRule="auto" w:before="204"/>
        <w:ind w:left="662" w:right="572" w:firstLine="707"/>
      </w:pPr>
      <w:r>
        <w:rPr/>
        <w:t>Lagos A., Kelly L. (2016). “Bioadsorción de cromo con borra de café en efluentes de</w:t>
        <w:tab/>
        <w:t>una</w:t>
        <w:tab/>
        <w:t>industria</w:t>
        <w:tab/>
        <w:t>curtiembre</w:t>
        <w:tab/>
        <w:t>local”.</w:t>
        <w:tab/>
        <w:t>Tesis</w:t>
        <w:tab/>
        <w:t>[En</w:t>
        <w:tab/>
        <w:t>línea].</w:t>
        <w:tab/>
        <w:t>Disponible</w:t>
        <w:tab/>
        <w:t>en: </w:t>
      </w:r>
      <w:hyperlink r:id="rId48">
        <w:r>
          <w:rPr/>
          <w:t>http://tesis.pucp.edu.pe/repositorio/bitstream/handle/123456789/6727/LAGOS_LESLY_</w:t>
        </w:r>
      </w:hyperlink>
      <w:r>
        <w:rPr/>
        <w:t> BIOADSORCION_CROMO_CAFE_CURTIEMBRE.pdf?sequence=1&amp;isAllowed=y [Acessado en octubre</w:t>
      </w:r>
      <w:r>
        <w:rPr>
          <w:spacing w:val="-12"/>
        </w:rPr>
        <w:t> </w:t>
      </w:r>
      <w:r>
        <w:rPr/>
        <w:t>2016].</w:t>
      </w:r>
    </w:p>
    <w:p>
      <w:pPr>
        <w:pStyle w:val="BodyText"/>
        <w:spacing w:line="360" w:lineRule="auto" w:before="204"/>
        <w:ind w:left="662" w:right="566" w:firstLine="707"/>
        <w:jc w:val="both"/>
      </w:pPr>
      <w:r>
        <w:rPr/>
        <w:t>Lazos, R., Hernández I. (2004). “La validación de métodos: un enfoque práctico”. Centro Nacional de Metrología. Simposio de Metrología, 2004 del 25 al 27 de octubre. Centro Nacional de Metrología, Querétaro, México.</w:t>
      </w:r>
    </w:p>
    <w:p>
      <w:pPr>
        <w:pStyle w:val="BodyText"/>
        <w:spacing w:line="360" w:lineRule="auto" w:before="205"/>
        <w:ind w:left="662" w:right="573" w:firstLine="707"/>
        <w:jc w:val="both"/>
      </w:pPr>
      <w:r>
        <w:rPr/>
        <w:t>Lee</w:t>
      </w:r>
      <w:r>
        <w:rPr>
          <w:spacing w:val="-11"/>
        </w:rPr>
        <w:t> </w:t>
      </w:r>
      <w:r>
        <w:rPr/>
        <w:t>K.</w:t>
      </w:r>
      <w:r>
        <w:rPr>
          <w:spacing w:val="-11"/>
        </w:rPr>
        <w:t> </w:t>
      </w:r>
      <w:r>
        <w:rPr/>
        <w:t>H.,</w:t>
      </w:r>
      <w:r>
        <w:rPr>
          <w:spacing w:val="-11"/>
        </w:rPr>
        <w:t> </w:t>
      </w:r>
      <w:r>
        <w:rPr/>
        <w:t>Ishikawa</w:t>
      </w:r>
      <w:r>
        <w:rPr>
          <w:spacing w:val="-9"/>
        </w:rPr>
        <w:t> </w:t>
      </w:r>
      <w:r>
        <w:rPr/>
        <w:t>T.,</w:t>
      </w:r>
      <w:r>
        <w:rPr>
          <w:spacing w:val="-13"/>
        </w:rPr>
        <w:t> </w:t>
      </w:r>
      <w:r>
        <w:rPr/>
        <w:t>McNiven</w:t>
      </w:r>
      <w:r>
        <w:rPr>
          <w:spacing w:val="-10"/>
        </w:rPr>
        <w:t> </w:t>
      </w:r>
      <w:r>
        <w:rPr/>
        <w:t>S.</w:t>
      </w:r>
      <w:r>
        <w:rPr>
          <w:spacing w:val="-11"/>
        </w:rPr>
        <w:t> </w:t>
      </w:r>
      <w:r>
        <w:rPr/>
        <w:t>J.,</w:t>
      </w:r>
      <w:r>
        <w:rPr>
          <w:spacing w:val="-11"/>
        </w:rPr>
        <w:t> </w:t>
      </w:r>
      <w:r>
        <w:rPr/>
        <w:t>Nomura</w:t>
      </w:r>
      <w:r>
        <w:rPr>
          <w:spacing w:val="-12"/>
        </w:rPr>
        <w:t> </w:t>
      </w:r>
      <w:r>
        <w:rPr/>
        <w:t>Y.,</w:t>
      </w:r>
      <w:r>
        <w:rPr>
          <w:spacing w:val="-11"/>
        </w:rPr>
        <w:t> </w:t>
      </w:r>
      <w:r>
        <w:rPr/>
        <w:t>Hiratsuka</w:t>
      </w:r>
      <w:r>
        <w:rPr>
          <w:spacing w:val="-11"/>
        </w:rPr>
        <w:t> </w:t>
      </w:r>
      <w:r>
        <w:rPr/>
        <w:t>A.,</w:t>
      </w:r>
      <w:r>
        <w:rPr>
          <w:spacing w:val="-11"/>
        </w:rPr>
        <w:t> </w:t>
      </w:r>
      <w:r>
        <w:rPr/>
        <w:t>Sasaki</w:t>
      </w:r>
      <w:r>
        <w:rPr>
          <w:spacing w:val="-10"/>
        </w:rPr>
        <w:t> </w:t>
      </w:r>
      <w:r>
        <w:rPr/>
        <w:t>S.,</w:t>
      </w:r>
      <w:r>
        <w:rPr>
          <w:spacing w:val="-11"/>
        </w:rPr>
        <w:t> </w:t>
      </w:r>
      <w:r>
        <w:rPr/>
        <w:t>Arikawa Y.,</w:t>
      </w:r>
      <w:r>
        <w:rPr>
          <w:spacing w:val="-17"/>
        </w:rPr>
        <w:t> </w:t>
      </w:r>
      <w:r>
        <w:rPr/>
        <w:t>Karube</w:t>
      </w:r>
      <w:r>
        <w:rPr>
          <w:spacing w:val="-19"/>
        </w:rPr>
        <w:t> </w:t>
      </w:r>
      <w:r>
        <w:rPr/>
        <w:t>I.</w:t>
      </w:r>
      <w:r>
        <w:rPr>
          <w:spacing w:val="-19"/>
        </w:rPr>
        <w:t> </w:t>
      </w:r>
      <w:r>
        <w:rPr/>
        <w:t>(1999).</w:t>
      </w:r>
      <w:r>
        <w:rPr>
          <w:spacing w:val="-20"/>
        </w:rPr>
        <w:t> </w:t>
      </w:r>
      <w:r>
        <w:rPr/>
        <w:t>“Evaluation</w:t>
      </w:r>
      <w:r>
        <w:rPr>
          <w:spacing w:val="-19"/>
        </w:rPr>
        <w:t> </w:t>
      </w:r>
      <w:r>
        <w:rPr/>
        <w:t>of</w:t>
      </w:r>
      <w:r>
        <w:rPr>
          <w:spacing w:val="-15"/>
        </w:rPr>
        <w:t> </w:t>
      </w:r>
      <w:r>
        <w:rPr/>
        <w:t>chemical</w:t>
      </w:r>
      <w:r>
        <w:rPr>
          <w:spacing w:val="-20"/>
        </w:rPr>
        <w:t> </w:t>
      </w:r>
      <w:r>
        <w:rPr/>
        <w:t>oxygen</w:t>
      </w:r>
      <w:r>
        <w:rPr>
          <w:spacing w:val="-17"/>
        </w:rPr>
        <w:t> </w:t>
      </w:r>
      <w:r>
        <w:rPr/>
        <w:t>demand</w:t>
      </w:r>
      <w:r>
        <w:rPr>
          <w:spacing w:val="-19"/>
        </w:rPr>
        <w:t> </w:t>
      </w:r>
      <w:r>
        <w:rPr/>
        <w:t>(COD)</w:t>
      </w:r>
      <w:r>
        <w:rPr>
          <w:spacing w:val="-20"/>
        </w:rPr>
        <w:t> </w:t>
      </w:r>
      <w:r>
        <w:rPr/>
        <w:t>based</w:t>
      </w:r>
      <w:r>
        <w:rPr>
          <w:spacing w:val="-19"/>
        </w:rPr>
        <w:t> </w:t>
      </w:r>
      <w:r>
        <w:rPr/>
        <w:t>on</w:t>
      </w:r>
      <w:r>
        <w:rPr>
          <w:spacing w:val="-19"/>
        </w:rPr>
        <w:t> </w:t>
      </w:r>
      <w:r>
        <w:rPr/>
        <w:t>coulometric determination of electrochemical oxygen demand (EOD) using a surface oxidized</w:t>
      </w:r>
      <w:r>
        <w:rPr>
          <w:spacing w:val="-45"/>
        </w:rPr>
        <w:t> </w:t>
      </w:r>
      <w:r>
        <w:rPr/>
        <w:t>copper electrode”. Analytica Chimica Acta. 398,</w:t>
      </w:r>
      <w:r>
        <w:rPr>
          <w:spacing w:val="-14"/>
        </w:rPr>
        <w:t> </w:t>
      </w:r>
      <w:r>
        <w:rPr/>
        <w:t>161-171.</w:t>
      </w:r>
    </w:p>
    <w:p>
      <w:pPr>
        <w:spacing w:after="0" w:line="360" w:lineRule="auto"/>
        <w:jc w:val="both"/>
        <w:sectPr>
          <w:pgSz w:w="12240" w:h="15840"/>
          <w:pgMar w:header="0" w:footer="654" w:top="1080" w:bottom="1060" w:left="1040" w:right="560"/>
        </w:sectPr>
      </w:pPr>
    </w:p>
    <w:p>
      <w:pPr>
        <w:pStyle w:val="BodyText"/>
        <w:spacing w:line="360" w:lineRule="auto" w:before="51"/>
        <w:ind w:left="662" w:right="569" w:firstLine="707"/>
        <w:jc w:val="both"/>
      </w:pPr>
      <w:r>
        <w:rPr/>
        <w:t>Li J., Li L., Zheng L., Xian Y., Ai S. Jin L. (2005). “Amperometric determination of </w:t>
      </w:r>
      <w:r>
        <w:rPr>
          <w:position w:val="1"/>
        </w:rPr>
        <w:t>chemical oxygen demand with flow injection analysis using F-PbO</w:t>
      </w:r>
      <w:r>
        <w:rPr>
          <w:sz w:val="16"/>
        </w:rPr>
        <w:t>2 </w:t>
      </w:r>
      <w:r>
        <w:rPr>
          <w:position w:val="1"/>
        </w:rPr>
        <w:t>modified electrode”, </w:t>
      </w:r>
      <w:r>
        <w:rPr/>
        <w:t>Analytica Chimica Acta. 548, 199-204.</w:t>
      </w:r>
    </w:p>
    <w:p>
      <w:pPr>
        <w:pStyle w:val="BodyText"/>
        <w:spacing w:line="360" w:lineRule="auto" w:before="125"/>
        <w:ind w:left="662" w:right="565" w:firstLine="707"/>
        <w:jc w:val="both"/>
      </w:pPr>
      <w:r>
        <w:rPr/>
        <w:t>Li</w:t>
      </w:r>
      <w:r>
        <w:rPr>
          <w:spacing w:val="-4"/>
        </w:rPr>
        <w:t> </w:t>
      </w:r>
      <w:r>
        <w:rPr/>
        <w:t>B.,</w:t>
      </w:r>
      <w:r>
        <w:rPr>
          <w:spacing w:val="-5"/>
        </w:rPr>
        <w:t> </w:t>
      </w:r>
      <w:r>
        <w:rPr/>
        <w:t>Zhang</w:t>
      </w:r>
      <w:r>
        <w:rPr>
          <w:spacing w:val="-5"/>
        </w:rPr>
        <w:t> </w:t>
      </w:r>
      <w:r>
        <w:rPr/>
        <w:t>Z.,</w:t>
      </w:r>
      <w:r>
        <w:rPr>
          <w:spacing w:val="-12"/>
        </w:rPr>
        <w:t> </w:t>
      </w:r>
      <w:r>
        <w:rPr/>
        <w:t>Wang</w:t>
      </w:r>
      <w:r>
        <w:rPr>
          <w:spacing w:val="-5"/>
        </w:rPr>
        <w:t> </w:t>
      </w:r>
      <w:r>
        <w:rPr/>
        <w:t>J.,</w:t>
      </w:r>
      <w:r>
        <w:rPr>
          <w:spacing w:val="-3"/>
        </w:rPr>
        <w:t> </w:t>
      </w:r>
      <w:r>
        <w:rPr/>
        <w:t>Xu</w:t>
      </w:r>
      <w:r>
        <w:rPr>
          <w:spacing w:val="-2"/>
        </w:rPr>
        <w:t> </w:t>
      </w:r>
      <w:r>
        <w:rPr/>
        <w:t>C.</w:t>
      </w:r>
      <w:r>
        <w:rPr>
          <w:spacing w:val="-6"/>
        </w:rPr>
        <w:t> </w:t>
      </w:r>
      <w:r>
        <w:rPr/>
        <w:t>(2003).</w:t>
      </w:r>
      <w:r>
        <w:rPr>
          <w:spacing w:val="-6"/>
        </w:rPr>
        <w:t> </w:t>
      </w:r>
      <w:r>
        <w:rPr/>
        <w:t>“Chemiluminescence</w:t>
      </w:r>
      <w:r>
        <w:rPr>
          <w:spacing w:val="-5"/>
        </w:rPr>
        <w:t> </w:t>
      </w:r>
      <w:r>
        <w:rPr/>
        <w:t>system</w:t>
      </w:r>
      <w:r>
        <w:rPr>
          <w:spacing w:val="-4"/>
        </w:rPr>
        <w:t> </w:t>
      </w:r>
      <w:r>
        <w:rPr/>
        <w:t>for</w:t>
      </w:r>
      <w:r>
        <w:rPr>
          <w:spacing w:val="-6"/>
        </w:rPr>
        <w:t> </w:t>
      </w:r>
      <w:r>
        <w:rPr/>
        <w:t>automatic determination</w:t>
      </w:r>
      <w:r>
        <w:rPr>
          <w:spacing w:val="-15"/>
        </w:rPr>
        <w:t> </w:t>
      </w:r>
      <w:r>
        <w:rPr/>
        <w:t>of</w:t>
      </w:r>
      <w:r>
        <w:rPr>
          <w:spacing w:val="-15"/>
        </w:rPr>
        <w:t> </w:t>
      </w:r>
      <w:r>
        <w:rPr/>
        <w:t>chemical</w:t>
      </w:r>
      <w:r>
        <w:rPr>
          <w:spacing w:val="-16"/>
        </w:rPr>
        <w:t> </w:t>
      </w:r>
      <w:r>
        <w:rPr/>
        <w:t>oxygen</w:t>
      </w:r>
      <w:r>
        <w:rPr>
          <w:spacing w:val="-16"/>
        </w:rPr>
        <w:t> </w:t>
      </w:r>
      <w:r>
        <w:rPr/>
        <w:t>demand</w:t>
      </w:r>
      <w:r>
        <w:rPr>
          <w:spacing w:val="-16"/>
        </w:rPr>
        <w:t> </w:t>
      </w:r>
      <w:r>
        <w:rPr/>
        <w:t>using</w:t>
      </w:r>
      <w:r>
        <w:rPr>
          <w:spacing w:val="-18"/>
        </w:rPr>
        <w:t> </w:t>
      </w:r>
      <w:r>
        <w:rPr/>
        <w:t>flow</w:t>
      </w:r>
      <w:r>
        <w:rPr>
          <w:spacing w:val="-19"/>
        </w:rPr>
        <w:t> </w:t>
      </w:r>
      <w:r>
        <w:rPr/>
        <w:t>injection</w:t>
      </w:r>
      <w:r>
        <w:rPr>
          <w:spacing w:val="-16"/>
        </w:rPr>
        <w:t> </w:t>
      </w:r>
      <w:r>
        <w:rPr/>
        <w:t>analysis”.</w:t>
      </w:r>
      <w:r>
        <w:rPr>
          <w:spacing w:val="-10"/>
        </w:rPr>
        <w:t> </w:t>
      </w:r>
      <w:r>
        <w:rPr/>
        <w:t>Talanta.</w:t>
      </w:r>
      <w:r>
        <w:rPr>
          <w:spacing w:val="-16"/>
        </w:rPr>
        <w:t> </w:t>
      </w:r>
      <w:r>
        <w:rPr/>
        <w:t>61,</w:t>
      </w:r>
      <w:r>
        <w:rPr>
          <w:spacing w:val="-16"/>
        </w:rPr>
        <w:t> </w:t>
      </w:r>
      <w:r>
        <w:rPr/>
        <w:t>651- 658.</w:t>
      </w:r>
    </w:p>
    <w:p>
      <w:pPr>
        <w:pStyle w:val="BodyText"/>
        <w:spacing w:line="360" w:lineRule="auto" w:before="122"/>
        <w:ind w:left="662" w:right="572" w:firstLine="707"/>
        <w:jc w:val="both"/>
      </w:pPr>
      <w:r>
        <w:rPr/>
        <w:t>Li J., Li L., Zheng L., Xian Y., Jin L. (2006). “Determination of chemical oxygen </w:t>
      </w:r>
      <w:r>
        <w:rPr>
          <w:position w:val="1"/>
        </w:rPr>
        <w:t>demand values by a photocatalytic oxidation method using nano-TiO</w:t>
      </w:r>
      <w:r>
        <w:rPr>
          <w:sz w:val="16"/>
        </w:rPr>
        <w:t>2 </w:t>
      </w:r>
      <w:r>
        <w:rPr>
          <w:position w:val="1"/>
        </w:rPr>
        <w:t>film on quartz”. </w:t>
      </w:r>
      <w:r>
        <w:rPr/>
        <w:t>Talanta. 68, 765-770.</w:t>
      </w:r>
    </w:p>
    <w:p>
      <w:pPr>
        <w:pStyle w:val="BodyText"/>
        <w:spacing w:line="360" w:lineRule="auto" w:before="205"/>
        <w:ind w:left="662" w:right="577" w:firstLine="359"/>
        <w:jc w:val="both"/>
      </w:pPr>
      <w:r>
        <w:rPr/>
        <w:t>Litter M. I. (2001). Tecnologías avanzadas de oxidación: tecnologías solares, Texto colectivo, Unidad de Actividad Química, Comisión Nacional de Energía Atómica, Universidad Nacional de General San Martin. Argentina. 73-76, 79-80, 83-86.</w:t>
      </w:r>
    </w:p>
    <w:p>
      <w:pPr>
        <w:pStyle w:val="BodyText"/>
        <w:spacing w:before="204"/>
        <w:ind w:left="1370" w:right="286"/>
      </w:pPr>
      <w:r>
        <w:rPr/>
        <w:t>Llena J. Ma. (2011). “La calidad del agua y sus usos diferentes en ganadería”.</w:t>
      </w:r>
    </w:p>
    <w:p>
      <w:pPr>
        <w:pStyle w:val="BodyText"/>
        <w:spacing w:before="137"/>
        <w:ind w:left="662" w:right="286"/>
      </w:pPr>
      <w:r>
        <w:rPr/>
        <w:t>Selecciones Avícolas. Divagaciones Alimnetarias. Febrero de 2011. 31-35.</w:t>
      </w:r>
    </w:p>
    <w:p>
      <w:pPr>
        <w:pStyle w:val="BodyText"/>
        <w:spacing w:before="6"/>
        <w:rPr>
          <w:sz w:val="22"/>
        </w:rPr>
      </w:pPr>
    </w:p>
    <w:p>
      <w:pPr>
        <w:pStyle w:val="BodyText"/>
        <w:tabs>
          <w:tab w:pos="3371" w:val="left" w:leader="none"/>
          <w:tab w:pos="6303" w:val="left" w:leader="none"/>
          <w:tab w:pos="9733" w:val="left" w:leader="none"/>
        </w:tabs>
        <w:spacing w:line="360" w:lineRule="auto"/>
        <w:ind w:left="662" w:right="569" w:firstLine="707"/>
        <w:jc w:val="both"/>
      </w:pPr>
      <w:r>
        <w:rPr/>
        <w:t>Loaiza M. A. (2015). “Degradación de resorcinol y fluoresceína por fotocatálisis heterogénea mediada por TiO2 anastasa comercial y H2O2”. Tesis, Pereira, Colombia. [En</w:t>
        <w:tab/>
        <w:t>línea]</w:t>
        <w:tab/>
        <w:t>disponible</w:t>
        <w:tab/>
        <w:t>en: </w:t>
      </w:r>
      <w:hyperlink r:id="rId49">
        <w:r>
          <w:rPr/>
          <w:t>http://repositorio.utp.edu.co/dspace/bitstream/handle/11059/5340/541395L780.pdf?sequ</w:t>
        </w:r>
      </w:hyperlink>
      <w:r>
        <w:rPr/>
        <w:t> </w:t>
      </w:r>
      <w:hyperlink r:id="rId49">
        <w:r>
          <w:rPr/>
          <w:t>ence=1&amp;isAllowed=y</w:t>
        </w:r>
      </w:hyperlink>
      <w:r>
        <w:rPr/>
        <w:t> [Consultado en octubre</w:t>
      </w:r>
      <w:r>
        <w:rPr>
          <w:spacing w:val="-14"/>
        </w:rPr>
        <w:t> </w:t>
      </w:r>
      <w:r>
        <w:rPr/>
        <w:t>2016].</w:t>
      </w:r>
    </w:p>
    <w:p>
      <w:pPr>
        <w:pStyle w:val="BodyText"/>
        <w:spacing w:line="360" w:lineRule="auto" w:before="202"/>
        <w:ind w:left="662" w:right="944" w:firstLine="707"/>
        <w:jc w:val="both"/>
      </w:pPr>
      <w:r>
        <w:rPr/>
        <w:t>López-Galán, J.E. (2006). “Separación de plata, mercurio y cromo de residuos provenientes de los análisis de la demanda química de oxígeno (DQO)”. Ingeniería y Competitividad. Colombia. 8(2), 46-54.</w:t>
      </w:r>
    </w:p>
    <w:p>
      <w:pPr>
        <w:pStyle w:val="BodyText"/>
        <w:spacing w:line="360" w:lineRule="auto" w:before="204"/>
        <w:ind w:left="662" w:right="568" w:firstLine="359"/>
        <w:jc w:val="both"/>
      </w:pPr>
      <w:r>
        <w:rPr/>
        <w:t>Malato S., Blanco J., Gernjakc V. A. (2003). “Applied studies in solar photocatalytic detoxification: an overview”. Solar Energy. 75, 329-336.</w:t>
      </w:r>
    </w:p>
    <w:p>
      <w:pPr>
        <w:pStyle w:val="BodyText"/>
        <w:spacing w:line="360" w:lineRule="auto" w:before="204"/>
        <w:ind w:left="662" w:right="567" w:firstLine="707"/>
        <w:jc w:val="both"/>
      </w:pPr>
      <w:r>
        <w:rPr/>
        <w:t>Mayoral</w:t>
      </w:r>
      <w:r>
        <w:rPr>
          <w:spacing w:val="-19"/>
        </w:rPr>
        <w:t> </w:t>
      </w:r>
      <w:r>
        <w:rPr/>
        <w:t>J.</w:t>
      </w:r>
      <w:r>
        <w:rPr>
          <w:spacing w:val="-18"/>
        </w:rPr>
        <w:t> </w:t>
      </w:r>
      <w:r>
        <w:rPr/>
        <w:t>A.</w:t>
      </w:r>
      <w:r>
        <w:rPr>
          <w:spacing w:val="-18"/>
        </w:rPr>
        <w:t> </w:t>
      </w:r>
      <w:r>
        <w:rPr/>
        <w:t>(2008).</w:t>
      </w:r>
      <w:r>
        <w:rPr>
          <w:spacing w:val="-18"/>
        </w:rPr>
        <w:t> </w:t>
      </w:r>
      <w:r>
        <w:rPr/>
        <w:t>“Química</w:t>
      </w:r>
      <w:r>
        <w:rPr>
          <w:spacing w:val="-18"/>
        </w:rPr>
        <w:t> </w:t>
      </w:r>
      <w:r>
        <w:rPr/>
        <w:t>Verde;</w:t>
      </w:r>
      <w:r>
        <w:rPr>
          <w:spacing w:val="-18"/>
        </w:rPr>
        <w:t> </w:t>
      </w:r>
      <w:r>
        <w:rPr/>
        <w:t>una</w:t>
      </w:r>
      <w:r>
        <w:rPr>
          <w:spacing w:val="-18"/>
        </w:rPr>
        <w:t> </w:t>
      </w:r>
      <w:r>
        <w:rPr/>
        <w:t>apuesta</w:t>
      </w:r>
      <w:r>
        <w:rPr>
          <w:spacing w:val="-20"/>
        </w:rPr>
        <w:t> </w:t>
      </w:r>
      <w:r>
        <w:rPr/>
        <w:t>estratégica</w:t>
      </w:r>
      <w:r>
        <w:rPr>
          <w:spacing w:val="-18"/>
        </w:rPr>
        <w:t> </w:t>
      </w:r>
      <w:r>
        <w:rPr/>
        <w:t>de</w:t>
      </w:r>
      <w:r>
        <w:rPr>
          <w:spacing w:val="-20"/>
        </w:rPr>
        <w:t> </w:t>
      </w:r>
      <w:r>
        <w:rPr/>
        <w:t>futuro”,</w:t>
      </w:r>
      <w:r>
        <w:rPr>
          <w:spacing w:val="-13"/>
        </w:rPr>
        <w:t> </w:t>
      </w:r>
      <w:r>
        <w:rPr/>
        <w:t>IberCaja, Zentrum,</w:t>
      </w:r>
      <w:r>
        <w:rPr>
          <w:spacing w:val="-7"/>
        </w:rPr>
        <w:t> </w:t>
      </w:r>
      <w:r>
        <w:rPr/>
        <w:t>Zaragoza.</w:t>
      </w:r>
    </w:p>
    <w:p>
      <w:pPr>
        <w:pStyle w:val="BodyText"/>
        <w:spacing w:line="360" w:lineRule="auto" w:before="125"/>
        <w:ind w:left="662" w:right="579" w:firstLine="707"/>
        <w:jc w:val="both"/>
      </w:pPr>
      <w:r>
        <w:rPr/>
        <w:t>McCulligh C. (2014). “Contaminación industrial del río Santiago en Jalisco”. Carta Económica Regional. México. 26,13. 114-137.</w:t>
      </w:r>
    </w:p>
    <w:p>
      <w:pPr>
        <w:spacing w:after="0" w:line="360" w:lineRule="auto"/>
        <w:jc w:val="both"/>
        <w:sectPr>
          <w:pgSz w:w="12240" w:h="15840"/>
          <w:pgMar w:header="0" w:footer="654" w:top="1080" w:bottom="1060" w:left="1040" w:right="560"/>
        </w:sectPr>
      </w:pPr>
    </w:p>
    <w:p>
      <w:pPr>
        <w:pStyle w:val="BodyText"/>
        <w:spacing w:before="66"/>
        <w:ind w:left="1370" w:right="286"/>
      </w:pPr>
      <w:r>
        <w:rPr/>
        <w:t>MEDUSA. (2004). Medusa Version 1.2 Build 2004-02-24. Copyright</w:t>
      </w:r>
      <w:r>
        <w:rPr>
          <w:position w:val="8"/>
          <w:sz w:val="16"/>
        </w:rPr>
        <w:t>©</w:t>
      </w:r>
      <w:r>
        <w:rPr/>
        <w:t>, 2000-2004.</w:t>
      </w:r>
    </w:p>
    <w:p>
      <w:pPr>
        <w:pStyle w:val="BodyText"/>
        <w:spacing w:before="139"/>
        <w:ind w:left="662" w:right="286"/>
      </w:pPr>
      <w:r>
        <w:rPr/>
        <w:t>Condengo.</w:t>
      </w:r>
    </w:p>
    <w:p>
      <w:pPr>
        <w:pStyle w:val="BodyText"/>
        <w:spacing w:before="2"/>
        <w:rPr>
          <w:sz w:val="29"/>
        </w:rPr>
      </w:pPr>
    </w:p>
    <w:p>
      <w:pPr>
        <w:pStyle w:val="BodyText"/>
        <w:spacing w:line="360" w:lineRule="auto"/>
        <w:ind w:left="662" w:right="570" w:firstLine="359"/>
        <w:jc w:val="both"/>
      </w:pPr>
      <w:r>
        <w:rPr/>
        <w:t>Melendez, C. O., Camacho A. A. (2008). “Química Verde, la química del nuevo milenio. Aventuras del pensamiento”. SynthesiS, Enero-Marzo. Facultad de Ciencias Químicas. Universidad de Chihuahua, México.</w:t>
      </w:r>
    </w:p>
    <w:p>
      <w:pPr>
        <w:pStyle w:val="BodyText"/>
        <w:spacing w:line="360" w:lineRule="auto" w:before="204"/>
        <w:ind w:left="662" w:right="567" w:firstLine="707"/>
        <w:jc w:val="both"/>
      </w:pPr>
      <w:r>
        <w:rPr/>
        <w:t>Mesquita A., Weinberger M., Silva A., Sampaio. Marques B., Almeida B., Leão C., Costa V., Rodrigues F., Burhans W., Ludovico P. (2010). “Caloric restriction or catalase </w:t>
      </w:r>
      <w:r>
        <w:rPr>
          <w:position w:val="1"/>
        </w:rPr>
        <w:t>inactivation extends yeast chronological lifespan by inducing H</w:t>
      </w:r>
      <w:r>
        <w:rPr>
          <w:sz w:val="16"/>
        </w:rPr>
        <w:t>2</w:t>
      </w:r>
      <w:r>
        <w:rPr>
          <w:position w:val="1"/>
        </w:rPr>
        <w:t>O</w:t>
      </w:r>
      <w:r>
        <w:rPr>
          <w:sz w:val="16"/>
        </w:rPr>
        <w:t>2 </w:t>
      </w:r>
      <w:r>
        <w:rPr>
          <w:position w:val="1"/>
        </w:rPr>
        <w:t>and superoxide </w:t>
      </w:r>
      <w:r>
        <w:rPr/>
        <w:t>dismutase activity”.  PNAS. 107(34), 15123-15128.</w:t>
      </w:r>
    </w:p>
    <w:p>
      <w:pPr>
        <w:pStyle w:val="BodyText"/>
        <w:spacing w:line="360" w:lineRule="auto" w:before="125"/>
        <w:ind w:left="662" w:right="568" w:firstLine="767"/>
        <w:jc w:val="both"/>
      </w:pPr>
      <w:r>
        <w:rPr/>
        <w:t>Metcalf,</w:t>
      </w:r>
      <w:r>
        <w:rPr>
          <w:spacing w:val="-6"/>
        </w:rPr>
        <w:t> </w:t>
      </w:r>
      <w:r>
        <w:rPr/>
        <w:t>Eddy.</w:t>
      </w:r>
      <w:r>
        <w:rPr>
          <w:spacing w:val="-5"/>
        </w:rPr>
        <w:t> </w:t>
      </w:r>
      <w:r>
        <w:rPr/>
        <w:t>(2003).</w:t>
      </w:r>
      <w:r>
        <w:rPr>
          <w:spacing w:val="-9"/>
        </w:rPr>
        <w:t> </w:t>
      </w:r>
      <w:r>
        <w:rPr/>
        <w:t>“Wastewater</w:t>
      </w:r>
      <w:r>
        <w:rPr>
          <w:spacing w:val="-7"/>
        </w:rPr>
        <w:t> </w:t>
      </w:r>
      <w:r>
        <w:rPr/>
        <w:t>Engineering</w:t>
      </w:r>
      <w:r>
        <w:rPr>
          <w:spacing w:val="-8"/>
        </w:rPr>
        <w:t> </w:t>
      </w:r>
      <w:r>
        <w:rPr/>
        <w:t>Treatment</w:t>
      </w:r>
      <w:r>
        <w:rPr>
          <w:spacing w:val="-6"/>
        </w:rPr>
        <w:t> </w:t>
      </w:r>
      <w:r>
        <w:rPr/>
        <w:t>and</w:t>
      </w:r>
      <w:r>
        <w:rPr>
          <w:spacing w:val="-6"/>
        </w:rPr>
        <w:t> </w:t>
      </w:r>
      <w:r>
        <w:rPr/>
        <w:t>Reuse”,</w:t>
      </w:r>
      <w:r>
        <w:rPr>
          <w:spacing w:val="-7"/>
        </w:rPr>
        <w:t> </w:t>
      </w:r>
      <w:r>
        <w:rPr/>
        <w:t>Mc</w:t>
      </w:r>
      <w:r>
        <w:rPr>
          <w:spacing w:val="-4"/>
        </w:rPr>
        <w:t> </w:t>
      </w:r>
      <w:r>
        <w:rPr/>
        <w:t>Graw Hill, USA. 21 -75,</w:t>
      </w:r>
      <w:r>
        <w:rPr>
          <w:spacing w:val="-8"/>
        </w:rPr>
        <w:t> </w:t>
      </w:r>
      <w:r>
        <w:rPr/>
        <w:t>186.</w:t>
      </w:r>
    </w:p>
    <w:p>
      <w:pPr>
        <w:pStyle w:val="BodyText"/>
        <w:spacing w:line="360" w:lineRule="auto" w:before="204"/>
        <w:ind w:left="662" w:right="574" w:firstLine="767"/>
        <w:jc w:val="both"/>
      </w:pPr>
      <w:r>
        <w:rPr/>
        <w:t>Miranda J. (2006). “Tratamiento Analítico de las Aguas Servidas” Facultad de Ciencias Físicas y Matemáticas, Universidad de Chile. 34, 22-29</w:t>
      </w:r>
    </w:p>
    <w:p>
      <w:pPr>
        <w:pStyle w:val="BodyText"/>
        <w:spacing w:line="360" w:lineRule="auto" w:before="204"/>
        <w:ind w:left="662" w:right="567" w:firstLine="707"/>
      </w:pPr>
      <w:r>
        <w:rPr/>
        <w:t>Moreno J. C., Sarria V. M., Polo A. D., Giraldo L. (2007). “Evaluación del peróxido de hidrógeno en la oxidación de fenol con hierro soportado sobre tela de carbón activado”. Información Tecnológica, SciELO. 18(2), 67-72.</w:t>
      </w:r>
    </w:p>
    <w:p>
      <w:pPr>
        <w:pStyle w:val="BodyText"/>
        <w:spacing w:line="360" w:lineRule="auto" w:before="125"/>
        <w:ind w:left="662" w:right="572" w:firstLine="707"/>
        <w:jc w:val="both"/>
      </w:pPr>
      <w:r>
        <w:rPr/>
        <w:t>Muñoz A., Abarca K., Jiménez J., Luchsinger V., O’Ryan M., Ripoll E., Valenzuela M., Vergara R. (2007). “Seguridad de las vacunas que contienen timerosal: Declaración del Comité Consultivo de Inmunizaciones (CCI) de la Sociedad Chilena de Infectología”. Revista Chilena de Infectología. 24 (5),</w:t>
      </w:r>
      <w:r>
        <w:rPr>
          <w:spacing w:val="55"/>
        </w:rPr>
        <w:t> </w:t>
      </w:r>
      <w:r>
        <w:rPr/>
        <w:t>372-376.</w:t>
      </w:r>
    </w:p>
    <w:p>
      <w:pPr>
        <w:pStyle w:val="BodyText"/>
        <w:spacing w:line="360" w:lineRule="auto" w:before="204"/>
        <w:ind w:left="662" w:right="570" w:firstLine="359"/>
        <w:jc w:val="both"/>
      </w:pPr>
      <w:r>
        <w:rPr/>
        <w:t>Nimura</w:t>
      </w:r>
      <w:r>
        <w:rPr>
          <w:spacing w:val="-15"/>
        </w:rPr>
        <w:t> </w:t>
      </w:r>
      <w:r>
        <w:rPr/>
        <w:t>Y.,</w:t>
      </w:r>
      <w:r>
        <w:rPr>
          <w:spacing w:val="-17"/>
        </w:rPr>
        <w:t> </w:t>
      </w:r>
      <w:r>
        <w:rPr/>
        <w:t>Itagaki</w:t>
      </w:r>
      <w:r>
        <w:rPr>
          <w:spacing w:val="-16"/>
        </w:rPr>
        <w:t> </w:t>
      </w:r>
      <w:r>
        <w:rPr/>
        <w:t>K.,</w:t>
      </w:r>
      <w:r>
        <w:rPr>
          <w:spacing w:val="-15"/>
        </w:rPr>
        <w:t> </w:t>
      </w:r>
      <w:r>
        <w:rPr/>
        <w:t>Nanba</w:t>
      </w:r>
      <w:r>
        <w:rPr>
          <w:spacing w:val="-17"/>
        </w:rPr>
        <w:t> </w:t>
      </w:r>
      <w:r>
        <w:rPr/>
        <w:t>K.</w:t>
      </w:r>
      <w:r>
        <w:rPr>
          <w:spacing w:val="-15"/>
        </w:rPr>
        <w:t> </w:t>
      </w:r>
      <w:r>
        <w:rPr/>
        <w:t>(1991).</w:t>
      </w:r>
      <w:r>
        <w:rPr>
          <w:spacing w:val="-15"/>
        </w:rPr>
        <w:t> </w:t>
      </w:r>
      <w:r>
        <w:rPr/>
        <w:t>“Colorimetric</w:t>
      </w:r>
      <w:r>
        <w:rPr>
          <w:spacing w:val="-16"/>
        </w:rPr>
        <w:t> </w:t>
      </w:r>
      <w:r>
        <w:rPr/>
        <w:t>Determination</w:t>
      </w:r>
      <w:r>
        <w:rPr>
          <w:spacing w:val="-17"/>
        </w:rPr>
        <w:t> </w:t>
      </w:r>
      <w:r>
        <w:rPr/>
        <w:t>of</w:t>
      </w:r>
      <w:r>
        <w:rPr>
          <w:spacing w:val="-15"/>
        </w:rPr>
        <w:t> </w:t>
      </w:r>
      <w:r>
        <w:rPr/>
        <w:t>COD(Mn)</w:t>
      </w:r>
      <w:r>
        <w:rPr>
          <w:spacing w:val="-17"/>
        </w:rPr>
        <w:t> </w:t>
      </w:r>
      <w:r>
        <w:rPr/>
        <w:t>Using Hydrogen Peroxide”. Nippon Suisan Gakkaishi. 58(6),</w:t>
      </w:r>
      <w:r>
        <w:rPr>
          <w:spacing w:val="-20"/>
        </w:rPr>
        <w:t> </w:t>
      </w:r>
      <w:r>
        <w:rPr/>
        <w:t>1129-1137.</w:t>
      </w:r>
    </w:p>
    <w:p>
      <w:pPr>
        <w:pStyle w:val="BodyText"/>
        <w:spacing w:line="360" w:lineRule="auto" w:before="204"/>
        <w:ind w:left="662" w:right="563" w:firstLine="707"/>
        <w:jc w:val="both"/>
      </w:pPr>
      <w:r>
        <w:rPr/>
        <w:t>Ozengin N., Elmaci A. (2007). “Performance of Duckweed (Lemna minor L.) on different types of wastewater treatment”. Journal of Environmental Biology. 28(2), 307- 314.</w:t>
      </w:r>
    </w:p>
    <w:p>
      <w:pPr>
        <w:pStyle w:val="BodyText"/>
        <w:spacing w:line="360" w:lineRule="auto" w:before="204"/>
        <w:ind w:left="662" w:right="568" w:firstLine="707"/>
        <w:jc w:val="both"/>
      </w:pPr>
      <w:r>
        <w:rPr/>
        <w:t>Pérez</w:t>
      </w:r>
      <w:r>
        <w:rPr>
          <w:spacing w:val="-21"/>
        </w:rPr>
        <w:t> </w:t>
      </w:r>
      <w:r>
        <w:rPr/>
        <w:t>L.</w:t>
      </w:r>
      <w:r>
        <w:rPr>
          <w:spacing w:val="-18"/>
        </w:rPr>
        <w:t> </w:t>
      </w:r>
      <w:r>
        <w:rPr/>
        <w:t>V.</w:t>
      </w:r>
      <w:r>
        <w:rPr>
          <w:spacing w:val="-18"/>
        </w:rPr>
        <w:t> </w:t>
      </w:r>
      <w:r>
        <w:rPr/>
        <w:t>(2016).</w:t>
      </w:r>
      <w:r>
        <w:rPr>
          <w:spacing w:val="-17"/>
        </w:rPr>
        <w:t> </w:t>
      </w:r>
      <w:r>
        <w:rPr/>
        <w:t>“Análisis</w:t>
      </w:r>
      <w:r>
        <w:rPr>
          <w:spacing w:val="-19"/>
        </w:rPr>
        <w:t> </w:t>
      </w:r>
      <w:r>
        <w:rPr/>
        <w:t>de</w:t>
      </w:r>
      <w:r>
        <w:rPr>
          <w:spacing w:val="-18"/>
        </w:rPr>
        <w:t> </w:t>
      </w:r>
      <w:r>
        <w:rPr/>
        <w:t>DQO”</w:t>
      </w:r>
      <w:r>
        <w:rPr>
          <w:spacing w:val="-18"/>
        </w:rPr>
        <w:t> </w:t>
      </w:r>
      <w:r>
        <w:rPr/>
        <w:t>Medidor</w:t>
      </w:r>
      <w:r>
        <w:rPr>
          <w:spacing w:val="-22"/>
        </w:rPr>
        <w:t> </w:t>
      </w:r>
      <w:r>
        <w:rPr/>
        <w:t>en</w:t>
      </w:r>
      <w:r>
        <w:rPr>
          <w:spacing w:val="-18"/>
        </w:rPr>
        <w:t> </w:t>
      </w:r>
      <w:r>
        <w:rPr/>
        <w:t>tiempo</w:t>
      </w:r>
      <w:r>
        <w:rPr>
          <w:spacing w:val="-18"/>
        </w:rPr>
        <w:t> </w:t>
      </w:r>
      <w:r>
        <w:rPr/>
        <w:t>real</w:t>
      </w:r>
      <w:r>
        <w:rPr>
          <w:spacing w:val="-19"/>
        </w:rPr>
        <w:t> </w:t>
      </w:r>
      <w:r>
        <w:rPr/>
        <w:t>de</w:t>
      </w:r>
      <w:r>
        <w:rPr>
          <w:spacing w:val="-18"/>
        </w:rPr>
        <w:t> </w:t>
      </w:r>
      <w:r>
        <w:rPr/>
        <w:t>la</w:t>
      </w:r>
      <w:r>
        <w:rPr>
          <w:spacing w:val="-18"/>
        </w:rPr>
        <w:t> </w:t>
      </w:r>
      <w:r>
        <w:rPr/>
        <w:t>DQO</w:t>
      </w:r>
      <w:r>
        <w:rPr>
          <w:spacing w:val="-18"/>
        </w:rPr>
        <w:t> </w:t>
      </w:r>
      <w:r>
        <w:rPr/>
        <w:t>(Demanda Química de Oxígeno), SGITT-OTRI (Universidad de Alicante), [En línea], disponible en: </w:t>
      </w:r>
      <w:hyperlink r:id="rId50">
        <w:r>
          <w:rPr/>
          <w:t>http://sgitt-otri.ua.es/en/empresa/documentos/ot-0703-dqo.pdf</w:t>
        </w:r>
      </w:hyperlink>
      <w:r>
        <w:rPr/>
        <w:t> [Accesado el día 11 de octubre de</w:t>
      </w:r>
      <w:r>
        <w:rPr>
          <w:spacing w:val="-3"/>
        </w:rPr>
        <w:t> </w:t>
      </w:r>
      <w:r>
        <w:rPr/>
        <w:t>2016]</w:t>
      </w:r>
    </w:p>
    <w:p>
      <w:pPr>
        <w:spacing w:after="0" w:line="360" w:lineRule="auto"/>
        <w:jc w:val="both"/>
        <w:sectPr>
          <w:pgSz w:w="12240" w:h="15840"/>
          <w:pgMar w:header="0" w:footer="654" w:top="1060" w:bottom="1060" w:left="1040" w:right="560"/>
        </w:sectPr>
      </w:pPr>
    </w:p>
    <w:p>
      <w:pPr>
        <w:pStyle w:val="BodyText"/>
        <w:spacing w:line="360" w:lineRule="auto" w:before="51"/>
        <w:ind w:left="662" w:right="570" w:firstLine="707"/>
        <w:jc w:val="both"/>
      </w:pPr>
      <w:r>
        <w:rPr/>
        <w:t>Pérez S. J. (2016). “Cromo hexavalente, Dicromato de Potasio”, Gabinete del ministro, Ministro de Trabajo e Inmigración, Madrid, España, [En línea], disponible en: </w:t>
      </w:r>
      <w:hyperlink r:id="rId51">
        <w:r>
          <w:rPr/>
          <w:t>http://es.wikipedia.org/wiki/Dicromato_de_potasio</w:t>
        </w:r>
      </w:hyperlink>
      <w:r>
        <w:rPr/>
        <w:t> [Accesado el día octubre de 2016].</w:t>
      </w:r>
    </w:p>
    <w:p>
      <w:pPr>
        <w:pStyle w:val="BodyText"/>
        <w:spacing w:line="360" w:lineRule="auto" w:before="204"/>
        <w:ind w:left="662" w:right="570" w:firstLine="707"/>
        <w:jc w:val="both"/>
      </w:pPr>
      <w:r>
        <w:rPr/>
        <w:t>Pulido A. Ruisánchez I., Boqué R., Rius F. X. (2002). “Validación de métodos analíticos cualitativos”. Analytica Chimica Acta. 455, 267-275.</w:t>
      </w:r>
    </w:p>
    <w:p>
      <w:pPr>
        <w:pStyle w:val="BodyText"/>
        <w:spacing w:before="122"/>
        <w:ind w:left="1430" w:right="286"/>
      </w:pPr>
      <w:r>
        <w:rPr/>
        <w:t>Ramalho R. S. (2003). “Tratamiento de aguas residuales”. Reverté. México. 236-</w:t>
      </w:r>
    </w:p>
    <w:p>
      <w:pPr>
        <w:pStyle w:val="BodyText"/>
        <w:spacing w:before="139"/>
        <w:ind w:left="662" w:right="286"/>
      </w:pPr>
      <w:r>
        <w:rPr/>
        <w:t>245.</w:t>
      </w:r>
    </w:p>
    <w:p>
      <w:pPr>
        <w:pStyle w:val="BodyText"/>
        <w:spacing w:before="2"/>
        <w:rPr>
          <w:sz w:val="23"/>
        </w:rPr>
      </w:pPr>
    </w:p>
    <w:p>
      <w:pPr>
        <w:pStyle w:val="BodyText"/>
        <w:spacing w:line="362" w:lineRule="auto" w:before="69"/>
        <w:ind w:left="662" w:right="568" w:firstLine="767"/>
        <w:jc w:val="both"/>
      </w:pPr>
      <w:r>
        <w:rPr/>
        <w:t>Ramon R., Valero F., Del Valle M. (2003). “Rapid determination of chemical oxygen demand using a focused microwave heating system featuring temperature control”, Analytica Chimica Acta. 491, 99-109.</w:t>
      </w:r>
    </w:p>
    <w:p>
      <w:pPr>
        <w:pStyle w:val="BodyText"/>
        <w:spacing w:line="360" w:lineRule="auto" w:before="199"/>
        <w:ind w:left="662" w:right="571" w:firstLine="707"/>
        <w:jc w:val="both"/>
      </w:pPr>
      <w:r>
        <w:rPr/>
        <w:t>Raposo F., Rubia M. A., Burja R., Alaiz M. (2008). “Assessment of a modified optimized method for determining chemical oxygen demand of solid substrates and solutions with high suspend solid content”, Talanta. 76, 448-453.</w:t>
      </w:r>
    </w:p>
    <w:p>
      <w:pPr>
        <w:pStyle w:val="BodyText"/>
        <w:spacing w:line="360" w:lineRule="auto" w:before="125"/>
        <w:ind w:left="662" w:right="570" w:firstLine="707"/>
        <w:jc w:val="both"/>
      </w:pPr>
      <w:r>
        <w:rPr/>
        <w:t>Ravelli D., Dondi D., Fagnoni M., Albini A. (2009). “Photocatalysis. A multi-faceted concept for green chemistry”. Chemical Society Reviews. 38, 1999-2011.</w:t>
      </w:r>
    </w:p>
    <w:p>
      <w:pPr>
        <w:pStyle w:val="BodyText"/>
        <w:spacing w:line="360" w:lineRule="auto" w:before="125"/>
        <w:ind w:left="662" w:right="567" w:firstLine="707"/>
        <w:jc w:val="both"/>
      </w:pPr>
      <w:r>
        <w:rPr/>
        <w:t>Ribeiro A. R., Nunes O. C., Pereira M. F. R., Silva A. M. T. (2015). “An overview on</w:t>
      </w:r>
      <w:r>
        <w:rPr>
          <w:spacing w:val="-9"/>
        </w:rPr>
        <w:t> </w:t>
      </w:r>
      <w:r>
        <w:rPr/>
        <w:t>the</w:t>
      </w:r>
      <w:r>
        <w:rPr>
          <w:spacing w:val="-12"/>
        </w:rPr>
        <w:t> </w:t>
      </w:r>
      <w:r>
        <w:rPr/>
        <w:t>advanced</w:t>
      </w:r>
      <w:r>
        <w:rPr>
          <w:spacing w:val="-12"/>
        </w:rPr>
        <w:t> </w:t>
      </w:r>
      <w:r>
        <w:rPr/>
        <w:t>oxidation</w:t>
      </w:r>
      <w:r>
        <w:rPr>
          <w:spacing w:val="-12"/>
        </w:rPr>
        <w:t> </w:t>
      </w:r>
      <w:r>
        <w:rPr/>
        <w:t>processes</w:t>
      </w:r>
      <w:r>
        <w:rPr>
          <w:spacing w:val="-13"/>
        </w:rPr>
        <w:t> </w:t>
      </w:r>
      <w:r>
        <w:rPr/>
        <w:t>applied</w:t>
      </w:r>
      <w:r>
        <w:rPr>
          <w:spacing w:val="-14"/>
        </w:rPr>
        <w:t> </w:t>
      </w:r>
      <w:r>
        <w:rPr/>
        <w:t>for</w:t>
      </w:r>
      <w:r>
        <w:rPr>
          <w:spacing w:val="-11"/>
        </w:rPr>
        <w:t> </w:t>
      </w:r>
      <w:r>
        <w:rPr/>
        <w:t>the</w:t>
      </w:r>
      <w:r>
        <w:rPr>
          <w:spacing w:val="-9"/>
        </w:rPr>
        <w:t> </w:t>
      </w:r>
      <w:r>
        <w:rPr/>
        <w:t>treatment</w:t>
      </w:r>
      <w:r>
        <w:rPr>
          <w:spacing w:val="-12"/>
        </w:rPr>
        <w:t> </w:t>
      </w:r>
      <w:r>
        <w:rPr/>
        <w:t>of</w:t>
      </w:r>
      <w:r>
        <w:rPr>
          <w:spacing w:val="-8"/>
        </w:rPr>
        <w:t> </w:t>
      </w:r>
      <w:r>
        <w:rPr/>
        <w:t>water</w:t>
      </w:r>
      <w:r>
        <w:rPr>
          <w:spacing w:val="-11"/>
        </w:rPr>
        <w:t> </w:t>
      </w:r>
      <w:r>
        <w:rPr/>
        <w:t>pollutants</w:t>
      </w:r>
      <w:r>
        <w:rPr>
          <w:spacing w:val="-12"/>
        </w:rPr>
        <w:t> </w:t>
      </w:r>
      <w:r>
        <w:rPr/>
        <w:t>defined in the recently launched Directive 2013/39/EU”. Environment International. 75,</w:t>
      </w:r>
      <w:r>
        <w:rPr>
          <w:spacing w:val="-14"/>
        </w:rPr>
        <w:t> </w:t>
      </w:r>
      <w:r>
        <w:rPr/>
        <w:t>33-51.</w:t>
      </w:r>
    </w:p>
    <w:p>
      <w:pPr>
        <w:pStyle w:val="BodyText"/>
        <w:tabs>
          <w:tab w:pos="2230" w:val="left" w:leader="none"/>
          <w:tab w:pos="3719" w:val="left" w:leader="none"/>
          <w:tab w:pos="4940" w:val="left" w:leader="none"/>
          <w:tab w:pos="6415" w:val="left" w:leader="none"/>
          <w:tab w:pos="7168" w:val="left" w:leader="none"/>
          <w:tab w:pos="8216" w:val="left" w:leader="none"/>
          <w:tab w:pos="9729" w:val="left" w:leader="none"/>
        </w:tabs>
        <w:spacing w:line="360" w:lineRule="auto" w:before="122"/>
        <w:ind w:left="662" w:right="566" w:firstLine="707"/>
      </w:pPr>
      <w:r>
        <w:rPr/>
        <w:t>Rosero R. J. C. (2015). “Evaluación de un proceso fotoquímico para la reducción del contaminante del contenido de Fenol y Carbón orgánico total presente en agua de producción</w:t>
        <w:tab/>
        <w:t>petrolera”.</w:t>
        <w:tab/>
        <w:t>Bogota,</w:t>
        <w:tab/>
        <w:t>Colombia.</w:t>
        <w:tab/>
        <w:t>[En</w:t>
        <w:tab/>
        <w:t>línea].</w:t>
        <w:tab/>
        <w:t>Disponible</w:t>
        <w:tab/>
      </w:r>
      <w:r>
        <w:rPr>
          <w:spacing w:val="2"/>
        </w:rPr>
        <w:t>en: </w:t>
      </w:r>
      <w:hyperlink r:id="rId52">
        <w:r>
          <w:rPr/>
          <w:t>http://repository.unilibre.edu.co/bitstream/handle/10901/8110/Proyecto%20Grado%20p</w:t>
        </w:r>
      </w:hyperlink>
      <w:r>
        <w:rPr/>
        <w:t> </w:t>
      </w:r>
      <w:hyperlink r:id="rId52">
        <w:r>
          <w:rPr/>
          <w:t>H_UV_Final.pdf?sequence=1&amp;isAllowed=y</w:t>
        </w:r>
      </w:hyperlink>
      <w:r>
        <w:rPr/>
        <w:t> [Consultada en octubre</w:t>
      </w:r>
      <w:r>
        <w:rPr>
          <w:spacing w:val="-26"/>
        </w:rPr>
        <w:t> </w:t>
      </w:r>
      <w:r>
        <w:rPr/>
        <w:t>2015].</w:t>
      </w:r>
    </w:p>
    <w:p>
      <w:pPr>
        <w:pStyle w:val="BodyText"/>
        <w:spacing w:line="360" w:lineRule="auto" w:before="125"/>
        <w:ind w:left="662" w:right="570" w:firstLine="707"/>
        <w:jc w:val="both"/>
      </w:pPr>
      <w:r>
        <w:rPr/>
        <w:t>Rodríguez D. C., López B., Peñuela G. A., Agudelo S. (2009). “Evaluation of degradation and mineralization of the malathion photocatalysis with a solar collector”. Colombian Journal Chemistry. 32(2), 221-234</w:t>
      </w:r>
    </w:p>
    <w:p>
      <w:pPr>
        <w:pStyle w:val="BodyText"/>
        <w:spacing w:line="360" w:lineRule="auto" w:before="122"/>
        <w:ind w:left="662" w:right="566" w:firstLine="707"/>
        <w:jc w:val="both"/>
      </w:pPr>
      <w:r>
        <w:rPr/>
        <w:t>Sánches R. N. (2016). “Análisis de la acidez ambiental en la zona metropolitana de</w:t>
      </w:r>
      <w:r>
        <w:rPr>
          <w:spacing w:val="-11"/>
        </w:rPr>
        <w:t> </w:t>
      </w:r>
      <w:r>
        <w:rPr/>
        <w:t>la</w:t>
      </w:r>
      <w:r>
        <w:rPr>
          <w:spacing w:val="-11"/>
        </w:rPr>
        <w:t> </w:t>
      </w:r>
      <w:r>
        <w:rPr/>
        <w:t>Ciudad</w:t>
      </w:r>
      <w:r>
        <w:rPr>
          <w:spacing w:val="-11"/>
        </w:rPr>
        <w:t> </w:t>
      </w:r>
      <w:r>
        <w:rPr/>
        <w:t>de</w:t>
      </w:r>
      <w:r>
        <w:rPr>
          <w:spacing w:val="-11"/>
        </w:rPr>
        <w:t> </w:t>
      </w:r>
      <w:r>
        <w:rPr/>
        <w:t>México:</w:t>
      </w:r>
      <w:r>
        <w:rPr>
          <w:spacing w:val="-11"/>
        </w:rPr>
        <w:t> </w:t>
      </w:r>
      <w:r>
        <w:rPr/>
        <w:t>Causas</w:t>
      </w:r>
      <w:r>
        <w:rPr>
          <w:spacing w:val="-12"/>
        </w:rPr>
        <w:t> </w:t>
      </w:r>
      <w:r>
        <w:rPr/>
        <w:t>y</w:t>
      </w:r>
      <w:r>
        <w:rPr>
          <w:spacing w:val="-14"/>
        </w:rPr>
        <w:t> </w:t>
      </w:r>
      <w:r>
        <w:rPr/>
        <w:t>relación</w:t>
      </w:r>
      <w:r>
        <w:rPr>
          <w:spacing w:val="-10"/>
        </w:rPr>
        <w:t> </w:t>
      </w:r>
      <w:r>
        <w:rPr/>
        <w:t>con</w:t>
      </w:r>
      <w:r>
        <w:rPr>
          <w:spacing w:val="-11"/>
        </w:rPr>
        <w:t> </w:t>
      </w:r>
      <w:r>
        <w:rPr/>
        <w:t>otros</w:t>
      </w:r>
      <w:r>
        <w:rPr>
          <w:spacing w:val="-12"/>
        </w:rPr>
        <w:t> </w:t>
      </w:r>
      <w:r>
        <w:rPr/>
        <w:t>contaminantes</w:t>
      </w:r>
      <w:r>
        <w:rPr>
          <w:spacing w:val="-12"/>
        </w:rPr>
        <w:t> </w:t>
      </w:r>
      <w:r>
        <w:rPr/>
        <w:t>atmosféricos”.</w:t>
      </w:r>
      <w:r>
        <w:rPr>
          <w:spacing w:val="-14"/>
        </w:rPr>
        <w:t> </w:t>
      </w:r>
      <w:r>
        <w:rPr/>
        <w:t>Tesis,</w:t>
      </w:r>
    </w:p>
    <w:p>
      <w:pPr>
        <w:spacing w:after="0" w:line="360" w:lineRule="auto"/>
        <w:jc w:val="both"/>
        <w:sectPr>
          <w:pgSz w:w="12240" w:h="15840"/>
          <w:pgMar w:header="0" w:footer="654" w:top="1080" w:bottom="1060" w:left="1040" w:right="560"/>
        </w:sectPr>
      </w:pPr>
    </w:p>
    <w:p>
      <w:pPr>
        <w:pStyle w:val="BodyText"/>
        <w:tabs>
          <w:tab w:pos="1961" w:val="left" w:leader="none"/>
          <w:tab w:pos="3583" w:val="left" w:leader="none"/>
          <w:tab w:pos="5041" w:val="left" w:leader="none"/>
          <w:tab w:pos="6325" w:val="left" w:leader="none"/>
          <w:tab w:pos="7145" w:val="left" w:leader="none"/>
          <w:tab w:pos="8190" w:val="left" w:leader="none"/>
          <w:tab w:pos="9730" w:val="left" w:leader="none"/>
        </w:tabs>
        <w:spacing w:line="362" w:lineRule="auto" w:before="51"/>
        <w:ind w:left="662" w:right="574"/>
      </w:pPr>
      <w:r>
        <w:rPr/>
        <w:t>Instituto</w:t>
        <w:tab/>
        <w:t>Politécnico</w:t>
        <w:tab/>
        <w:t>Nacional,</w:t>
        <w:tab/>
        <w:t>México.</w:t>
        <w:tab/>
        <w:t>[En</w:t>
        <w:tab/>
        <w:t>línea]</w:t>
        <w:tab/>
        <w:t>disponible</w:t>
        <w:tab/>
        <w:t>en: </w:t>
      </w:r>
      <w:hyperlink r:id="rId53">
        <w:r>
          <w:rPr/>
          <w:t>http://itzamna.bnct.ipn.mx/handle/123456789/16895</w:t>
        </w:r>
      </w:hyperlink>
      <w:r>
        <w:rPr/>
        <w:t>. [Consultado en octubre de</w:t>
      </w:r>
      <w:r>
        <w:rPr>
          <w:spacing w:val="-32"/>
        </w:rPr>
        <w:t> </w:t>
      </w:r>
      <w:r>
        <w:rPr/>
        <w:t>2016].</w:t>
      </w:r>
    </w:p>
    <w:p>
      <w:pPr>
        <w:pStyle w:val="BodyText"/>
        <w:spacing w:line="360" w:lineRule="auto" w:before="120"/>
        <w:ind w:left="662" w:right="573" w:firstLine="707"/>
        <w:jc w:val="both"/>
      </w:pPr>
      <w:r>
        <w:rPr/>
        <w:t>Sawyer C., Carty P. (1996). “Chemistry for Environmental Engineering”, Mc. Graw Hill, New York.</w:t>
      </w:r>
    </w:p>
    <w:p>
      <w:pPr>
        <w:pStyle w:val="BodyText"/>
        <w:spacing w:before="204"/>
        <w:ind w:left="1370" w:right="286"/>
      </w:pPr>
      <w:r>
        <w:rPr/>
        <w:t>Sheldon R. A. (1992). Chemistry and Industry.  London, 903.</w:t>
      </w:r>
    </w:p>
    <w:p>
      <w:pPr>
        <w:pStyle w:val="BodyText"/>
        <w:spacing w:before="4"/>
        <w:rPr>
          <w:sz w:val="29"/>
        </w:rPr>
      </w:pPr>
    </w:p>
    <w:p>
      <w:pPr>
        <w:pStyle w:val="BodyText"/>
        <w:spacing w:line="360" w:lineRule="auto" w:before="1"/>
        <w:ind w:left="662" w:right="567" w:firstLine="707"/>
        <w:jc w:val="both"/>
      </w:pPr>
      <w:r>
        <w:rPr/>
        <w:t>Sousa A. C., Lucio M. M., Neto B. O., Marcone G., Pereira A., Dantas E., Fragoso W., Araujo M., Galvão R. (2007). “A method for determination of COD in a domestic wastewater treatment plant by using near-infrared reflectance spectrometry of seston”, Analytica Chimica Acta. 588, 231-236.</w:t>
      </w:r>
    </w:p>
    <w:p>
      <w:pPr>
        <w:pStyle w:val="BodyText"/>
        <w:spacing w:line="360" w:lineRule="auto" w:before="125"/>
        <w:ind w:left="662" w:right="567" w:firstLine="707"/>
        <w:jc w:val="both"/>
      </w:pPr>
      <w:r>
        <w:rPr/>
        <w:t>Su Y., Li X., Chen H., Lv Y., Hou X. (2007). “Rapid, sensitive and on-line measurement of chemical oxygen demand by novel optical method based on UV photolysis and chemiluminescence”, Microchemical Journal. 87, 56-61.</w:t>
      </w:r>
    </w:p>
    <w:p>
      <w:pPr>
        <w:pStyle w:val="BodyText"/>
        <w:tabs>
          <w:tab w:pos="4950" w:val="left" w:leader="none"/>
          <w:tab w:pos="9730" w:val="left" w:leader="none"/>
        </w:tabs>
        <w:spacing w:line="360" w:lineRule="auto" w:before="122"/>
        <w:ind w:left="662" w:right="572" w:firstLine="707"/>
        <w:jc w:val="both"/>
      </w:pPr>
      <w:r>
        <w:rPr/>
        <w:t>Terán S. M. (2016). “Estudio de la aplicación de procesos de oxidación avanzada en aguas contaminadas”. Memoria, Universidad de Catalunya, Barcelona España. [En línea]</w:t>
        <w:tab/>
        <w:t>disponible</w:t>
        <w:tab/>
        <w:t>en: </w:t>
      </w:r>
      <w:hyperlink r:id="rId54">
        <w:r>
          <w:rPr>
            <w:spacing w:val="-1"/>
          </w:rPr>
          <w:t>http://upcommons.upc.edu/bitstream/handle/2117/88273/01_TFG.pdf?sequence=1&amp;isAll</w:t>
        </w:r>
      </w:hyperlink>
      <w:r>
        <w:rPr>
          <w:spacing w:val="-1"/>
        </w:rPr>
        <w:t> </w:t>
      </w:r>
      <w:hyperlink r:id="rId54">
        <w:r>
          <w:rPr/>
          <w:t>owed=y</w:t>
        </w:r>
      </w:hyperlink>
      <w:r>
        <w:rPr/>
        <w:t> [Consultado en octubre de</w:t>
      </w:r>
      <w:r>
        <w:rPr>
          <w:spacing w:val="-18"/>
        </w:rPr>
        <w:t> </w:t>
      </w:r>
      <w:r>
        <w:rPr/>
        <w:t>2016].</w:t>
      </w:r>
    </w:p>
    <w:p>
      <w:pPr>
        <w:pStyle w:val="BodyText"/>
        <w:spacing w:line="360" w:lineRule="auto" w:before="122"/>
        <w:ind w:left="662" w:right="569" w:firstLine="707"/>
        <w:jc w:val="both"/>
      </w:pPr>
      <w:r>
        <w:rPr/>
        <w:t>Vargas</w:t>
      </w:r>
      <w:r>
        <w:rPr>
          <w:spacing w:val="-14"/>
        </w:rPr>
        <w:t> </w:t>
      </w:r>
      <w:r>
        <w:rPr/>
        <w:t>F.,</w:t>
      </w:r>
      <w:r>
        <w:rPr>
          <w:spacing w:val="-16"/>
        </w:rPr>
        <w:t> </w:t>
      </w:r>
      <w:r>
        <w:rPr/>
        <w:t>Edwin</w:t>
      </w:r>
      <w:r>
        <w:rPr>
          <w:spacing w:val="-13"/>
        </w:rPr>
        <w:t> </w:t>
      </w:r>
      <w:r>
        <w:rPr/>
        <w:t>O.,</w:t>
      </w:r>
      <w:r>
        <w:rPr>
          <w:spacing w:val="-11"/>
        </w:rPr>
        <w:t> </w:t>
      </w:r>
      <w:r>
        <w:rPr/>
        <w:t>Ruiz</w:t>
      </w:r>
      <w:r>
        <w:rPr>
          <w:spacing w:val="-17"/>
        </w:rPr>
        <w:t> </w:t>
      </w:r>
      <w:r>
        <w:rPr/>
        <w:t>L.</w:t>
      </w:r>
      <w:r>
        <w:rPr>
          <w:spacing w:val="-13"/>
        </w:rPr>
        <w:t> </w:t>
      </w:r>
      <w:r>
        <w:rPr/>
        <w:t>(2007).</w:t>
      </w:r>
      <w:r>
        <w:rPr>
          <w:spacing w:val="-14"/>
        </w:rPr>
        <w:t> </w:t>
      </w:r>
      <w:r>
        <w:rPr/>
        <w:t>“Química</w:t>
      </w:r>
      <w:r>
        <w:rPr>
          <w:spacing w:val="-16"/>
        </w:rPr>
        <w:t> </w:t>
      </w:r>
      <w:r>
        <w:rPr/>
        <w:t>verde</w:t>
      </w:r>
      <w:r>
        <w:rPr>
          <w:spacing w:val="-11"/>
        </w:rPr>
        <w:t> </w:t>
      </w:r>
      <w:r>
        <w:rPr/>
        <w:t>en</w:t>
      </w:r>
      <w:r>
        <w:rPr>
          <w:spacing w:val="-15"/>
        </w:rPr>
        <w:t> </w:t>
      </w:r>
      <w:r>
        <w:rPr/>
        <w:t>el</w:t>
      </w:r>
      <w:r>
        <w:rPr>
          <w:spacing w:val="-14"/>
        </w:rPr>
        <w:t> </w:t>
      </w:r>
      <w:r>
        <w:rPr/>
        <w:t>siglo</w:t>
      </w:r>
      <w:r>
        <w:rPr>
          <w:spacing w:val="-13"/>
        </w:rPr>
        <w:t> </w:t>
      </w:r>
      <w:r>
        <w:rPr/>
        <w:t>XXI;</w:t>
      </w:r>
      <w:r>
        <w:rPr>
          <w:spacing w:val="-13"/>
        </w:rPr>
        <w:t> </w:t>
      </w:r>
      <w:r>
        <w:rPr/>
        <w:t>química</w:t>
      </w:r>
      <w:r>
        <w:rPr>
          <w:spacing w:val="-13"/>
        </w:rPr>
        <w:t> </w:t>
      </w:r>
      <w:r>
        <w:rPr/>
        <w:t>verde, una química limpia”. Revista Cubana de Química. 19,</w:t>
      </w:r>
      <w:r>
        <w:rPr>
          <w:spacing w:val="-19"/>
        </w:rPr>
        <w:t> </w:t>
      </w:r>
      <w:r>
        <w:rPr/>
        <w:t>29-32.</w:t>
      </w:r>
    </w:p>
    <w:p>
      <w:pPr>
        <w:pStyle w:val="BodyText"/>
        <w:spacing w:line="360" w:lineRule="auto" w:before="122"/>
        <w:ind w:left="662" w:right="565" w:firstLine="707"/>
        <w:jc w:val="both"/>
      </w:pPr>
      <w:r>
        <w:rPr/>
        <w:t>Vengas E., Corrales Y. (2008). “Green Chemistry: en busca de una industria Química</w:t>
      </w:r>
      <w:r>
        <w:rPr>
          <w:spacing w:val="-4"/>
        </w:rPr>
        <w:t> </w:t>
      </w:r>
      <w:r>
        <w:rPr/>
        <w:t>responsable</w:t>
      </w:r>
      <w:r>
        <w:rPr>
          <w:spacing w:val="-6"/>
        </w:rPr>
        <w:t> </w:t>
      </w:r>
      <w:r>
        <w:rPr/>
        <w:t>con</w:t>
      </w:r>
      <w:r>
        <w:rPr>
          <w:spacing w:val="-6"/>
        </w:rPr>
        <w:t> </w:t>
      </w:r>
      <w:r>
        <w:rPr/>
        <w:t>el</w:t>
      </w:r>
      <w:r>
        <w:rPr>
          <w:spacing w:val="-5"/>
        </w:rPr>
        <w:t> </w:t>
      </w:r>
      <w:r>
        <w:rPr/>
        <w:t>ambiente”,</w:t>
      </w:r>
      <w:r>
        <w:rPr>
          <w:spacing w:val="-5"/>
        </w:rPr>
        <w:t> </w:t>
      </w:r>
      <w:r>
        <w:rPr/>
        <w:t>Éxito</w:t>
      </w:r>
      <w:r>
        <w:rPr>
          <w:spacing w:val="-6"/>
        </w:rPr>
        <w:t> </w:t>
      </w:r>
      <w:r>
        <w:rPr/>
        <w:t>Empresarial,</w:t>
      </w:r>
      <w:r>
        <w:rPr>
          <w:spacing w:val="-6"/>
        </w:rPr>
        <w:t> </w:t>
      </w:r>
      <w:r>
        <w:rPr/>
        <w:t>San</w:t>
      </w:r>
      <w:r>
        <w:rPr>
          <w:spacing w:val="-6"/>
        </w:rPr>
        <w:t> </w:t>
      </w:r>
      <w:r>
        <w:rPr/>
        <w:t>José,</w:t>
      </w:r>
      <w:r>
        <w:rPr>
          <w:spacing w:val="-3"/>
        </w:rPr>
        <w:t> </w:t>
      </w:r>
      <w:r>
        <w:rPr/>
        <w:t>Costa</w:t>
      </w:r>
      <w:r>
        <w:rPr>
          <w:spacing w:val="-4"/>
        </w:rPr>
        <w:t> </w:t>
      </w:r>
      <w:r>
        <w:rPr/>
        <w:t>Rica.</w:t>
      </w:r>
      <w:r>
        <w:rPr>
          <w:spacing w:val="-6"/>
        </w:rPr>
        <w:t> </w:t>
      </w:r>
      <w:r>
        <w:rPr/>
        <w:t>71,</w:t>
      </w:r>
      <w:r>
        <w:rPr>
          <w:spacing w:val="-6"/>
        </w:rPr>
        <w:t> </w:t>
      </w:r>
      <w:r>
        <w:rPr/>
        <w:t>23- 28.</w:t>
      </w:r>
    </w:p>
    <w:p>
      <w:pPr>
        <w:pStyle w:val="BodyText"/>
        <w:spacing w:line="360" w:lineRule="auto" w:before="125"/>
        <w:ind w:left="662" w:right="577" w:firstLine="707"/>
        <w:jc w:val="both"/>
      </w:pPr>
      <w:r>
        <w:rPr/>
        <w:t>Vyrides I., Stuckey D. C. (2009). “A modified method for the determination of chemical oxygen demand (COD) for samples with high salinity and low organics”, Bioresource Technology. 100, 979-982.</w:t>
      </w:r>
    </w:p>
    <w:p>
      <w:pPr>
        <w:pStyle w:val="BodyText"/>
        <w:spacing w:line="360" w:lineRule="auto" w:before="122"/>
        <w:ind w:left="662" w:right="567" w:firstLine="707"/>
        <w:jc w:val="both"/>
      </w:pPr>
      <w:r>
        <w:rPr/>
        <w:t>Wang K., Liu Q., Xiang-Yang W., Qing-Meng G., He-Nan L. (2010). “Graphene </w:t>
      </w:r>
      <w:r>
        <w:rPr>
          <w:position w:val="1"/>
        </w:rPr>
        <w:t>enhanced electrochemiluminescence of CdS nanocrystal for H</w:t>
      </w:r>
      <w:r>
        <w:rPr>
          <w:sz w:val="16"/>
        </w:rPr>
        <w:t>2</w:t>
      </w:r>
      <w:r>
        <w:rPr>
          <w:position w:val="1"/>
        </w:rPr>
        <w:t>O</w:t>
      </w:r>
      <w:r>
        <w:rPr>
          <w:sz w:val="16"/>
        </w:rPr>
        <w:t>2 </w:t>
      </w:r>
      <w:r>
        <w:rPr>
          <w:position w:val="1"/>
        </w:rPr>
        <w:t>sensing”. Talanta. 82, </w:t>
      </w:r>
      <w:r>
        <w:rPr/>
        <w:t>372-376.</w:t>
      </w:r>
    </w:p>
    <w:p>
      <w:pPr>
        <w:spacing w:after="0" w:line="360" w:lineRule="auto"/>
        <w:jc w:val="both"/>
        <w:sectPr>
          <w:pgSz w:w="12240" w:h="15840"/>
          <w:pgMar w:header="0" w:footer="654" w:top="1080" w:bottom="1060" w:left="1040" w:right="560"/>
        </w:sectPr>
      </w:pPr>
    </w:p>
    <w:p>
      <w:pPr>
        <w:pStyle w:val="BodyText"/>
        <w:spacing w:line="362" w:lineRule="auto" w:before="51"/>
        <w:ind w:left="662" w:right="286" w:firstLine="707"/>
      </w:pPr>
      <w:r>
        <w:rPr/>
        <w:t>Warner J. C., Amy S. C., Dye K. (2004). “Green Chemistry”, Environmental Impact Assessment Review. 24, 775-779.</w:t>
      </w:r>
    </w:p>
    <w:p>
      <w:pPr>
        <w:pStyle w:val="BodyText"/>
        <w:spacing w:line="360" w:lineRule="auto" w:before="120"/>
        <w:ind w:left="662" w:right="554" w:firstLine="707"/>
      </w:pPr>
      <w:r>
        <w:rPr/>
        <w:t>Warren D. (2002). “Green Chemistry: A Teaching Resource”, Ed. Royal Society of Chemistry.</w:t>
      </w:r>
    </w:p>
    <w:p>
      <w:pPr>
        <w:pStyle w:val="BodyText"/>
        <w:spacing w:before="8"/>
        <w:rPr>
          <w:sz w:val="8"/>
        </w:rPr>
      </w:pPr>
      <w:r>
        <w:rPr/>
        <w:pict>
          <v:shape style="position:absolute;margin-left:83.664001pt;margin-top:6.233926pt;width:473.25pt;height:82.8pt;mso-position-horizontal-relative:page;mso-position-vertical-relative:paragraph;z-index:4264;mso-wrap-distance-left:0;mso-wrap-distance-right:0" type="#_x0000_t202" filled="true" fillcolor="#fbfbfb" stroked="false">
            <v:textbox inset="0,0,0,0">
              <w:txbxContent>
                <w:p>
                  <w:pPr>
                    <w:pStyle w:val="BodyText"/>
                    <w:spacing w:line="360" w:lineRule="auto"/>
                    <w:ind w:left="28" w:right="25" w:firstLine="707"/>
                    <w:jc w:val="both"/>
                  </w:pPr>
                  <w:r>
                    <w:rPr/>
                    <w:t>Wijesekara R., Basnayake B., Vithanage M. (2014). “Organic-coated nanoparticulate zero valent iron for remediation of chemical oxygen demand (COD) and dissolved metals from tropical landfill leachate”. Environmental Science and Pollution Research. 21,11.7075-7087.</w:t>
                  </w:r>
                </w:p>
              </w:txbxContent>
            </v:textbox>
            <v:fill type="solid"/>
            <w10:wrap type="topAndBottom"/>
          </v:shape>
        </w:pict>
      </w:r>
    </w:p>
    <w:p>
      <w:pPr>
        <w:pStyle w:val="BodyText"/>
        <w:spacing w:line="360" w:lineRule="auto" w:before="103"/>
        <w:ind w:left="662" w:right="570" w:firstLine="707"/>
        <w:jc w:val="both"/>
      </w:pPr>
      <w:r>
        <w:rPr/>
        <w:t>Wilson M. P., Schwarzman M. (2015). “Toward a New U. S. Chemicals Policys: Rebuilding</w:t>
      </w:r>
      <w:r>
        <w:rPr>
          <w:spacing w:val="-18"/>
        </w:rPr>
        <w:t> </w:t>
      </w:r>
      <w:r>
        <w:rPr/>
        <w:t>the</w:t>
      </w:r>
      <w:r>
        <w:rPr>
          <w:spacing w:val="-17"/>
        </w:rPr>
        <w:t> </w:t>
      </w:r>
      <w:r>
        <w:rPr/>
        <w:t>Foundation</w:t>
      </w:r>
      <w:r>
        <w:rPr>
          <w:spacing w:val="-16"/>
        </w:rPr>
        <w:t> </w:t>
      </w:r>
      <w:r>
        <w:rPr/>
        <w:t>to</w:t>
      </w:r>
      <w:r>
        <w:rPr>
          <w:spacing w:val="-18"/>
        </w:rPr>
        <w:t> </w:t>
      </w:r>
      <w:r>
        <w:rPr/>
        <w:t>Advance</w:t>
      </w:r>
      <w:r>
        <w:rPr>
          <w:spacing w:val="-17"/>
        </w:rPr>
        <w:t> </w:t>
      </w:r>
      <w:r>
        <w:rPr/>
        <w:t>New</w:t>
      </w:r>
      <w:r>
        <w:rPr>
          <w:spacing w:val="-20"/>
        </w:rPr>
        <w:t> </w:t>
      </w:r>
      <w:r>
        <w:rPr/>
        <w:t>Science,</w:t>
      </w:r>
      <w:r>
        <w:rPr>
          <w:spacing w:val="-19"/>
        </w:rPr>
        <w:t> </w:t>
      </w:r>
      <w:r>
        <w:rPr/>
        <w:t>Green</w:t>
      </w:r>
      <w:r>
        <w:rPr>
          <w:spacing w:val="-17"/>
        </w:rPr>
        <w:t> </w:t>
      </w:r>
      <w:r>
        <w:rPr/>
        <w:t>Chemistry</w:t>
      </w:r>
      <w:r>
        <w:rPr>
          <w:spacing w:val="-20"/>
        </w:rPr>
        <w:t> </w:t>
      </w:r>
      <w:r>
        <w:rPr/>
        <w:t>and</w:t>
      </w:r>
      <w:r>
        <w:rPr>
          <w:spacing w:val="-17"/>
        </w:rPr>
        <w:t> </w:t>
      </w:r>
      <w:r>
        <w:rPr/>
        <w:t>Environmental Health”. Industrial Chemistry: New Applications. Processes and Systems. Apple Academic Press.</w:t>
      </w:r>
      <w:r>
        <w:rPr>
          <w:spacing w:val="-8"/>
        </w:rPr>
        <w:t> </w:t>
      </w:r>
      <w:r>
        <w:rPr/>
        <w:t>177-184</w:t>
      </w:r>
    </w:p>
    <w:p>
      <w:pPr>
        <w:pStyle w:val="BodyText"/>
        <w:spacing w:line="360" w:lineRule="auto" w:before="122"/>
        <w:ind w:left="662" w:right="565" w:firstLine="707"/>
        <w:jc w:val="both"/>
      </w:pPr>
      <w:r>
        <w:rPr/>
        <w:t>Yaging</w:t>
      </w:r>
      <w:r>
        <w:rPr>
          <w:spacing w:val="-5"/>
        </w:rPr>
        <w:t> </w:t>
      </w:r>
      <w:r>
        <w:rPr/>
        <w:t>L.</w:t>
      </w:r>
      <w:r>
        <w:rPr>
          <w:spacing w:val="-3"/>
        </w:rPr>
        <w:t> </w:t>
      </w:r>
      <w:r>
        <w:rPr/>
        <w:t>(2007).</w:t>
      </w:r>
      <w:r>
        <w:rPr>
          <w:spacing w:val="-7"/>
        </w:rPr>
        <w:t> </w:t>
      </w:r>
      <w:r>
        <w:rPr/>
        <w:t>“Influencia</w:t>
      </w:r>
      <w:r>
        <w:rPr>
          <w:spacing w:val="-6"/>
        </w:rPr>
        <w:t> </w:t>
      </w:r>
      <w:r>
        <w:rPr/>
        <w:t>de</w:t>
      </w:r>
      <w:r>
        <w:rPr>
          <w:spacing w:val="-6"/>
        </w:rPr>
        <w:t> </w:t>
      </w:r>
      <w:r>
        <w:rPr/>
        <w:t>los</w:t>
      </w:r>
      <w:r>
        <w:rPr>
          <w:spacing w:val="-6"/>
        </w:rPr>
        <w:t> </w:t>
      </w:r>
      <w:r>
        <w:rPr/>
        <w:t>minerales</w:t>
      </w:r>
      <w:r>
        <w:rPr>
          <w:spacing w:val="-7"/>
        </w:rPr>
        <w:t> </w:t>
      </w:r>
      <w:r>
        <w:rPr/>
        <w:t>del</w:t>
      </w:r>
      <w:r>
        <w:rPr>
          <w:spacing w:val="-5"/>
        </w:rPr>
        <w:t> </w:t>
      </w:r>
      <w:r>
        <w:rPr/>
        <w:t>suelo</w:t>
      </w:r>
      <w:r>
        <w:rPr>
          <w:spacing w:val="-6"/>
        </w:rPr>
        <w:t> </w:t>
      </w:r>
      <w:r>
        <w:rPr/>
        <w:t>en</w:t>
      </w:r>
      <w:r>
        <w:rPr>
          <w:spacing w:val="-6"/>
        </w:rPr>
        <w:t> </w:t>
      </w:r>
      <w:r>
        <w:rPr/>
        <w:t>cromo</w:t>
      </w:r>
      <w:r>
        <w:rPr>
          <w:spacing w:val="-4"/>
        </w:rPr>
        <w:t> </w:t>
      </w:r>
      <w:r>
        <w:rPr/>
        <w:t>(VI)</w:t>
      </w:r>
      <w:r>
        <w:rPr>
          <w:spacing w:val="-5"/>
        </w:rPr>
        <w:t> </w:t>
      </w:r>
      <w:r>
        <w:rPr/>
        <w:t>la</w:t>
      </w:r>
      <w:r>
        <w:rPr>
          <w:spacing w:val="-4"/>
        </w:rPr>
        <w:t> </w:t>
      </w:r>
      <w:r>
        <w:rPr/>
        <w:t>reducción de</w:t>
      </w:r>
      <w:r>
        <w:rPr>
          <w:spacing w:val="-5"/>
        </w:rPr>
        <w:t> </w:t>
      </w:r>
      <w:r>
        <w:rPr/>
        <w:t>sulfuro</w:t>
      </w:r>
      <w:r>
        <w:rPr>
          <w:spacing w:val="-6"/>
        </w:rPr>
        <w:t> </w:t>
      </w:r>
      <w:r>
        <w:rPr/>
        <w:t>bajo</w:t>
      </w:r>
      <w:r>
        <w:rPr>
          <w:spacing w:val="-5"/>
        </w:rPr>
        <w:t> </w:t>
      </w:r>
      <w:r>
        <w:rPr/>
        <w:t>condiciones</w:t>
      </w:r>
      <w:r>
        <w:rPr>
          <w:spacing w:val="-6"/>
        </w:rPr>
        <w:t> </w:t>
      </w:r>
      <w:r>
        <w:rPr/>
        <w:t>anóxicas</w:t>
      </w:r>
      <w:r>
        <w:rPr>
          <w:spacing w:val="-5"/>
        </w:rPr>
        <w:t> </w:t>
      </w:r>
      <w:r>
        <w:rPr/>
        <w:t>“,</w:t>
      </w:r>
      <w:r>
        <w:rPr>
          <w:spacing w:val="-6"/>
        </w:rPr>
        <w:t> </w:t>
      </w:r>
      <w:r>
        <w:rPr/>
        <w:t>Geochemical</w:t>
      </w:r>
      <w:r>
        <w:rPr>
          <w:spacing w:val="-6"/>
        </w:rPr>
        <w:t> </w:t>
      </w:r>
      <w:r>
        <w:rPr/>
        <w:t>Transactions,</w:t>
      </w:r>
      <w:r>
        <w:rPr>
          <w:spacing w:val="-8"/>
        </w:rPr>
        <w:t> </w:t>
      </w:r>
      <w:r>
        <w:rPr/>
        <w:t>BioMed</w:t>
      </w:r>
      <w:r>
        <w:rPr>
          <w:spacing w:val="-4"/>
        </w:rPr>
        <w:t> </w:t>
      </w:r>
      <w:r>
        <w:rPr/>
        <w:t>Central.</w:t>
      </w:r>
      <w:r>
        <w:rPr>
          <w:spacing w:val="-8"/>
        </w:rPr>
        <w:t> </w:t>
      </w:r>
      <w:r>
        <w:rPr/>
        <w:t>8,</w:t>
      </w:r>
      <w:r>
        <w:rPr>
          <w:spacing w:val="-5"/>
        </w:rPr>
        <w:t> </w:t>
      </w:r>
      <w:r>
        <w:rPr/>
        <w:t>1- 4.</w:t>
      </w:r>
    </w:p>
    <w:p>
      <w:pPr>
        <w:pStyle w:val="BodyText"/>
        <w:spacing w:line="360" w:lineRule="auto" w:before="125"/>
        <w:ind w:left="662" w:right="566" w:firstLine="707"/>
        <w:jc w:val="both"/>
      </w:pPr>
      <w:r>
        <w:rPr/>
        <w:t>Yao H., </w:t>
      </w:r>
      <w:r>
        <w:rPr>
          <w:spacing w:val="4"/>
        </w:rPr>
        <w:t>Wu </w:t>
      </w:r>
      <w:r>
        <w:rPr/>
        <w:t>B., Qu H., Cheng Y. (2009). “A high throughput chemiluminescence method</w:t>
      </w:r>
      <w:r>
        <w:rPr>
          <w:spacing w:val="-13"/>
        </w:rPr>
        <w:t> </w:t>
      </w:r>
      <w:r>
        <w:rPr/>
        <w:t>for</w:t>
      </w:r>
      <w:r>
        <w:rPr>
          <w:spacing w:val="-12"/>
        </w:rPr>
        <w:t> </w:t>
      </w:r>
      <w:r>
        <w:rPr/>
        <w:t>determination</w:t>
      </w:r>
      <w:r>
        <w:rPr>
          <w:spacing w:val="-8"/>
        </w:rPr>
        <w:t> </w:t>
      </w:r>
      <w:r>
        <w:rPr/>
        <w:t>of</w:t>
      </w:r>
      <w:r>
        <w:rPr>
          <w:spacing w:val="-9"/>
        </w:rPr>
        <w:t> </w:t>
      </w:r>
      <w:r>
        <w:rPr/>
        <w:t>chemical</w:t>
      </w:r>
      <w:r>
        <w:rPr>
          <w:spacing w:val="-12"/>
        </w:rPr>
        <w:t> </w:t>
      </w:r>
      <w:r>
        <w:rPr/>
        <w:t>oxygen</w:t>
      </w:r>
      <w:r>
        <w:rPr>
          <w:spacing w:val="-8"/>
        </w:rPr>
        <w:t> </w:t>
      </w:r>
      <w:r>
        <w:rPr/>
        <w:t>demand</w:t>
      </w:r>
      <w:r>
        <w:rPr>
          <w:spacing w:val="-8"/>
        </w:rPr>
        <w:t> </w:t>
      </w:r>
      <w:r>
        <w:rPr/>
        <w:t>in</w:t>
      </w:r>
      <w:r>
        <w:rPr>
          <w:spacing w:val="-9"/>
        </w:rPr>
        <w:t> </w:t>
      </w:r>
      <w:r>
        <w:rPr/>
        <w:t>waters”,</w:t>
      </w:r>
      <w:r>
        <w:rPr>
          <w:spacing w:val="-9"/>
        </w:rPr>
        <w:t> </w:t>
      </w:r>
      <w:r>
        <w:rPr/>
        <w:t>Analytica</w:t>
      </w:r>
      <w:r>
        <w:rPr>
          <w:spacing w:val="-8"/>
        </w:rPr>
        <w:t> </w:t>
      </w:r>
      <w:r>
        <w:rPr/>
        <w:t>Chimica</w:t>
      </w:r>
      <w:r>
        <w:rPr>
          <w:spacing w:val="-9"/>
        </w:rPr>
        <w:t> </w:t>
      </w:r>
      <w:r>
        <w:rPr/>
        <w:t>Acta. 633,</w:t>
      </w:r>
      <w:r>
        <w:rPr>
          <w:spacing w:val="-4"/>
        </w:rPr>
        <w:t> </w:t>
      </w:r>
      <w:r>
        <w:rPr/>
        <w:t>76-80.</w:t>
      </w:r>
    </w:p>
    <w:p>
      <w:pPr>
        <w:pStyle w:val="BodyText"/>
        <w:tabs>
          <w:tab w:pos="8228" w:val="left" w:leader="none"/>
          <w:tab w:pos="9660" w:val="left" w:leader="none"/>
        </w:tabs>
        <w:spacing w:line="360" w:lineRule="auto" w:before="122"/>
        <w:ind w:left="662" w:right="572" w:firstLine="707"/>
      </w:pPr>
      <w:r>
        <w:rPr/>
        <w:t>Zapata</w:t>
      </w:r>
      <w:r>
        <w:rPr>
          <w:spacing w:val="-19"/>
        </w:rPr>
        <w:t> </w:t>
      </w:r>
      <w:r>
        <w:rPr/>
        <w:t>P.</w:t>
      </w:r>
      <w:r>
        <w:rPr>
          <w:spacing w:val="-17"/>
        </w:rPr>
        <w:t> </w:t>
      </w:r>
      <w:r>
        <w:rPr/>
        <w:t>F.</w:t>
      </w:r>
      <w:r>
        <w:rPr>
          <w:spacing w:val="-17"/>
        </w:rPr>
        <w:t> </w:t>
      </w:r>
      <w:r>
        <w:rPr/>
        <w:t>(2016).</w:t>
      </w:r>
      <w:r>
        <w:rPr>
          <w:spacing w:val="-15"/>
        </w:rPr>
        <w:t> </w:t>
      </w:r>
      <w:r>
        <w:rPr/>
        <w:t>“</w:t>
      </w:r>
      <w:r>
        <w:rPr>
          <w:spacing w:val="-19"/>
        </w:rPr>
        <w:t> </w:t>
      </w:r>
      <w:r>
        <w:rPr/>
        <w:t>Método</w:t>
      </w:r>
      <w:r>
        <w:rPr>
          <w:spacing w:val="-18"/>
        </w:rPr>
        <w:t> </w:t>
      </w:r>
      <w:r>
        <w:rPr/>
        <w:t>de</w:t>
      </w:r>
      <w:r>
        <w:rPr>
          <w:spacing w:val="-20"/>
        </w:rPr>
        <w:t> </w:t>
      </w:r>
      <w:r>
        <w:rPr/>
        <w:t>fotocatálisis</w:t>
      </w:r>
      <w:r>
        <w:rPr>
          <w:spacing w:val="-18"/>
        </w:rPr>
        <w:t> </w:t>
      </w:r>
      <w:r>
        <w:rPr/>
        <w:t>aplicado</w:t>
      </w:r>
      <w:r>
        <w:rPr>
          <w:spacing w:val="-19"/>
        </w:rPr>
        <w:t> </w:t>
      </w:r>
      <w:r>
        <w:rPr/>
        <w:t>para</w:t>
      </w:r>
      <w:r>
        <w:rPr>
          <w:spacing w:val="-19"/>
        </w:rPr>
        <w:t> </w:t>
      </w:r>
      <w:r>
        <w:rPr/>
        <w:t>el</w:t>
      </w:r>
      <w:r>
        <w:rPr>
          <w:spacing w:val="-18"/>
        </w:rPr>
        <w:t> </w:t>
      </w:r>
      <w:r>
        <w:rPr/>
        <w:t>tratamiento</w:t>
      </w:r>
      <w:r>
        <w:rPr>
          <w:spacing w:val="-18"/>
        </w:rPr>
        <w:t> </w:t>
      </w:r>
      <w:r>
        <w:rPr/>
        <w:t>de</w:t>
      </w:r>
      <w:r>
        <w:rPr>
          <w:spacing w:val="-19"/>
        </w:rPr>
        <w:t> </w:t>
      </w:r>
      <w:r>
        <w:rPr/>
        <w:t>aguas residuales   de   una   industria   textil”   Tesis,   Ecuador. </w:t>
      </w:r>
      <w:r>
        <w:rPr>
          <w:spacing w:val="29"/>
        </w:rPr>
        <w:t> </w:t>
      </w:r>
      <w:r>
        <w:rPr/>
        <w:t>[en </w:t>
      </w:r>
      <w:r>
        <w:rPr>
          <w:spacing w:val="60"/>
        </w:rPr>
        <w:t> </w:t>
      </w:r>
      <w:r>
        <w:rPr/>
        <w:t>línea]</w:t>
        <w:tab/>
      </w:r>
      <w:r>
        <w:rPr>
          <w:rFonts w:ascii="Verdana" w:hAnsi="Verdana"/>
        </w:rPr>
        <w:t>disponible</w:t>
        <w:tab/>
        <w:t>en: </w:t>
      </w:r>
      <w:hyperlink r:id="rId55">
        <w:r>
          <w:rPr/>
          <w:t>http://www.dspace.uce.edu.ec/bitstream/25000/6959/1/T-UCE-0017-0027-2016.pdf</w:t>
        </w:r>
      </w:hyperlink>
      <w:r>
        <w:rPr/>
        <w:t>. [Consultado en octubre de</w:t>
      </w:r>
      <w:r>
        <w:rPr>
          <w:spacing w:val="-17"/>
        </w:rPr>
        <w:t> </w:t>
      </w:r>
      <w:r>
        <w:rPr/>
        <w:t>2016].</w:t>
      </w:r>
    </w:p>
    <w:p>
      <w:pPr>
        <w:pStyle w:val="BodyText"/>
        <w:spacing w:line="360" w:lineRule="auto" w:before="122"/>
        <w:ind w:left="662" w:right="568" w:firstLine="707"/>
        <w:jc w:val="both"/>
      </w:pPr>
      <w:r>
        <w:rPr/>
        <w:t>Zhang S., Li L., Zhao H., Li G. (2009). “A portable miniature UV-LED-based photoelectrochemical system for determination of chemical oxygen demand in wastewater”. Sensors Actuators. 1-7.</w:t>
      </w:r>
    </w:p>
    <w:p>
      <w:pPr>
        <w:pStyle w:val="BodyText"/>
        <w:spacing w:line="360" w:lineRule="auto" w:before="125"/>
        <w:ind w:left="662" w:right="577" w:firstLine="707"/>
        <w:jc w:val="both"/>
      </w:pPr>
      <w:r>
        <w:rPr/>
        <w:t>Zhang Z., Yuan Y., Fang Y., Liang L., Ding H., Jin L. (2007). “Preparation of </w:t>
      </w:r>
      <w:r>
        <w:rPr>
          <w:position w:val="1"/>
        </w:rPr>
        <w:t>photocatalytic nano-ZnO/TiO</w:t>
      </w:r>
      <w:r>
        <w:rPr>
          <w:sz w:val="16"/>
        </w:rPr>
        <w:t>2 </w:t>
      </w:r>
      <w:r>
        <w:rPr>
          <w:position w:val="1"/>
        </w:rPr>
        <w:t>film and application for determination of chemical oxygen </w:t>
      </w:r>
      <w:r>
        <w:rPr/>
        <w:t>demand”. Talanta. 73, 523-528.</w:t>
      </w:r>
    </w:p>
    <w:p>
      <w:pPr>
        <w:spacing w:after="0" w:line="360" w:lineRule="auto"/>
        <w:jc w:val="both"/>
        <w:sectPr>
          <w:pgSz w:w="12240" w:h="15840"/>
          <w:pgMar w:header="0" w:footer="654" w:top="1080" w:bottom="1060" w:left="1040" w:right="560"/>
        </w:sectPr>
      </w:pPr>
    </w:p>
    <w:p>
      <w:pPr>
        <w:pStyle w:val="BodyText"/>
        <w:spacing w:line="360" w:lineRule="auto" w:before="50"/>
        <w:ind w:left="662" w:right="565" w:firstLine="707"/>
        <w:jc w:val="both"/>
      </w:pPr>
      <w:r>
        <w:rPr>
          <w:position w:val="1"/>
        </w:rPr>
        <w:t>Zhu L., Chen Y., Wu Y., Li X., Tang H. (2006). “A surface fluorinated-TiO</w:t>
      </w:r>
      <w:r>
        <w:rPr>
          <w:sz w:val="16"/>
        </w:rPr>
        <w:t>2</w:t>
      </w:r>
      <w:r>
        <w:rPr>
          <w:position w:val="1"/>
        </w:rPr>
        <w:t>-KMnO</w:t>
      </w:r>
      <w:r>
        <w:rPr>
          <w:sz w:val="16"/>
        </w:rPr>
        <w:t>4 </w:t>
      </w:r>
      <w:r>
        <w:rPr/>
        <w:t>photocatalytic system for determination of chemical oxygen demand”, Analytica Chimica Acta. 571, 242-247.</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5"/>
        </w:rPr>
      </w:pPr>
    </w:p>
    <w:p>
      <w:pPr>
        <w:pStyle w:val="Heading1"/>
        <w:numPr>
          <w:ilvl w:val="0"/>
          <w:numId w:val="7"/>
        </w:numPr>
        <w:tabs>
          <w:tab w:pos="4232" w:val="left" w:leader="none"/>
        </w:tabs>
        <w:spacing w:line="240" w:lineRule="auto" w:before="0" w:after="0"/>
        <w:ind w:left="4231" w:right="0" w:hanging="1111"/>
        <w:jc w:val="left"/>
      </w:pPr>
      <w:r>
        <w:rPr/>
        <w:t>ANEXOS</w:t>
      </w:r>
    </w:p>
    <w:p>
      <w:pPr>
        <w:spacing w:after="0" w:line="240" w:lineRule="auto"/>
        <w:jc w:val="left"/>
        <w:sectPr>
          <w:footerReference w:type="default" r:id="rId56"/>
          <w:pgSz w:w="12240" w:h="15840"/>
          <w:pgMar w:footer="865" w:header="0" w:top="1080" w:bottom="1060" w:left="1040" w:right="560"/>
        </w:sectPr>
      </w:pPr>
    </w:p>
    <w:p>
      <w:pPr>
        <w:pStyle w:val="BodyText"/>
        <w:rPr>
          <w:b/>
          <w:sz w:val="20"/>
        </w:rPr>
      </w:pPr>
    </w:p>
    <w:p>
      <w:pPr>
        <w:pStyle w:val="BodyText"/>
        <w:spacing w:before="9"/>
        <w:rPr>
          <w:b/>
        </w:rPr>
      </w:pPr>
    </w:p>
    <w:p>
      <w:pPr>
        <w:pStyle w:val="Heading3"/>
        <w:numPr>
          <w:ilvl w:val="1"/>
          <w:numId w:val="10"/>
        </w:numPr>
        <w:tabs>
          <w:tab w:pos="2086" w:val="left" w:leader="none"/>
        </w:tabs>
        <w:spacing w:line="240" w:lineRule="auto" w:before="59" w:after="0"/>
        <w:ind w:left="2085" w:right="0" w:hanging="715"/>
        <w:jc w:val="left"/>
      </w:pPr>
      <w:r>
        <w:rPr/>
        <w:t>ANEXO 1: PARÁMETROS DE</w:t>
      </w:r>
      <w:r>
        <w:rPr>
          <w:spacing w:val="-26"/>
        </w:rPr>
        <w:t> </w:t>
      </w:r>
      <w:r>
        <w:rPr/>
        <w:t>CALIDAD</w:t>
      </w:r>
    </w:p>
    <w:p>
      <w:pPr>
        <w:pStyle w:val="BodyText"/>
        <w:spacing w:before="10"/>
        <w:rPr>
          <w:b/>
          <w:sz w:val="40"/>
        </w:rPr>
      </w:pPr>
    </w:p>
    <w:p>
      <w:pPr>
        <w:pStyle w:val="BodyText"/>
        <w:spacing w:line="360" w:lineRule="auto"/>
        <w:ind w:left="1021" w:right="570"/>
        <w:jc w:val="both"/>
      </w:pPr>
      <w:r>
        <w:rPr>
          <w:u w:val="single"/>
        </w:rPr>
        <w:t>Temperatura: </w:t>
      </w:r>
      <w:r>
        <w:rPr/>
        <w:t>la temperatura influye en muchos aspectos de un ecosistema, por ello es un componente vital para la sobrevivencia de los organismos (como insectos, peces, camarones, etc.).</w:t>
      </w:r>
    </w:p>
    <w:p>
      <w:pPr>
        <w:pStyle w:val="BodyText"/>
        <w:spacing w:before="7"/>
      </w:pPr>
    </w:p>
    <w:p>
      <w:pPr>
        <w:pStyle w:val="BodyText"/>
        <w:spacing w:line="360" w:lineRule="auto"/>
        <w:ind w:left="1021" w:right="570"/>
        <w:jc w:val="both"/>
      </w:pPr>
      <w:r>
        <w:rPr>
          <w:u w:val="single"/>
        </w:rPr>
        <w:t>Color,</w:t>
      </w:r>
      <w:r>
        <w:rPr>
          <w:spacing w:val="-5"/>
          <w:u w:val="single"/>
        </w:rPr>
        <w:t> </w:t>
      </w:r>
      <w:r>
        <w:rPr>
          <w:u w:val="single"/>
        </w:rPr>
        <w:t>olor</w:t>
      </w:r>
      <w:r>
        <w:rPr>
          <w:spacing w:val="-5"/>
          <w:u w:val="single"/>
        </w:rPr>
        <w:t> </w:t>
      </w:r>
      <w:r>
        <w:rPr>
          <w:u w:val="single"/>
        </w:rPr>
        <w:t>y</w:t>
      </w:r>
      <w:r>
        <w:rPr>
          <w:spacing w:val="-7"/>
          <w:u w:val="single"/>
        </w:rPr>
        <w:t> </w:t>
      </w:r>
      <w:r>
        <w:rPr>
          <w:u w:val="single"/>
        </w:rPr>
        <w:t>sabor:</w:t>
      </w:r>
      <w:r>
        <w:rPr>
          <w:spacing w:val="-3"/>
          <w:u w:val="single"/>
        </w:rPr>
        <w:t> </w:t>
      </w:r>
      <w:r>
        <w:rPr/>
        <w:t>el</w:t>
      </w:r>
      <w:r>
        <w:rPr>
          <w:spacing w:val="-5"/>
        </w:rPr>
        <w:t> </w:t>
      </w:r>
      <w:r>
        <w:rPr/>
        <w:t>color</w:t>
      </w:r>
      <w:r>
        <w:rPr>
          <w:spacing w:val="-5"/>
        </w:rPr>
        <w:t> </w:t>
      </w:r>
      <w:r>
        <w:rPr/>
        <w:t>aparente</w:t>
      </w:r>
      <w:r>
        <w:rPr>
          <w:spacing w:val="-4"/>
        </w:rPr>
        <w:t> </w:t>
      </w:r>
      <w:r>
        <w:rPr/>
        <w:t>del</w:t>
      </w:r>
      <w:r>
        <w:rPr>
          <w:spacing w:val="-5"/>
        </w:rPr>
        <w:t> </w:t>
      </w:r>
      <w:r>
        <w:rPr/>
        <w:t>agua</w:t>
      </w:r>
      <w:r>
        <w:rPr>
          <w:spacing w:val="-6"/>
        </w:rPr>
        <w:t> </w:t>
      </w:r>
      <w:r>
        <w:rPr/>
        <w:t>se</w:t>
      </w:r>
      <w:r>
        <w:rPr>
          <w:spacing w:val="-4"/>
        </w:rPr>
        <w:t> </w:t>
      </w:r>
      <w:r>
        <w:rPr/>
        <w:t>debe</w:t>
      </w:r>
      <w:r>
        <w:rPr>
          <w:spacing w:val="-4"/>
        </w:rPr>
        <w:t> </w:t>
      </w:r>
      <w:r>
        <w:rPr/>
        <w:t>a</w:t>
      </w:r>
      <w:r>
        <w:rPr>
          <w:spacing w:val="-6"/>
        </w:rPr>
        <w:t> </w:t>
      </w:r>
      <w:r>
        <w:rPr/>
        <w:t>las</w:t>
      </w:r>
      <w:r>
        <w:rPr>
          <w:spacing w:val="-6"/>
        </w:rPr>
        <w:t> </w:t>
      </w:r>
      <w:r>
        <w:rPr/>
        <w:t>partículas</w:t>
      </w:r>
      <w:r>
        <w:rPr>
          <w:spacing w:val="-4"/>
        </w:rPr>
        <w:t> </w:t>
      </w:r>
      <w:r>
        <w:rPr/>
        <w:t>en</w:t>
      </w:r>
      <w:r>
        <w:rPr>
          <w:spacing w:val="-6"/>
        </w:rPr>
        <w:t> </w:t>
      </w:r>
      <w:r>
        <w:rPr/>
        <w:t>suspensión y</w:t>
      </w:r>
      <w:r>
        <w:rPr>
          <w:spacing w:val="-14"/>
        </w:rPr>
        <w:t> </w:t>
      </w:r>
      <w:r>
        <w:rPr/>
        <w:t>disueltas,</w:t>
      </w:r>
      <w:r>
        <w:rPr>
          <w:spacing w:val="-13"/>
        </w:rPr>
        <w:t> </w:t>
      </w:r>
      <w:r>
        <w:rPr/>
        <w:t>aunque</w:t>
      </w:r>
      <w:r>
        <w:rPr>
          <w:spacing w:val="-13"/>
        </w:rPr>
        <w:t> </w:t>
      </w:r>
      <w:r>
        <w:rPr/>
        <w:t>el</w:t>
      </w:r>
      <w:r>
        <w:rPr>
          <w:spacing w:val="-14"/>
        </w:rPr>
        <w:t> </w:t>
      </w:r>
      <w:r>
        <w:rPr/>
        <w:t>verdadero</w:t>
      </w:r>
      <w:r>
        <w:rPr>
          <w:spacing w:val="-11"/>
        </w:rPr>
        <w:t> </w:t>
      </w:r>
      <w:r>
        <w:rPr/>
        <w:t>color</w:t>
      </w:r>
      <w:r>
        <w:rPr>
          <w:spacing w:val="-8"/>
        </w:rPr>
        <w:t> </w:t>
      </w:r>
      <w:r>
        <w:rPr/>
        <w:t>se</w:t>
      </w:r>
      <w:r>
        <w:rPr>
          <w:spacing w:val="-13"/>
        </w:rPr>
        <w:t> </w:t>
      </w:r>
      <w:r>
        <w:rPr/>
        <w:t>debe</w:t>
      </w:r>
      <w:r>
        <w:rPr>
          <w:spacing w:val="-11"/>
        </w:rPr>
        <w:t> </w:t>
      </w:r>
      <w:r>
        <w:rPr/>
        <w:t>a</w:t>
      </w:r>
      <w:r>
        <w:rPr>
          <w:spacing w:val="-13"/>
        </w:rPr>
        <w:t> </w:t>
      </w:r>
      <w:r>
        <w:rPr/>
        <w:t>las</w:t>
      </w:r>
      <w:r>
        <w:rPr>
          <w:spacing w:val="-13"/>
        </w:rPr>
        <w:t> </w:t>
      </w:r>
      <w:r>
        <w:rPr/>
        <w:t>partículas</w:t>
      </w:r>
      <w:r>
        <w:rPr>
          <w:spacing w:val="-13"/>
        </w:rPr>
        <w:t> </w:t>
      </w:r>
      <w:r>
        <w:rPr/>
        <w:t>disueltas.</w:t>
      </w:r>
      <w:r>
        <w:rPr>
          <w:spacing w:val="-11"/>
        </w:rPr>
        <w:t> </w:t>
      </w:r>
      <w:r>
        <w:rPr/>
        <w:t>La</w:t>
      </w:r>
      <w:r>
        <w:rPr>
          <w:spacing w:val="-13"/>
        </w:rPr>
        <w:t> </w:t>
      </w:r>
      <w:r>
        <w:rPr/>
        <w:t>presencia de color es, por tanto, indicador de calidad deficiente. El olor de un agua puede ser indicador</w:t>
      </w:r>
      <w:r>
        <w:rPr>
          <w:spacing w:val="-12"/>
        </w:rPr>
        <w:t> </w:t>
      </w:r>
      <w:r>
        <w:rPr/>
        <w:t>de</w:t>
      </w:r>
      <w:r>
        <w:rPr>
          <w:spacing w:val="-9"/>
        </w:rPr>
        <w:t> </w:t>
      </w:r>
      <w:r>
        <w:rPr/>
        <w:t>contaminación</w:t>
      </w:r>
      <w:r>
        <w:rPr>
          <w:spacing w:val="-11"/>
        </w:rPr>
        <w:t> </w:t>
      </w:r>
      <w:r>
        <w:rPr/>
        <w:t>de</w:t>
      </w:r>
      <w:r>
        <w:rPr>
          <w:spacing w:val="-11"/>
        </w:rPr>
        <w:t> </w:t>
      </w:r>
      <w:r>
        <w:rPr/>
        <w:t>la</w:t>
      </w:r>
      <w:r>
        <w:rPr>
          <w:spacing w:val="-11"/>
        </w:rPr>
        <w:t> </w:t>
      </w:r>
      <w:r>
        <w:rPr/>
        <w:t>misma,</w:t>
      </w:r>
      <w:r>
        <w:rPr>
          <w:spacing w:val="-11"/>
        </w:rPr>
        <w:t> </w:t>
      </w:r>
      <w:r>
        <w:rPr/>
        <w:t>bien</w:t>
      </w:r>
      <w:r>
        <w:rPr>
          <w:spacing w:val="-9"/>
        </w:rPr>
        <w:t> </w:t>
      </w:r>
      <w:r>
        <w:rPr/>
        <w:t>sea</w:t>
      </w:r>
      <w:r>
        <w:rPr>
          <w:spacing w:val="-11"/>
        </w:rPr>
        <w:t> </w:t>
      </w:r>
      <w:r>
        <w:rPr/>
        <w:t>por</w:t>
      </w:r>
      <w:r>
        <w:rPr>
          <w:spacing w:val="-12"/>
        </w:rPr>
        <w:t> </w:t>
      </w:r>
      <w:r>
        <w:rPr/>
        <w:t>algún</w:t>
      </w:r>
      <w:r>
        <w:rPr>
          <w:spacing w:val="-11"/>
        </w:rPr>
        <w:t> </w:t>
      </w:r>
      <w:r>
        <w:rPr/>
        <w:t>producto</w:t>
      </w:r>
      <w:r>
        <w:rPr>
          <w:spacing w:val="-9"/>
        </w:rPr>
        <w:t> </w:t>
      </w:r>
      <w:r>
        <w:rPr/>
        <w:t>químico,</w:t>
      </w:r>
      <w:r>
        <w:rPr>
          <w:spacing w:val="-11"/>
        </w:rPr>
        <w:t> </w:t>
      </w:r>
      <w:r>
        <w:rPr/>
        <w:t>o</w:t>
      </w:r>
      <w:r>
        <w:rPr>
          <w:spacing w:val="-11"/>
        </w:rPr>
        <w:t> </w:t>
      </w:r>
      <w:r>
        <w:rPr/>
        <w:t>bien, por sufrir ésta un proceso de eutrofización. El sabor es debido a la mineralización del agua, que es fácilmente apreciable, el resto de los sabores son indicadores de contaminación o de la existencia de algas u</w:t>
      </w:r>
      <w:r>
        <w:rPr>
          <w:spacing w:val="-14"/>
        </w:rPr>
        <w:t> </w:t>
      </w:r>
      <w:r>
        <w:rPr/>
        <w:t>hongos</w:t>
      </w:r>
      <w:r>
        <w:rPr>
          <w:color w:val="666666"/>
        </w:rPr>
        <w:t>.</w:t>
      </w:r>
    </w:p>
    <w:p>
      <w:pPr>
        <w:pStyle w:val="BodyText"/>
        <w:spacing w:before="7"/>
      </w:pPr>
    </w:p>
    <w:p>
      <w:pPr>
        <w:pStyle w:val="BodyText"/>
        <w:spacing w:line="360" w:lineRule="auto"/>
        <w:ind w:left="1021" w:right="571"/>
        <w:jc w:val="both"/>
      </w:pPr>
      <w:r>
        <w:rPr>
          <w:u w:val="single"/>
        </w:rPr>
        <w:t>Turbidez:</w:t>
      </w:r>
      <w:r>
        <w:rPr>
          <w:spacing w:val="-3"/>
          <w:u w:val="single"/>
        </w:rPr>
        <w:t> </w:t>
      </w:r>
      <w:r>
        <w:rPr/>
        <w:t>ésta</w:t>
      </w:r>
      <w:r>
        <w:rPr>
          <w:spacing w:val="-6"/>
        </w:rPr>
        <w:t> </w:t>
      </w:r>
      <w:r>
        <w:rPr/>
        <w:t>es</w:t>
      </w:r>
      <w:r>
        <w:rPr>
          <w:spacing w:val="-4"/>
        </w:rPr>
        <w:t> </w:t>
      </w:r>
      <w:r>
        <w:rPr/>
        <w:t>generada</w:t>
      </w:r>
      <w:r>
        <w:rPr>
          <w:spacing w:val="-4"/>
        </w:rPr>
        <w:t> </w:t>
      </w:r>
      <w:r>
        <w:rPr/>
        <w:t>por</w:t>
      </w:r>
      <w:r>
        <w:rPr>
          <w:spacing w:val="-5"/>
        </w:rPr>
        <w:t> </w:t>
      </w:r>
      <w:r>
        <w:rPr/>
        <w:t>materia</w:t>
      </w:r>
      <w:r>
        <w:rPr>
          <w:spacing w:val="-4"/>
        </w:rPr>
        <w:t> </w:t>
      </w:r>
      <w:r>
        <w:rPr/>
        <w:t>suspendida</w:t>
      </w:r>
      <w:r>
        <w:rPr>
          <w:spacing w:val="-4"/>
        </w:rPr>
        <w:t> </w:t>
      </w:r>
      <w:r>
        <w:rPr/>
        <w:t>en</w:t>
      </w:r>
      <w:r>
        <w:rPr>
          <w:spacing w:val="-6"/>
        </w:rPr>
        <w:t> </w:t>
      </w:r>
      <w:r>
        <w:rPr/>
        <w:t>el</w:t>
      </w:r>
      <w:r>
        <w:rPr>
          <w:spacing w:val="-5"/>
        </w:rPr>
        <w:t> </w:t>
      </w:r>
      <w:r>
        <w:rPr/>
        <w:t>agua</w:t>
      </w:r>
      <w:r>
        <w:rPr>
          <w:spacing w:val="-4"/>
        </w:rPr>
        <w:t> </w:t>
      </w:r>
      <w:r>
        <w:rPr/>
        <w:t>la</w:t>
      </w:r>
      <w:r>
        <w:rPr>
          <w:spacing w:val="-4"/>
        </w:rPr>
        <w:t> </w:t>
      </w:r>
      <w:r>
        <w:rPr/>
        <w:t>cual</w:t>
      </w:r>
      <w:r>
        <w:rPr>
          <w:spacing w:val="-5"/>
        </w:rPr>
        <w:t> </w:t>
      </w:r>
      <w:r>
        <w:rPr/>
        <w:t>absorbe</w:t>
      </w:r>
      <w:r>
        <w:rPr>
          <w:spacing w:val="-3"/>
        </w:rPr>
        <w:t> </w:t>
      </w:r>
      <w:r>
        <w:rPr/>
        <w:t>la</w:t>
      </w:r>
      <w:r>
        <w:rPr>
          <w:spacing w:val="-4"/>
        </w:rPr>
        <w:t> </w:t>
      </w:r>
      <w:r>
        <w:rPr/>
        <w:t>luz, haciendo que el agua tenga un aspecto</w:t>
      </w:r>
      <w:r>
        <w:rPr>
          <w:spacing w:val="-13"/>
        </w:rPr>
        <w:t> </w:t>
      </w:r>
      <w:r>
        <w:rPr/>
        <w:t>nublado.</w:t>
      </w:r>
    </w:p>
    <w:p>
      <w:pPr>
        <w:pStyle w:val="BodyText"/>
        <w:spacing w:before="8"/>
      </w:pPr>
    </w:p>
    <w:p>
      <w:pPr>
        <w:pStyle w:val="BodyText"/>
        <w:spacing w:line="360" w:lineRule="auto"/>
        <w:ind w:left="1021" w:right="575"/>
        <w:jc w:val="both"/>
      </w:pPr>
      <w:r>
        <w:rPr>
          <w:u w:val="single"/>
        </w:rPr>
        <w:t>Materia sólida: </w:t>
      </w:r>
      <w:r>
        <w:rPr/>
        <w:t>no degradables como plásticos y otros, y degradables: materia orgánica.</w:t>
      </w:r>
    </w:p>
    <w:p>
      <w:pPr>
        <w:pStyle w:val="BodyText"/>
        <w:spacing w:before="10"/>
      </w:pPr>
    </w:p>
    <w:p>
      <w:pPr>
        <w:pStyle w:val="BodyText"/>
        <w:spacing w:line="355" w:lineRule="auto"/>
        <w:ind w:left="1021" w:right="569"/>
        <w:jc w:val="both"/>
      </w:pPr>
      <w:r>
        <w:rPr>
          <w:u w:val="single"/>
        </w:rPr>
        <w:t>pH: </w:t>
      </w:r>
      <w:r>
        <w:rPr/>
        <w:t>es una medida de </w:t>
      </w:r>
      <w:hyperlink r:id="rId58">
        <w:r>
          <w:rPr/>
          <w:t>acidez</w:t>
        </w:r>
      </w:hyperlink>
      <w:r>
        <w:rPr/>
        <w:t> o </w:t>
      </w:r>
      <w:hyperlink r:id="rId59">
        <w:r>
          <w:rPr/>
          <w:t>alcalinidad</w:t>
        </w:r>
      </w:hyperlink>
      <w:r>
        <w:rPr/>
        <w:t> de una </w:t>
      </w:r>
      <w:hyperlink r:id="rId60">
        <w:r>
          <w:rPr/>
          <w:t>disolución</w:t>
        </w:r>
      </w:hyperlink>
      <w:r>
        <w:rPr/>
        <w:t>. El pH indica la </w:t>
      </w:r>
      <w:r>
        <w:rPr>
          <w:position w:val="1"/>
        </w:rPr>
        <w:t>concentración de iones </w:t>
      </w:r>
      <w:hyperlink r:id="rId61">
        <w:r>
          <w:rPr>
            <w:position w:val="1"/>
          </w:rPr>
          <w:t>hidronio</w:t>
        </w:r>
      </w:hyperlink>
      <w:r>
        <w:rPr>
          <w:position w:val="1"/>
        </w:rPr>
        <w:t>[H</w:t>
      </w:r>
      <w:r>
        <w:rPr>
          <w:sz w:val="16"/>
        </w:rPr>
        <w:t>3</w:t>
      </w:r>
      <w:r>
        <w:rPr>
          <w:position w:val="1"/>
        </w:rPr>
        <w:t>O]</w:t>
      </w:r>
      <w:r>
        <w:rPr>
          <w:position w:val="9"/>
          <w:sz w:val="16"/>
        </w:rPr>
        <w:t>+ </w:t>
      </w:r>
      <w:r>
        <w:rPr>
          <w:position w:val="1"/>
        </w:rPr>
        <w:t>presentes en determinadas disoluciones.</w:t>
      </w:r>
    </w:p>
    <w:p>
      <w:pPr>
        <w:pStyle w:val="BodyText"/>
        <w:spacing w:before="9"/>
      </w:pPr>
    </w:p>
    <w:p>
      <w:pPr>
        <w:pStyle w:val="BodyText"/>
        <w:spacing w:line="360" w:lineRule="auto"/>
        <w:ind w:left="1021" w:right="571"/>
        <w:jc w:val="both"/>
      </w:pPr>
      <w:r>
        <w:rPr>
          <w:u w:val="single"/>
        </w:rPr>
        <w:t>Conductividad</w:t>
      </w:r>
      <w:r>
        <w:rPr>
          <w:spacing w:val="-6"/>
          <w:u w:val="single"/>
        </w:rPr>
        <w:t> </w:t>
      </w:r>
      <w:r>
        <w:rPr>
          <w:u w:val="single"/>
        </w:rPr>
        <w:t>eléctrica:</w:t>
      </w:r>
      <w:r>
        <w:rPr>
          <w:spacing w:val="-5"/>
          <w:u w:val="single"/>
        </w:rPr>
        <w:t> </w:t>
      </w:r>
      <w:r>
        <w:rPr/>
        <w:t>se</w:t>
      </w:r>
      <w:r>
        <w:rPr>
          <w:spacing w:val="-8"/>
        </w:rPr>
        <w:t> </w:t>
      </w:r>
      <w:r>
        <w:rPr/>
        <w:t>define</w:t>
      </w:r>
      <w:r>
        <w:rPr>
          <w:spacing w:val="-6"/>
        </w:rPr>
        <w:t> </w:t>
      </w:r>
      <w:r>
        <w:rPr/>
        <w:t>como</w:t>
      </w:r>
      <w:r>
        <w:rPr>
          <w:spacing w:val="-6"/>
        </w:rPr>
        <w:t> </w:t>
      </w:r>
      <w:r>
        <w:rPr/>
        <w:t>la</w:t>
      </w:r>
      <w:r>
        <w:rPr>
          <w:spacing w:val="-9"/>
        </w:rPr>
        <w:t> </w:t>
      </w:r>
      <w:r>
        <w:rPr/>
        <w:t>capacidad</w:t>
      </w:r>
      <w:r>
        <w:rPr>
          <w:spacing w:val="-6"/>
        </w:rPr>
        <w:t> </w:t>
      </w:r>
      <w:r>
        <w:rPr/>
        <w:t>de</w:t>
      </w:r>
      <w:r>
        <w:rPr>
          <w:spacing w:val="-6"/>
        </w:rPr>
        <w:t> </w:t>
      </w:r>
      <w:r>
        <w:rPr/>
        <w:t>una</w:t>
      </w:r>
      <w:r>
        <w:rPr>
          <w:spacing w:val="-6"/>
        </w:rPr>
        <w:t> </w:t>
      </w:r>
      <w:r>
        <w:rPr/>
        <w:t>sustancia</w:t>
      </w:r>
      <w:r>
        <w:rPr>
          <w:spacing w:val="-6"/>
        </w:rPr>
        <w:t> </w:t>
      </w:r>
      <w:r>
        <w:rPr/>
        <w:t>de</w:t>
      </w:r>
      <w:r>
        <w:rPr>
          <w:spacing w:val="-6"/>
        </w:rPr>
        <w:t> </w:t>
      </w:r>
      <w:r>
        <w:rPr/>
        <w:t>conducir</w:t>
      </w:r>
      <w:r>
        <w:rPr>
          <w:spacing w:val="-8"/>
        </w:rPr>
        <w:t> </w:t>
      </w:r>
      <w:r>
        <w:rPr/>
        <w:t>la corriente eléctrica y es lo contrario de la resistencia. En el caso de medidas en soluciones acuosas, el valor de la conductividad es directamente proporcional a la concentración de sólidos disueltos, por lo tanto, cuanto mayor sea dicha concentración, mayor será la</w:t>
      </w:r>
      <w:r>
        <w:rPr>
          <w:spacing w:val="-12"/>
        </w:rPr>
        <w:t> </w:t>
      </w:r>
      <w:r>
        <w:rPr/>
        <w:t>conductividad.</w:t>
      </w:r>
    </w:p>
    <w:p>
      <w:pPr>
        <w:pStyle w:val="BodyText"/>
        <w:spacing w:before="10"/>
      </w:pPr>
    </w:p>
    <w:p>
      <w:pPr>
        <w:pStyle w:val="BodyText"/>
        <w:spacing w:line="360" w:lineRule="auto"/>
        <w:ind w:left="1021" w:right="573"/>
        <w:jc w:val="both"/>
      </w:pPr>
      <w:r>
        <w:rPr>
          <w:u w:val="single"/>
        </w:rPr>
        <w:t>Dureza:</w:t>
      </w:r>
      <w:r>
        <w:rPr>
          <w:spacing w:val="-13"/>
          <w:u w:val="single"/>
        </w:rPr>
        <w:t> </w:t>
      </w:r>
      <w:r>
        <w:rPr/>
        <w:t>es</w:t>
      </w:r>
      <w:r>
        <w:rPr>
          <w:spacing w:val="-14"/>
        </w:rPr>
        <w:t> </w:t>
      </w:r>
      <w:r>
        <w:rPr/>
        <w:t>una</w:t>
      </w:r>
      <w:r>
        <w:rPr>
          <w:spacing w:val="-13"/>
        </w:rPr>
        <w:t> </w:t>
      </w:r>
      <w:r>
        <w:rPr/>
        <w:t>característica</w:t>
      </w:r>
      <w:r>
        <w:rPr>
          <w:spacing w:val="-13"/>
        </w:rPr>
        <w:t> </w:t>
      </w:r>
      <w:r>
        <w:rPr/>
        <w:t>química</w:t>
      </w:r>
      <w:r>
        <w:rPr>
          <w:spacing w:val="-13"/>
        </w:rPr>
        <w:t> </w:t>
      </w:r>
      <w:r>
        <w:rPr/>
        <w:t>del</w:t>
      </w:r>
      <w:r>
        <w:rPr>
          <w:spacing w:val="-14"/>
        </w:rPr>
        <w:t> </w:t>
      </w:r>
      <w:r>
        <w:rPr/>
        <w:t>agua</w:t>
      </w:r>
      <w:r>
        <w:rPr>
          <w:spacing w:val="-13"/>
        </w:rPr>
        <w:t> </w:t>
      </w:r>
      <w:r>
        <w:rPr/>
        <w:t>que</w:t>
      </w:r>
      <w:r>
        <w:rPr>
          <w:spacing w:val="-13"/>
        </w:rPr>
        <w:t> </w:t>
      </w:r>
      <w:r>
        <w:rPr/>
        <w:t>está</w:t>
      </w:r>
      <w:r>
        <w:rPr>
          <w:spacing w:val="-13"/>
        </w:rPr>
        <w:t> </w:t>
      </w:r>
      <w:r>
        <w:rPr/>
        <w:t>determinada</w:t>
      </w:r>
      <w:r>
        <w:rPr>
          <w:spacing w:val="-13"/>
        </w:rPr>
        <w:t> </w:t>
      </w:r>
      <w:r>
        <w:rPr/>
        <w:t>por</w:t>
      </w:r>
      <w:r>
        <w:rPr>
          <w:spacing w:val="-15"/>
        </w:rPr>
        <w:t> </w:t>
      </w:r>
      <w:r>
        <w:rPr/>
        <w:t>el</w:t>
      </w:r>
      <w:r>
        <w:rPr>
          <w:spacing w:val="-14"/>
        </w:rPr>
        <w:t> </w:t>
      </w:r>
      <w:r>
        <w:rPr/>
        <w:t>contenido de calcio y magnesio en forma de carbonatos, bicarbonatos, cloruros, sulfatos y ocasionalmente nitratos de calcio y</w:t>
      </w:r>
      <w:r>
        <w:rPr>
          <w:spacing w:val="-13"/>
        </w:rPr>
        <w:t> </w:t>
      </w:r>
      <w:r>
        <w:rPr/>
        <w:t>magnesio.</w:t>
      </w:r>
    </w:p>
    <w:p>
      <w:pPr>
        <w:spacing w:after="0" w:line="360" w:lineRule="auto"/>
        <w:jc w:val="both"/>
        <w:sectPr>
          <w:footerReference w:type="default" r:id="rId57"/>
          <w:pgSz w:w="12240" w:h="15840"/>
          <w:pgMar w:footer="654" w:header="0" w:top="1500" w:bottom="840" w:left="1040" w:right="560"/>
          <w:pgNumType w:start="101"/>
        </w:sectPr>
      </w:pPr>
    </w:p>
    <w:p>
      <w:pPr>
        <w:pStyle w:val="BodyText"/>
        <w:spacing w:line="360" w:lineRule="auto" w:before="51"/>
        <w:ind w:left="1021" w:right="569"/>
        <w:jc w:val="both"/>
      </w:pPr>
      <w:r>
        <w:rPr>
          <w:u w:val="single"/>
        </w:rPr>
        <w:t>Acidez y alcalinidad: </w:t>
      </w:r>
      <w:r>
        <w:rPr/>
        <w:t>la acidez de una muestra de agua es su capacidad para neutralizar bases; la alcalinidad es una medida de la capacidad del agua para neutralizar ácidos [Heinke y Henry, 1999].</w:t>
      </w:r>
    </w:p>
    <w:p>
      <w:pPr>
        <w:pStyle w:val="BodyText"/>
        <w:spacing w:before="10"/>
      </w:pPr>
    </w:p>
    <w:p>
      <w:pPr>
        <w:pStyle w:val="BodyText"/>
        <w:spacing w:line="360" w:lineRule="auto"/>
        <w:ind w:left="1021" w:right="571"/>
        <w:jc w:val="both"/>
      </w:pPr>
      <w:r>
        <w:rPr>
          <w:u w:val="single"/>
        </w:rPr>
        <w:t>Carbono orgánico total (TOC): </w:t>
      </w:r>
      <w:r>
        <w:rPr/>
        <w:t>es el contenido total en carbono de los compuestos orgánicos</w:t>
      </w:r>
      <w:r>
        <w:rPr>
          <w:spacing w:val="-11"/>
        </w:rPr>
        <w:t> </w:t>
      </w:r>
      <w:r>
        <w:rPr/>
        <w:t>e</w:t>
      </w:r>
      <w:r>
        <w:rPr>
          <w:spacing w:val="-13"/>
        </w:rPr>
        <w:t> </w:t>
      </w:r>
      <w:r>
        <w:rPr/>
        <w:t>inorgánicos</w:t>
      </w:r>
      <w:r>
        <w:rPr>
          <w:spacing w:val="-12"/>
        </w:rPr>
        <w:t> </w:t>
      </w:r>
      <w:r>
        <w:rPr/>
        <w:t>presente</w:t>
      </w:r>
      <w:r>
        <w:rPr>
          <w:spacing w:val="-13"/>
        </w:rPr>
        <w:t> </w:t>
      </w:r>
      <w:r>
        <w:rPr/>
        <w:t>en</w:t>
      </w:r>
      <w:r>
        <w:rPr>
          <w:spacing w:val="-13"/>
        </w:rPr>
        <w:t> </w:t>
      </w:r>
      <w:r>
        <w:rPr/>
        <w:t>el</w:t>
      </w:r>
      <w:r>
        <w:rPr>
          <w:spacing w:val="-14"/>
        </w:rPr>
        <w:t> </w:t>
      </w:r>
      <w:r>
        <w:rPr/>
        <w:t>agua.</w:t>
      </w:r>
      <w:r>
        <w:rPr>
          <w:spacing w:val="-13"/>
        </w:rPr>
        <w:t> </w:t>
      </w:r>
      <w:r>
        <w:rPr/>
        <w:t>Se</w:t>
      </w:r>
      <w:r>
        <w:rPr>
          <w:spacing w:val="-11"/>
        </w:rPr>
        <w:t> </w:t>
      </w:r>
      <w:r>
        <w:rPr/>
        <w:t>refiere</w:t>
      </w:r>
      <w:r>
        <w:rPr>
          <w:spacing w:val="-11"/>
        </w:rPr>
        <w:t> </w:t>
      </w:r>
      <w:r>
        <w:rPr/>
        <w:t>tanto</w:t>
      </w:r>
      <w:r>
        <w:rPr>
          <w:spacing w:val="-11"/>
        </w:rPr>
        <w:t> </w:t>
      </w:r>
      <w:r>
        <w:rPr/>
        <w:t>a</w:t>
      </w:r>
      <w:r>
        <w:rPr>
          <w:spacing w:val="-13"/>
        </w:rPr>
        <w:t> </w:t>
      </w:r>
      <w:r>
        <w:rPr/>
        <w:t>compuestos</w:t>
      </w:r>
      <w:r>
        <w:rPr>
          <w:spacing w:val="-14"/>
        </w:rPr>
        <w:t> </w:t>
      </w:r>
      <w:r>
        <w:rPr/>
        <w:t>orgánicos fijos como volátiles, naturales o sintéticos [Escuela Universitaria Politécnica,</w:t>
      </w:r>
      <w:r>
        <w:rPr>
          <w:spacing w:val="-29"/>
        </w:rPr>
        <w:t> </w:t>
      </w:r>
      <w:r>
        <w:rPr/>
        <w:t>2000].</w:t>
      </w:r>
    </w:p>
    <w:p>
      <w:pPr>
        <w:pStyle w:val="BodyText"/>
        <w:spacing w:before="7"/>
      </w:pPr>
    </w:p>
    <w:p>
      <w:pPr>
        <w:pStyle w:val="BodyText"/>
        <w:spacing w:line="360" w:lineRule="auto"/>
        <w:ind w:left="1021" w:right="567"/>
        <w:jc w:val="both"/>
      </w:pPr>
      <w:r>
        <w:rPr>
          <w:u w:val="single"/>
        </w:rPr>
        <w:t>Demanda química de oxígeno (DQO): </w:t>
      </w:r>
      <w:r>
        <w:rPr/>
        <w:t>es un parámetro que cuantifica la cantidad de </w:t>
      </w:r>
      <w:hyperlink r:id="rId62">
        <w:r>
          <w:rPr/>
          <w:t>materia orgánica</w:t>
        </w:r>
      </w:hyperlink>
      <w:r>
        <w:rPr/>
        <w:t> susceptible de ser oxidada por medios químicos que hay en una muestra líquida. Se utiliza para medir el grado de </w:t>
      </w:r>
      <w:hyperlink r:id="rId63">
        <w:r>
          <w:rPr/>
          <w:t>contaminación</w:t>
        </w:r>
      </w:hyperlink>
      <w:r>
        <w:rPr/>
        <w:t> y se expresa en mg </w:t>
      </w:r>
      <w:hyperlink r:id="rId10">
        <w:r>
          <w:rPr>
            <w:position w:val="1"/>
          </w:rPr>
          <w:t>O</w:t>
        </w:r>
        <w:r>
          <w:rPr>
            <w:sz w:val="16"/>
          </w:rPr>
          <w:t>2</w:t>
        </w:r>
      </w:hyperlink>
      <w:r>
        <w:rPr>
          <w:position w:val="1"/>
        </w:rPr>
        <w:t>/litro [Heinke y Henry, 1999; Domini, et al., 2009, Zhang, et a., 2009].</w:t>
      </w:r>
    </w:p>
    <w:p>
      <w:pPr>
        <w:spacing w:after="0" w:line="360" w:lineRule="auto"/>
        <w:jc w:val="both"/>
        <w:sectPr>
          <w:pgSz w:w="12240" w:h="15840"/>
          <w:pgMar w:header="0" w:footer="654" w:top="1080" w:bottom="1060" w:left="1040" w:right="560"/>
        </w:sectPr>
      </w:pPr>
    </w:p>
    <w:p>
      <w:pPr>
        <w:pStyle w:val="Heading3"/>
        <w:numPr>
          <w:ilvl w:val="1"/>
          <w:numId w:val="10"/>
        </w:numPr>
        <w:tabs>
          <w:tab w:pos="1378" w:val="left" w:leader="none"/>
        </w:tabs>
        <w:spacing w:line="240" w:lineRule="auto" w:before="45" w:after="0"/>
        <w:ind w:left="1377" w:right="0" w:hanging="715"/>
        <w:jc w:val="left"/>
      </w:pPr>
      <w:r>
        <w:rPr/>
        <w:t>Anexo 2: Artículo publicado (trabajado en éste</w:t>
      </w:r>
      <w:r>
        <w:rPr>
          <w:spacing w:val="-18"/>
        </w:rPr>
        <w:t> </w:t>
      </w:r>
      <w:r>
        <w:rPr/>
        <w:t>periodo).</w:t>
      </w:r>
    </w:p>
    <w:p>
      <w:pPr>
        <w:pStyle w:val="BodyText"/>
        <w:spacing w:before="9"/>
        <w:rPr>
          <w:b/>
          <w:sz w:val="23"/>
        </w:rPr>
      </w:pPr>
      <w:r>
        <w:rPr/>
        <w:drawing>
          <wp:anchor distT="0" distB="0" distL="0" distR="0" allowOverlap="1" layoutInCell="1" locked="0" behindDoc="0" simplePos="0" relativeHeight="4288">
            <wp:simplePos x="0" y="0"/>
            <wp:positionH relativeFrom="page">
              <wp:posOffset>1256347</wp:posOffset>
            </wp:positionH>
            <wp:positionV relativeFrom="paragraph">
              <wp:posOffset>198454</wp:posOffset>
            </wp:positionV>
            <wp:extent cx="5560717" cy="7760970"/>
            <wp:effectExtent l="0" t="0" r="0" b="0"/>
            <wp:wrapTopAndBottom/>
            <wp:docPr id="9" name="image21.jpeg" descr=""/>
            <wp:cNvGraphicFramePr>
              <a:graphicFrameLocks noChangeAspect="1"/>
            </wp:cNvGraphicFramePr>
            <a:graphic>
              <a:graphicData uri="http://schemas.openxmlformats.org/drawingml/2006/picture">
                <pic:pic>
                  <pic:nvPicPr>
                    <pic:cNvPr id="10" name="image21.jpeg"/>
                    <pic:cNvPicPr/>
                  </pic:nvPicPr>
                  <pic:blipFill>
                    <a:blip r:embed="rId64" cstate="print"/>
                    <a:stretch>
                      <a:fillRect/>
                    </a:stretch>
                  </pic:blipFill>
                  <pic:spPr>
                    <a:xfrm>
                      <a:off x="0" y="0"/>
                      <a:ext cx="5560717" cy="7760970"/>
                    </a:xfrm>
                    <a:prstGeom prst="rect">
                      <a:avLst/>
                    </a:prstGeom>
                  </pic:spPr>
                </pic:pic>
              </a:graphicData>
            </a:graphic>
          </wp:anchor>
        </w:drawing>
      </w:r>
    </w:p>
    <w:p>
      <w:pPr>
        <w:spacing w:after="0"/>
        <w:rPr>
          <w:sz w:val="23"/>
        </w:rPr>
        <w:sectPr>
          <w:pgSz w:w="12240" w:h="15840"/>
          <w:pgMar w:header="0" w:footer="654" w:top="1080" w:bottom="1060" w:left="1040" w:right="560"/>
        </w:sectPr>
      </w:pPr>
    </w:p>
    <w:p>
      <w:pPr>
        <w:pStyle w:val="BodyText"/>
        <w:ind w:left="938"/>
        <w:rPr>
          <w:sz w:val="20"/>
        </w:rPr>
      </w:pPr>
      <w:r>
        <w:rPr>
          <w:sz w:val="20"/>
        </w:rPr>
        <w:drawing>
          <wp:inline distT="0" distB="0" distL="0" distR="0">
            <wp:extent cx="5599641" cy="7715821"/>
            <wp:effectExtent l="0" t="0" r="0" b="0"/>
            <wp:docPr id="11" name="image22.jpeg" descr=""/>
            <wp:cNvGraphicFramePr>
              <a:graphicFrameLocks noChangeAspect="1"/>
            </wp:cNvGraphicFramePr>
            <a:graphic>
              <a:graphicData uri="http://schemas.openxmlformats.org/drawingml/2006/picture">
                <pic:pic>
                  <pic:nvPicPr>
                    <pic:cNvPr id="12" name="image22.jpeg"/>
                    <pic:cNvPicPr/>
                  </pic:nvPicPr>
                  <pic:blipFill>
                    <a:blip r:embed="rId65" cstate="print"/>
                    <a:stretch>
                      <a:fillRect/>
                    </a:stretch>
                  </pic:blipFill>
                  <pic:spPr>
                    <a:xfrm>
                      <a:off x="0" y="0"/>
                      <a:ext cx="5599641" cy="7715821"/>
                    </a:xfrm>
                    <a:prstGeom prst="rect">
                      <a:avLst/>
                    </a:prstGeom>
                  </pic:spPr>
                </pic:pic>
              </a:graphicData>
            </a:graphic>
          </wp:inline>
        </w:drawing>
      </w:r>
      <w:r>
        <w:rPr>
          <w:sz w:val="20"/>
        </w:rPr>
      </w:r>
    </w:p>
    <w:p>
      <w:pPr>
        <w:spacing w:after="0"/>
        <w:rPr>
          <w:sz w:val="20"/>
        </w:rPr>
        <w:sectPr>
          <w:pgSz w:w="12240" w:h="15840"/>
          <w:pgMar w:header="0" w:footer="654" w:top="1140" w:bottom="840" w:left="1040" w:right="560"/>
        </w:sectPr>
      </w:pPr>
    </w:p>
    <w:p>
      <w:pPr>
        <w:pStyle w:val="BodyText"/>
        <w:ind w:left="938"/>
        <w:rPr>
          <w:sz w:val="20"/>
        </w:rPr>
      </w:pPr>
      <w:r>
        <w:rPr>
          <w:sz w:val="20"/>
        </w:rPr>
        <w:drawing>
          <wp:inline distT="0" distB="0" distL="0" distR="0">
            <wp:extent cx="5607291" cy="7727632"/>
            <wp:effectExtent l="0" t="0" r="0" b="0"/>
            <wp:docPr id="13" name="image23.jpeg" descr=""/>
            <wp:cNvGraphicFramePr>
              <a:graphicFrameLocks noChangeAspect="1"/>
            </wp:cNvGraphicFramePr>
            <a:graphic>
              <a:graphicData uri="http://schemas.openxmlformats.org/drawingml/2006/picture">
                <pic:pic>
                  <pic:nvPicPr>
                    <pic:cNvPr id="14" name="image23.jpeg"/>
                    <pic:cNvPicPr/>
                  </pic:nvPicPr>
                  <pic:blipFill>
                    <a:blip r:embed="rId66" cstate="print"/>
                    <a:stretch>
                      <a:fillRect/>
                    </a:stretch>
                  </pic:blipFill>
                  <pic:spPr>
                    <a:xfrm>
                      <a:off x="0" y="0"/>
                      <a:ext cx="5607291" cy="7727632"/>
                    </a:xfrm>
                    <a:prstGeom prst="rect">
                      <a:avLst/>
                    </a:prstGeom>
                  </pic:spPr>
                </pic:pic>
              </a:graphicData>
            </a:graphic>
          </wp:inline>
        </w:drawing>
      </w:r>
      <w:r>
        <w:rPr>
          <w:sz w:val="20"/>
        </w:rPr>
      </w:r>
    </w:p>
    <w:p>
      <w:pPr>
        <w:spacing w:after="0"/>
        <w:rPr>
          <w:sz w:val="20"/>
        </w:rPr>
        <w:sectPr>
          <w:pgSz w:w="12240" w:h="15840"/>
          <w:pgMar w:header="0" w:footer="654" w:top="1140" w:bottom="840" w:left="1040" w:right="560"/>
        </w:sectPr>
      </w:pPr>
    </w:p>
    <w:p>
      <w:pPr>
        <w:pStyle w:val="BodyText"/>
        <w:ind w:left="938"/>
        <w:rPr>
          <w:sz w:val="20"/>
        </w:rPr>
      </w:pPr>
      <w:r>
        <w:rPr>
          <w:sz w:val="20"/>
        </w:rPr>
        <w:drawing>
          <wp:inline distT="0" distB="0" distL="0" distR="0">
            <wp:extent cx="5586537" cy="7623809"/>
            <wp:effectExtent l="0" t="0" r="0" b="0"/>
            <wp:docPr id="15" name="image24.jpeg" descr=""/>
            <wp:cNvGraphicFramePr>
              <a:graphicFrameLocks noChangeAspect="1"/>
            </wp:cNvGraphicFramePr>
            <a:graphic>
              <a:graphicData uri="http://schemas.openxmlformats.org/drawingml/2006/picture">
                <pic:pic>
                  <pic:nvPicPr>
                    <pic:cNvPr id="16" name="image24.jpeg"/>
                    <pic:cNvPicPr/>
                  </pic:nvPicPr>
                  <pic:blipFill>
                    <a:blip r:embed="rId67" cstate="print"/>
                    <a:stretch>
                      <a:fillRect/>
                    </a:stretch>
                  </pic:blipFill>
                  <pic:spPr>
                    <a:xfrm>
                      <a:off x="0" y="0"/>
                      <a:ext cx="5586537" cy="7623809"/>
                    </a:xfrm>
                    <a:prstGeom prst="rect">
                      <a:avLst/>
                    </a:prstGeom>
                  </pic:spPr>
                </pic:pic>
              </a:graphicData>
            </a:graphic>
          </wp:inline>
        </w:drawing>
      </w:r>
      <w:r>
        <w:rPr>
          <w:sz w:val="20"/>
        </w:rPr>
      </w:r>
    </w:p>
    <w:p>
      <w:pPr>
        <w:spacing w:after="0"/>
        <w:rPr>
          <w:sz w:val="20"/>
        </w:rPr>
        <w:sectPr>
          <w:pgSz w:w="12240" w:h="15840"/>
          <w:pgMar w:header="0" w:footer="654" w:top="1140" w:bottom="840" w:left="1040" w:right="560"/>
        </w:sectPr>
      </w:pPr>
    </w:p>
    <w:p>
      <w:pPr>
        <w:pStyle w:val="BodyText"/>
        <w:ind w:left="938"/>
        <w:rPr>
          <w:sz w:val="20"/>
        </w:rPr>
      </w:pPr>
      <w:r>
        <w:rPr>
          <w:sz w:val="20"/>
        </w:rPr>
        <w:drawing>
          <wp:inline distT="0" distB="0" distL="0" distR="0">
            <wp:extent cx="5576861" cy="7591044"/>
            <wp:effectExtent l="0" t="0" r="0" b="0"/>
            <wp:docPr id="17" name="image25.jpeg" descr=""/>
            <wp:cNvGraphicFramePr>
              <a:graphicFrameLocks noChangeAspect="1"/>
            </wp:cNvGraphicFramePr>
            <a:graphic>
              <a:graphicData uri="http://schemas.openxmlformats.org/drawingml/2006/picture">
                <pic:pic>
                  <pic:nvPicPr>
                    <pic:cNvPr id="18" name="image25.jpeg"/>
                    <pic:cNvPicPr/>
                  </pic:nvPicPr>
                  <pic:blipFill>
                    <a:blip r:embed="rId68" cstate="print"/>
                    <a:stretch>
                      <a:fillRect/>
                    </a:stretch>
                  </pic:blipFill>
                  <pic:spPr>
                    <a:xfrm>
                      <a:off x="0" y="0"/>
                      <a:ext cx="5576861" cy="7591044"/>
                    </a:xfrm>
                    <a:prstGeom prst="rect">
                      <a:avLst/>
                    </a:prstGeom>
                  </pic:spPr>
                </pic:pic>
              </a:graphicData>
            </a:graphic>
          </wp:inline>
        </w:drawing>
      </w:r>
      <w:r>
        <w:rPr>
          <w:sz w:val="20"/>
        </w:rPr>
      </w:r>
    </w:p>
    <w:p>
      <w:pPr>
        <w:spacing w:after="0"/>
        <w:rPr>
          <w:sz w:val="20"/>
        </w:rPr>
        <w:sectPr>
          <w:pgSz w:w="12240" w:h="15840"/>
          <w:pgMar w:header="0" w:footer="654" w:top="1140" w:bottom="840" w:left="1040" w:right="560"/>
        </w:sectPr>
      </w:pPr>
    </w:p>
    <w:p>
      <w:pPr>
        <w:pStyle w:val="ListParagraph"/>
        <w:numPr>
          <w:ilvl w:val="1"/>
          <w:numId w:val="10"/>
        </w:numPr>
        <w:tabs>
          <w:tab w:pos="1742" w:val="left" w:leader="none"/>
        </w:tabs>
        <w:spacing w:line="240" w:lineRule="auto" w:before="48" w:after="0"/>
        <w:ind w:left="1742" w:right="0" w:hanging="720"/>
        <w:jc w:val="left"/>
        <w:rPr>
          <w:b/>
          <w:sz w:val="32"/>
        </w:rPr>
      </w:pPr>
      <w:r>
        <w:rPr>
          <w:b/>
          <w:sz w:val="32"/>
        </w:rPr>
        <w:t>ANEXO 3: PREDICCIÓN DE</w:t>
      </w:r>
      <w:r>
        <w:rPr>
          <w:b/>
          <w:spacing w:val="-17"/>
          <w:sz w:val="32"/>
        </w:rPr>
        <w:t> </w:t>
      </w:r>
      <w:r>
        <w:rPr>
          <w:b/>
          <w:sz w:val="32"/>
        </w:rPr>
        <w:t>REACCIONES</w:t>
      </w:r>
    </w:p>
    <w:p>
      <w:pPr>
        <w:pStyle w:val="BodyText"/>
        <w:rPr>
          <w:b/>
          <w:sz w:val="32"/>
        </w:rPr>
      </w:pPr>
    </w:p>
    <w:p>
      <w:pPr>
        <w:pStyle w:val="BodyText"/>
        <w:spacing w:before="9"/>
        <w:rPr>
          <w:b/>
          <w:sz w:val="34"/>
        </w:rPr>
      </w:pPr>
    </w:p>
    <w:p>
      <w:pPr>
        <w:pStyle w:val="BodyText"/>
        <w:spacing w:line="360" w:lineRule="auto"/>
        <w:ind w:left="662" w:right="569"/>
        <w:jc w:val="both"/>
      </w:pPr>
      <w:r>
        <w:rPr/>
        <w:t>Por medio de la predicción de reacciones, se puede saber si posible llevar a cabo las reacciones con el peróxido de hidrógeno para realizar la reacción de la DQO estandarizada, así como si es posible suprimir algún reactivo como el sulfato de plata y </w:t>
      </w:r>
      <w:r>
        <w:rPr>
          <w:position w:val="1"/>
        </w:rPr>
        <w:t>de mercurio en la reacción de DQO con el oxidante H</w:t>
      </w:r>
      <w:r>
        <w:rPr>
          <w:sz w:val="16"/>
        </w:rPr>
        <w:t>2</w:t>
      </w:r>
      <w:r>
        <w:rPr>
          <w:position w:val="1"/>
        </w:rPr>
        <w:t>O</w:t>
      </w:r>
      <w:r>
        <w:rPr>
          <w:sz w:val="16"/>
        </w:rPr>
        <w:t>2</w:t>
      </w:r>
      <w:r>
        <w:rPr>
          <w:position w:val="1"/>
        </w:rPr>
        <w:t>.</w:t>
      </w:r>
    </w:p>
    <w:p>
      <w:pPr>
        <w:pStyle w:val="BodyText"/>
        <w:spacing w:before="3"/>
        <w:rPr>
          <w:sz w:val="33"/>
        </w:rPr>
      </w:pPr>
    </w:p>
    <w:p>
      <w:pPr>
        <w:pStyle w:val="Heading5"/>
        <w:ind w:left="1742" w:right="286" w:firstLine="0"/>
      </w:pPr>
      <w:r>
        <w:rPr/>
        <w:t>DIAGRAMA DE PREDICCIÓN DE REACCIONES</w:t>
      </w:r>
    </w:p>
    <w:p>
      <w:pPr>
        <w:pStyle w:val="BodyText"/>
        <w:rPr>
          <w:sz w:val="28"/>
        </w:rPr>
      </w:pPr>
    </w:p>
    <w:p>
      <w:pPr>
        <w:pStyle w:val="BodyText"/>
        <w:spacing w:line="360" w:lineRule="auto" w:before="219" w:after="6"/>
        <w:ind w:left="662" w:right="566"/>
        <w:jc w:val="both"/>
      </w:pPr>
      <w:r>
        <w:rPr/>
        <w:t>Por medio de la predicción de reacciones se puede saber si es posible llevar a cabo las reacciones redox y qué especies se formarían en cada reacción, tanto en la DQO con el </w:t>
      </w:r>
      <w:r>
        <w:rPr>
          <w:position w:val="1"/>
        </w:rPr>
        <w:t>oxidante de dicromato de potasio como en la determinación de la DQO con H</w:t>
      </w:r>
      <w:r>
        <w:rPr>
          <w:sz w:val="16"/>
        </w:rPr>
        <w:t>2</w:t>
      </w:r>
      <w:r>
        <w:rPr>
          <w:position w:val="1"/>
        </w:rPr>
        <w:t>O</w:t>
      </w:r>
      <w:r>
        <w:rPr>
          <w:sz w:val="16"/>
        </w:rPr>
        <w:t>2</w:t>
      </w:r>
      <w:r>
        <w:rPr>
          <w:position w:val="1"/>
        </w:rPr>
        <w:t>. También analiza la importancia de adicionar el inhibidor de haluros (HgSO</w:t>
      </w:r>
      <w:r>
        <w:rPr>
          <w:sz w:val="16"/>
        </w:rPr>
        <w:t>4</w:t>
      </w:r>
      <w:r>
        <w:rPr>
          <w:position w:val="1"/>
        </w:rPr>
        <w:t>), de lo </w:t>
      </w:r>
      <w:r>
        <w:rPr/>
        <w:t>contrario el sulfato de plata reaccionaria con los haluros, perdiendo su capacidad de catalizador. Dicho diagrama se lee de izquierda a derecha como lo indica la flecha, formando los productos correspondientes.</w:t>
      </w:r>
    </w:p>
    <w:p>
      <w:pPr>
        <w:pStyle w:val="BodyText"/>
        <w:ind w:left="661"/>
        <w:rPr>
          <w:sz w:val="20"/>
        </w:rPr>
      </w:pPr>
      <w:r>
        <w:rPr>
          <w:sz w:val="20"/>
        </w:rPr>
        <w:pict>
          <v:group style="width:473.25pt;height:136.5pt;mso-position-horizontal-relative:char;mso-position-vertical-relative:line" coordorigin="0,0" coordsize="9465,2730">
            <v:shape style="position:absolute;left:0;top:0;width:9465;height:2729" type="#_x0000_t75" stroked="false">
              <v:imagedata r:id="rId69" o:title=""/>
            </v:shape>
            <v:shape style="position:absolute;left:2619;top:916;width:5132;height:1006" coordorigin="2619,916" coordsize="5132,1006" path="m2737,1767l2734,1769,2619,1868,2766,1921,2770,1919,2771,1915,2773,1911,2771,1907,2676,1873,2635,1873,2632,1858,2660,1853,2744,1781,2747,1778,2747,1773,2745,1770,2742,1767,2737,1767xm2660,1853l2632,1858,2635,1873,2643,1871,2638,1871,2636,1859,2653,1859,2660,1853xm2662,1868l2635,1873,2676,1873,2662,1868xm2636,1859l2638,1871,2648,1863,2636,1859xm2648,1863l2638,1871,2643,1871,2662,1868,2648,1863xm7748,916l2660,1853,2648,1863,2662,1868,7750,931,7748,916xm2653,1859l2636,1859,2648,1863,2653,1859xe" filled="true" fillcolor="#000000" stroked="false">
              <v:path arrowok="t"/>
              <v:fill type="solid"/>
            </v:shape>
            <v:shape style="position:absolute;left:1956;top:774;width:366;height:1357" coordorigin="1956,774" coordsize="366,1357" path="m2103,863l2092,878,2068,917,2047,957,2028,998,2011,1040,1996,1082,1984,1126,1974,1170,1966,1214,1960,1259,1957,1305,1956,1351,1957,1397,1960,1443,1966,1489,1974,1535,1984,1581,1996,1626,2010,1672,2027,1717,2045,1762,2066,1806,2089,1849,2114,1892,2141,1934,2170,1974,2202,2014,2235,2053,2271,2091,2308,2127,2311,2130,2316,2130,2319,2127,2322,2124,2321,2120,2319,2117,2281,2080,2246,2043,2213,2005,2182,1965,2153,1925,2126,1884,2102,1841,2079,1799,2059,1755,2040,1711,2024,1667,2010,1622,1998,1577,1988,1532,1981,1486,1975,1441,1972,1396,1971,1350,1972,1305,1975,1261,1981,1216,1989,1173,1999,1129,2011,1087,2025,1045,2042,1003,2061,963,2082,924,2105,886,2115,872,2103,863xm2169,843l2122,843,2129,848,2130,853,2115,872,2156,905,2169,843xm2122,843l2118,844,2103,863,2115,872,2130,853,2129,848,2122,843xm2183,774l2062,830,2103,863,2118,844,2122,843,2169,843,2183,774xe" filled="true" fillcolor="#000000" stroked="false">
              <v:path arrowok="t"/>
              <v:fill type="solid"/>
            </v:shape>
            <v:shape style="position:absolute;left:8145;top:625;width:295;height:1363" coordorigin="8145,625" coordsize="295,1363" path="m8187,1860l8145,1988,8272,1945,8252,1925,8214,1925,8208,1919,8207,1915,8224,1897,8187,1860xm8224,1897l8207,1915,8208,1919,8214,1925,8218,1925,8235,1907,8224,1897xm8235,1907l8218,1925,8214,1925,8252,1925,8235,1907xm8162,625l8159,628,8156,630,8155,635,8158,638,8191,678,8222,719,8251,761,8277,804,8301,847,8324,891,8343,935,8361,980,8377,1026,8390,1071,8401,1117,8410,1164,8417,1210,8422,1256,8425,1302,8425,1347,8424,1393,8420,1438,8414,1482,8405,1527,8395,1570,8383,1613,8368,1655,8351,1696,8332,1736,8311,1775,8288,1813,8263,1849,8235,1885,8224,1897,8235,1907,8247,1894,8275,1858,8301,1820,8325,1782,8346,1742,8365,1701,8382,1660,8397,1617,8410,1573,8420,1529,8428,1485,8435,1439,8439,1393,8440,1347,8440,1301,8437,1254,8432,1207,8425,1161,8416,1114,8404,1067,8391,1021,8375,975,8357,929,8337,884,8314,840,8290,796,8263,753,8234,710,8203,669,8170,629,8167,625,8162,625xe" filled="true" fillcolor="#000000" stroked="false">
              <v:path arrowok="t"/>
              <v:fill type="solid"/>
            </v:shape>
          </v:group>
        </w:pict>
      </w:r>
      <w:r>
        <w:rPr>
          <w:sz w:val="20"/>
        </w:rPr>
      </w:r>
    </w:p>
    <w:p>
      <w:pPr>
        <w:spacing w:before="119"/>
        <w:ind w:left="2745" w:right="286" w:firstLine="0"/>
        <w:jc w:val="left"/>
        <w:rPr>
          <w:sz w:val="22"/>
        </w:rPr>
      </w:pPr>
      <w:r>
        <w:rPr>
          <w:sz w:val="22"/>
        </w:rPr>
        <w:t>Figura 19.3.1. Diagrama de predicción de reacciones.</w:t>
      </w:r>
    </w:p>
    <w:sectPr>
      <w:pgSz w:w="12240" w:h="15840"/>
      <w:pgMar w:header="0" w:footer="654" w:top="1080" w:bottom="840" w:left="1040" w:right="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Cambria Math">
    <w:altName w:val="Cambria Math"/>
    <w:charset w:val="0"/>
    <w:family w:val="roman"/>
    <w:pitch w:val="variable"/>
  </w:font>
  <w:font w:name="Wingdings">
    <w:altName w:val="Wingdings"/>
    <w:charset w:val="2"/>
    <w:family w:val="auto"/>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line style="position:absolute;mso-position-horizontal-relative:page;mso-position-vertical-relative:page;z-index:-130816" from="44.799999pt,738.896973pt" to="563.049999pt,738.896973pt" stroked="true" strokeweight=".7pt" strokecolor="#000000">
          <w10:wrap type="none"/>
        </v:line>
      </w:pict>
    </w:r>
    <w:r>
      <w:rPr/>
      <w:pict>
        <v:line style="position:absolute;mso-position-horizontal-relative:page;mso-position-vertical-relative:page;z-index:-130792" from="44.799999pt,736.796997pt" to="563.049999pt,736.796997pt" stroked="true" strokeweight="2.1pt" strokecolor="#000000">
          <w10:wrap type="none"/>
        </v:line>
      </w:pict>
    </w:r>
    <w:r>
      <w:rPr/>
      <w:pict>
        <v:shapetype id="_x0000_t202" o:spt="202" coordsize="21600,21600" path="m,l,21600r21600,l21600,xe">
          <v:stroke joinstyle="miter"/>
          <v:path gradientshapeok="t" o:connecttype="rect"/>
        </v:shapetype>
        <v:shape style="position:absolute;margin-left:499.5pt;margin-top:745.296692pt;width:51.45pt;height:12pt;mso-position-horizontal-relative:page;mso-position-vertical-relative:page;z-index:-130768" type="#_x0000_t202" filled="false" stroked="false">
          <v:textbox inset="0,0,0,0">
            <w:txbxContent>
              <w:p>
                <w:pPr>
                  <w:spacing w:line="227" w:lineRule="exact" w:before="0"/>
                  <w:ind w:left="20" w:right="0" w:firstLine="0"/>
                  <w:jc w:val="left"/>
                  <w:rPr>
                    <w:rFonts w:ascii="Verdana" w:hAnsi="Verdana"/>
                    <w:sz w:val="20"/>
                  </w:rPr>
                </w:pPr>
                <w:r>
                  <w:rPr>
                    <w:sz w:val="18"/>
                  </w:rPr>
                  <w:t>- página </w:t>
                </w:r>
                <w:r>
                  <w:rPr/>
                  <w:fldChar w:fldCharType="begin"/>
                </w:r>
                <w:r>
                  <w:rPr>
                    <w:rFonts w:ascii="Verdana" w:hAnsi="Verdana"/>
                    <w:sz w:val="20"/>
                  </w:rPr>
                  <w:instrText> PAGE </w:instrText>
                </w:r>
                <w:r>
                  <w:rPr/>
                  <w:fldChar w:fldCharType="separate"/>
                </w:r>
                <w:r>
                  <w:rPr/>
                  <w:t>2</w:t>
                </w:r>
                <w:r>
                  <w:rPr/>
                  <w:fldChar w:fldCharType="end"/>
                </w:r>
                <w:r>
                  <w:rPr>
                    <w:rFonts w:ascii="Verdana" w:hAnsi="Verdana"/>
                    <w:sz w:val="20"/>
                  </w:rPr>
                  <w:t> -</w:t>
                </w:r>
              </w:p>
            </w:txbxContent>
          </v:textbox>
          <w10:wrap type="none"/>
        </v:shape>
      </w:pict>
    </w:r>
    <w:r>
      <w:rPr/>
      <w:pict>
        <v:shape style="position:absolute;margin-left:69.944pt;margin-top:746.243164pt;width:229.6pt;height:11pt;mso-position-horizontal-relative:page;mso-position-vertical-relative:page;z-index:-130744" type="#_x0000_t202" filled="false" stroked="false">
          <v:textbox inset="0,0,0,0">
            <w:txbxContent>
              <w:p>
                <w:pPr>
                  <w:spacing w:line="204" w:lineRule="exact" w:before="0"/>
                  <w:ind w:left="20" w:right="0" w:firstLine="0"/>
                  <w:jc w:val="left"/>
                  <w:rPr>
                    <w:sz w:val="18"/>
                  </w:rPr>
                </w:pPr>
                <w:r>
                  <w:rPr>
                    <w:i/>
                    <w:sz w:val="18"/>
                  </w:rPr>
                  <w:t>Patricia Carbajal Palacios, </w:t>
                </w:r>
                <w:r>
                  <w:rPr>
                    <w:sz w:val="18"/>
                  </w:rPr>
                  <w:t>Ciencias Ambientales, CCIQS</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line style="position:absolute;mso-position-horizontal-relative:page;mso-position-vertical-relative:page;z-index:-130720" from="44.799999pt,738.896973pt" to="563.049999pt,738.896973pt" stroked="true" strokeweight=".7pt" strokecolor="#000000">
          <w10:wrap type="none"/>
        </v:line>
      </w:pict>
    </w:r>
    <w:r>
      <w:rPr/>
      <w:pict>
        <v:line style="position:absolute;mso-position-horizontal-relative:page;mso-position-vertical-relative:page;z-index:-130696" from="44.799999pt,736.796997pt" to="563.049999pt,736.796997pt" stroked="true" strokeweight="2.1pt" strokecolor="#000000">
          <w10:wrap type="none"/>
        </v:line>
      </w:pict>
    </w:r>
    <w:r>
      <w:rPr/>
      <w:pict>
        <v:shape style="position:absolute;margin-left:493.140015pt;margin-top:745.296692pt;width:57.8pt;height:12pt;mso-position-horizontal-relative:page;mso-position-vertical-relative:page;z-index:-130672" type="#_x0000_t202" filled="false" stroked="false">
          <v:textbox inset="0,0,0,0">
            <w:txbxContent>
              <w:p>
                <w:pPr>
                  <w:spacing w:line="227" w:lineRule="exact" w:before="0"/>
                  <w:ind w:left="20" w:right="0" w:firstLine="0"/>
                  <w:jc w:val="left"/>
                  <w:rPr>
                    <w:rFonts w:ascii="Verdana" w:hAnsi="Verdana"/>
                    <w:sz w:val="20"/>
                  </w:rPr>
                </w:pPr>
                <w:r>
                  <w:rPr>
                    <w:sz w:val="18"/>
                  </w:rPr>
                  <w:t>- página </w:t>
                </w:r>
                <w:r>
                  <w:rPr/>
                  <w:fldChar w:fldCharType="begin"/>
                </w:r>
                <w:r>
                  <w:rPr>
                    <w:rFonts w:ascii="Verdana" w:hAnsi="Verdana"/>
                    <w:sz w:val="20"/>
                  </w:rPr>
                  <w:instrText> PAGE </w:instrText>
                </w:r>
                <w:r>
                  <w:rPr/>
                  <w:fldChar w:fldCharType="separate"/>
                </w:r>
                <w:r>
                  <w:rPr/>
                  <w:t>10</w:t>
                </w:r>
                <w:r>
                  <w:rPr/>
                  <w:fldChar w:fldCharType="end"/>
                </w:r>
                <w:r>
                  <w:rPr>
                    <w:rFonts w:ascii="Verdana" w:hAnsi="Verdana"/>
                    <w:sz w:val="20"/>
                  </w:rPr>
                  <w:t> -</w:t>
                </w:r>
              </w:p>
            </w:txbxContent>
          </v:textbox>
          <w10:wrap type="none"/>
        </v:shape>
      </w:pict>
    </w:r>
    <w:r>
      <w:rPr/>
      <w:pict>
        <v:shape style="position:absolute;margin-left:69.944pt;margin-top:746.243164pt;width:229.6pt;height:11pt;mso-position-horizontal-relative:page;mso-position-vertical-relative:page;z-index:-130648" type="#_x0000_t202" filled="false" stroked="false">
          <v:textbox inset="0,0,0,0">
            <w:txbxContent>
              <w:p>
                <w:pPr>
                  <w:spacing w:line="204" w:lineRule="exact" w:before="0"/>
                  <w:ind w:left="20" w:right="0" w:firstLine="0"/>
                  <w:jc w:val="left"/>
                  <w:rPr>
                    <w:sz w:val="18"/>
                  </w:rPr>
                </w:pPr>
                <w:r>
                  <w:rPr>
                    <w:i/>
                    <w:sz w:val="18"/>
                  </w:rPr>
                  <w:t>Patricia Carbajal Palacios, </w:t>
                </w:r>
                <w:r>
                  <w:rPr>
                    <w:sz w:val="18"/>
                  </w:rPr>
                  <w:t>Ciencias Ambientales, CCIQS</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779999pt;margin-top:745.296692pt;width:57.8pt;height:12pt;mso-position-horizontal-relative:page;mso-position-vertical-relative:page;z-index:-130624" type="#_x0000_t202" filled="false" stroked="false">
          <v:textbox inset="0,0,0,0">
            <w:txbxContent>
              <w:p>
                <w:pPr>
                  <w:spacing w:line="227" w:lineRule="exact" w:before="0"/>
                  <w:ind w:left="20" w:right="0" w:firstLine="0"/>
                  <w:jc w:val="left"/>
                  <w:rPr>
                    <w:rFonts w:ascii="Verdana" w:hAnsi="Verdana"/>
                    <w:sz w:val="20"/>
                  </w:rPr>
                </w:pPr>
                <w:r>
                  <w:rPr>
                    <w:sz w:val="18"/>
                  </w:rPr>
                  <w:t>- página </w:t>
                </w:r>
                <w:r>
                  <w:rPr/>
                  <w:fldChar w:fldCharType="begin"/>
                </w:r>
                <w:r>
                  <w:rPr>
                    <w:rFonts w:ascii="Verdana" w:hAnsi="Verdana"/>
                    <w:sz w:val="20"/>
                  </w:rPr>
                  <w:instrText> PAGE </w:instrText>
                </w:r>
                <w:r>
                  <w:rPr/>
                  <w:fldChar w:fldCharType="separate"/>
                </w:r>
                <w:r>
                  <w:rPr/>
                  <w:t>55</w:t>
                </w:r>
                <w:r>
                  <w:rPr/>
                  <w:fldChar w:fldCharType="end"/>
                </w:r>
                <w:r>
                  <w:rPr>
                    <w:rFonts w:ascii="Verdana" w:hAnsi="Verdana"/>
                    <w:sz w:val="20"/>
                  </w:rPr>
                  <w:t> -</w:t>
                </w:r>
              </w:p>
            </w:txbxContent>
          </v:textbox>
          <w10:wrap type="none"/>
        </v:shape>
      </w:pict>
    </w:r>
    <w:r>
      <w:rPr/>
      <w:pict>
        <v:shape style="position:absolute;margin-left:84.103996pt;margin-top:746.243164pt;width:229.6pt;height:11pt;mso-position-horizontal-relative:page;mso-position-vertical-relative:page;z-index:-130600" type="#_x0000_t202" filled="false" stroked="false">
          <v:textbox inset="0,0,0,0">
            <w:txbxContent>
              <w:p>
                <w:pPr>
                  <w:spacing w:line="204" w:lineRule="exact" w:before="0"/>
                  <w:ind w:left="20" w:right="0" w:firstLine="0"/>
                  <w:jc w:val="left"/>
                  <w:rPr>
                    <w:sz w:val="18"/>
                  </w:rPr>
                </w:pPr>
                <w:r>
                  <w:rPr>
                    <w:i/>
                    <w:sz w:val="18"/>
                  </w:rPr>
                  <w:t>Patricia Carbajal Palacios, </w:t>
                </w:r>
                <w:r>
                  <w:rPr>
                    <w:sz w:val="18"/>
                  </w:rPr>
                  <w:t>Ciencias Ambientales, CCIQS</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576" from="58.950001pt,738.896973pt" to="577.200001pt,738.896973pt" stroked="true" strokeweight=".7pt" strokecolor="#000000">
          <w10:wrap type="none"/>
        </v:line>
      </w:pict>
    </w:r>
    <w:r>
      <w:rPr/>
      <w:pict>
        <v:line style="position:absolute;mso-position-horizontal-relative:page;mso-position-vertical-relative:page;z-index:-130552" from="58.950001pt,736.796997pt" to="577.200001pt,736.796997pt" stroked="true" strokeweight="2.1pt" strokecolor="#000000">
          <w10:wrap type="none"/>
        </v:line>
      </w:pict>
    </w:r>
    <w:r>
      <w:rPr/>
      <w:pict>
        <v:shape style="position:absolute;margin-left:498.779999pt;margin-top:745.296692pt;width:57.8pt;height:12pt;mso-position-horizontal-relative:page;mso-position-vertical-relative:page;z-index:-130528" type="#_x0000_t202" filled="false" stroked="false">
          <v:textbox inset="0,0,0,0">
            <w:txbxContent>
              <w:p>
                <w:pPr>
                  <w:spacing w:line="227" w:lineRule="exact" w:before="0"/>
                  <w:ind w:left="20" w:right="0" w:firstLine="0"/>
                  <w:jc w:val="left"/>
                  <w:rPr>
                    <w:rFonts w:ascii="Verdana" w:hAnsi="Verdana"/>
                    <w:sz w:val="20"/>
                  </w:rPr>
                </w:pPr>
                <w:r>
                  <w:rPr>
                    <w:sz w:val="18"/>
                  </w:rPr>
                  <w:t>- página </w:t>
                </w:r>
                <w:r>
                  <w:rPr/>
                  <w:fldChar w:fldCharType="begin"/>
                </w:r>
                <w:r>
                  <w:rPr>
                    <w:rFonts w:ascii="Verdana" w:hAnsi="Verdana"/>
                    <w:sz w:val="20"/>
                  </w:rPr>
                  <w:instrText> PAGE </w:instrText>
                </w:r>
                <w:r>
                  <w:rPr/>
                  <w:fldChar w:fldCharType="separate"/>
                </w:r>
                <w:r>
                  <w:rPr/>
                  <w:t>58</w:t>
                </w:r>
                <w:r>
                  <w:rPr/>
                  <w:fldChar w:fldCharType="end"/>
                </w:r>
                <w:r>
                  <w:rPr>
                    <w:rFonts w:ascii="Verdana" w:hAnsi="Verdana"/>
                    <w:sz w:val="20"/>
                  </w:rPr>
                  <w:t> -</w:t>
                </w:r>
              </w:p>
            </w:txbxContent>
          </v:textbox>
          <w10:wrap type="none"/>
        </v:shape>
      </w:pict>
    </w:r>
    <w:r>
      <w:rPr/>
      <w:pict>
        <v:shape style="position:absolute;margin-left:84.103996pt;margin-top:746.243164pt;width:229.6pt;height:11pt;mso-position-horizontal-relative:page;mso-position-vertical-relative:page;z-index:-130504" type="#_x0000_t202" filled="false" stroked="false">
          <v:textbox inset="0,0,0,0">
            <w:txbxContent>
              <w:p>
                <w:pPr>
                  <w:spacing w:line="204" w:lineRule="exact" w:before="0"/>
                  <w:ind w:left="20" w:right="0" w:firstLine="0"/>
                  <w:jc w:val="left"/>
                  <w:rPr>
                    <w:sz w:val="18"/>
                  </w:rPr>
                </w:pPr>
                <w:r>
                  <w:rPr>
                    <w:i/>
                    <w:sz w:val="18"/>
                  </w:rPr>
                  <w:t>Patricia Carbajal Palacios, </w:t>
                </w:r>
                <w:r>
                  <w:rPr>
                    <w:sz w:val="18"/>
                  </w:rPr>
                  <w:t>Ciencias Ambientales, CCIQS</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779999pt;margin-top:745.296692pt;width:57.8pt;height:12pt;mso-position-horizontal-relative:page;mso-position-vertical-relative:page;z-index:-130480" type="#_x0000_t202" filled="false" stroked="false">
          <v:textbox inset="0,0,0,0">
            <w:txbxContent>
              <w:p>
                <w:pPr>
                  <w:spacing w:line="227" w:lineRule="exact" w:before="0"/>
                  <w:ind w:left="20" w:right="0" w:firstLine="0"/>
                  <w:jc w:val="left"/>
                  <w:rPr>
                    <w:rFonts w:ascii="Verdana" w:hAnsi="Verdana"/>
                    <w:sz w:val="20"/>
                  </w:rPr>
                </w:pPr>
                <w:r>
                  <w:rPr>
                    <w:sz w:val="18"/>
                  </w:rPr>
                  <w:t>- página </w:t>
                </w:r>
                <w:r>
                  <w:rPr/>
                  <w:fldChar w:fldCharType="begin"/>
                </w:r>
                <w:r>
                  <w:rPr>
                    <w:rFonts w:ascii="Verdana" w:hAnsi="Verdana"/>
                    <w:sz w:val="20"/>
                  </w:rPr>
                  <w:instrText> PAGE </w:instrText>
                </w:r>
                <w:r>
                  <w:rPr/>
                  <w:fldChar w:fldCharType="separate"/>
                </w:r>
                <w:r>
                  <w:rPr/>
                  <w:t>61</w:t>
                </w:r>
                <w:r>
                  <w:rPr/>
                  <w:fldChar w:fldCharType="end"/>
                </w:r>
                <w:r>
                  <w:rPr>
                    <w:rFonts w:ascii="Verdana" w:hAnsi="Verdana"/>
                    <w:sz w:val="20"/>
                  </w:rPr>
                  <w:t> -</w:t>
                </w:r>
              </w:p>
            </w:txbxContent>
          </v:textbox>
          <w10:wrap type="none"/>
        </v:shape>
      </w:pict>
    </w:r>
    <w:r>
      <w:rPr/>
      <w:pict>
        <v:shape style="position:absolute;margin-left:84.103996pt;margin-top:746.243164pt;width:229.6pt;height:11pt;mso-position-horizontal-relative:page;mso-position-vertical-relative:page;z-index:-130456" type="#_x0000_t202" filled="false" stroked="false">
          <v:textbox inset="0,0,0,0">
            <w:txbxContent>
              <w:p>
                <w:pPr>
                  <w:spacing w:line="204" w:lineRule="exact" w:before="0"/>
                  <w:ind w:left="20" w:right="0" w:firstLine="0"/>
                  <w:jc w:val="left"/>
                  <w:rPr>
                    <w:sz w:val="18"/>
                  </w:rPr>
                </w:pPr>
                <w:r>
                  <w:rPr>
                    <w:i/>
                    <w:sz w:val="18"/>
                  </w:rPr>
                  <w:t>Patricia Carbajal Palacios, </w:t>
                </w:r>
                <w:r>
                  <w:rPr>
                    <w:sz w:val="18"/>
                  </w:rPr>
                  <w:t>Ciencias Ambientales, CCIQS</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line style="position:absolute;mso-position-horizontal-relative:page;mso-position-vertical-relative:page;z-index:-130432" from="58.950001pt,738.896973pt" to="577.200001pt,738.896973pt" stroked="true" strokeweight=".7pt" strokecolor="#000000">
          <w10:wrap type="none"/>
        </v:line>
      </w:pict>
    </w:r>
    <w:r>
      <w:rPr/>
      <w:pict>
        <v:line style="position:absolute;mso-position-horizontal-relative:page;mso-position-vertical-relative:page;z-index:-130408" from="58.950001pt,736.796997pt" to="577.200001pt,736.796997pt" stroked="true" strokeweight="2.1pt" strokecolor="#000000">
          <w10:wrap type="none"/>
        </v:line>
      </w:pict>
    </w:r>
    <w:r>
      <w:rPr/>
      <w:pict>
        <v:shape style="position:absolute;margin-left:498.779999pt;margin-top:745.296692pt;width:57.8pt;height:12pt;mso-position-horizontal-relative:page;mso-position-vertical-relative:page;z-index:-130384" type="#_x0000_t202" filled="false" stroked="false">
          <v:textbox inset="0,0,0,0">
            <w:txbxContent>
              <w:p>
                <w:pPr>
                  <w:spacing w:line="227" w:lineRule="exact" w:before="0"/>
                  <w:ind w:left="20" w:right="0" w:firstLine="0"/>
                  <w:jc w:val="left"/>
                  <w:rPr>
                    <w:rFonts w:ascii="Verdana" w:hAnsi="Verdana"/>
                    <w:sz w:val="20"/>
                  </w:rPr>
                </w:pPr>
                <w:r>
                  <w:rPr>
                    <w:sz w:val="18"/>
                  </w:rPr>
                  <w:t>- página </w:t>
                </w:r>
                <w:r>
                  <w:rPr/>
                  <w:fldChar w:fldCharType="begin"/>
                </w:r>
                <w:r>
                  <w:rPr>
                    <w:rFonts w:ascii="Verdana" w:hAnsi="Verdana"/>
                    <w:sz w:val="20"/>
                  </w:rPr>
                  <w:instrText> PAGE </w:instrText>
                </w:r>
                <w:r>
                  <w:rPr/>
                  <w:fldChar w:fldCharType="separate"/>
                </w:r>
                <w:r>
                  <w:rPr/>
                  <w:t>66</w:t>
                </w:r>
                <w:r>
                  <w:rPr/>
                  <w:fldChar w:fldCharType="end"/>
                </w:r>
                <w:r>
                  <w:rPr>
                    <w:rFonts w:ascii="Verdana" w:hAnsi="Verdana"/>
                    <w:sz w:val="20"/>
                  </w:rPr>
                  <w:t> -</w:t>
                </w:r>
              </w:p>
            </w:txbxContent>
          </v:textbox>
          <w10:wrap type="none"/>
        </v:shape>
      </w:pict>
    </w:r>
    <w:r>
      <w:rPr/>
      <w:pict>
        <v:shape style="position:absolute;margin-left:84.103996pt;margin-top:746.243164pt;width:229.6pt;height:11pt;mso-position-horizontal-relative:page;mso-position-vertical-relative:page;z-index:-130360" type="#_x0000_t202" filled="false" stroked="false">
          <v:textbox inset="0,0,0,0">
            <w:txbxContent>
              <w:p>
                <w:pPr>
                  <w:spacing w:line="204" w:lineRule="exact" w:before="0"/>
                  <w:ind w:left="20" w:right="0" w:firstLine="0"/>
                  <w:jc w:val="left"/>
                  <w:rPr>
                    <w:sz w:val="18"/>
                  </w:rPr>
                </w:pPr>
                <w:r>
                  <w:rPr>
                    <w:i/>
                    <w:sz w:val="18"/>
                  </w:rPr>
                  <w:t>Patricia Carbajal Palacios, </w:t>
                </w:r>
                <w:r>
                  <w:rPr>
                    <w:sz w:val="18"/>
                  </w:rPr>
                  <w:t>Ciencias Ambientales, CCIQS</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336" from="58.950001pt,738.896973pt" to="577.200001pt,738.896973pt" stroked="true" strokeweight=".7pt" strokecolor="#000000">
          <w10:wrap type="none"/>
        </v:line>
      </w:pict>
    </w:r>
    <w:r>
      <w:rPr/>
      <w:pict>
        <v:line style="position:absolute;mso-position-horizontal-relative:page;mso-position-vertical-relative:page;z-index:-130312" from="58.950001pt,736.796997pt" to="577.200001pt,736.796997pt" stroked="true" strokeweight="2.1pt" strokecolor="#000000">
          <w10:wrap type="none"/>
        </v:line>
      </w:pict>
    </w:r>
    <w:r>
      <w:rPr/>
      <w:pict>
        <v:shape style="position:absolute;margin-left:492.420013pt;margin-top:745.296692pt;width:64.1500pt;height:12pt;mso-position-horizontal-relative:page;mso-position-vertical-relative:page;z-index:-130288" type="#_x0000_t202" filled="false" stroked="false">
          <v:textbox inset="0,0,0,0">
            <w:txbxContent>
              <w:p>
                <w:pPr>
                  <w:spacing w:line="227" w:lineRule="exact" w:before="0"/>
                  <w:ind w:left="20" w:right="-1" w:firstLine="0"/>
                  <w:jc w:val="left"/>
                  <w:rPr>
                    <w:rFonts w:ascii="Verdana" w:hAnsi="Verdana"/>
                    <w:sz w:val="20"/>
                  </w:rPr>
                </w:pPr>
                <w:r>
                  <w:rPr>
                    <w:sz w:val="18"/>
                  </w:rPr>
                  <w:t>- página </w:t>
                </w:r>
                <w:r>
                  <w:rPr>
                    <w:rFonts w:ascii="Verdana" w:hAnsi="Verdana"/>
                    <w:sz w:val="20"/>
                  </w:rPr>
                  <w:t>100 -</w:t>
                </w:r>
              </w:p>
            </w:txbxContent>
          </v:textbox>
          <w10:wrap type="none"/>
        </v:shape>
      </w:pict>
    </w:r>
    <w:r>
      <w:rPr/>
      <w:pict>
        <v:shape style="position:absolute;margin-left:84.103996pt;margin-top:746.243164pt;width:229.6pt;height:11pt;mso-position-horizontal-relative:page;mso-position-vertical-relative:page;z-index:-130264" type="#_x0000_t202" filled="false" stroked="false">
          <v:textbox inset="0,0,0,0">
            <w:txbxContent>
              <w:p>
                <w:pPr>
                  <w:spacing w:line="204" w:lineRule="exact" w:before="0"/>
                  <w:ind w:left="20" w:right="0" w:firstLine="0"/>
                  <w:jc w:val="left"/>
                  <w:rPr>
                    <w:sz w:val="18"/>
                  </w:rPr>
                </w:pPr>
                <w:r>
                  <w:rPr>
                    <w:i/>
                    <w:sz w:val="18"/>
                  </w:rPr>
                  <w:t>Patricia Carbajal Palacios, </w:t>
                </w:r>
                <w:r>
                  <w:rPr>
                    <w:sz w:val="18"/>
                  </w:rPr>
                  <w:t>Ciencias Ambientales, CCIQS</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line style="position:absolute;mso-position-horizontal-relative:page;mso-position-vertical-relative:page;z-index:-130240" from="58.950001pt,738.896973pt" to="577.200001pt,738.896973pt" stroked="true" strokeweight=".7pt" strokecolor="#000000">
          <w10:wrap type="none"/>
        </v:line>
      </w:pict>
    </w:r>
    <w:r>
      <w:rPr/>
      <w:pict>
        <v:line style="position:absolute;mso-position-horizontal-relative:page;mso-position-vertical-relative:page;z-index:-130216" from="58.950001pt,736.796997pt" to="577.200001pt,736.796997pt" stroked="true" strokeweight="2.1pt" strokecolor="#000000">
          <w10:wrap type="none"/>
        </v:line>
      </w:pict>
    </w:r>
    <w:r>
      <w:rPr/>
      <w:pict>
        <v:shape style="position:absolute;margin-left:492.420013pt;margin-top:745.296692pt;width:64.1500pt;height:12pt;mso-position-horizontal-relative:page;mso-position-vertical-relative:page;z-index:-130192" type="#_x0000_t202" filled="false" stroked="false">
          <v:textbox inset="0,0,0,0">
            <w:txbxContent>
              <w:p>
                <w:pPr>
                  <w:spacing w:line="227" w:lineRule="exact" w:before="0"/>
                  <w:ind w:left="20" w:right="-1" w:firstLine="0"/>
                  <w:jc w:val="left"/>
                  <w:rPr>
                    <w:rFonts w:ascii="Verdana" w:hAnsi="Verdana"/>
                    <w:sz w:val="20"/>
                  </w:rPr>
                </w:pPr>
                <w:r>
                  <w:rPr>
                    <w:sz w:val="18"/>
                  </w:rPr>
                  <w:t>- página </w:t>
                </w:r>
                <w:r>
                  <w:rPr/>
                  <w:fldChar w:fldCharType="begin"/>
                </w:r>
                <w:r>
                  <w:rPr>
                    <w:rFonts w:ascii="Verdana" w:hAnsi="Verdana"/>
                    <w:sz w:val="20"/>
                  </w:rPr>
                  <w:instrText> PAGE </w:instrText>
                </w:r>
                <w:r>
                  <w:rPr/>
                  <w:fldChar w:fldCharType="separate"/>
                </w:r>
                <w:r>
                  <w:rPr/>
                  <w:t>104</w:t>
                </w:r>
                <w:r>
                  <w:rPr/>
                  <w:fldChar w:fldCharType="end"/>
                </w:r>
                <w:r>
                  <w:rPr>
                    <w:rFonts w:ascii="Verdana" w:hAnsi="Verdana"/>
                    <w:sz w:val="20"/>
                  </w:rPr>
                  <w:t> -</w:t>
                </w:r>
              </w:p>
            </w:txbxContent>
          </v:textbox>
          <w10:wrap type="none"/>
        </v:shape>
      </w:pict>
    </w:r>
    <w:r>
      <w:rPr/>
      <w:pict>
        <v:shape style="position:absolute;margin-left:84.103996pt;margin-top:746.243164pt;width:229.6pt;height:11pt;mso-position-horizontal-relative:page;mso-position-vertical-relative:page;z-index:-130168" type="#_x0000_t202" filled="false" stroked="false">
          <v:textbox inset="0,0,0,0">
            <w:txbxContent>
              <w:p>
                <w:pPr>
                  <w:spacing w:line="204" w:lineRule="exact" w:before="0"/>
                  <w:ind w:left="20" w:right="0" w:firstLine="0"/>
                  <w:jc w:val="left"/>
                  <w:rPr>
                    <w:sz w:val="18"/>
                  </w:rPr>
                </w:pPr>
                <w:r>
                  <w:rPr>
                    <w:i/>
                    <w:sz w:val="18"/>
                  </w:rPr>
                  <w:t>Patricia Carbajal Palacios, </w:t>
                </w:r>
                <w:r>
                  <w:rPr>
                    <w:sz w:val="18"/>
                  </w:rPr>
                  <w:t>Ciencias Ambientales, CCIQS</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9"/>
      <w:numFmt w:val="decimal"/>
      <w:lvlText w:val="%1"/>
      <w:lvlJc w:val="left"/>
      <w:pPr>
        <w:ind w:left="2085" w:hanging="716"/>
        <w:jc w:val="left"/>
      </w:pPr>
      <w:rPr>
        <w:rFonts w:hint="default"/>
      </w:rPr>
    </w:lvl>
    <w:lvl w:ilvl="1">
      <w:start w:val="1"/>
      <w:numFmt w:val="decimal"/>
      <w:lvlText w:val="%1.%2"/>
      <w:lvlJc w:val="left"/>
      <w:pPr>
        <w:ind w:left="2085" w:hanging="716"/>
        <w:jc w:val="right"/>
      </w:pPr>
      <w:rPr>
        <w:rFonts w:hint="default" w:ascii="Arial" w:hAnsi="Arial" w:eastAsia="Arial" w:cs="Arial"/>
        <w:b/>
        <w:bCs/>
        <w:w w:val="99"/>
        <w:sz w:val="32"/>
        <w:szCs w:val="32"/>
      </w:rPr>
    </w:lvl>
    <w:lvl w:ilvl="2">
      <w:start w:val="1"/>
      <w:numFmt w:val="bullet"/>
      <w:lvlText w:val="•"/>
      <w:lvlJc w:val="left"/>
      <w:pPr>
        <w:ind w:left="3792" w:hanging="716"/>
      </w:pPr>
      <w:rPr>
        <w:rFonts w:hint="default"/>
      </w:rPr>
    </w:lvl>
    <w:lvl w:ilvl="3">
      <w:start w:val="1"/>
      <w:numFmt w:val="bullet"/>
      <w:lvlText w:val="•"/>
      <w:lvlJc w:val="left"/>
      <w:pPr>
        <w:ind w:left="4648" w:hanging="716"/>
      </w:pPr>
      <w:rPr>
        <w:rFonts w:hint="default"/>
      </w:rPr>
    </w:lvl>
    <w:lvl w:ilvl="4">
      <w:start w:val="1"/>
      <w:numFmt w:val="bullet"/>
      <w:lvlText w:val="•"/>
      <w:lvlJc w:val="left"/>
      <w:pPr>
        <w:ind w:left="5504" w:hanging="716"/>
      </w:pPr>
      <w:rPr>
        <w:rFonts w:hint="default"/>
      </w:rPr>
    </w:lvl>
    <w:lvl w:ilvl="5">
      <w:start w:val="1"/>
      <w:numFmt w:val="bullet"/>
      <w:lvlText w:val="•"/>
      <w:lvlJc w:val="left"/>
      <w:pPr>
        <w:ind w:left="6360" w:hanging="716"/>
      </w:pPr>
      <w:rPr>
        <w:rFonts w:hint="default"/>
      </w:rPr>
    </w:lvl>
    <w:lvl w:ilvl="6">
      <w:start w:val="1"/>
      <w:numFmt w:val="bullet"/>
      <w:lvlText w:val="•"/>
      <w:lvlJc w:val="left"/>
      <w:pPr>
        <w:ind w:left="7216" w:hanging="716"/>
      </w:pPr>
      <w:rPr>
        <w:rFonts w:hint="default"/>
      </w:rPr>
    </w:lvl>
    <w:lvl w:ilvl="7">
      <w:start w:val="1"/>
      <w:numFmt w:val="bullet"/>
      <w:lvlText w:val="•"/>
      <w:lvlJc w:val="left"/>
      <w:pPr>
        <w:ind w:left="8072" w:hanging="716"/>
      </w:pPr>
      <w:rPr>
        <w:rFonts w:hint="default"/>
      </w:rPr>
    </w:lvl>
    <w:lvl w:ilvl="8">
      <w:start w:val="1"/>
      <w:numFmt w:val="bullet"/>
      <w:lvlText w:val="•"/>
      <w:lvlJc w:val="left"/>
      <w:pPr>
        <w:ind w:left="8928" w:hanging="716"/>
      </w:pPr>
      <w:rPr>
        <w:rFonts w:hint="default"/>
      </w:rPr>
    </w:lvl>
  </w:abstractNum>
  <w:abstractNum w:abstractNumId="8">
    <w:multiLevelType w:val="hybridMultilevel"/>
    <w:lvl w:ilvl="0">
      <w:start w:val="1"/>
      <w:numFmt w:val="lowerRoman"/>
      <w:lvlText w:val="%1)"/>
      <w:lvlJc w:val="left"/>
      <w:pPr>
        <w:ind w:left="1370" w:hanging="259"/>
        <w:jc w:val="left"/>
      </w:pPr>
      <w:rPr>
        <w:rFonts w:hint="default" w:ascii="Arial" w:hAnsi="Arial" w:eastAsia="Arial" w:cs="Arial"/>
        <w:w w:val="99"/>
        <w:position w:val="1"/>
        <w:sz w:val="24"/>
        <w:szCs w:val="24"/>
      </w:rPr>
    </w:lvl>
    <w:lvl w:ilvl="1">
      <w:start w:val="1"/>
      <w:numFmt w:val="bullet"/>
      <w:lvlText w:val=""/>
      <w:lvlJc w:val="left"/>
      <w:pPr>
        <w:ind w:left="2438" w:hanging="360"/>
      </w:pPr>
      <w:rPr>
        <w:rFonts w:hint="default" w:ascii="Symbol" w:hAnsi="Symbol" w:eastAsia="Symbol" w:cs="Symbol"/>
        <w:w w:val="100"/>
        <w:sz w:val="24"/>
        <w:szCs w:val="24"/>
      </w:rPr>
    </w:lvl>
    <w:lvl w:ilvl="2">
      <w:start w:val="1"/>
      <w:numFmt w:val="bullet"/>
      <w:lvlText w:val="•"/>
      <w:lvlJc w:val="left"/>
      <w:pPr>
        <w:ind w:left="3351" w:hanging="360"/>
      </w:pPr>
      <w:rPr>
        <w:rFonts w:hint="default"/>
      </w:rPr>
    </w:lvl>
    <w:lvl w:ilvl="3">
      <w:start w:val="1"/>
      <w:numFmt w:val="bullet"/>
      <w:lvlText w:val="•"/>
      <w:lvlJc w:val="left"/>
      <w:pPr>
        <w:ind w:left="4262" w:hanging="360"/>
      </w:pPr>
      <w:rPr>
        <w:rFonts w:hint="default"/>
      </w:rPr>
    </w:lvl>
    <w:lvl w:ilvl="4">
      <w:start w:val="1"/>
      <w:numFmt w:val="bullet"/>
      <w:lvlText w:val="•"/>
      <w:lvlJc w:val="left"/>
      <w:pPr>
        <w:ind w:left="5173" w:hanging="360"/>
      </w:pPr>
      <w:rPr>
        <w:rFonts w:hint="default"/>
      </w:rPr>
    </w:lvl>
    <w:lvl w:ilvl="5">
      <w:start w:val="1"/>
      <w:numFmt w:val="bullet"/>
      <w:lvlText w:val="•"/>
      <w:lvlJc w:val="left"/>
      <w:pPr>
        <w:ind w:left="6084" w:hanging="360"/>
      </w:pPr>
      <w:rPr>
        <w:rFonts w:hint="default"/>
      </w:rPr>
    </w:lvl>
    <w:lvl w:ilvl="6">
      <w:start w:val="1"/>
      <w:numFmt w:val="bullet"/>
      <w:lvlText w:val="•"/>
      <w:lvlJc w:val="left"/>
      <w:pPr>
        <w:ind w:left="6995" w:hanging="360"/>
      </w:pPr>
      <w:rPr>
        <w:rFonts w:hint="default"/>
      </w:rPr>
    </w:lvl>
    <w:lvl w:ilvl="7">
      <w:start w:val="1"/>
      <w:numFmt w:val="bullet"/>
      <w:lvlText w:val="•"/>
      <w:lvlJc w:val="left"/>
      <w:pPr>
        <w:ind w:left="7906" w:hanging="360"/>
      </w:pPr>
      <w:rPr>
        <w:rFonts w:hint="default"/>
      </w:rPr>
    </w:lvl>
    <w:lvl w:ilvl="8">
      <w:start w:val="1"/>
      <w:numFmt w:val="bullet"/>
      <w:lvlText w:val="•"/>
      <w:lvlJc w:val="left"/>
      <w:pPr>
        <w:ind w:left="8817" w:hanging="360"/>
      </w:pPr>
      <w:rPr>
        <w:rFonts w:hint="default"/>
      </w:rPr>
    </w:lvl>
  </w:abstractNum>
  <w:abstractNum w:abstractNumId="7">
    <w:multiLevelType w:val="hybridMultilevel"/>
    <w:lvl w:ilvl="0">
      <w:start w:val="1"/>
      <w:numFmt w:val="decimal"/>
      <w:lvlText w:val="%1."/>
      <w:lvlJc w:val="left"/>
      <w:pPr>
        <w:ind w:left="1382" w:hanging="360"/>
        <w:jc w:val="left"/>
      </w:pPr>
      <w:rPr>
        <w:rFonts w:hint="default"/>
        <w:b/>
        <w:bCs/>
        <w:spacing w:val="-3"/>
        <w:w w:val="99"/>
      </w:rPr>
    </w:lvl>
    <w:lvl w:ilvl="1">
      <w:start w:val="1"/>
      <w:numFmt w:val="decimal"/>
      <w:lvlText w:val="%1.%2"/>
      <w:lvlJc w:val="left"/>
      <w:pPr>
        <w:ind w:left="1370" w:hanging="360"/>
        <w:jc w:val="left"/>
      </w:pPr>
      <w:rPr>
        <w:rFonts w:hint="default"/>
        <w:b/>
        <w:bCs/>
        <w:spacing w:val="-3"/>
        <w:w w:val="99"/>
        <w:position w:val="1"/>
      </w:rPr>
    </w:lvl>
    <w:lvl w:ilvl="2">
      <w:start w:val="1"/>
      <w:numFmt w:val="bullet"/>
      <w:lvlText w:val="•"/>
      <w:lvlJc w:val="left"/>
      <w:pPr>
        <w:ind w:left="3232" w:hanging="360"/>
      </w:pPr>
      <w:rPr>
        <w:rFonts w:hint="default"/>
      </w:rPr>
    </w:lvl>
    <w:lvl w:ilvl="3">
      <w:start w:val="1"/>
      <w:numFmt w:val="bullet"/>
      <w:lvlText w:val="•"/>
      <w:lvlJc w:val="left"/>
      <w:pPr>
        <w:ind w:left="4158" w:hanging="360"/>
      </w:pPr>
      <w:rPr>
        <w:rFonts w:hint="default"/>
      </w:rPr>
    </w:lvl>
    <w:lvl w:ilvl="4">
      <w:start w:val="1"/>
      <w:numFmt w:val="bullet"/>
      <w:lvlText w:val="•"/>
      <w:lvlJc w:val="left"/>
      <w:pPr>
        <w:ind w:left="5084" w:hanging="360"/>
      </w:pPr>
      <w:rPr>
        <w:rFonts w:hint="default"/>
      </w:rPr>
    </w:lvl>
    <w:lvl w:ilvl="5">
      <w:start w:val="1"/>
      <w:numFmt w:val="bullet"/>
      <w:lvlText w:val="•"/>
      <w:lvlJc w:val="left"/>
      <w:pPr>
        <w:ind w:left="6010" w:hanging="360"/>
      </w:pPr>
      <w:rPr>
        <w:rFonts w:hint="default"/>
      </w:rPr>
    </w:lvl>
    <w:lvl w:ilvl="6">
      <w:start w:val="1"/>
      <w:numFmt w:val="bullet"/>
      <w:lvlText w:val="•"/>
      <w:lvlJc w:val="left"/>
      <w:pPr>
        <w:ind w:left="6936" w:hanging="360"/>
      </w:pPr>
      <w:rPr>
        <w:rFonts w:hint="default"/>
      </w:rPr>
    </w:lvl>
    <w:lvl w:ilvl="7">
      <w:start w:val="1"/>
      <w:numFmt w:val="bullet"/>
      <w:lvlText w:val="•"/>
      <w:lvlJc w:val="left"/>
      <w:pPr>
        <w:ind w:left="7862" w:hanging="360"/>
      </w:pPr>
      <w:rPr>
        <w:rFonts w:hint="default"/>
      </w:rPr>
    </w:lvl>
    <w:lvl w:ilvl="8">
      <w:start w:val="1"/>
      <w:numFmt w:val="bullet"/>
      <w:lvlText w:val="•"/>
      <w:lvlJc w:val="left"/>
      <w:pPr>
        <w:ind w:left="8788" w:hanging="360"/>
      </w:pPr>
      <w:rPr>
        <w:rFonts w:hint="default"/>
      </w:rPr>
    </w:lvl>
  </w:abstractNum>
  <w:abstractNum w:abstractNumId="6">
    <w:multiLevelType w:val="hybridMultilevel"/>
    <w:lvl w:ilvl="0">
      <w:start w:val="15"/>
      <w:numFmt w:val="decimal"/>
      <w:lvlText w:val="%1."/>
      <w:lvlJc w:val="left"/>
      <w:pPr>
        <w:ind w:left="1194" w:hanging="533"/>
        <w:jc w:val="right"/>
      </w:pPr>
      <w:rPr>
        <w:rFonts w:hint="default"/>
        <w:b/>
        <w:bCs/>
        <w:w w:val="99"/>
      </w:rPr>
    </w:lvl>
    <w:lvl w:ilvl="1">
      <w:start w:val="1"/>
      <w:numFmt w:val="decimal"/>
      <w:lvlText w:val="%1.%2"/>
      <w:lvlJc w:val="left"/>
      <w:pPr>
        <w:ind w:left="662" w:hanging="715"/>
        <w:jc w:val="left"/>
      </w:pPr>
      <w:rPr>
        <w:rFonts w:hint="default"/>
        <w:b/>
        <w:bCs/>
        <w:w w:val="99"/>
      </w:rPr>
    </w:lvl>
    <w:lvl w:ilvl="2">
      <w:start w:val="1"/>
      <w:numFmt w:val="bullet"/>
      <w:lvlText w:val="•"/>
      <w:lvlJc w:val="left"/>
      <w:pPr>
        <w:ind w:left="2248" w:hanging="715"/>
      </w:pPr>
      <w:rPr>
        <w:rFonts w:hint="default"/>
      </w:rPr>
    </w:lvl>
    <w:lvl w:ilvl="3">
      <w:start w:val="1"/>
      <w:numFmt w:val="bullet"/>
      <w:lvlText w:val="•"/>
      <w:lvlJc w:val="left"/>
      <w:pPr>
        <w:ind w:left="3297" w:hanging="715"/>
      </w:pPr>
      <w:rPr>
        <w:rFonts w:hint="default"/>
      </w:rPr>
    </w:lvl>
    <w:lvl w:ilvl="4">
      <w:start w:val="1"/>
      <w:numFmt w:val="bullet"/>
      <w:lvlText w:val="•"/>
      <w:lvlJc w:val="left"/>
      <w:pPr>
        <w:ind w:left="4346" w:hanging="715"/>
      </w:pPr>
      <w:rPr>
        <w:rFonts w:hint="default"/>
      </w:rPr>
    </w:lvl>
    <w:lvl w:ilvl="5">
      <w:start w:val="1"/>
      <w:numFmt w:val="bullet"/>
      <w:lvlText w:val="•"/>
      <w:lvlJc w:val="left"/>
      <w:pPr>
        <w:ind w:left="5395" w:hanging="715"/>
      </w:pPr>
      <w:rPr>
        <w:rFonts w:hint="default"/>
      </w:rPr>
    </w:lvl>
    <w:lvl w:ilvl="6">
      <w:start w:val="1"/>
      <w:numFmt w:val="bullet"/>
      <w:lvlText w:val="•"/>
      <w:lvlJc w:val="left"/>
      <w:pPr>
        <w:ind w:left="6444" w:hanging="715"/>
      </w:pPr>
      <w:rPr>
        <w:rFonts w:hint="default"/>
      </w:rPr>
    </w:lvl>
    <w:lvl w:ilvl="7">
      <w:start w:val="1"/>
      <w:numFmt w:val="bullet"/>
      <w:lvlText w:val="•"/>
      <w:lvlJc w:val="left"/>
      <w:pPr>
        <w:ind w:left="7493" w:hanging="715"/>
      </w:pPr>
      <w:rPr>
        <w:rFonts w:hint="default"/>
      </w:rPr>
    </w:lvl>
    <w:lvl w:ilvl="8">
      <w:start w:val="1"/>
      <w:numFmt w:val="bullet"/>
      <w:lvlText w:val="•"/>
      <w:lvlJc w:val="left"/>
      <w:pPr>
        <w:ind w:left="8542" w:hanging="715"/>
      </w:pPr>
      <w:rPr>
        <w:rFonts w:hint="default"/>
      </w:rPr>
    </w:lvl>
  </w:abstractNum>
  <w:abstractNum w:abstractNumId="5">
    <w:multiLevelType w:val="hybridMultilevel"/>
    <w:lvl w:ilvl="0">
      <w:start w:val="10"/>
      <w:numFmt w:val="decimal"/>
      <w:lvlText w:val="%1"/>
      <w:lvlJc w:val="left"/>
      <w:pPr>
        <w:ind w:left="1395" w:hanging="737"/>
        <w:jc w:val="left"/>
      </w:pPr>
      <w:rPr>
        <w:rFonts w:hint="default"/>
      </w:rPr>
    </w:lvl>
    <w:lvl w:ilvl="1">
      <w:start w:val="6"/>
      <w:numFmt w:val="decimal"/>
      <w:lvlText w:val="%1.%2"/>
      <w:lvlJc w:val="left"/>
      <w:pPr>
        <w:ind w:left="1395" w:hanging="737"/>
        <w:jc w:val="left"/>
      </w:pPr>
      <w:rPr>
        <w:rFonts w:hint="default"/>
      </w:rPr>
    </w:lvl>
    <w:lvl w:ilvl="2">
      <w:start w:val="1"/>
      <w:numFmt w:val="decimal"/>
      <w:lvlText w:val="%1.%2.%3"/>
      <w:lvlJc w:val="left"/>
      <w:pPr>
        <w:ind w:left="1395" w:hanging="737"/>
        <w:jc w:val="left"/>
      </w:pPr>
      <w:rPr>
        <w:rFonts w:hint="default"/>
        <w:b/>
        <w:bCs/>
        <w:spacing w:val="-1"/>
        <w:w w:val="99"/>
      </w:rPr>
    </w:lvl>
    <w:lvl w:ilvl="3">
      <w:start w:val="1"/>
      <w:numFmt w:val="bullet"/>
      <w:lvlText w:val="•"/>
      <w:lvlJc w:val="left"/>
      <w:pPr>
        <w:ind w:left="4172" w:hanging="737"/>
      </w:pPr>
      <w:rPr>
        <w:rFonts w:hint="default"/>
      </w:rPr>
    </w:lvl>
    <w:lvl w:ilvl="4">
      <w:start w:val="1"/>
      <w:numFmt w:val="bullet"/>
      <w:lvlText w:val="•"/>
      <w:lvlJc w:val="left"/>
      <w:pPr>
        <w:ind w:left="5096" w:hanging="737"/>
      </w:pPr>
      <w:rPr>
        <w:rFonts w:hint="default"/>
      </w:rPr>
    </w:lvl>
    <w:lvl w:ilvl="5">
      <w:start w:val="1"/>
      <w:numFmt w:val="bullet"/>
      <w:lvlText w:val="•"/>
      <w:lvlJc w:val="left"/>
      <w:pPr>
        <w:ind w:left="6020" w:hanging="737"/>
      </w:pPr>
      <w:rPr>
        <w:rFonts w:hint="default"/>
      </w:rPr>
    </w:lvl>
    <w:lvl w:ilvl="6">
      <w:start w:val="1"/>
      <w:numFmt w:val="bullet"/>
      <w:lvlText w:val="•"/>
      <w:lvlJc w:val="left"/>
      <w:pPr>
        <w:ind w:left="6944" w:hanging="737"/>
      </w:pPr>
      <w:rPr>
        <w:rFonts w:hint="default"/>
      </w:rPr>
    </w:lvl>
    <w:lvl w:ilvl="7">
      <w:start w:val="1"/>
      <w:numFmt w:val="bullet"/>
      <w:lvlText w:val="•"/>
      <w:lvlJc w:val="left"/>
      <w:pPr>
        <w:ind w:left="7868" w:hanging="737"/>
      </w:pPr>
      <w:rPr>
        <w:rFonts w:hint="default"/>
      </w:rPr>
    </w:lvl>
    <w:lvl w:ilvl="8">
      <w:start w:val="1"/>
      <w:numFmt w:val="bullet"/>
      <w:lvlText w:val="•"/>
      <w:lvlJc w:val="left"/>
      <w:pPr>
        <w:ind w:left="8792" w:hanging="737"/>
      </w:pPr>
      <w:rPr>
        <w:rFonts w:hint="default"/>
      </w:rPr>
    </w:lvl>
  </w:abstractNum>
  <w:abstractNum w:abstractNumId="4">
    <w:multiLevelType w:val="hybridMultilevel"/>
    <w:lvl w:ilvl="0">
      <w:start w:val="1"/>
      <w:numFmt w:val="bullet"/>
      <w:lvlText w:val=""/>
      <w:lvlJc w:val="left"/>
      <w:pPr>
        <w:ind w:left="1378" w:hanging="360"/>
      </w:pPr>
      <w:rPr>
        <w:rFonts w:hint="default" w:ascii="Symbol" w:hAnsi="Symbol" w:eastAsia="Symbol" w:cs="Symbol"/>
        <w:w w:val="100"/>
        <w:sz w:val="24"/>
        <w:szCs w:val="24"/>
      </w:rPr>
    </w:lvl>
    <w:lvl w:ilvl="1">
      <w:start w:val="1"/>
      <w:numFmt w:val="bullet"/>
      <w:lvlText w:val="•"/>
      <w:lvlJc w:val="left"/>
      <w:pPr>
        <w:ind w:left="2306" w:hanging="360"/>
      </w:pPr>
      <w:rPr>
        <w:rFonts w:hint="default"/>
      </w:rPr>
    </w:lvl>
    <w:lvl w:ilvl="2">
      <w:start w:val="1"/>
      <w:numFmt w:val="bullet"/>
      <w:lvlText w:val="•"/>
      <w:lvlJc w:val="left"/>
      <w:pPr>
        <w:ind w:left="3232" w:hanging="360"/>
      </w:pPr>
      <w:rPr>
        <w:rFonts w:hint="default"/>
      </w:rPr>
    </w:lvl>
    <w:lvl w:ilvl="3">
      <w:start w:val="1"/>
      <w:numFmt w:val="bullet"/>
      <w:lvlText w:val="•"/>
      <w:lvlJc w:val="left"/>
      <w:pPr>
        <w:ind w:left="4158" w:hanging="360"/>
      </w:pPr>
      <w:rPr>
        <w:rFonts w:hint="default"/>
      </w:rPr>
    </w:lvl>
    <w:lvl w:ilvl="4">
      <w:start w:val="1"/>
      <w:numFmt w:val="bullet"/>
      <w:lvlText w:val="•"/>
      <w:lvlJc w:val="left"/>
      <w:pPr>
        <w:ind w:left="5084" w:hanging="360"/>
      </w:pPr>
      <w:rPr>
        <w:rFonts w:hint="default"/>
      </w:rPr>
    </w:lvl>
    <w:lvl w:ilvl="5">
      <w:start w:val="1"/>
      <w:numFmt w:val="bullet"/>
      <w:lvlText w:val="•"/>
      <w:lvlJc w:val="left"/>
      <w:pPr>
        <w:ind w:left="6010" w:hanging="360"/>
      </w:pPr>
      <w:rPr>
        <w:rFonts w:hint="default"/>
      </w:rPr>
    </w:lvl>
    <w:lvl w:ilvl="6">
      <w:start w:val="1"/>
      <w:numFmt w:val="bullet"/>
      <w:lvlText w:val="•"/>
      <w:lvlJc w:val="left"/>
      <w:pPr>
        <w:ind w:left="6936" w:hanging="360"/>
      </w:pPr>
      <w:rPr>
        <w:rFonts w:hint="default"/>
      </w:rPr>
    </w:lvl>
    <w:lvl w:ilvl="7">
      <w:start w:val="1"/>
      <w:numFmt w:val="bullet"/>
      <w:lvlText w:val="•"/>
      <w:lvlJc w:val="left"/>
      <w:pPr>
        <w:ind w:left="7862" w:hanging="360"/>
      </w:pPr>
      <w:rPr>
        <w:rFonts w:hint="default"/>
      </w:rPr>
    </w:lvl>
    <w:lvl w:ilvl="8">
      <w:start w:val="1"/>
      <w:numFmt w:val="bullet"/>
      <w:lvlText w:val="•"/>
      <w:lvlJc w:val="left"/>
      <w:pPr>
        <w:ind w:left="8788" w:hanging="360"/>
      </w:pPr>
      <w:rPr>
        <w:rFonts w:hint="default"/>
      </w:rPr>
    </w:lvl>
  </w:abstractNum>
  <w:abstractNum w:abstractNumId="3">
    <w:multiLevelType w:val="hybridMultilevel"/>
    <w:lvl w:ilvl="0">
      <w:start w:val="1"/>
      <w:numFmt w:val="decimal"/>
      <w:lvlText w:val="%1."/>
      <w:lvlJc w:val="left"/>
      <w:pPr>
        <w:ind w:left="658" w:hanging="271"/>
        <w:jc w:val="left"/>
      </w:pPr>
      <w:rPr>
        <w:rFonts w:hint="default" w:ascii="Arial" w:hAnsi="Arial" w:eastAsia="Arial" w:cs="Arial"/>
        <w:w w:val="99"/>
        <w:sz w:val="24"/>
        <w:szCs w:val="24"/>
      </w:rPr>
    </w:lvl>
    <w:lvl w:ilvl="1">
      <w:start w:val="4"/>
      <w:numFmt w:val="decimal"/>
      <w:lvlText w:val="%2."/>
      <w:lvlJc w:val="left"/>
      <w:pPr>
        <w:ind w:left="1378" w:hanging="360"/>
        <w:jc w:val="left"/>
      </w:pPr>
      <w:rPr>
        <w:rFonts w:hint="default"/>
        <w:b/>
        <w:bCs/>
        <w:w w:val="99"/>
      </w:rPr>
    </w:lvl>
    <w:lvl w:ilvl="2">
      <w:start w:val="1"/>
      <w:numFmt w:val="decimal"/>
      <w:lvlText w:val="%2.%3"/>
      <w:lvlJc w:val="left"/>
      <w:pPr>
        <w:ind w:left="1424" w:hanging="1056"/>
        <w:jc w:val="left"/>
      </w:pPr>
      <w:rPr>
        <w:rFonts w:hint="default"/>
        <w:b/>
        <w:bCs/>
        <w:w w:val="100"/>
      </w:rPr>
    </w:lvl>
    <w:lvl w:ilvl="3">
      <w:start w:val="1"/>
      <w:numFmt w:val="decimal"/>
      <w:lvlText w:val="%2.%3.%4"/>
      <w:lvlJc w:val="left"/>
      <w:pPr>
        <w:ind w:left="2074" w:hanging="1056"/>
        <w:jc w:val="left"/>
      </w:pPr>
      <w:rPr>
        <w:rFonts w:hint="default"/>
        <w:b/>
        <w:bCs/>
        <w:spacing w:val="-2"/>
        <w:w w:val="100"/>
      </w:rPr>
    </w:lvl>
    <w:lvl w:ilvl="4">
      <w:start w:val="1"/>
      <w:numFmt w:val="bullet"/>
      <w:lvlText w:val="•"/>
      <w:lvlJc w:val="left"/>
      <w:pPr>
        <w:ind w:left="2080" w:hanging="1056"/>
      </w:pPr>
      <w:rPr>
        <w:rFonts w:hint="default"/>
      </w:rPr>
    </w:lvl>
    <w:lvl w:ilvl="5">
      <w:start w:val="1"/>
      <w:numFmt w:val="bullet"/>
      <w:lvlText w:val="•"/>
      <w:lvlJc w:val="left"/>
      <w:pPr>
        <w:ind w:left="3506" w:hanging="1056"/>
      </w:pPr>
      <w:rPr>
        <w:rFonts w:hint="default"/>
      </w:rPr>
    </w:lvl>
    <w:lvl w:ilvl="6">
      <w:start w:val="1"/>
      <w:numFmt w:val="bullet"/>
      <w:lvlText w:val="•"/>
      <w:lvlJc w:val="left"/>
      <w:pPr>
        <w:ind w:left="4933" w:hanging="1056"/>
      </w:pPr>
      <w:rPr>
        <w:rFonts w:hint="default"/>
      </w:rPr>
    </w:lvl>
    <w:lvl w:ilvl="7">
      <w:start w:val="1"/>
      <w:numFmt w:val="bullet"/>
      <w:lvlText w:val="•"/>
      <w:lvlJc w:val="left"/>
      <w:pPr>
        <w:ind w:left="6360" w:hanging="1056"/>
      </w:pPr>
      <w:rPr>
        <w:rFonts w:hint="default"/>
      </w:rPr>
    </w:lvl>
    <w:lvl w:ilvl="8">
      <w:start w:val="1"/>
      <w:numFmt w:val="bullet"/>
      <w:lvlText w:val="•"/>
      <w:lvlJc w:val="left"/>
      <w:pPr>
        <w:ind w:left="7786" w:hanging="1056"/>
      </w:pPr>
      <w:rPr>
        <w:rFonts w:hint="default"/>
      </w:rPr>
    </w:lvl>
  </w:abstractNum>
  <w:abstractNum w:abstractNumId="2">
    <w:multiLevelType w:val="hybridMultilevel"/>
    <w:lvl w:ilvl="0">
      <w:start w:val="1"/>
      <w:numFmt w:val="bullet"/>
      <w:lvlText w:val="•"/>
      <w:lvlJc w:val="left"/>
      <w:pPr>
        <w:ind w:left="658" w:hanging="151"/>
      </w:pPr>
      <w:rPr>
        <w:rFonts w:hint="default" w:ascii="Arial" w:hAnsi="Arial" w:eastAsia="Arial" w:cs="Arial"/>
        <w:w w:val="99"/>
        <w:sz w:val="24"/>
        <w:szCs w:val="24"/>
      </w:rPr>
    </w:lvl>
    <w:lvl w:ilvl="1">
      <w:start w:val="1"/>
      <w:numFmt w:val="bullet"/>
      <w:lvlText w:val="•"/>
      <w:lvlJc w:val="left"/>
      <w:pPr>
        <w:ind w:left="1658" w:hanging="151"/>
      </w:pPr>
      <w:rPr>
        <w:rFonts w:hint="default"/>
      </w:rPr>
    </w:lvl>
    <w:lvl w:ilvl="2">
      <w:start w:val="1"/>
      <w:numFmt w:val="bullet"/>
      <w:lvlText w:val="•"/>
      <w:lvlJc w:val="left"/>
      <w:pPr>
        <w:ind w:left="2656" w:hanging="151"/>
      </w:pPr>
      <w:rPr>
        <w:rFonts w:hint="default"/>
      </w:rPr>
    </w:lvl>
    <w:lvl w:ilvl="3">
      <w:start w:val="1"/>
      <w:numFmt w:val="bullet"/>
      <w:lvlText w:val="•"/>
      <w:lvlJc w:val="left"/>
      <w:pPr>
        <w:ind w:left="3654" w:hanging="151"/>
      </w:pPr>
      <w:rPr>
        <w:rFonts w:hint="default"/>
      </w:rPr>
    </w:lvl>
    <w:lvl w:ilvl="4">
      <w:start w:val="1"/>
      <w:numFmt w:val="bullet"/>
      <w:lvlText w:val="•"/>
      <w:lvlJc w:val="left"/>
      <w:pPr>
        <w:ind w:left="4652" w:hanging="151"/>
      </w:pPr>
      <w:rPr>
        <w:rFonts w:hint="default"/>
      </w:rPr>
    </w:lvl>
    <w:lvl w:ilvl="5">
      <w:start w:val="1"/>
      <w:numFmt w:val="bullet"/>
      <w:lvlText w:val="•"/>
      <w:lvlJc w:val="left"/>
      <w:pPr>
        <w:ind w:left="5650" w:hanging="151"/>
      </w:pPr>
      <w:rPr>
        <w:rFonts w:hint="default"/>
      </w:rPr>
    </w:lvl>
    <w:lvl w:ilvl="6">
      <w:start w:val="1"/>
      <w:numFmt w:val="bullet"/>
      <w:lvlText w:val="•"/>
      <w:lvlJc w:val="left"/>
      <w:pPr>
        <w:ind w:left="6648" w:hanging="151"/>
      </w:pPr>
      <w:rPr>
        <w:rFonts w:hint="default"/>
      </w:rPr>
    </w:lvl>
    <w:lvl w:ilvl="7">
      <w:start w:val="1"/>
      <w:numFmt w:val="bullet"/>
      <w:lvlText w:val="•"/>
      <w:lvlJc w:val="left"/>
      <w:pPr>
        <w:ind w:left="7646" w:hanging="151"/>
      </w:pPr>
      <w:rPr>
        <w:rFonts w:hint="default"/>
      </w:rPr>
    </w:lvl>
    <w:lvl w:ilvl="8">
      <w:start w:val="1"/>
      <w:numFmt w:val="bullet"/>
      <w:lvlText w:val="•"/>
      <w:lvlJc w:val="left"/>
      <w:pPr>
        <w:ind w:left="8644" w:hanging="151"/>
      </w:pPr>
      <w:rPr>
        <w:rFonts w:hint="default"/>
      </w:rPr>
    </w:lvl>
  </w:abstractNum>
  <w:abstractNum w:abstractNumId="1">
    <w:multiLevelType w:val="hybridMultilevel"/>
    <w:lvl w:ilvl="0">
      <w:start w:val="1"/>
      <w:numFmt w:val="decimal"/>
      <w:lvlText w:val="%1"/>
      <w:lvlJc w:val="left"/>
      <w:pPr>
        <w:ind w:left="658" w:hanging="425"/>
        <w:jc w:val="left"/>
      </w:pPr>
      <w:rPr>
        <w:rFonts w:hint="default"/>
      </w:rPr>
    </w:lvl>
    <w:lvl w:ilvl="1">
      <w:start w:val="5"/>
      <w:numFmt w:val="decimal"/>
      <w:lvlText w:val="%1.%2"/>
      <w:lvlJc w:val="left"/>
      <w:pPr>
        <w:ind w:left="658" w:hanging="425"/>
        <w:jc w:val="left"/>
      </w:pPr>
      <w:rPr>
        <w:rFonts w:hint="default" w:ascii="Arial" w:hAnsi="Arial" w:eastAsia="Arial" w:cs="Arial"/>
        <w:w w:val="99"/>
        <w:sz w:val="24"/>
        <w:szCs w:val="24"/>
      </w:rPr>
    </w:lvl>
    <w:lvl w:ilvl="2">
      <w:start w:val="1"/>
      <w:numFmt w:val="bullet"/>
      <w:lvlText w:val=""/>
      <w:lvlJc w:val="left"/>
      <w:pPr>
        <w:ind w:left="1378" w:hanging="360"/>
      </w:pPr>
      <w:rPr>
        <w:rFonts w:hint="default" w:ascii="Wingdings" w:hAnsi="Wingdings" w:eastAsia="Wingdings" w:cs="Wingdings"/>
        <w:w w:val="100"/>
        <w:sz w:val="24"/>
        <w:szCs w:val="24"/>
      </w:rPr>
    </w:lvl>
    <w:lvl w:ilvl="3">
      <w:start w:val="1"/>
      <w:numFmt w:val="bullet"/>
      <w:lvlText w:val="•"/>
      <w:lvlJc w:val="left"/>
      <w:pPr>
        <w:ind w:left="3437" w:hanging="360"/>
      </w:pPr>
      <w:rPr>
        <w:rFonts w:hint="default"/>
      </w:rPr>
    </w:lvl>
    <w:lvl w:ilvl="4">
      <w:start w:val="1"/>
      <w:numFmt w:val="bullet"/>
      <w:lvlText w:val="•"/>
      <w:lvlJc w:val="left"/>
      <w:pPr>
        <w:ind w:left="4466" w:hanging="360"/>
      </w:pPr>
      <w:rPr>
        <w:rFonts w:hint="default"/>
      </w:rPr>
    </w:lvl>
    <w:lvl w:ilvl="5">
      <w:start w:val="1"/>
      <w:numFmt w:val="bullet"/>
      <w:lvlText w:val="•"/>
      <w:lvlJc w:val="left"/>
      <w:pPr>
        <w:ind w:left="5495" w:hanging="360"/>
      </w:pPr>
      <w:rPr>
        <w:rFonts w:hint="default"/>
      </w:rPr>
    </w:lvl>
    <w:lvl w:ilvl="6">
      <w:start w:val="1"/>
      <w:numFmt w:val="bullet"/>
      <w:lvlText w:val="•"/>
      <w:lvlJc w:val="left"/>
      <w:pPr>
        <w:ind w:left="6524" w:hanging="360"/>
      </w:pPr>
      <w:rPr>
        <w:rFonts w:hint="default"/>
      </w:rPr>
    </w:lvl>
    <w:lvl w:ilvl="7">
      <w:start w:val="1"/>
      <w:numFmt w:val="bullet"/>
      <w:lvlText w:val="•"/>
      <w:lvlJc w:val="left"/>
      <w:pPr>
        <w:ind w:left="7553" w:hanging="360"/>
      </w:pPr>
      <w:rPr>
        <w:rFonts w:hint="default"/>
      </w:rPr>
    </w:lvl>
    <w:lvl w:ilvl="8">
      <w:start w:val="1"/>
      <w:numFmt w:val="bullet"/>
      <w:lvlText w:val="•"/>
      <w:lvlJc w:val="left"/>
      <w:pPr>
        <w:ind w:left="8582" w:hanging="360"/>
      </w:pPr>
      <w:rPr>
        <w:rFonts w:hint="default"/>
      </w:rPr>
    </w:lvl>
  </w:abstractNum>
  <w:abstractNum w:abstractNumId="0">
    <w:multiLevelType w:val="hybridMultilevel"/>
    <w:lvl w:ilvl="0">
      <w:start w:val="1"/>
      <w:numFmt w:val="decimal"/>
      <w:lvlText w:val="%1."/>
      <w:lvlJc w:val="left"/>
      <w:pPr>
        <w:ind w:left="1378" w:hanging="360"/>
        <w:jc w:val="left"/>
      </w:pPr>
      <w:rPr>
        <w:rFonts w:hint="default"/>
        <w:b/>
        <w:bCs/>
        <w:spacing w:val="-1"/>
        <w:w w:val="100"/>
      </w:rPr>
    </w:lvl>
    <w:lvl w:ilvl="1">
      <w:start w:val="1"/>
      <w:numFmt w:val="decimal"/>
      <w:lvlText w:val="%1.%2"/>
      <w:lvlJc w:val="left"/>
      <w:pPr>
        <w:ind w:left="1503" w:hanging="485"/>
        <w:jc w:val="left"/>
      </w:pPr>
      <w:rPr>
        <w:rFonts w:hint="default" w:ascii="Arial" w:hAnsi="Arial" w:eastAsia="Arial" w:cs="Arial"/>
        <w:w w:val="100"/>
        <w:sz w:val="28"/>
        <w:szCs w:val="28"/>
      </w:rPr>
    </w:lvl>
    <w:lvl w:ilvl="2">
      <w:start w:val="1"/>
      <w:numFmt w:val="bullet"/>
      <w:lvlText w:val="•"/>
      <w:lvlJc w:val="left"/>
      <w:pPr>
        <w:ind w:left="2515" w:hanging="485"/>
      </w:pPr>
      <w:rPr>
        <w:rFonts w:hint="default"/>
      </w:rPr>
    </w:lvl>
    <w:lvl w:ilvl="3">
      <w:start w:val="1"/>
      <w:numFmt w:val="bullet"/>
      <w:lvlText w:val="•"/>
      <w:lvlJc w:val="left"/>
      <w:pPr>
        <w:ind w:left="3531" w:hanging="485"/>
      </w:pPr>
      <w:rPr>
        <w:rFonts w:hint="default"/>
      </w:rPr>
    </w:lvl>
    <w:lvl w:ilvl="4">
      <w:start w:val="1"/>
      <w:numFmt w:val="bullet"/>
      <w:lvlText w:val="•"/>
      <w:lvlJc w:val="left"/>
      <w:pPr>
        <w:ind w:left="4546" w:hanging="485"/>
      </w:pPr>
      <w:rPr>
        <w:rFonts w:hint="default"/>
      </w:rPr>
    </w:lvl>
    <w:lvl w:ilvl="5">
      <w:start w:val="1"/>
      <w:numFmt w:val="bullet"/>
      <w:lvlText w:val="•"/>
      <w:lvlJc w:val="left"/>
      <w:pPr>
        <w:ind w:left="5562" w:hanging="485"/>
      </w:pPr>
      <w:rPr>
        <w:rFonts w:hint="default"/>
      </w:rPr>
    </w:lvl>
    <w:lvl w:ilvl="6">
      <w:start w:val="1"/>
      <w:numFmt w:val="bullet"/>
      <w:lvlText w:val="•"/>
      <w:lvlJc w:val="left"/>
      <w:pPr>
        <w:ind w:left="6577" w:hanging="485"/>
      </w:pPr>
      <w:rPr>
        <w:rFonts w:hint="default"/>
      </w:rPr>
    </w:lvl>
    <w:lvl w:ilvl="7">
      <w:start w:val="1"/>
      <w:numFmt w:val="bullet"/>
      <w:lvlText w:val="•"/>
      <w:lvlJc w:val="left"/>
      <w:pPr>
        <w:ind w:left="7593" w:hanging="485"/>
      </w:pPr>
      <w:rPr>
        <w:rFonts w:hint="default"/>
      </w:rPr>
    </w:lvl>
    <w:lvl w:ilvl="8">
      <w:start w:val="1"/>
      <w:numFmt w:val="bullet"/>
      <w:lvlText w:val="•"/>
      <w:lvlJc w:val="left"/>
      <w:pPr>
        <w:ind w:left="8608" w:hanging="485"/>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140" w:right="286"/>
      <w:outlineLvl w:val="1"/>
    </w:pPr>
    <w:rPr>
      <w:rFonts w:ascii="Arial" w:hAnsi="Arial" w:eastAsia="Arial" w:cs="Arial"/>
      <w:b/>
      <w:bCs/>
      <w:sz w:val="80"/>
      <w:szCs w:val="80"/>
    </w:rPr>
  </w:style>
  <w:style w:styleId="Heading2" w:type="paragraph">
    <w:name w:val="Heading 2"/>
    <w:basedOn w:val="Normal"/>
    <w:uiPriority w:val="1"/>
    <w:qFormat/>
    <w:pPr>
      <w:spacing w:before="28"/>
      <w:ind w:left="1378"/>
      <w:outlineLvl w:val="2"/>
    </w:pPr>
    <w:rPr>
      <w:rFonts w:ascii="Arial" w:hAnsi="Arial" w:eastAsia="Arial" w:cs="Arial"/>
      <w:b/>
      <w:bCs/>
      <w:sz w:val="36"/>
      <w:szCs w:val="36"/>
    </w:rPr>
  </w:style>
  <w:style w:styleId="Heading3" w:type="paragraph">
    <w:name w:val="Heading 3"/>
    <w:basedOn w:val="Normal"/>
    <w:uiPriority w:val="1"/>
    <w:qFormat/>
    <w:pPr>
      <w:spacing w:before="48"/>
      <w:ind w:left="1194" w:hanging="532"/>
      <w:outlineLvl w:val="3"/>
    </w:pPr>
    <w:rPr>
      <w:rFonts w:ascii="Arial" w:hAnsi="Arial" w:eastAsia="Arial" w:cs="Arial"/>
      <w:b/>
      <w:bCs/>
      <w:sz w:val="32"/>
      <w:szCs w:val="32"/>
    </w:rPr>
  </w:style>
  <w:style w:styleId="Heading4" w:type="paragraph">
    <w:name w:val="Heading 4"/>
    <w:basedOn w:val="Normal"/>
    <w:uiPriority w:val="1"/>
    <w:qFormat/>
    <w:pPr>
      <w:ind w:left="2074" w:hanging="1056"/>
      <w:outlineLvl w:val="4"/>
    </w:pPr>
    <w:rPr>
      <w:rFonts w:ascii="Arial" w:hAnsi="Arial" w:eastAsia="Arial" w:cs="Arial"/>
      <w:b/>
      <w:bCs/>
      <w:sz w:val="28"/>
      <w:szCs w:val="28"/>
    </w:rPr>
  </w:style>
  <w:style w:styleId="Heading5" w:type="paragraph">
    <w:name w:val="Heading 5"/>
    <w:basedOn w:val="Normal"/>
    <w:uiPriority w:val="1"/>
    <w:qFormat/>
    <w:pPr>
      <w:ind w:left="1503" w:hanging="485"/>
      <w:outlineLvl w:val="5"/>
    </w:pPr>
    <w:rPr>
      <w:rFonts w:ascii="Arial" w:hAnsi="Arial" w:eastAsia="Arial" w:cs="Arial"/>
      <w:sz w:val="28"/>
      <w:szCs w:val="28"/>
    </w:rPr>
  </w:style>
  <w:style w:styleId="Heading6" w:type="paragraph">
    <w:name w:val="Heading 6"/>
    <w:basedOn w:val="Normal"/>
    <w:uiPriority w:val="1"/>
    <w:qFormat/>
    <w:pPr>
      <w:ind w:left="662"/>
      <w:jc w:val="both"/>
      <w:outlineLvl w:val="6"/>
    </w:pPr>
    <w:rPr>
      <w:rFonts w:ascii="Arial" w:hAnsi="Arial" w:eastAsia="Arial" w:cs="Arial"/>
      <w:b/>
      <w:bCs/>
      <w:sz w:val="24"/>
      <w:szCs w:val="24"/>
    </w:rPr>
  </w:style>
  <w:style w:styleId="ListParagraph" w:type="paragraph">
    <w:name w:val="List Paragraph"/>
    <w:basedOn w:val="Normal"/>
    <w:uiPriority w:val="1"/>
    <w:qFormat/>
    <w:pPr>
      <w:ind w:left="658"/>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hyperlink" Target="http://es.wikipedia.org/wiki/Ox%C3%ADgeno_diat%C3%B3mico" TargetMode="External"/><Relationship Id="rId11" Type="http://schemas.openxmlformats.org/officeDocument/2006/relationships/hyperlink" Target="http://es.wikipedia.org/wiki/Aguas_servidas" TargetMode="External"/><Relationship Id="rId12" Type="http://schemas.openxmlformats.org/officeDocument/2006/relationships/hyperlink" Target="http://es.wikipedia.org/wiki/Qu%C3%ADmica_org%C3%A1nica" TargetMode="External"/><Relationship Id="rId13" Type="http://schemas.openxmlformats.org/officeDocument/2006/relationships/hyperlink" Target="http://es.wikipedia.org/wiki/Oxidabilidad" TargetMode="External"/><Relationship Id="rId14" Type="http://schemas.openxmlformats.org/officeDocument/2006/relationships/hyperlink" Target="http://es.wikipedia.org/w/index.php?title=%C3%81cido_dicr%C3%B3mico&amp;amp;action=edit&amp;amp;redlink=1" TargetMode="External"/><Relationship Id="rId15" Type="http://schemas.openxmlformats.org/officeDocument/2006/relationships/hyperlink" Target="http://es.wikipedia.org/wiki/Oxidante" TargetMode="External"/><Relationship Id="rId16" Type="http://schemas.openxmlformats.org/officeDocument/2006/relationships/hyperlink" Target="http://es.wikipedia.org/wiki/Incendio" TargetMode="External"/><Relationship Id="rId17" Type="http://schemas.openxmlformats.org/officeDocument/2006/relationships/hyperlink" Target="http://www.iarc.fr/" TargetMode="External"/><Relationship Id="rId18" Type="http://schemas.openxmlformats.org/officeDocument/2006/relationships/image" Target="media/image4.png"/><Relationship Id="rId19" Type="http://schemas.openxmlformats.org/officeDocument/2006/relationships/image" Target="media/image5.png"/><Relationship Id="rId20" Type="http://schemas.openxmlformats.org/officeDocument/2006/relationships/footer" Target="footer3.xml"/><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footer" Target="footer4.xml"/><Relationship Id="rId25" Type="http://schemas.openxmlformats.org/officeDocument/2006/relationships/hyperlink" Target="mailto:em@editorialmanager.com" TargetMode="External"/><Relationship Id="rId26" Type="http://schemas.openxmlformats.org/officeDocument/2006/relationships/hyperlink" Target="mailto:patbh2003@yahoo.com.mx" TargetMode="External"/><Relationship Id="rId27" Type="http://schemas.openxmlformats.org/officeDocument/2006/relationships/hyperlink" Target="http://wst.edmgr.com/" TargetMode="External"/><Relationship Id="rId28" Type="http://schemas.openxmlformats.org/officeDocument/2006/relationships/footer" Target="footer5.xml"/><Relationship Id="rId29" Type="http://schemas.openxmlformats.org/officeDocument/2006/relationships/footer" Target="footer6.xml"/><Relationship Id="rId30" Type="http://schemas.openxmlformats.org/officeDocument/2006/relationships/hyperlink" Target="http://sgitt-otri.ua.es/es/empresa/documentos/to-cod-eng.pdf" TargetMode="External"/><Relationship Id="rId31" Type="http://schemas.openxmlformats.org/officeDocument/2006/relationships/hyperlink" Target="http://www.h2o2.com/products-and-services/us-peroxide-" TargetMode="External"/><Relationship Id="rId32" Type="http://schemas.openxmlformats.org/officeDocument/2006/relationships/image" Target="media/image9.png"/><Relationship Id="rId33" Type="http://schemas.openxmlformats.org/officeDocument/2006/relationships/image" Target="media/image10.png"/><Relationship Id="rId34" Type="http://schemas.openxmlformats.org/officeDocument/2006/relationships/image" Target="media/image11.png"/><Relationship Id="rId35" Type="http://schemas.openxmlformats.org/officeDocument/2006/relationships/image" Target="media/image12.png"/><Relationship Id="rId36" Type="http://schemas.openxmlformats.org/officeDocument/2006/relationships/image" Target="media/image13.png"/><Relationship Id="rId37" Type="http://schemas.openxmlformats.org/officeDocument/2006/relationships/image" Target="media/image14.png"/><Relationship Id="rId38" Type="http://schemas.openxmlformats.org/officeDocument/2006/relationships/image" Target="media/image15.png"/><Relationship Id="rId39" Type="http://schemas.openxmlformats.org/officeDocument/2006/relationships/image" Target="media/image16.png"/><Relationship Id="rId40" Type="http://schemas.openxmlformats.org/officeDocument/2006/relationships/image" Target="media/image17.png"/><Relationship Id="rId41" Type="http://schemas.openxmlformats.org/officeDocument/2006/relationships/image" Target="media/image18.png"/><Relationship Id="rId42" Type="http://schemas.openxmlformats.org/officeDocument/2006/relationships/image" Target="media/image19.png"/><Relationship Id="rId43" Type="http://schemas.openxmlformats.org/officeDocument/2006/relationships/image" Target="media/image20.png"/><Relationship Id="rId44" Type="http://schemas.openxmlformats.org/officeDocument/2006/relationships/hyperlink" Target="http://pubs.acs.org/journal/iecred" TargetMode="External"/><Relationship Id="rId45" Type="http://schemas.openxmlformats.org/officeDocument/2006/relationships/hyperlink" Target="http://tesiuami.izt.uam.mx/uam/aspuam/presentatesis.php?recno=1541&amp;amp;docs=UAM1541.PDF" TargetMode="External"/><Relationship Id="rId46" Type="http://schemas.openxmlformats.org/officeDocument/2006/relationships/hyperlink" Target="http://www.estrucplan.com.ar/articulos/verarticulo.asp?IDArticulo=1339" TargetMode="External"/><Relationship Id="rId47" Type="http://schemas.openxmlformats.org/officeDocument/2006/relationships/hyperlink" Target="http://www.uoregon.edu/%7Ehutchlab/greenchem/index.html" TargetMode="External"/><Relationship Id="rId48" Type="http://schemas.openxmlformats.org/officeDocument/2006/relationships/hyperlink" Target="http://tesis.pucp.edu.pe/repositorio/bitstream/handle/123456789/6727/LAGOS_LESLY_" TargetMode="External"/><Relationship Id="rId49" Type="http://schemas.openxmlformats.org/officeDocument/2006/relationships/hyperlink" Target="http://repositorio.utp.edu.co/dspace/bitstream/handle/11059/5340/541395L780.pdf?sequence=1&amp;amp;isAllowed=y" TargetMode="External"/><Relationship Id="rId50" Type="http://schemas.openxmlformats.org/officeDocument/2006/relationships/hyperlink" Target="http://sgitt-otri.ua.es/en/empresa/documentos/ot-0703-dqo.pdf" TargetMode="External"/><Relationship Id="rId51" Type="http://schemas.openxmlformats.org/officeDocument/2006/relationships/hyperlink" Target="http://es.wikipedia.org/wiki/Dicromato_de_potasio" TargetMode="External"/><Relationship Id="rId52" Type="http://schemas.openxmlformats.org/officeDocument/2006/relationships/hyperlink" Target="http://repository.unilibre.edu.co/bitstream/handle/10901/8110/Proyecto%20Grado%20pH_UV_Final.pdf?sequence=1&amp;amp;isAllowed=y" TargetMode="External"/><Relationship Id="rId53" Type="http://schemas.openxmlformats.org/officeDocument/2006/relationships/hyperlink" Target="http://itzamna.bnct.ipn.mx/handle/123456789/16895" TargetMode="External"/><Relationship Id="rId54" Type="http://schemas.openxmlformats.org/officeDocument/2006/relationships/hyperlink" Target="http://upcommons.upc.edu/bitstream/handle/2117/88273/01_TFG.pdf?sequence=1&amp;amp;isAllowed=y" TargetMode="External"/><Relationship Id="rId55" Type="http://schemas.openxmlformats.org/officeDocument/2006/relationships/hyperlink" Target="http://www.dspace.uce.edu.ec/bitstream/25000/6959/1/T-UCE-0017-0027-2016.pdf" TargetMode="External"/><Relationship Id="rId56" Type="http://schemas.openxmlformats.org/officeDocument/2006/relationships/footer" Target="footer7.xml"/><Relationship Id="rId57" Type="http://schemas.openxmlformats.org/officeDocument/2006/relationships/footer" Target="footer8.xml"/><Relationship Id="rId58" Type="http://schemas.openxmlformats.org/officeDocument/2006/relationships/hyperlink" Target="https://es.wikipedia.org/wiki/Acidez" TargetMode="External"/><Relationship Id="rId59" Type="http://schemas.openxmlformats.org/officeDocument/2006/relationships/hyperlink" Target="https://es.wikipedia.org/wiki/Base_(qu%C3%ADmica)" TargetMode="External"/><Relationship Id="rId60" Type="http://schemas.openxmlformats.org/officeDocument/2006/relationships/hyperlink" Target="https://es.wikipedia.org/wiki/Disoluci%C3%B3n" TargetMode="External"/><Relationship Id="rId61" Type="http://schemas.openxmlformats.org/officeDocument/2006/relationships/hyperlink" Target="https://es.wikipedia.org/wiki/Hidronio" TargetMode="External"/><Relationship Id="rId62" Type="http://schemas.openxmlformats.org/officeDocument/2006/relationships/hyperlink" Target="http://es.wikipedia.org/wiki/Materia_org%C3%A1nica" TargetMode="External"/><Relationship Id="rId63" Type="http://schemas.openxmlformats.org/officeDocument/2006/relationships/hyperlink" Target="http://es.wikipedia.org/wiki/Contaminaci%C3%B3n" TargetMode="External"/><Relationship Id="rId64" Type="http://schemas.openxmlformats.org/officeDocument/2006/relationships/image" Target="media/image21.jpeg"/><Relationship Id="rId65" Type="http://schemas.openxmlformats.org/officeDocument/2006/relationships/image" Target="media/image22.jpeg"/><Relationship Id="rId66" Type="http://schemas.openxmlformats.org/officeDocument/2006/relationships/image" Target="media/image23.jpeg"/><Relationship Id="rId67" Type="http://schemas.openxmlformats.org/officeDocument/2006/relationships/image" Target="media/image24.jpeg"/><Relationship Id="rId68" Type="http://schemas.openxmlformats.org/officeDocument/2006/relationships/image" Target="media/image25.jpeg"/><Relationship Id="rId69" Type="http://schemas.openxmlformats.org/officeDocument/2006/relationships/image" Target="media/image26.png"/><Relationship Id="rId7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2017-05-24T21:26:06Z</dcterms:created>
  <dcterms:modified xsi:type="dcterms:W3CDTF">2017-05-24T21:26:06Z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