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png" ContentType="image/pn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64.5pt;margin-top:91.299995pt;width:485.35pt;height:622.9pt;mso-position-horizontal-relative:page;mso-position-vertical-relative:page;z-index:-175000" coordorigin="1290,1826" coordsize="9707,12458">
            <v:shape style="position:absolute;left:1290;top:1826;width:2011;height:1775" type="#_x0000_t75" stroked="false">
              <v:imagedata r:id="rId5" o:title=""/>
            </v:shape>
            <v:line style="position:absolute" from="3237,3150" to="10967,3150" stroked="true" strokeweight="3pt" strokecolor="#000000"/>
            <v:line style="position:absolute" from="3426,3272" to="10778,3272" stroked="true" strokeweight="2.25pt" strokecolor="#000000"/>
            <v:line style="position:absolute" from="3614,3373" to="10590,3373" stroked="true" strokeweight=".75pt" strokecolor="#000000"/>
            <v:line style="position:absolute" from="2294,3664" to="2294,12431" stroked="true" strokeweight="3pt" strokecolor="#000000"/>
            <v:shape style="position:absolute;left:1334;top:12675;width:1973;height:1609" type="#_x0000_t75" stroked="false">
              <v:imagedata r:id="rId6" o:title=""/>
            </v:shape>
            <v:shape style="position:absolute;left:1917;top:3846;width:754;height:8829" coordorigin="1917,3846" coordsize="754,8829" path="m2671,3908l2671,12675m1917,3846l1917,12613e" filled="false" stroked="true" strokeweight="1.5pt" strokecolor="#000000">
              <v:path arrowok="t"/>
            </v:shape>
            <w10:wrap type="none"/>
          </v:group>
        </w:pict>
      </w:r>
    </w:p>
    <w:p>
      <w:pPr>
        <w:pStyle w:val="BodyText"/>
        <w:rPr>
          <w:rFonts w:ascii="Times New Roman"/>
          <w:sz w:val="16"/>
        </w:rPr>
      </w:pPr>
    </w:p>
    <w:p>
      <w:pPr>
        <w:spacing w:before="65"/>
        <w:ind w:left="2449" w:right="362" w:firstLine="0"/>
        <w:jc w:val="center"/>
        <w:rPr>
          <w:b/>
          <w:sz w:val="28"/>
        </w:rPr>
      </w:pPr>
      <w:r>
        <w:rPr>
          <w:b/>
          <w:sz w:val="28"/>
        </w:rPr>
        <w:t>Universidad Autónoma del Estado de México</w:t>
      </w:r>
    </w:p>
    <w:p>
      <w:pPr>
        <w:pStyle w:val="BodyText"/>
        <w:spacing w:before="2"/>
        <w:rPr>
          <w:b/>
          <w:sz w:val="36"/>
        </w:rPr>
      </w:pPr>
    </w:p>
    <w:p>
      <w:pPr>
        <w:pStyle w:val="Heading2"/>
        <w:ind w:left="2449" w:right="365"/>
        <w:jc w:val="center"/>
      </w:pPr>
      <w:r>
        <w:rPr/>
        <w:t>Facultad de Enfermería y Obstetricia</w:t>
      </w:r>
    </w:p>
    <w:p>
      <w:pPr>
        <w:pStyle w:val="BodyText"/>
        <w:rPr>
          <w:b/>
        </w:rPr>
      </w:pPr>
    </w:p>
    <w:p>
      <w:pPr>
        <w:pStyle w:val="BodyText"/>
        <w:rPr>
          <w:b/>
        </w:rPr>
      </w:pPr>
    </w:p>
    <w:p>
      <w:pPr>
        <w:pStyle w:val="BodyText"/>
        <w:rPr>
          <w:b/>
        </w:rPr>
      </w:pPr>
    </w:p>
    <w:p>
      <w:pPr>
        <w:pStyle w:val="BodyText"/>
        <w:rPr>
          <w:b/>
        </w:rPr>
      </w:pPr>
    </w:p>
    <w:p>
      <w:pPr>
        <w:pStyle w:val="BodyText"/>
        <w:spacing w:before="10"/>
        <w:rPr>
          <w:b/>
          <w:sz w:val="23"/>
        </w:rPr>
      </w:pPr>
    </w:p>
    <w:p>
      <w:pPr>
        <w:spacing w:line="360" w:lineRule="auto" w:before="0"/>
        <w:ind w:left="2449" w:right="786" w:firstLine="0"/>
        <w:jc w:val="center"/>
        <w:rPr>
          <w:b/>
          <w:sz w:val="28"/>
        </w:rPr>
      </w:pPr>
      <w:r>
        <w:rPr>
          <w:b/>
          <w:sz w:val="28"/>
        </w:rPr>
        <w:t>Nivel de sobrecarga en los cuidadores informales primarios de adultos mayores hospitalizados</w:t>
      </w:r>
    </w:p>
    <w:p>
      <w:pPr>
        <w:pStyle w:val="BodyText"/>
        <w:rPr>
          <w:b/>
          <w:sz w:val="28"/>
        </w:rPr>
      </w:pPr>
    </w:p>
    <w:p>
      <w:pPr>
        <w:pStyle w:val="BodyText"/>
        <w:rPr>
          <w:b/>
          <w:sz w:val="28"/>
        </w:rPr>
      </w:pPr>
    </w:p>
    <w:p>
      <w:pPr>
        <w:spacing w:before="184"/>
        <w:ind w:left="2446" w:right="789" w:firstLine="0"/>
        <w:jc w:val="center"/>
        <w:rPr>
          <w:b/>
          <w:sz w:val="32"/>
        </w:rPr>
      </w:pPr>
      <w:r>
        <w:rPr>
          <w:b/>
          <w:sz w:val="32"/>
        </w:rPr>
        <w:t>TRABAJO TERMINAL</w:t>
      </w:r>
    </w:p>
    <w:p>
      <w:pPr>
        <w:pStyle w:val="BodyText"/>
        <w:rPr>
          <w:b/>
          <w:sz w:val="32"/>
        </w:rPr>
      </w:pPr>
    </w:p>
    <w:p>
      <w:pPr>
        <w:pStyle w:val="BodyText"/>
        <w:rPr>
          <w:b/>
          <w:sz w:val="32"/>
        </w:rPr>
      </w:pPr>
    </w:p>
    <w:p>
      <w:pPr>
        <w:pStyle w:val="BodyText"/>
        <w:spacing w:before="281"/>
        <w:ind w:left="2449" w:right="786"/>
        <w:jc w:val="center"/>
      </w:pPr>
      <w:r>
        <w:rPr/>
        <w:t>Para obtener el grado de:</w:t>
      </w:r>
    </w:p>
    <w:p>
      <w:pPr>
        <w:pStyle w:val="BodyText"/>
        <w:spacing w:line="360" w:lineRule="auto" w:before="139"/>
        <w:ind w:left="2449" w:right="789"/>
        <w:jc w:val="center"/>
      </w:pPr>
      <w:r>
        <w:rPr/>
        <w:t>MAESTRO EN ENFERMERÍA, OPCIÓN TERMINAL TERAPIA INTENSIVA</w:t>
      </w:r>
    </w:p>
    <w:p>
      <w:pPr>
        <w:pStyle w:val="BodyText"/>
      </w:pPr>
    </w:p>
    <w:p>
      <w:pPr>
        <w:pStyle w:val="BodyText"/>
        <w:spacing w:before="142"/>
        <w:ind w:left="2449" w:right="787"/>
        <w:jc w:val="center"/>
      </w:pPr>
      <w:r>
        <w:rPr/>
        <w:t>PRESENTA:</w:t>
      </w:r>
    </w:p>
    <w:p>
      <w:pPr>
        <w:spacing w:before="135"/>
        <w:ind w:left="4120" w:right="0" w:firstLine="0"/>
        <w:jc w:val="left"/>
        <w:rPr>
          <w:b/>
          <w:sz w:val="28"/>
        </w:rPr>
      </w:pPr>
      <w:r>
        <w:rPr>
          <w:b/>
          <w:sz w:val="28"/>
        </w:rPr>
        <w:t>L.E. Gerardo Díaz Jardón</w:t>
      </w:r>
    </w:p>
    <w:p>
      <w:pPr>
        <w:pStyle w:val="BodyText"/>
        <w:rPr>
          <w:b/>
          <w:sz w:val="28"/>
        </w:rPr>
      </w:pPr>
    </w:p>
    <w:p>
      <w:pPr>
        <w:pStyle w:val="BodyText"/>
        <w:spacing w:before="2"/>
        <w:rPr>
          <w:b/>
          <w:sz w:val="22"/>
        </w:rPr>
      </w:pPr>
    </w:p>
    <w:p>
      <w:pPr>
        <w:pStyle w:val="Heading2"/>
        <w:ind w:left="2449" w:right="785"/>
        <w:jc w:val="center"/>
      </w:pPr>
      <w:r>
        <w:rPr/>
        <w:t>DIRECTOR DE TESIS</w:t>
      </w:r>
    </w:p>
    <w:p>
      <w:pPr>
        <w:spacing w:before="137"/>
        <w:ind w:left="2446" w:right="789" w:firstLine="0"/>
        <w:jc w:val="center"/>
        <w:rPr>
          <w:i/>
          <w:sz w:val="24"/>
        </w:rPr>
      </w:pPr>
      <w:r>
        <w:rPr>
          <w:i/>
          <w:sz w:val="24"/>
        </w:rPr>
        <w:t>Dra. en Enf. Cleotilde García Reza</w:t>
      </w:r>
    </w:p>
    <w:p>
      <w:pPr>
        <w:pStyle w:val="BodyText"/>
        <w:rPr>
          <w:i/>
        </w:rPr>
      </w:pPr>
    </w:p>
    <w:p>
      <w:pPr>
        <w:pStyle w:val="BodyText"/>
        <w:spacing w:before="2"/>
        <w:rPr>
          <w:i/>
        </w:rPr>
      </w:pPr>
    </w:p>
    <w:p>
      <w:pPr>
        <w:pStyle w:val="Heading3"/>
        <w:ind w:left="2449" w:right="362"/>
        <w:rPr>
          <w:i/>
        </w:rPr>
      </w:pPr>
      <w:r>
        <w:rPr>
          <w:i/>
        </w:rPr>
        <w:t>REVISORES</w:t>
      </w:r>
    </w:p>
    <w:p>
      <w:pPr>
        <w:spacing w:line="360" w:lineRule="auto" w:before="134"/>
        <w:ind w:left="3849" w:right="1759" w:firstLine="0"/>
        <w:jc w:val="center"/>
        <w:rPr>
          <w:i/>
          <w:sz w:val="24"/>
        </w:rPr>
      </w:pPr>
      <w:r>
        <w:rPr>
          <w:i/>
          <w:sz w:val="24"/>
        </w:rPr>
        <w:t>Mtra. en SHO. Matiana Morales del Pilar </w:t>
      </w:r>
      <w:r>
        <w:rPr>
          <w:i/>
          <w:sz w:val="24"/>
        </w:rPr>
        <w:t>Mtra. en EC. Patricia Cruz Bello</w:t>
      </w:r>
    </w:p>
    <w:p>
      <w:pPr>
        <w:pStyle w:val="BodyText"/>
        <w:rPr>
          <w:i/>
        </w:rPr>
      </w:pPr>
    </w:p>
    <w:p>
      <w:pPr>
        <w:spacing w:before="142"/>
        <w:ind w:left="6455" w:right="0" w:firstLine="0"/>
        <w:jc w:val="left"/>
        <w:rPr>
          <w:i/>
          <w:sz w:val="24"/>
        </w:rPr>
      </w:pPr>
      <w:r>
        <w:rPr>
          <w:i/>
          <w:sz w:val="24"/>
        </w:rPr>
        <w:t>Toluca, México, junio de 2014</w:t>
      </w:r>
    </w:p>
    <w:p>
      <w:pPr>
        <w:spacing w:after="0"/>
        <w:jc w:val="left"/>
        <w:rPr>
          <w:sz w:val="24"/>
        </w:rPr>
        <w:sectPr>
          <w:type w:val="continuous"/>
          <w:pgSz w:w="12250" w:h="15850"/>
          <w:pgMar w:top="1500" w:bottom="280" w:left="1180" w:right="1140"/>
        </w:sectPr>
      </w:pPr>
    </w:p>
    <w:p>
      <w:pPr>
        <w:pStyle w:val="BodyText"/>
        <w:rPr>
          <w:sz w:val="20"/>
        </w:rPr>
      </w:pPr>
      <w:r>
        <w:rPr>
          <w:sz w:val="20"/>
        </w:rPr>
        <w:drawing>
          <wp:inline distT="0" distB="0" distL="0" distR="0">
            <wp:extent cx="7653232" cy="9915525"/>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7653232" cy="9915525"/>
                    </a:xfrm>
                    <a:prstGeom prst="rect">
                      <a:avLst/>
                    </a:prstGeom>
                  </pic:spPr>
                </pic:pic>
              </a:graphicData>
            </a:graphic>
          </wp:inline>
        </w:drawing>
      </w:r>
      <w:r>
        <w:rPr>
          <w:sz w:val="20"/>
        </w:rPr>
      </w:r>
    </w:p>
    <w:p>
      <w:pPr>
        <w:spacing w:after="0"/>
        <w:rPr>
          <w:sz w:val="20"/>
        </w:rPr>
        <w:sectPr>
          <w:pgSz w:w="12250" w:h="15850"/>
          <w:pgMar w:top="0" w:bottom="0" w:left="0" w:right="0"/>
        </w:sectPr>
      </w:pPr>
    </w:p>
    <w:p>
      <w:pPr>
        <w:pStyle w:val="BodyText"/>
        <w:rPr>
          <w:sz w:val="20"/>
        </w:rPr>
      </w:pPr>
      <w:r>
        <w:rPr>
          <w:sz w:val="20"/>
        </w:rPr>
        <w:drawing>
          <wp:inline distT="0" distB="0" distL="0" distR="0">
            <wp:extent cx="7711500" cy="9993630"/>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7711500" cy="9993630"/>
                    </a:xfrm>
                    <a:prstGeom prst="rect">
                      <a:avLst/>
                    </a:prstGeom>
                  </pic:spPr>
                </pic:pic>
              </a:graphicData>
            </a:graphic>
          </wp:inline>
        </w:drawing>
      </w:r>
      <w:r>
        <w:rPr>
          <w:sz w:val="20"/>
        </w:rPr>
      </w:r>
    </w:p>
    <w:p>
      <w:pPr>
        <w:spacing w:after="0"/>
        <w:rPr>
          <w:sz w:val="20"/>
        </w:rPr>
        <w:sectPr>
          <w:pgSz w:w="12250" w:h="15850"/>
          <w:pgMar w:top="0" w:bottom="0" w:left="0" w:right="0"/>
        </w:sectPr>
      </w:pPr>
    </w:p>
    <w:p>
      <w:pPr>
        <w:pStyle w:val="BodyText"/>
        <w:rPr>
          <w:sz w:val="20"/>
        </w:rPr>
      </w:pPr>
      <w:r>
        <w:rPr>
          <w:sz w:val="20"/>
        </w:rPr>
        <w:drawing>
          <wp:inline distT="0" distB="0" distL="0" distR="0">
            <wp:extent cx="7655218" cy="9918096"/>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9" cstate="print"/>
                    <a:stretch>
                      <a:fillRect/>
                    </a:stretch>
                  </pic:blipFill>
                  <pic:spPr>
                    <a:xfrm>
                      <a:off x="0" y="0"/>
                      <a:ext cx="7655218" cy="9918096"/>
                    </a:xfrm>
                    <a:prstGeom prst="rect">
                      <a:avLst/>
                    </a:prstGeom>
                  </pic:spPr>
                </pic:pic>
              </a:graphicData>
            </a:graphic>
          </wp:inline>
        </w:drawing>
      </w:r>
      <w:r>
        <w:rPr>
          <w:sz w:val="20"/>
        </w:rPr>
      </w:r>
    </w:p>
    <w:p>
      <w:pPr>
        <w:spacing w:after="0"/>
        <w:rPr>
          <w:sz w:val="20"/>
        </w:rPr>
        <w:sectPr>
          <w:pgSz w:w="12250" w:h="15850"/>
          <w:pgMar w:top="0" w:bottom="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line="360" w:lineRule="auto" w:before="190"/>
        <w:ind w:left="507" w:right="112" w:firstLine="38"/>
        <w:jc w:val="right"/>
        <w:rPr>
          <w:b/>
          <w:i/>
          <w:sz w:val="24"/>
        </w:rPr>
      </w:pPr>
      <w:r>
        <w:rPr>
          <w:b/>
          <w:i/>
          <w:sz w:val="24"/>
        </w:rPr>
        <w:t>A todas las personas que a lo largo de estos 2 años hicieron posible este</w:t>
      </w:r>
      <w:r>
        <w:rPr>
          <w:b/>
          <w:i/>
          <w:w w:val="99"/>
          <w:sz w:val="24"/>
        </w:rPr>
        <w:t> </w:t>
      </w:r>
      <w:r>
        <w:rPr>
          <w:b/>
          <w:i/>
          <w:sz w:val="24"/>
        </w:rPr>
        <w:t>proyecto, mis más sinceros agradecimientos por su apoyo, enseñanzas y</w:t>
      </w:r>
    </w:p>
    <w:p>
      <w:pPr>
        <w:spacing w:before="3"/>
        <w:ind w:left="0" w:right="106" w:firstLine="0"/>
        <w:jc w:val="right"/>
        <w:rPr>
          <w:b/>
          <w:i/>
          <w:sz w:val="24"/>
        </w:rPr>
      </w:pPr>
      <w:r>
        <w:rPr>
          <w:b/>
          <w:i/>
          <w:sz w:val="24"/>
        </w:rPr>
        <w:t>dedicación:</w:t>
      </w:r>
    </w:p>
    <w:p>
      <w:pPr>
        <w:pStyle w:val="BodyText"/>
        <w:rPr>
          <w:b/>
          <w:i/>
        </w:rPr>
      </w:pPr>
    </w:p>
    <w:p>
      <w:pPr>
        <w:pStyle w:val="BodyText"/>
        <w:rPr>
          <w:b/>
          <w:i/>
        </w:rPr>
      </w:pPr>
    </w:p>
    <w:p>
      <w:pPr>
        <w:pStyle w:val="BodyText"/>
        <w:rPr>
          <w:b/>
          <w:i/>
        </w:rPr>
      </w:pPr>
    </w:p>
    <w:p>
      <w:pPr>
        <w:pStyle w:val="BodyText"/>
        <w:rPr>
          <w:b/>
          <w:i/>
        </w:rPr>
      </w:pPr>
    </w:p>
    <w:p>
      <w:pPr>
        <w:pStyle w:val="BodyText"/>
        <w:rPr>
          <w:b/>
          <w:i/>
        </w:rPr>
      </w:pPr>
    </w:p>
    <w:p>
      <w:pPr>
        <w:spacing w:before="0"/>
        <w:ind w:left="0" w:right="106" w:firstLine="0"/>
        <w:jc w:val="right"/>
        <w:rPr>
          <w:b/>
          <w:i/>
          <w:sz w:val="24"/>
        </w:rPr>
      </w:pPr>
      <w:r>
        <w:rPr>
          <w:b/>
          <w:i/>
          <w:sz w:val="24"/>
        </w:rPr>
        <w:t>A mi directora de Tesis:</w:t>
      </w:r>
    </w:p>
    <w:p>
      <w:pPr>
        <w:spacing w:before="137"/>
        <w:ind w:left="0" w:right="106" w:firstLine="0"/>
        <w:jc w:val="right"/>
        <w:rPr>
          <w:i/>
          <w:sz w:val="24"/>
        </w:rPr>
      </w:pPr>
      <w:r>
        <w:rPr>
          <w:i/>
          <w:sz w:val="24"/>
        </w:rPr>
        <w:t>Dra. Cleotilde García Reza</w:t>
      </w:r>
    </w:p>
    <w:p>
      <w:pPr>
        <w:pStyle w:val="BodyText"/>
        <w:rPr>
          <w:i/>
        </w:rPr>
      </w:pPr>
    </w:p>
    <w:p>
      <w:pPr>
        <w:pStyle w:val="BodyText"/>
        <w:rPr>
          <w:i/>
        </w:rPr>
      </w:pPr>
    </w:p>
    <w:p>
      <w:pPr>
        <w:pStyle w:val="BodyText"/>
        <w:rPr>
          <w:i/>
        </w:rPr>
      </w:pPr>
    </w:p>
    <w:p>
      <w:pPr>
        <w:pStyle w:val="BodyText"/>
        <w:rPr>
          <w:i/>
        </w:rPr>
      </w:pPr>
    </w:p>
    <w:p>
      <w:pPr>
        <w:pStyle w:val="BodyText"/>
        <w:spacing w:before="2"/>
        <w:rPr>
          <w:i/>
        </w:rPr>
      </w:pPr>
    </w:p>
    <w:p>
      <w:pPr>
        <w:spacing w:line="360" w:lineRule="auto" w:before="1"/>
        <w:ind w:left="5591" w:right="104" w:firstLine="427"/>
        <w:jc w:val="right"/>
        <w:rPr>
          <w:i/>
          <w:sz w:val="24"/>
        </w:rPr>
      </w:pPr>
      <w:r>
        <w:rPr>
          <w:b/>
          <w:i/>
          <w:sz w:val="24"/>
        </w:rPr>
        <w:t>A mis revisoras de Tesis:</w:t>
      </w:r>
      <w:r>
        <w:rPr>
          <w:b/>
          <w:i/>
          <w:w w:val="99"/>
          <w:sz w:val="24"/>
        </w:rPr>
        <w:t> </w:t>
      </w:r>
      <w:r>
        <w:rPr>
          <w:i/>
          <w:sz w:val="24"/>
        </w:rPr>
        <w:t>Mtra. Matiana Morales del Pilar</w:t>
      </w:r>
      <w:r>
        <w:rPr>
          <w:i/>
          <w:w w:val="99"/>
          <w:sz w:val="24"/>
        </w:rPr>
        <w:t> </w:t>
      </w:r>
      <w:r>
        <w:rPr>
          <w:i/>
          <w:sz w:val="24"/>
        </w:rPr>
        <w:t>Mtra. Patricia Cruz Bello</w:t>
      </w:r>
    </w:p>
    <w:p>
      <w:pPr>
        <w:pStyle w:val="BodyText"/>
        <w:rPr>
          <w:i/>
        </w:rPr>
      </w:pPr>
    </w:p>
    <w:p>
      <w:pPr>
        <w:pStyle w:val="BodyText"/>
        <w:rPr>
          <w:i/>
        </w:rPr>
      </w:pPr>
    </w:p>
    <w:p>
      <w:pPr>
        <w:pStyle w:val="BodyText"/>
        <w:rPr>
          <w:i/>
        </w:rPr>
      </w:pPr>
    </w:p>
    <w:p>
      <w:pPr>
        <w:pStyle w:val="BodyText"/>
        <w:rPr>
          <w:i/>
        </w:rPr>
      </w:pPr>
    </w:p>
    <w:p>
      <w:pPr>
        <w:pStyle w:val="Heading3"/>
        <w:spacing w:before="145"/>
        <w:ind w:left="0" w:right="104"/>
        <w:jc w:val="right"/>
        <w:rPr>
          <w:i/>
        </w:rPr>
      </w:pPr>
      <w:r>
        <w:rPr>
          <w:i/>
        </w:rPr>
        <w:t>Especialmente a:</w:t>
      </w:r>
    </w:p>
    <w:p>
      <w:pPr>
        <w:spacing w:before="134"/>
        <w:ind w:left="0" w:right="111" w:firstLine="0"/>
        <w:jc w:val="right"/>
        <w:rPr>
          <w:i/>
          <w:sz w:val="24"/>
        </w:rPr>
      </w:pPr>
      <w:r>
        <w:rPr>
          <w:i/>
          <w:sz w:val="24"/>
        </w:rPr>
        <w:t>Dra. Vianey Méndez Salazar</w:t>
      </w:r>
    </w:p>
    <w:p>
      <w:pPr>
        <w:spacing w:after="0"/>
        <w:jc w:val="right"/>
        <w:rPr>
          <w:sz w:val="24"/>
        </w:rPr>
        <w:sectPr>
          <w:headerReference w:type="default" r:id="rId10"/>
          <w:pgSz w:w="12250" w:h="15850"/>
          <w:pgMar w:header="2014" w:footer="0" w:top="2240" w:bottom="280" w:left="1720" w:right="1500"/>
        </w:sectPr>
      </w:pPr>
    </w:p>
    <w:p>
      <w:pPr>
        <w:pStyle w:val="BodyText"/>
        <w:rPr>
          <w:i/>
          <w:sz w:val="20"/>
        </w:rPr>
      </w:pPr>
    </w:p>
    <w:p>
      <w:pPr>
        <w:pStyle w:val="BodyText"/>
        <w:rPr>
          <w:i/>
          <w:sz w:val="20"/>
        </w:rPr>
      </w:pPr>
    </w:p>
    <w:p>
      <w:pPr>
        <w:pStyle w:val="BodyText"/>
        <w:spacing w:before="198"/>
        <w:ind w:left="265" w:right="3730"/>
      </w:pPr>
      <w:r>
        <w:rPr/>
        <w:t>A mi madre:</w:t>
      </w:r>
    </w:p>
    <w:p>
      <w:pPr>
        <w:pStyle w:val="Heading2"/>
        <w:spacing w:before="189"/>
        <w:ind w:left="265" w:right="3730"/>
        <w:jc w:val="left"/>
      </w:pPr>
      <w:r>
        <w:rPr/>
        <w:t>Clotilde Mercedes Díaz Jardón</w:t>
      </w:r>
    </w:p>
    <w:p>
      <w:pPr>
        <w:pStyle w:val="BodyText"/>
        <w:rPr>
          <w:b/>
        </w:rPr>
      </w:pPr>
    </w:p>
    <w:p>
      <w:pPr>
        <w:pStyle w:val="BodyText"/>
        <w:spacing w:before="6"/>
        <w:rPr>
          <w:b/>
          <w:sz w:val="32"/>
        </w:rPr>
      </w:pPr>
    </w:p>
    <w:p>
      <w:pPr>
        <w:pStyle w:val="BodyText"/>
        <w:spacing w:line="264" w:lineRule="auto"/>
        <w:ind w:left="985" w:right="883"/>
        <w:jc w:val="both"/>
      </w:pPr>
      <w:r>
        <w:rPr/>
        <w:t>Gracias mamá por darme tu cariño y amor desde que nací, sin ti seguro mi vida no sería tan maravillosa como lo es hoy, te debo todo lo que tengo y todo lo que soy.</w:t>
      </w:r>
    </w:p>
    <w:p>
      <w:pPr>
        <w:pStyle w:val="BodyText"/>
      </w:pPr>
    </w:p>
    <w:p>
      <w:pPr>
        <w:pStyle w:val="BodyText"/>
        <w:spacing w:before="2"/>
        <w:rPr>
          <w:sz w:val="30"/>
        </w:rPr>
      </w:pPr>
    </w:p>
    <w:p>
      <w:pPr>
        <w:pStyle w:val="BodyText"/>
        <w:spacing w:line="264" w:lineRule="auto"/>
        <w:ind w:left="1705" w:right="735"/>
        <w:jc w:val="both"/>
      </w:pPr>
      <w:r>
        <w:rPr/>
        <w:t>A mis compañeros y amigos presentes y pasados, los que sin esperar nada a cambio, </w:t>
      </w:r>
      <w:r>
        <w:rPr>
          <w:spacing w:val="3"/>
        </w:rPr>
        <w:t>me </w:t>
      </w:r>
      <w:r>
        <w:rPr/>
        <w:t>compartieron experiencias,  alegrías y tristezas, es por ustedes lo que soy</w:t>
      </w:r>
      <w:r>
        <w:rPr>
          <w:spacing w:val="-22"/>
        </w:rPr>
        <w:t> </w:t>
      </w:r>
      <w:r>
        <w:rPr/>
        <w:t>ahora.</w:t>
      </w:r>
    </w:p>
    <w:p>
      <w:pPr>
        <w:pStyle w:val="BodyText"/>
      </w:pPr>
    </w:p>
    <w:p>
      <w:pPr>
        <w:pStyle w:val="BodyText"/>
        <w:spacing w:before="2"/>
        <w:rPr>
          <w:sz w:val="30"/>
        </w:rPr>
      </w:pPr>
    </w:p>
    <w:p>
      <w:pPr>
        <w:pStyle w:val="BodyText"/>
        <w:ind w:left="3131" w:right="4818"/>
        <w:jc w:val="center"/>
      </w:pPr>
      <w:r>
        <w:rPr/>
        <w:t>Omar Cano</w:t>
      </w:r>
    </w:p>
    <w:p>
      <w:pPr>
        <w:pStyle w:val="BodyText"/>
        <w:spacing w:line="403" w:lineRule="auto" w:before="190"/>
        <w:ind w:left="3145" w:right="3730"/>
      </w:pPr>
      <w:r>
        <w:rPr/>
        <w:t>Juan Carlos Ledesma Humberto Montaño Ivonne Trejo</w:t>
      </w:r>
    </w:p>
    <w:p>
      <w:pPr>
        <w:pStyle w:val="BodyText"/>
        <w:spacing w:line="403" w:lineRule="auto" w:before="5"/>
        <w:ind w:left="3145" w:right="4223"/>
      </w:pPr>
      <w:r>
        <w:rPr/>
        <w:t>Izzel García Diana Colín Blanca Placencia Luna Gabriela</w:t>
      </w:r>
    </w:p>
    <w:p>
      <w:pPr>
        <w:pStyle w:val="BodyText"/>
      </w:pPr>
    </w:p>
    <w:p>
      <w:pPr>
        <w:pStyle w:val="BodyText"/>
      </w:pPr>
    </w:p>
    <w:p>
      <w:pPr>
        <w:pStyle w:val="BodyText"/>
      </w:pPr>
    </w:p>
    <w:p>
      <w:pPr>
        <w:pStyle w:val="BodyText"/>
      </w:pPr>
    </w:p>
    <w:p>
      <w:pPr>
        <w:pStyle w:val="BodyText"/>
      </w:pPr>
    </w:p>
    <w:p>
      <w:pPr>
        <w:spacing w:before="194"/>
        <w:ind w:left="433" w:right="117" w:firstLine="590"/>
        <w:jc w:val="right"/>
        <w:rPr>
          <w:i/>
          <w:sz w:val="20"/>
        </w:rPr>
      </w:pPr>
      <w:r>
        <w:rPr>
          <w:i/>
          <w:sz w:val="20"/>
        </w:rPr>
        <w:t>Sólo como guerrero puede uno soportar el camino del conocimiento. Un guerrero no puede</w:t>
      </w:r>
      <w:r>
        <w:rPr>
          <w:i/>
          <w:w w:val="99"/>
          <w:sz w:val="20"/>
        </w:rPr>
        <w:t> </w:t>
      </w:r>
      <w:r>
        <w:rPr>
          <w:i/>
          <w:sz w:val="20"/>
        </w:rPr>
        <w:t>quejarse o lamentarse por nada. Su vida es un interminable desafío, y los desafíos no pueden ser</w:t>
      </w:r>
    </w:p>
    <w:p>
      <w:pPr>
        <w:spacing w:before="0"/>
        <w:ind w:left="0" w:right="120" w:firstLine="0"/>
        <w:jc w:val="right"/>
        <w:rPr>
          <w:i/>
          <w:sz w:val="20"/>
        </w:rPr>
      </w:pPr>
      <w:r>
        <w:rPr>
          <w:i/>
          <w:sz w:val="20"/>
        </w:rPr>
        <w:t>buenos o malos. Los desafíos son simplemente desafíos.</w:t>
      </w:r>
    </w:p>
    <w:p>
      <w:pPr>
        <w:pStyle w:val="BodyText"/>
        <w:rPr>
          <w:i/>
          <w:sz w:val="20"/>
        </w:rPr>
      </w:pPr>
    </w:p>
    <w:p>
      <w:pPr>
        <w:pStyle w:val="BodyText"/>
        <w:rPr>
          <w:i/>
          <w:sz w:val="20"/>
        </w:rPr>
      </w:pPr>
    </w:p>
    <w:p>
      <w:pPr>
        <w:pStyle w:val="BodyText"/>
        <w:spacing w:before="10"/>
        <w:rPr>
          <w:i/>
          <w:sz w:val="28"/>
        </w:rPr>
      </w:pPr>
    </w:p>
    <w:p>
      <w:pPr>
        <w:spacing w:before="1"/>
        <w:ind w:left="0" w:right="117" w:firstLine="0"/>
        <w:jc w:val="right"/>
        <w:rPr>
          <w:b/>
          <w:i/>
          <w:sz w:val="20"/>
        </w:rPr>
      </w:pPr>
      <w:r>
        <w:rPr>
          <w:b/>
          <w:i/>
          <w:sz w:val="20"/>
        </w:rPr>
        <w:t>Carlos Castañeda</w:t>
      </w:r>
    </w:p>
    <w:p>
      <w:pPr>
        <w:spacing w:after="0"/>
        <w:jc w:val="right"/>
        <w:rPr>
          <w:sz w:val="20"/>
        </w:rPr>
        <w:sectPr>
          <w:headerReference w:type="default" r:id="rId11"/>
          <w:pgSz w:w="12250" w:h="15850"/>
          <w:pgMar w:header="2012" w:footer="0" w:top="2240" w:bottom="280" w:left="1720" w:right="1300"/>
        </w:sectPr>
      </w:pPr>
    </w:p>
    <w:p>
      <w:pPr>
        <w:pStyle w:val="BodyText"/>
        <w:rPr>
          <w:b/>
          <w:i/>
          <w:sz w:val="20"/>
        </w:rPr>
      </w:pPr>
    </w:p>
    <w:p>
      <w:pPr>
        <w:pStyle w:val="BodyText"/>
        <w:spacing w:before="1"/>
        <w:rPr>
          <w:b/>
          <w:i/>
          <w:sz w:val="22"/>
        </w:rPr>
      </w:pPr>
    </w:p>
    <w:p>
      <w:pPr>
        <w:spacing w:before="73"/>
        <w:ind w:left="0" w:right="113" w:firstLine="0"/>
        <w:jc w:val="right"/>
        <w:rPr>
          <w:sz w:val="22"/>
        </w:rPr>
      </w:pPr>
      <w:r>
        <w:rPr>
          <w:sz w:val="22"/>
        </w:rPr>
        <w:t>Pág.</w:t>
      </w:r>
    </w:p>
    <w:sdt>
      <w:sdtPr>
        <w:docPartObj>
          <w:docPartGallery w:val="Table of Contents"/>
          <w:docPartUnique/>
        </w:docPartObj>
      </w:sdtPr>
      <w:sdtEndPr/>
      <w:sdtContent>
        <w:p>
          <w:pPr>
            <w:pStyle w:val="TOC1"/>
            <w:numPr>
              <w:ilvl w:val="0"/>
              <w:numId w:val="1"/>
            </w:numPr>
            <w:tabs>
              <w:tab w:pos="625" w:val="left" w:leader="none"/>
              <w:tab w:pos="626" w:val="left" w:leader="none"/>
              <w:tab w:pos="8773" w:val="right" w:leader="dot"/>
            </w:tabs>
            <w:spacing w:line="240" w:lineRule="auto" w:before="126" w:after="0"/>
            <w:ind w:left="625" w:right="0" w:hanging="360"/>
            <w:jc w:val="left"/>
          </w:pPr>
          <w:r>
            <w:rPr/>
            <w:t>Introducción</w:t>
            <w:tab/>
            <w:t>8</w:t>
          </w:r>
        </w:p>
        <w:p>
          <w:pPr>
            <w:pStyle w:val="TOC1"/>
            <w:numPr>
              <w:ilvl w:val="0"/>
              <w:numId w:val="1"/>
            </w:numPr>
            <w:tabs>
              <w:tab w:pos="625" w:val="left" w:leader="none"/>
              <w:tab w:pos="626" w:val="left" w:leader="none"/>
              <w:tab w:pos="8769" w:val="right" w:leader="dot"/>
            </w:tabs>
            <w:spacing w:line="240" w:lineRule="auto" w:before="111" w:after="0"/>
            <w:ind w:left="625" w:right="0" w:hanging="360"/>
            <w:jc w:val="left"/>
          </w:pPr>
          <w:r>
            <w:rPr/>
            <w:t>Planteamiento</w:t>
          </w:r>
          <w:r>
            <w:rPr>
              <w:spacing w:val="-2"/>
            </w:rPr>
            <w:t> </w:t>
          </w:r>
          <w:r>
            <w:rPr/>
            <w:t>del</w:t>
          </w:r>
          <w:r>
            <w:rPr>
              <w:spacing w:val="1"/>
            </w:rPr>
            <w:t> </w:t>
          </w:r>
          <w:r>
            <w:rPr/>
            <w:t>problema</w:t>
            <w:tab/>
            <w:t>12</w:t>
          </w:r>
        </w:p>
        <w:p>
          <w:pPr>
            <w:pStyle w:val="TOC1"/>
            <w:numPr>
              <w:ilvl w:val="0"/>
              <w:numId w:val="1"/>
            </w:numPr>
            <w:tabs>
              <w:tab w:pos="625" w:val="left" w:leader="none"/>
              <w:tab w:pos="626" w:val="left" w:leader="none"/>
              <w:tab w:pos="8769" w:val="right" w:leader="dot"/>
            </w:tabs>
            <w:spacing w:line="240" w:lineRule="auto" w:before="113" w:after="0"/>
            <w:ind w:left="625" w:right="0" w:hanging="360"/>
            <w:jc w:val="left"/>
          </w:pPr>
          <w:r>
            <w:rPr/>
            <w:t>Objetivos</w:t>
            <w:tab/>
            <w:t>15</w:t>
          </w:r>
        </w:p>
        <w:p>
          <w:pPr>
            <w:pStyle w:val="TOC2"/>
            <w:numPr>
              <w:ilvl w:val="1"/>
              <w:numId w:val="1"/>
            </w:numPr>
            <w:tabs>
              <w:tab w:pos="1117" w:val="left" w:leader="none"/>
              <w:tab w:pos="1118" w:val="left" w:leader="none"/>
              <w:tab w:pos="8769" w:val="right" w:leader="dot"/>
            </w:tabs>
            <w:spacing w:line="240" w:lineRule="auto" w:before="110" w:after="0"/>
            <w:ind w:left="1117" w:right="0" w:hanging="425"/>
            <w:jc w:val="left"/>
          </w:pPr>
          <w:hyperlink w:history="true" w:anchor="_TOC_250008">
            <w:r>
              <w:rPr/>
              <w:t>Objetivo</w:t>
            </w:r>
            <w:r>
              <w:rPr>
                <w:spacing w:val="-2"/>
              </w:rPr>
              <w:t> </w:t>
            </w:r>
            <w:r>
              <w:rPr/>
              <w:t>general</w:t>
              <w:tab/>
              <w:t>15</w:t>
            </w:r>
          </w:hyperlink>
        </w:p>
        <w:p>
          <w:pPr>
            <w:pStyle w:val="TOC2"/>
            <w:numPr>
              <w:ilvl w:val="1"/>
              <w:numId w:val="1"/>
            </w:numPr>
            <w:tabs>
              <w:tab w:pos="1117" w:val="left" w:leader="none"/>
              <w:tab w:pos="1118" w:val="left" w:leader="none"/>
              <w:tab w:pos="8772" w:val="right" w:leader="dot"/>
            </w:tabs>
            <w:spacing w:line="240" w:lineRule="auto" w:before="131" w:after="0"/>
            <w:ind w:left="1117" w:right="0" w:hanging="425"/>
            <w:jc w:val="left"/>
          </w:pPr>
          <w:hyperlink w:history="true" w:anchor="_TOC_250007">
            <w:r>
              <w:rPr/>
              <w:t>Objetivos</w:t>
            </w:r>
            <w:r>
              <w:rPr>
                <w:spacing w:val="-1"/>
              </w:rPr>
              <w:t> </w:t>
            </w:r>
            <w:r>
              <w:rPr/>
              <w:t>específicos</w:t>
              <w:tab/>
              <w:t>15</w:t>
            </w:r>
          </w:hyperlink>
        </w:p>
        <w:p>
          <w:pPr>
            <w:pStyle w:val="TOC1"/>
            <w:numPr>
              <w:ilvl w:val="0"/>
              <w:numId w:val="1"/>
            </w:numPr>
            <w:tabs>
              <w:tab w:pos="625" w:val="left" w:leader="none"/>
              <w:tab w:pos="626" w:val="left" w:leader="none"/>
            </w:tabs>
            <w:spacing w:line="240" w:lineRule="auto" w:before="132" w:after="0"/>
            <w:ind w:left="625" w:right="0" w:hanging="360"/>
            <w:jc w:val="left"/>
          </w:pPr>
          <w:r>
            <w:rPr/>
            <w:t>Marco</w:t>
          </w:r>
          <w:r>
            <w:rPr>
              <w:spacing w:val="-5"/>
            </w:rPr>
            <w:t> </w:t>
          </w:r>
          <w:r>
            <w:rPr/>
            <w:t>Teórico</w:t>
          </w:r>
        </w:p>
        <w:p>
          <w:pPr>
            <w:pStyle w:val="TOC2"/>
            <w:numPr>
              <w:ilvl w:val="1"/>
              <w:numId w:val="1"/>
            </w:numPr>
            <w:tabs>
              <w:tab w:pos="1117" w:val="left" w:leader="none"/>
              <w:tab w:pos="1118" w:val="left" w:leader="none"/>
            </w:tabs>
            <w:spacing w:line="240" w:lineRule="auto" w:before="110" w:after="0"/>
            <w:ind w:left="1117" w:right="0" w:hanging="425"/>
            <w:jc w:val="left"/>
          </w:pPr>
          <w:hyperlink w:history="true" w:anchor="_TOC_250006">
            <w:r>
              <w:rPr/>
              <w:t>Capítulo</w:t>
            </w:r>
            <w:r>
              <w:rPr>
                <w:spacing w:val="-5"/>
              </w:rPr>
              <w:t> </w:t>
            </w:r>
            <w:r>
              <w:rPr/>
              <w:t>I</w:t>
            </w:r>
          </w:hyperlink>
        </w:p>
        <w:p>
          <w:pPr>
            <w:pStyle w:val="TOC2"/>
            <w:numPr>
              <w:ilvl w:val="1"/>
              <w:numId w:val="1"/>
            </w:numPr>
            <w:tabs>
              <w:tab w:pos="1117" w:val="left" w:leader="none"/>
              <w:tab w:pos="1118" w:val="left" w:leader="none"/>
              <w:tab w:pos="8769" w:val="right" w:leader="dot"/>
            </w:tabs>
            <w:spacing w:line="240" w:lineRule="auto" w:before="131" w:after="0"/>
            <w:ind w:left="1117" w:right="0" w:hanging="425"/>
            <w:jc w:val="left"/>
          </w:pPr>
          <w:r>
            <w:rPr/>
            <w:t>Fenómeno de dependencia en</w:t>
          </w:r>
          <w:r>
            <w:rPr>
              <w:spacing w:val="-6"/>
            </w:rPr>
            <w:t> </w:t>
          </w:r>
          <w:r>
            <w:rPr/>
            <w:t>pacientes</w:t>
          </w:r>
          <w:r>
            <w:rPr>
              <w:spacing w:val="-1"/>
            </w:rPr>
            <w:t> </w:t>
          </w:r>
          <w:r>
            <w:rPr/>
            <w:t>hospitalizados</w:t>
            <w:tab/>
            <w:t>16</w:t>
          </w:r>
        </w:p>
        <w:p>
          <w:pPr>
            <w:pStyle w:val="TOC2"/>
            <w:numPr>
              <w:ilvl w:val="1"/>
              <w:numId w:val="1"/>
            </w:numPr>
            <w:tabs>
              <w:tab w:pos="1117" w:val="left" w:leader="none"/>
              <w:tab w:pos="1118" w:val="left" w:leader="none"/>
            </w:tabs>
            <w:spacing w:line="240" w:lineRule="auto" w:before="128" w:after="0"/>
            <w:ind w:left="1117" w:right="0" w:hanging="425"/>
            <w:jc w:val="left"/>
          </w:pPr>
          <w:hyperlink w:history="true" w:anchor="_TOC_250005">
            <w:r>
              <w:rPr/>
              <w:t>Capítulo</w:t>
            </w:r>
            <w:r>
              <w:rPr>
                <w:spacing w:val="-5"/>
              </w:rPr>
              <w:t> </w:t>
            </w:r>
            <w:r>
              <w:rPr/>
              <w:t>II</w:t>
            </w:r>
          </w:hyperlink>
        </w:p>
        <w:p>
          <w:pPr>
            <w:pStyle w:val="TOC2"/>
            <w:numPr>
              <w:ilvl w:val="1"/>
              <w:numId w:val="1"/>
            </w:numPr>
            <w:tabs>
              <w:tab w:pos="1117" w:val="left" w:leader="none"/>
              <w:tab w:pos="1118" w:val="left" w:leader="none"/>
              <w:tab w:pos="8769" w:val="right" w:leader="dot"/>
            </w:tabs>
            <w:spacing w:line="240" w:lineRule="auto" w:before="131" w:after="0"/>
            <w:ind w:left="1117" w:right="0" w:hanging="425"/>
            <w:jc w:val="left"/>
          </w:pPr>
          <w:r>
            <w:rPr/>
            <w:t>Fenómeno de dependencia en</w:t>
          </w:r>
          <w:r>
            <w:rPr>
              <w:spacing w:val="-6"/>
            </w:rPr>
            <w:t> </w:t>
          </w:r>
          <w:r>
            <w:rPr/>
            <w:t>pacientes</w:t>
          </w:r>
          <w:r>
            <w:rPr>
              <w:spacing w:val="-1"/>
            </w:rPr>
            <w:t> </w:t>
          </w:r>
          <w:r>
            <w:rPr/>
            <w:t>hospitalizados</w:t>
            <w:tab/>
            <w:t>18</w:t>
          </w:r>
        </w:p>
        <w:p>
          <w:pPr>
            <w:pStyle w:val="TOC2"/>
            <w:numPr>
              <w:ilvl w:val="1"/>
              <w:numId w:val="1"/>
            </w:numPr>
            <w:tabs>
              <w:tab w:pos="1117" w:val="left" w:leader="none"/>
              <w:tab w:pos="1118" w:val="left" w:leader="none"/>
            </w:tabs>
            <w:spacing w:line="240" w:lineRule="auto" w:before="131" w:after="0"/>
            <w:ind w:left="1117" w:right="0" w:hanging="425"/>
            <w:jc w:val="left"/>
          </w:pPr>
          <w:hyperlink w:history="true" w:anchor="_TOC_250004">
            <w:r>
              <w:rPr/>
              <w:t>Capítulo</w:t>
            </w:r>
            <w:r>
              <w:rPr>
                <w:spacing w:val="-5"/>
              </w:rPr>
              <w:t> </w:t>
            </w:r>
            <w:r>
              <w:rPr/>
              <w:t>III</w:t>
            </w:r>
          </w:hyperlink>
        </w:p>
        <w:p>
          <w:pPr>
            <w:pStyle w:val="TOC2"/>
            <w:numPr>
              <w:ilvl w:val="1"/>
              <w:numId w:val="1"/>
            </w:numPr>
            <w:tabs>
              <w:tab w:pos="1117" w:val="left" w:leader="none"/>
              <w:tab w:pos="1118" w:val="left" w:leader="none"/>
              <w:tab w:pos="8769" w:val="right" w:leader="dot"/>
            </w:tabs>
            <w:spacing w:line="240" w:lineRule="auto" w:before="131" w:after="0"/>
            <w:ind w:left="1117" w:right="0" w:hanging="425"/>
            <w:jc w:val="left"/>
          </w:pPr>
          <w:hyperlink w:history="true" w:anchor="_TOC_250003">
            <w:r>
              <w:rPr/>
              <w:t>Conceptualizando</w:t>
            </w:r>
            <w:r>
              <w:rPr>
                <w:spacing w:val="-2"/>
              </w:rPr>
              <w:t> </w:t>
            </w:r>
            <w:r>
              <w:rPr/>
              <w:t>al cuidador</w:t>
              <w:tab/>
              <w:t>23</w:t>
            </w:r>
          </w:hyperlink>
        </w:p>
        <w:p>
          <w:pPr>
            <w:pStyle w:val="TOC2"/>
            <w:numPr>
              <w:ilvl w:val="1"/>
              <w:numId w:val="1"/>
            </w:numPr>
            <w:tabs>
              <w:tab w:pos="1117" w:val="left" w:leader="none"/>
              <w:tab w:pos="1118" w:val="left" w:leader="none"/>
            </w:tabs>
            <w:spacing w:line="240" w:lineRule="auto" w:before="129" w:after="0"/>
            <w:ind w:left="1117" w:right="0" w:hanging="425"/>
            <w:jc w:val="left"/>
          </w:pPr>
          <w:hyperlink w:history="true" w:anchor="_TOC_250002">
            <w:r>
              <w:rPr/>
              <w:t>Capítulo</w:t>
            </w:r>
            <w:r>
              <w:rPr>
                <w:spacing w:val="-5"/>
              </w:rPr>
              <w:t> </w:t>
            </w:r>
            <w:r>
              <w:rPr/>
              <w:t>IV</w:t>
            </w:r>
          </w:hyperlink>
        </w:p>
        <w:p>
          <w:pPr>
            <w:pStyle w:val="TOC2"/>
            <w:numPr>
              <w:ilvl w:val="1"/>
              <w:numId w:val="1"/>
            </w:numPr>
            <w:tabs>
              <w:tab w:pos="1117" w:val="left" w:leader="none"/>
              <w:tab w:pos="1118" w:val="left" w:leader="none"/>
            </w:tabs>
            <w:spacing w:line="240" w:lineRule="auto" w:before="131" w:after="0"/>
            <w:ind w:left="1117" w:right="0" w:hanging="425"/>
            <w:jc w:val="left"/>
          </w:pPr>
          <w:r>
            <w:rPr/>
            <w:t>Cuidador informal primario y cuidador profesional, similitudes</w:t>
          </w:r>
          <w:r>
            <w:rPr>
              <w:spacing w:val="-16"/>
            </w:rPr>
            <w:t> </w:t>
          </w:r>
          <w:r>
            <w:rPr/>
            <w:t>y</w:t>
          </w:r>
        </w:p>
        <w:p>
          <w:pPr>
            <w:pStyle w:val="TOC2"/>
            <w:numPr>
              <w:ilvl w:val="1"/>
              <w:numId w:val="1"/>
            </w:numPr>
            <w:tabs>
              <w:tab w:pos="1181" w:val="left" w:leader="none"/>
              <w:tab w:pos="1182" w:val="left" w:leader="none"/>
              <w:tab w:pos="8769" w:val="right" w:leader="dot"/>
            </w:tabs>
            <w:spacing w:line="240" w:lineRule="auto" w:before="131" w:after="0"/>
            <w:ind w:left="1182" w:right="0" w:hanging="490"/>
            <w:jc w:val="left"/>
          </w:pPr>
          <w:r>
            <w:rPr/>
            <w:t>diferencias</w:t>
            <w:tab/>
            <w:t>29</w:t>
          </w:r>
        </w:p>
        <w:p>
          <w:pPr>
            <w:pStyle w:val="TOC2"/>
            <w:numPr>
              <w:ilvl w:val="1"/>
              <w:numId w:val="1"/>
            </w:numPr>
            <w:tabs>
              <w:tab w:pos="1117" w:val="left" w:leader="none"/>
              <w:tab w:pos="1118" w:val="left" w:leader="none"/>
            </w:tabs>
            <w:spacing w:line="240" w:lineRule="auto" w:before="131" w:after="0"/>
            <w:ind w:left="1117" w:right="0" w:hanging="425"/>
            <w:jc w:val="left"/>
          </w:pPr>
          <w:hyperlink w:history="true" w:anchor="_TOC_250001">
            <w:r>
              <w:rPr/>
              <w:t>Capítulo</w:t>
            </w:r>
            <w:r>
              <w:rPr>
                <w:spacing w:val="-5"/>
              </w:rPr>
              <w:t> </w:t>
            </w:r>
            <w:r>
              <w:rPr/>
              <w:t>V</w:t>
            </w:r>
          </w:hyperlink>
        </w:p>
        <w:p>
          <w:pPr>
            <w:pStyle w:val="TOC3"/>
            <w:tabs>
              <w:tab w:pos="8769" w:val="right" w:leader="dot"/>
            </w:tabs>
          </w:pPr>
          <w:hyperlink w:history="true" w:anchor="_TOC_250000">
            <w:r>
              <w:rPr/>
              <w:t>Fenómeno de sobrecarga</w:t>
            </w:r>
            <w:r>
              <w:rPr>
                <w:spacing w:val="-4"/>
              </w:rPr>
              <w:t> </w:t>
            </w:r>
            <w:r>
              <w:rPr/>
              <w:t>del</w:t>
            </w:r>
            <w:r>
              <w:rPr>
                <w:spacing w:val="-2"/>
              </w:rPr>
              <w:t> </w:t>
            </w:r>
            <w:r>
              <w:rPr/>
              <w:t>cuidador</w:t>
              <w:tab/>
              <w:t>32</w:t>
            </w:r>
          </w:hyperlink>
        </w:p>
        <w:p>
          <w:pPr>
            <w:pStyle w:val="TOC1"/>
            <w:numPr>
              <w:ilvl w:val="0"/>
              <w:numId w:val="1"/>
            </w:numPr>
            <w:tabs>
              <w:tab w:pos="625" w:val="left" w:leader="none"/>
              <w:tab w:pos="626" w:val="left" w:leader="none"/>
              <w:tab w:pos="8769" w:val="right" w:leader="dot"/>
            </w:tabs>
            <w:spacing w:line="240" w:lineRule="auto" w:before="134" w:after="0"/>
            <w:ind w:left="625" w:right="0" w:hanging="360"/>
            <w:jc w:val="left"/>
          </w:pPr>
          <w:r>
            <w:rPr/>
            <w:t>Metodología</w:t>
            <w:tab/>
            <w:t>40</w:t>
          </w:r>
        </w:p>
        <w:p>
          <w:pPr>
            <w:pStyle w:val="TOC1"/>
            <w:numPr>
              <w:ilvl w:val="0"/>
              <w:numId w:val="1"/>
            </w:numPr>
            <w:tabs>
              <w:tab w:pos="625" w:val="left" w:leader="none"/>
              <w:tab w:pos="626" w:val="left" w:leader="none"/>
              <w:tab w:pos="8769" w:val="right" w:leader="dot"/>
            </w:tabs>
            <w:spacing w:line="240" w:lineRule="auto" w:before="111" w:after="0"/>
            <w:ind w:left="625" w:right="0" w:hanging="360"/>
            <w:jc w:val="left"/>
          </w:pPr>
          <w:r>
            <w:rPr/>
            <w:t>Descripción</w:t>
          </w:r>
          <w:r>
            <w:rPr>
              <w:spacing w:val="-2"/>
            </w:rPr>
            <w:t> </w:t>
          </w:r>
          <w:r>
            <w:rPr/>
            <w:t>de</w:t>
          </w:r>
          <w:r>
            <w:rPr>
              <w:spacing w:val="-2"/>
            </w:rPr>
            <w:t> </w:t>
          </w:r>
          <w:r>
            <w:rPr/>
            <w:t>resultados</w:t>
            <w:tab/>
            <w:t>45</w:t>
          </w:r>
        </w:p>
        <w:p>
          <w:pPr>
            <w:pStyle w:val="TOC1"/>
            <w:numPr>
              <w:ilvl w:val="0"/>
              <w:numId w:val="1"/>
            </w:numPr>
            <w:tabs>
              <w:tab w:pos="625" w:val="left" w:leader="none"/>
              <w:tab w:pos="626" w:val="left" w:leader="none"/>
              <w:tab w:pos="8769" w:val="right" w:leader="dot"/>
            </w:tabs>
            <w:spacing w:line="240" w:lineRule="auto" w:before="111" w:after="0"/>
            <w:ind w:left="625" w:right="0" w:hanging="360"/>
            <w:jc w:val="left"/>
          </w:pPr>
          <w:r>
            <w:rPr/>
            <w:t>Tablas</w:t>
          </w:r>
          <w:r>
            <w:rPr>
              <w:spacing w:val="-1"/>
            </w:rPr>
            <w:t> </w:t>
          </w:r>
          <w:r>
            <w:rPr/>
            <w:t>de</w:t>
          </w:r>
          <w:r>
            <w:rPr>
              <w:spacing w:val="-2"/>
            </w:rPr>
            <w:t> </w:t>
          </w:r>
          <w:r>
            <w:rPr/>
            <w:t>contingencia</w:t>
            <w:tab/>
            <w:t>81</w:t>
          </w:r>
        </w:p>
        <w:p>
          <w:pPr>
            <w:pStyle w:val="TOC1"/>
            <w:numPr>
              <w:ilvl w:val="0"/>
              <w:numId w:val="1"/>
            </w:numPr>
            <w:tabs>
              <w:tab w:pos="625" w:val="left" w:leader="none"/>
              <w:tab w:pos="626" w:val="left" w:leader="none"/>
              <w:tab w:pos="8769" w:val="right" w:leader="dot"/>
            </w:tabs>
            <w:spacing w:line="240" w:lineRule="auto" w:before="113" w:after="0"/>
            <w:ind w:left="625" w:right="0" w:hanging="360"/>
            <w:jc w:val="left"/>
          </w:pPr>
          <w:r>
            <w:rPr/>
            <w:t>Discusión</w:t>
          </w:r>
          <w:r>
            <w:rPr>
              <w:spacing w:val="-2"/>
            </w:rPr>
            <w:t> </w:t>
          </w:r>
          <w:r>
            <w:rPr/>
            <w:t>de</w:t>
          </w:r>
          <w:r>
            <w:rPr>
              <w:spacing w:val="-2"/>
            </w:rPr>
            <w:t> </w:t>
          </w:r>
          <w:r>
            <w:rPr/>
            <w:t>resultados</w:t>
            <w:tab/>
            <w:t>96</w:t>
          </w:r>
        </w:p>
        <w:p>
          <w:pPr>
            <w:pStyle w:val="TOC1"/>
            <w:numPr>
              <w:ilvl w:val="0"/>
              <w:numId w:val="1"/>
            </w:numPr>
            <w:tabs>
              <w:tab w:pos="625" w:val="left" w:leader="none"/>
              <w:tab w:pos="626" w:val="left" w:leader="none"/>
              <w:tab w:pos="8769" w:val="right" w:leader="dot"/>
            </w:tabs>
            <w:spacing w:line="240" w:lineRule="auto" w:before="111" w:after="0"/>
            <w:ind w:left="625" w:right="0" w:hanging="360"/>
            <w:jc w:val="left"/>
          </w:pPr>
          <w:r>
            <w:rPr/>
            <w:t>Conclusiones</w:t>
            <w:tab/>
            <w:t>103</w:t>
          </w:r>
        </w:p>
        <w:p>
          <w:pPr>
            <w:pStyle w:val="TOC1"/>
            <w:numPr>
              <w:ilvl w:val="0"/>
              <w:numId w:val="1"/>
            </w:numPr>
            <w:tabs>
              <w:tab w:pos="625" w:val="left" w:leader="none"/>
              <w:tab w:pos="626" w:val="left" w:leader="none"/>
              <w:tab w:pos="8769" w:val="right" w:leader="dot"/>
            </w:tabs>
            <w:spacing w:line="240" w:lineRule="auto" w:before="111" w:after="0"/>
            <w:ind w:left="625" w:right="0" w:hanging="360"/>
            <w:jc w:val="left"/>
          </w:pPr>
          <w:r>
            <w:rPr/>
            <w:t>Sugerencias</w:t>
            <w:tab/>
            <w:t>104</w:t>
          </w:r>
        </w:p>
        <w:p>
          <w:pPr>
            <w:pStyle w:val="TOC1"/>
            <w:numPr>
              <w:ilvl w:val="0"/>
              <w:numId w:val="1"/>
            </w:numPr>
            <w:tabs>
              <w:tab w:pos="625" w:val="left" w:leader="none"/>
              <w:tab w:pos="626" w:val="left" w:leader="none"/>
              <w:tab w:pos="8769" w:val="right" w:leader="dot"/>
            </w:tabs>
            <w:spacing w:line="240" w:lineRule="auto" w:before="113" w:after="0"/>
            <w:ind w:left="625" w:right="0" w:hanging="360"/>
            <w:jc w:val="left"/>
          </w:pPr>
          <w:r>
            <w:rPr/>
            <w:t>Fuentes</w:t>
          </w:r>
          <w:r>
            <w:rPr>
              <w:spacing w:val="-1"/>
            </w:rPr>
            <w:t> </w:t>
          </w:r>
          <w:r>
            <w:rPr/>
            <w:t>de</w:t>
          </w:r>
          <w:r>
            <w:rPr>
              <w:spacing w:val="-2"/>
            </w:rPr>
            <w:t> </w:t>
          </w:r>
          <w:r>
            <w:rPr/>
            <w:t>información</w:t>
            <w:tab/>
            <w:t>105</w:t>
          </w:r>
        </w:p>
        <w:p>
          <w:pPr>
            <w:pStyle w:val="TOC1"/>
            <w:numPr>
              <w:ilvl w:val="0"/>
              <w:numId w:val="1"/>
            </w:numPr>
            <w:tabs>
              <w:tab w:pos="625" w:val="left" w:leader="none"/>
              <w:tab w:pos="626" w:val="left" w:leader="none"/>
            </w:tabs>
            <w:spacing w:line="240" w:lineRule="auto" w:before="111" w:after="0"/>
            <w:ind w:left="625" w:right="0" w:hanging="360"/>
            <w:jc w:val="left"/>
          </w:pPr>
          <w:r>
            <w:rPr/>
            <w:t>Anexos</w:t>
          </w:r>
        </w:p>
        <w:p>
          <w:pPr>
            <w:pStyle w:val="TOC2"/>
            <w:numPr>
              <w:ilvl w:val="1"/>
              <w:numId w:val="1"/>
            </w:numPr>
            <w:tabs>
              <w:tab w:pos="1117" w:val="left" w:leader="none"/>
              <w:tab w:pos="1118" w:val="left" w:leader="none"/>
              <w:tab w:pos="8769" w:val="right" w:leader="dot"/>
            </w:tabs>
            <w:spacing w:line="240" w:lineRule="auto" w:before="110" w:after="0"/>
            <w:ind w:left="1117" w:right="0" w:hanging="425"/>
            <w:jc w:val="left"/>
          </w:pPr>
          <w:r>
            <w:rPr/>
            <w:t>Instrumento</w:t>
            <w:tab/>
            <w:t>114</w:t>
          </w:r>
        </w:p>
        <w:p>
          <w:pPr>
            <w:pStyle w:val="TOC2"/>
            <w:numPr>
              <w:ilvl w:val="1"/>
              <w:numId w:val="1"/>
            </w:numPr>
            <w:tabs>
              <w:tab w:pos="1117" w:val="left" w:leader="none"/>
              <w:tab w:pos="1118" w:val="left" w:leader="none"/>
              <w:tab w:pos="8769" w:val="right" w:leader="dot"/>
            </w:tabs>
            <w:spacing w:line="240" w:lineRule="auto" w:before="131" w:after="0"/>
            <w:ind w:left="1117" w:right="0" w:hanging="425"/>
            <w:jc w:val="left"/>
          </w:pPr>
          <w:r>
            <w:rPr/>
            <w:t>Consentimiento</w:t>
          </w:r>
          <w:r>
            <w:rPr>
              <w:spacing w:val="-2"/>
            </w:rPr>
            <w:t> </w:t>
          </w:r>
          <w:r>
            <w:rPr/>
            <w:t>informado</w:t>
            <w:tab/>
            <w:t>116</w:t>
          </w:r>
        </w:p>
        <w:p>
          <w:pPr>
            <w:pStyle w:val="TOC2"/>
            <w:numPr>
              <w:ilvl w:val="1"/>
              <w:numId w:val="1"/>
            </w:numPr>
            <w:tabs>
              <w:tab w:pos="1117" w:val="left" w:leader="none"/>
              <w:tab w:pos="1118" w:val="left" w:leader="none"/>
              <w:tab w:pos="8769" w:val="right" w:leader="dot"/>
            </w:tabs>
            <w:spacing w:line="240" w:lineRule="auto" w:before="131" w:after="0"/>
            <w:ind w:left="1117" w:right="0" w:hanging="425"/>
            <w:jc w:val="left"/>
          </w:pPr>
          <w:r>
            <w:rPr/>
            <w:t>Correo electrónico dirigido a</w:t>
          </w:r>
          <w:r>
            <w:rPr>
              <w:spacing w:val="-5"/>
            </w:rPr>
            <w:t> </w:t>
          </w:r>
          <w:r>
            <w:rPr/>
            <w:t>Steven</w:t>
          </w:r>
          <w:r>
            <w:rPr>
              <w:spacing w:val="-2"/>
            </w:rPr>
            <w:t> </w:t>
          </w:r>
          <w:r>
            <w:rPr/>
            <w:t>Zarit</w:t>
            <w:tab/>
            <w:t>117</w:t>
          </w:r>
        </w:p>
      </w:sdtContent>
    </w:sdt>
    <w:p>
      <w:pPr>
        <w:spacing w:after="0" w:line="240" w:lineRule="auto"/>
        <w:jc w:val="left"/>
        <w:sectPr>
          <w:headerReference w:type="default" r:id="rId12"/>
          <w:pgSz w:w="12250" w:h="15850"/>
          <w:pgMar w:header="2014" w:footer="0" w:top="2240" w:bottom="280" w:left="1720" w:right="1300"/>
        </w:sectPr>
      </w:pPr>
    </w:p>
    <w:p>
      <w:pPr>
        <w:pStyle w:val="BodyText"/>
      </w:pPr>
    </w:p>
    <w:p>
      <w:pPr>
        <w:pStyle w:val="BodyText"/>
      </w:pPr>
    </w:p>
    <w:p>
      <w:pPr>
        <w:pStyle w:val="Heading3"/>
        <w:spacing w:before="154"/>
        <w:ind w:right="1970"/>
        <w:rPr>
          <w:i/>
        </w:rPr>
      </w:pPr>
      <w:r>
        <w:rPr>
          <w:i/>
        </w:rPr>
        <w:t>Introducción</w:t>
      </w:r>
    </w:p>
    <w:p>
      <w:pPr>
        <w:pStyle w:val="BodyText"/>
        <w:rPr>
          <w:b/>
          <w:i/>
        </w:rPr>
      </w:pPr>
    </w:p>
    <w:p>
      <w:pPr>
        <w:pStyle w:val="BodyText"/>
        <w:rPr>
          <w:b/>
          <w:i/>
        </w:rPr>
      </w:pPr>
    </w:p>
    <w:p>
      <w:pPr>
        <w:pStyle w:val="BodyText"/>
        <w:spacing w:line="360" w:lineRule="auto"/>
        <w:ind w:left="265" w:right="133"/>
        <w:jc w:val="both"/>
      </w:pPr>
      <w:r>
        <w:rPr/>
        <w:t>México vive una transición demográfica hacia un perfil caracterizado por edades avanzadas, de acuerdo con el Instituto Nacional de Geografía y Estadística, en 2010, el grupo de población de personas mayores de 60 años es de 10.1 millones (Gráfica No.1) lo que representa el 9% de acuerdo con las proyecciones demográficas del Consejo Nacional de Población (CONAPO), en 2030, la población mayor de 60 años ascenderá a un millón 726 mil, que equivaldrá al 20.4% de la población total, Anderson (1995) “propone que los factores más asociados a la utilizacion de servicios de hospitalización, son los demográficos (edad, sexo y etnia principalmente)” (Anderson. 1995 citado en Martínez y Garmedia. 2008), lo que representa un reto importante para las diferentes instituciones de salud, ya que el cambio en la dinámica poblacional. se verá traducido en una mayor demanda de diversos servicios especializados, inversión superior de recursos, infraestructura y capital humano avocados a atender a una población cada vez más compleja, acorde con las estadísticas a propósito del día internacional de las persona de edad (2013) en 2011, del total de egresos hospitalarios (694 mil 196) el 16.7% fueron personas de 65 años y más; así la principal causa de egreso hospitalario para la población adulta se debió a las enfermedades cardiovasculares, seguida de las enfermedades genitourinarias y  las enfermedades</w:t>
      </w:r>
      <w:r>
        <w:rPr>
          <w:spacing w:val="-13"/>
        </w:rPr>
        <w:t> </w:t>
      </w:r>
      <w:r>
        <w:rPr/>
        <w:t>digestivas.</w:t>
      </w:r>
    </w:p>
    <w:p>
      <w:pPr>
        <w:pStyle w:val="BodyText"/>
      </w:pPr>
    </w:p>
    <w:p>
      <w:pPr>
        <w:pStyle w:val="BodyText"/>
        <w:spacing w:line="360" w:lineRule="auto" w:before="142"/>
        <w:ind w:left="265" w:right="133"/>
        <w:jc w:val="both"/>
      </w:pPr>
      <w:r>
        <w:rPr/>
        <w:t>El proceso de envejecimiento implica diversos problemas físicos, psicológicos y sociales, propios de los cambios biológicos, que conllevan a una situación progresiva de dependencia, lo que inevitablemente demanda la compañía de una segunda persona que asuma la responsabilidad de cubrir las necesidades básicas del adulto mayor. Por lo tanto, el ámbito domiciliario se convierte en la primera instancia, donde los familiares cercanos asumen el rol de cuidador informal, enfrentando la actividad del cuidado de forma empírica y en la mayoría de las ocasiones sin preparación alguna, lo que pone en riesgo al adulto mayor de   sufrir</w:t>
      </w:r>
    </w:p>
    <w:p>
      <w:pPr>
        <w:spacing w:after="0" w:line="360" w:lineRule="auto"/>
        <w:jc w:val="both"/>
        <w:sectPr>
          <w:headerReference w:type="default" r:id="rId13"/>
          <w:footerReference w:type="default" r:id="rId14"/>
          <w:pgSz w:w="12250" w:h="15850"/>
          <w:pgMar w:header="748" w:footer="1125" w:top="1260" w:bottom="1320" w:left="1720" w:right="1280"/>
          <w:pgNumType w:start="8"/>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42"/>
        <w:jc w:val="both"/>
      </w:pPr>
      <w:r>
        <w:rPr/>
        <w:t>complicaciones propias de la situación de enfermedad y dependencia, además de originar en el cuidador informal un proceso gradual de estrés hasta llegar a un estrés crónico o cansancio en el desempeño de su rol.</w:t>
      </w:r>
    </w:p>
    <w:p>
      <w:pPr>
        <w:pStyle w:val="BodyText"/>
      </w:pPr>
    </w:p>
    <w:p>
      <w:pPr>
        <w:pStyle w:val="BodyText"/>
        <w:spacing w:line="360" w:lineRule="auto" w:before="142"/>
        <w:ind w:left="265" w:right="133"/>
        <w:jc w:val="both"/>
      </w:pPr>
      <w:r>
        <w:rPr/>
        <w:t>El concepto de cuidador está formado en gran medida por la realización de tareas de carácter de apoyo, definido también en términos de relaciones sociales y familiares, generalmente parentesco, aunque se extiende, a lazos de amistad o de vecindad, donde éstos han adquirido el carácter de relaciones primarias; estas personas frecuentemente alteran de manera importante su ritmo de vida, en aspectos tales como: vida social, actividad laboral, lo que conlleva paulatinamente a una repercusión en su salud, que puede reflejarse en la salud física y/o mental de las personas que ejercen por tiempos prolongados la actividad del cuidado, a dichas repercusiones diversos autores lo han denominado como:</w:t>
      </w:r>
      <w:r>
        <w:rPr>
          <w:spacing w:val="-28"/>
        </w:rPr>
        <w:t> </w:t>
      </w:r>
      <w:r>
        <w:rPr/>
        <w:t>“carga”</w:t>
      </w:r>
    </w:p>
    <w:p>
      <w:pPr>
        <w:pStyle w:val="BodyText"/>
        <w:spacing w:before="2"/>
      </w:pPr>
    </w:p>
    <w:p>
      <w:pPr>
        <w:spacing w:before="0"/>
        <w:ind w:left="1143" w:right="1046" w:firstLine="0"/>
        <w:jc w:val="both"/>
        <w:rPr>
          <w:sz w:val="22"/>
        </w:rPr>
      </w:pPr>
      <w:r>
        <w:rPr>
          <w:i/>
          <w:sz w:val="22"/>
        </w:rPr>
        <w:t>” A esta “carga”, se le ha dado diferentes nombres: colapso, crisis, </w:t>
      </w:r>
      <w:r>
        <w:rPr>
          <w:i/>
          <w:sz w:val="22"/>
        </w:rPr>
        <w:t>sobrecarga, Burnout, síndrome del quemado, síndrome del cuidador, síndrome del cuidador principal, claudicación del cuidador. El síndrome de sobrecarga, se caracteriza por un cuadro plurisintomático que afecta de manera insidiosa, con repercusiones médicas, sociales, económicas, y otras que pueden llevar al "cuidador primario" a tal grado de frustración que finalmente colapse, evidenciando la enfermedad”. </w:t>
      </w:r>
      <w:r>
        <w:rPr>
          <w:sz w:val="22"/>
        </w:rPr>
        <w:t>(Pérez, Díaz, Hernández. citados en Domínguez et al,</w:t>
      </w:r>
      <w:r>
        <w:rPr>
          <w:spacing w:val="-11"/>
          <w:sz w:val="22"/>
        </w:rPr>
        <w:t> </w:t>
      </w:r>
      <w:r>
        <w:rPr>
          <w:sz w:val="22"/>
        </w:rPr>
        <w:t>2010)</w:t>
      </w:r>
    </w:p>
    <w:p>
      <w:pPr>
        <w:pStyle w:val="BodyText"/>
        <w:rPr>
          <w:sz w:val="22"/>
        </w:rPr>
      </w:pPr>
    </w:p>
    <w:p>
      <w:pPr>
        <w:pStyle w:val="BodyText"/>
        <w:spacing w:line="360" w:lineRule="auto" w:before="161"/>
        <w:ind w:left="265" w:right="133"/>
        <w:jc w:val="both"/>
      </w:pPr>
      <w:r>
        <w:rPr/>
        <w:t>Numerosos estudios relevantes a la sobrecarga del cuidador (Domínguez et al. 2010, Gómez. 2010) se han llevado a cabo fuera del ámbito hospitalario  abarcando escenarios tales como: adultos mayores con demencia, pacientes con enfermedades terminales, pacientes con lesiones neurológicas, que requieren de la ayuda de un cuidador, dichos estudios han documentado ampliamente las diversas repercusiones negativas del cuidado, sin embargo, en la revisión bibliográfica no se identificaron estudios realizados dentro de las instituciones hospitalarias, específicamente cuando los cuidadores asisten a sus familiares durante su estancia hospitalaria, lo cual ha limitado la documentación de la sobrecarga en este</w:t>
      </w:r>
      <w:r>
        <w:rPr>
          <w:spacing w:val="-8"/>
        </w:rPr>
        <w:t> </w:t>
      </w:r>
      <w:r>
        <w:rPr/>
        <w:t>contexto.</w:t>
      </w:r>
    </w:p>
    <w:p>
      <w:pPr>
        <w:spacing w:after="0" w:line="360" w:lineRule="auto"/>
        <w:jc w:val="both"/>
        <w:sectPr>
          <w:pgSz w:w="12250" w:h="15850"/>
          <w:pgMar w:header="748" w:footer="1125"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33"/>
        <w:jc w:val="both"/>
      </w:pPr>
      <w:r>
        <w:rPr/>
        <w:t>La presente investigación surge tras la observación del estrés, enojo, cansancio y aprensión que reflejan los cuidadores de los adultos mayores hospitalizados, los cuales requieren un acompañamiento constante y atención integral, el cuidador no dispone de preparación y desempeña un rol ambiguo al interior de las instituciones sanitarias, en comparación con el personal de enfermería, el cual es formado para brindar un cuidado al paciente durante su estancia hospitalaria, por lo que surge la inquietud de profundizar en la temática del cuidador y el fenómeno de sobrecarga, ya que los cuidadores no son reconocidos dentro de las instituciones sanitarias y  el entendimiento del fenómeno de sobrecarga nos acerca a la empatía de las necesidades físicas, psicológicas y sociales de los</w:t>
      </w:r>
      <w:r>
        <w:rPr>
          <w:spacing w:val="-16"/>
        </w:rPr>
        <w:t> </w:t>
      </w:r>
      <w:r>
        <w:rPr/>
        <w:t>cuidadores.</w:t>
      </w:r>
    </w:p>
    <w:p>
      <w:pPr>
        <w:pStyle w:val="BodyText"/>
      </w:pPr>
    </w:p>
    <w:p>
      <w:pPr>
        <w:pStyle w:val="BodyText"/>
        <w:spacing w:line="360" w:lineRule="auto" w:before="142"/>
        <w:ind w:left="265" w:right="132"/>
        <w:jc w:val="both"/>
      </w:pPr>
      <w:r>
        <w:rPr/>
        <w:t>Para encuadrar la presente investigación se planteó una metodología de enfoque cuantitativo, de tipo transversal y alcance descriptivo, la muestra se seleccionó de manera no probabilística y por conveniencia, finalmente se conformó de 30 familiares que desempeñan el rol de cuidador informal primario, que cuentan con un familiar hospitalizado adulto mayor en el servicio de medicina interna en un hospital público de segundo nivel del Distrito Federal, para dar cumplimiento a los objetivos de la investigación se diseñó un instrumento que comprende cuatro apartados, el primero está encaminado a obtener el perfil del cuidador informal primario, el segundo recaba los datos del paciente atendido, el tercero se enfoca  al desempeño del rol del cuidador, para dar cumplimiento al objetivo general se utilizó la escala de sobrecarga del cuidador de Zarit en su versión adaptada al español, la cual consta de 22 ítems, se encuentran en escala de Likert. Para realizar el análisis y presentación de resultados se utilizó el programa estadístico SPSS, versión 20 en español, para obtener las tablas con la distribución de porcentajes de acuerdo a cada variable; así mismo las medidas de tendencia central y la construcción de tablas de contingencia para analizar la relación de dependencia entre variables; para dar visibilidad gráfica de los resultados se utilizó Microsoft Excell (2012). Finalmente se obtuvo un 90% de sobrecarga intensa  </w:t>
      </w:r>
      <w:r>
        <w:rPr>
          <w:spacing w:val="10"/>
        </w:rPr>
        <w:t> </w:t>
      </w:r>
      <w:r>
        <w:rPr/>
        <w:t>que</w:t>
      </w:r>
    </w:p>
    <w:p>
      <w:pPr>
        <w:spacing w:after="0" w:line="360" w:lineRule="auto"/>
        <w:jc w:val="both"/>
        <w:sectPr>
          <w:footerReference w:type="default" r:id="rId15"/>
          <w:pgSz w:w="12250" w:h="15850"/>
          <w:pgMar w:footer="1125" w:header="748"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219"/>
      </w:pPr>
      <w:r>
        <w:rPr/>
        <w:t>experimentan los cuidadores de adultos mayores hospitalizados, dicho resultado es muy superior a los referidos por estudios nacionales y</w:t>
      </w:r>
      <w:r>
        <w:rPr>
          <w:spacing w:val="-21"/>
        </w:rPr>
        <w:t> </w:t>
      </w:r>
      <w:r>
        <w:rPr/>
        <w:t>extranjeros.</w:t>
      </w:r>
    </w:p>
    <w:p>
      <w:pPr>
        <w:spacing w:after="0" w:line="360" w:lineRule="auto"/>
        <w:sectPr>
          <w:footerReference w:type="default" r:id="rId16"/>
          <w:pgSz w:w="12250" w:h="15850"/>
          <w:pgMar w:footer="1125" w:header="748" w:top="1260" w:bottom="1320" w:left="1720" w:right="1280"/>
        </w:sectPr>
      </w:pPr>
    </w:p>
    <w:p>
      <w:pPr>
        <w:pStyle w:val="BodyText"/>
        <w:rPr>
          <w:sz w:val="20"/>
        </w:rPr>
      </w:pPr>
    </w:p>
    <w:p>
      <w:pPr>
        <w:pStyle w:val="BodyText"/>
        <w:rPr>
          <w:sz w:val="20"/>
        </w:rPr>
      </w:pPr>
    </w:p>
    <w:p>
      <w:pPr>
        <w:pStyle w:val="BodyText"/>
        <w:spacing w:before="5"/>
        <w:rPr>
          <w:sz w:val="21"/>
        </w:rPr>
      </w:pPr>
    </w:p>
    <w:p>
      <w:pPr>
        <w:pStyle w:val="Heading3"/>
        <w:ind w:left="3083" w:right="219"/>
        <w:jc w:val="left"/>
        <w:rPr>
          <w:i/>
        </w:rPr>
      </w:pPr>
      <w:r>
        <w:rPr>
          <w:i/>
        </w:rPr>
        <w:t>Planteamiento del problema</w:t>
      </w:r>
    </w:p>
    <w:p>
      <w:pPr>
        <w:pStyle w:val="BodyText"/>
        <w:rPr>
          <w:b/>
          <w:i/>
        </w:rPr>
      </w:pPr>
    </w:p>
    <w:p>
      <w:pPr>
        <w:pStyle w:val="BodyText"/>
        <w:rPr>
          <w:b/>
          <w:i/>
        </w:rPr>
      </w:pPr>
    </w:p>
    <w:p>
      <w:pPr>
        <w:pStyle w:val="BodyText"/>
        <w:spacing w:line="360" w:lineRule="auto"/>
        <w:ind w:left="265" w:right="135"/>
        <w:jc w:val="both"/>
      </w:pPr>
      <w:r>
        <w:rPr/>
        <w:t>El concepto de cuidador es ambiguo, diversos investigadores han aportado sus respectivos términos, enunciando las diferentes características; criterio de los investigadores, el cuidador debe cumplir, así mismo, le asignan un calificativo distinto, Cruz y Ostiguin (2011) brindan un panorama más amplio sobre los diferentes conceptos y características del cuidador que se pueden hallar en la bibliografía, más allá del concepto, los estudios relevantes al cuidador se han dirigido a estudiar las consecuencias negativas de ejercer el cuidado, el ser cuidador de otra persona es un fenómeno complejo que puede suscitarse de manera repentina, en alguna patología aguda, como el evento vascular cerebral, que puede presentarse de manera inesperada a la persona que ejerce o ejercerá el rol del cuidador, también puede suscitarse de manera paulatina, como en la evolución de la diabetes o la insuficiencia renal crónica, la práctica del cuidado al llevarse a cabo sin ningún tipo de capacitación, puede llevar consigo diferentes consecuencias negativas en la salud, vida social y bienestar psicológico del cuidador, tales efectos negativos han sido catalogados como “carga”, de acuerdo con Montorio et al (1998) “el concepto de carga se remonta a principios de los años 60 concretamente a un trabajo (Brad y Sainsbury, 1963) realizado para conocer los efectos sobre las familias el hecho de mantener en la comunidad a pacientes psiquiátricos” (Montorio et al.</w:t>
      </w:r>
      <w:r>
        <w:rPr>
          <w:spacing w:val="-14"/>
        </w:rPr>
        <w:t> </w:t>
      </w:r>
      <w:r>
        <w:rPr/>
        <w:t>1998).</w:t>
      </w:r>
    </w:p>
    <w:p>
      <w:pPr>
        <w:pStyle w:val="BodyText"/>
        <w:spacing w:line="360" w:lineRule="auto" w:before="163"/>
        <w:ind w:left="265" w:right="134"/>
        <w:jc w:val="both"/>
      </w:pPr>
      <w:r>
        <w:rPr/>
        <w:t>En la misma directriz Zarit en los años 80, realiza estudios en cuidadores de pacientes con Alzheimer, dando origen a la escala de sobrecarga del cuidador,  que mide de manera objetiva el grado de carga que experimentan los cuidadores, si bien los conceptos: carga, sobrecarga, estrés del cuidador, síndrome de Burnout del cuidador, acuñan las repercusiones negativas del cuidado, nuevamente cada autor designa de manera distinta a este cúmulo de consecuencias; sin embargo, “existe un consenso generalizado entre los investigadores respecto a que la situación de cuidar a una persona mayor constituye una situación estresante. </w:t>
      </w:r>
      <w:r>
        <w:rPr>
          <w:spacing w:val="9"/>
        </w:rPr>
        <w:t> </w:t>
      </w:r>
      <w:r>
        <w:rPr/>
        <w:t>Más</w:t>
      </w:r>
    </w:p>
    <w:p>
      <w:pPr>
        <w:spacing w:after="0" w:line="360" w:lineRule="auto"/>
        <w:jc w:val="both"/>
        <w:sectPr>
          <w:footerReference w:type="default" r:id="rId17"/>
          <w:pgSz w:w="12250" w:h="15850"/>
          <w:pgMar w:footer="1122" w:header="748" w:top="1260" w:bottom="1320" w:left="1720" w:right="1280"/>
          <w:pgNumType w:start="12"/>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41"/>
        <w:jc w:val="both"/>
      </w:pPr>
      <w:r>
        <w:rPr/>
        <w:t>específicamente podría considerarse, el cuidar es una de las situaciones generadoras de estrés crónico, más intrínsecamente representativas”. (Montorio et al. 1998)</w:t>
      </w:r>
    </w:p>
    <w:p>
      <w:pPr>
        <w:pStyle w:val="BodyText"/>
        <w:spacing w:line="360" w:lineRule="auto" w:before="163"/>
        <w:ind w:left="265" w:right="132"/>
        <w:jc w:val="both"/>
      </w:pPr>
      <w:r>
        <w:rPr/>
        <w:t>La escala de sobrecarga del cuidador de Zarit, se posicionó rápidamente como  uno de los instrumentos, más versátiles para los estudios relacionados con el cuidador, tanto así, que ha sido traducida a varios idiomas y ha sido objeto de análisis en cuanto a su confiabilidad y validez. En México Alpuche et al. (2008) realizó un estudio de validez en una muestra de 141 cuidadores informales primarios, y</w:t>
      </w:r>
      <w:r>
        <w:rPr>
          <w:spacing w:val="-8"/>
        </w:rPr>
        <w:t> </w:t>
      </w:r>
      <w:r>
        <w:rPr/>
        <w:t>concluye:</w:t>
      </w:r>
    </w:p>
    <w:p>
      <w:pPr>
        <w:pStyle w:val="BodyText"/>
      </w:pPr>
    </w:p>
    <w:p>
      <w:pPr>
        <w:spacing w:before="141"/>
        <w:ind w:left="1146" w:right="1160" w:firstLine="0"/>
        <w:jc w:val="both"/>
        <w:rPr>
          <w:sz w:val="22"/>
        </w:rPr>
      </w:pPr>
      <w:r>
        <w:rPr>
          <w:i/>
          <w:sz w:val="22"/>
        </w:rPr>
        <w:t>“Los cuidadores informales primarios son un sector ignorado por los </w:t>
      </w:r>
      <w:r>
        <w:rPr>
          <w:i/>
          <w:sz w:val="22"/>
        </w:rPr>
        <w:t>profesionales de la salud. Conocer instrumentos como la entrevista de carga del cuidador de Zarit contribuye al entendimiento del porqué se necesitan espacios donde los cuidadores puedan recibir información, atención e incluso entrenamiento en habilidades para cuidar mejor”. </w:t>
      </w:r>
      <w:r>
        <w:rPr>
          <w:sz w:val="22"/>
        </w:rPr>
        <w:t>(Alpuche et al.2008)</w:t>
      </w:r>
    </w:p>
    <w:p>
      <w:pPr>
        <w:pStyle w:val="BodyText"/>
        <w:rPr>
          <w:sz w:val="22"/>
        </w:rPr>
      </w:pPr>
    </w:p>
    <w:p>
      <w:pPr>
        <w:pStyle w:val="BodyText"/>
        <w:spacing w:line="360" w:lineRule="auto" w:before="162"/>
        <w:ind w:left="265" w:right="133"/>
        <w:jc w:val="both"/>
      </w:pPr>
      <w:r>
        <w:rPr/>
        <w:t>Siguiendo esta línea se reconoce, que es fundamental realizar estudios de sobrecarga del cuidador, en el contexto hospitalario, ya que muchos de los cuidadores informales primarios, asisten a sus familiares hospitalizados y presentan una diversa gama de efectos negativos, que se ven reflejados en sentimientos de aprensión y enojo, en muchas ocasiones prepotencia hacia su propio familiar y al personal sanitario, por lo que, es importante identificar el fenómeno de sobrecarga en el contexto hospitalario para poder sugerir líneas de acción, ya que, las instituciones hospitalarias no cuentan con una normatividad específica, que regule los derechos y obligaciones del cuidador informal primario, esta falta de normatividad lo predispone a desempeñar un rol ambiguo durante la visita hospitalaria al no existir una dinámica específica, ésta puede hacerlo pasar por alto, diversas oportunidades de aprendizaje al incorporarse a la atención de su paciente hospitalizado.</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42"/>
        <w:jc w:val="both"/>
      </w:pPr>
      <w:r>
        <w:rPr/>
        <w:t>El hospital público de segundo nivel seleccionado, se encuentra en México,  Distrito Federal, registra más de 300 mil derechohabientes, los cuales el 85% de los pacientes ingresados corresponde a adultos mayores de 60 años o más, el servicio de medicina interna cuenta con 61 camas</w:t>
      </w:r>
      <w:r>
        <w:rPr>
          <w:spacing w:val="-22"/>
        </w:rPr>
        <w:t> </w:t>
      </w:r>
      <w:r>
        <w:rPr/>
        <w:t>censables.</w:t>
      </w:r>
    </w:p>
    <w:p>
      <w:pPr>
        <w:pStyle w:val="BodyText"/>
      </w:pPr>
    </w:p>
    <w:p>
      <w:pPr>
        <w:pStyle w:val="BodyText"/>
        <w:spacing w:line="360" w:lineRule="auto" w:before="142"/>
        <w:ind w:left="265" w:right="136"/>
        <w:jc w:val="both"/>
      </w:pPr>
      <w:r>
        <w:rPr/>
        <w:t>Bajo la línea del estudio de la sobrecarga, se proyecta la presente investigación dentro de una institución hospitalaria, surgiendo la siguiente pregunta de investigación:</w:t>
      </w:r>
    </w:p>
    <w:p>
      <w:pPr>
        <w:pStyle w:val="BodyText"/>
      </w:pPr>
    </w:p>
    <w:p>
      <w:pPr>
        <w:pStyle w:val="BodyText"/>
        <w:spacing w:line="360" w:lineRule="auto" w:before="142"/>
        <w:ind w:left="286" w:right="162" w:hanging="1"/>
        <w:jc w:val="center"/>
      </w:pPr>
      <w:r>
        <w:rPr/>
        <w:t>¿Cuál es el nivel de sobrecarga en el cuidador informal primario, que cuenta con un paciente hospitalizado en el servicio de medicina interna, en un hospital público de segundo nivel del Distrito Federal, México?</w:t>
      </w:r>
    </w:p>
    <w:p>
      <w:pPr>
        <w:spacing w:after="0" w:line="360" w:lineRule="auto"/>
        <w:jc w:val="center"/>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3"/>
        <w:ind w:right="1969"/>
        <w:rPr>
          <w:i/>
        </w:rPr>
      </w:pPr>
      <w:bookmarkStart w:name="_TOC_250008" w:id="1"/>
      <w:bookmarkEnd w:id="1"/>
      <w:r>
        <w:rPr>
          <w:i/>
        </w:rPr>
        <w:t>Objetivo general</w:t>
      </w:r>
    </w:p>
    <w:p>
      <w:pPr>
        <w:pStyle w:val="BodyText"/>
        <w:rPr>
          <w:b/>
          <w:i/>
        </w:rPr>
      </w:pPr>
    </w:p>
    <w:p>
      <w:pPr>
        <w:pStyle w:val="BodyText"/>
        <w:rPr>
          <w:b/>
          <w:i/>
        </w:rPr>
      </w:pPr>
    </w:p>
    <w:p>
      <w:pPr>
        <w:pStyle w:val="BodyText"/>
        <w:rPr>
          <w:b/>
          <w:i/>
        </w:rPr>
      </w:pPr>
    </w:p>
    <w:p>
      <w:pPr>
        <w:pStyle w:val="BodyText"/>
        <w:spacing w:line="360" w:lineRule="auto" w:before="139"/>
        <w:ind w:left="265" w:right="219"/>
      </w:pPr>
      <w:r>
        <w:rPr/>
        <w:t>Determinar el nivel de sobrecarga del cuidador informal primario de adultos mayores hospitalizados, en el servicio de medicina interna.</w:t>
      </w:r>
    </w:p>
    <w:p>
      <w:pPr>
        <w:pStyle w:val="BodyText"/>
      </w:pPr>
    </w:p>
    <w:p>
      <w:pPr>
        <w:pStyle w:val="BodyText"/>
      </w:pPr>
    </w:p>
    <w:p>
      <w:pPr>
        <w:pStyle w:val="BodyText"/>
      </w:pPr>
    </w:p>
    <w:p>
      <w:pPr>
        <w:pStyle w:val="BodyText"/>
      </w:pPr>
    </w:p>
    <w:p>
      <w:pPr>
        <w:pStyle w:val="Heading3"/>
        <w:spacing w:before="142"/>
        <w:ind w:right="1970"/>
        <w:rPr>
          <w:i/>
        </w:rPr>
      </w:pPr>
      <w:bookmarkStart w:name="_TOC_250007" w:id="2"/>
      <w:bookmarkEnd w:id="2"/>
      <w:r>
        <w:rPr>
          <w:i/>
        </w:rPr>
        <w:t>Objetivos específicos</w:t>
      </w:r>
    </w:p>
    <w:p>
      <w:pPr>
        <w:pStyle w:val="BodyText"/>
        <w:rPr>
          <w:b/>
          <w:i/>
        </w:rPr>
      </w:pPr>
    </w:p>
    <w:p>
      <w:pPr>
        <w:pStyle w:val="BodyText"/>
        <w:rPr>
          <w:b/>
          <w:i/>
        </w:rPr>
      </w:pPr>
    </w:p>
    <w:p>
      <w:pPr>
        <w:pStyle w:val="BodyText"/>
        <w:spacing w:before="11"/>
        <w:rPr>
          <w:b/>
          <w:i/>
          <w:sz w:val="35"/>
        </w:rPr>
      </w:pPr>
    </w:p>
    <w:p>
      <w:pPr>
        <w:pStyle w:val="ListParagraph"/>
        <w:numPr>
          <w:ilvl w:val="0"/>
          <w:numId w:val="2"/>
        </w:numPr>
        <w:tabs>
          <w:tab w:pos="625" w:val="left" w:leader="none"/>
          <w:tab w:pos="626" w:val="left" w:leader="none"/>
        </w:tabs>
        <w:spacing w:line="240" w:lineRule="auto" w:before="0" w:after="0"/>
        <w:ind w:left="625" w:right="0" w:hanging="360"/>
        <w:jc w:val="left"/>
        <w:rPr>
          <w:sz w:val="24"/>
        </w:rPr>
      </w:pPr>
      <w:r>
        <w:rPr>
          <w:sz w:val="24"/>
        </w:rPr>
        <w:t>Describir el perfil sociodemográfico del cuidador informal</w:t>
      </w:r>
      <w:r>
        <w:rPr>
          <w:spacing w:val="-26"/>
          <w:sz w:val="24"/>
        </w:rPr>
        <w:t> </w:t>
      </w:r>
      <w:r>
        <w:rPr>
          <w:sz w:val="24"/>
        </w:rPr>
        <w:t>primario.</w:t>
      </w:r>
    </w:p>
    <w:p>
      <w:pPr>
        <w:pStyle w:val="BodyText"/>
        <w:spacing w:before="10"/>
        <w:rPr>
          <w:sz w:val="32"/>
        </w:rPr>
      </w:pPr>
    </w:p>
    <w:p>
      <w:pPr>
        <w:pStyle w:val="ListParagraph"/>
        <w:numPr>
          <w:ilvl w:val="0"/>
          <w:numId w:val="2"/>
        </w:numPr>
        <w:tabs>
          <w:tab w:pos="626" w:val="left" w:leader="none"/>
        </w:tabs>
        <w:spacing w:line="350" w:lineRule="auto" w:before="0" w:after="0"/>
        <w:ind w:left="625" w:right="141" w:hanging="360"/>
        <w:jc w:val="both"/>
        <w:rPr>
          <w:sz w:val="24"/>
        </w:rPr>
      </w:pPr>
      <w:r>
        <w:rPr>
          <w:sz w:val="24"/>
        </w:rPr>
        <w:t>Describir el perfil del paciente adulto mayor que asiste el cuidador informal primario.</w:t>
      </w:r>
    </w:p>
    <w:p>
      <w:pPr>
        <w:pStyle w:val="BodyText"/>
        <w:spacing w:before="1"/>
        <w:rPr>
          <w:sz w:val="22"/>
        </w:rPr>
      </w:pPr>
    </w:p>
    <w:p>
      <w:pPr>
        <w:pStyle w:val="ListParagraph"/>
        <w:numPr>
          <w:ilvl w:val="0"/>
          <w:numId w:val="2"/>
        </w:numPr>
        <w:tabs>
          <w:tab w:pos="626" w:val="left" w:leader="none"/>
        </w:tabs>
        <w:spacing w:line="352" w:lineRule="auto" w:before="0" w:after="0"/>
        <w:ind w:left="625" w:right="132" w:hanging="360"/>
        <w:jc w:val="both"/>
        <w:rPr>
          <w:sz w:val="24"/>
        </w:rPr>
      </w:pPr>
      <w:r>
        <w:rPr>
          <w:sz w:val="24"/>
        </w:rPr>
        <w:t>Enunciar el tiempo dedicado por el cuidador informal primario al cuidado del paciente</w:t>
      </w:r>
      <w:r>
        <w:rPr>
          <w:spacing w:val="-9"/>
          <w:sz w:val="24"/>
        </w:rPr>
        <w:t> </w:t>
      </w:r>
      <w:r>
        <w:rPr>
          <w:sz w:val="24"/>
        </w:rPr>
        <w:t>hospitalizado.</w:t>
      </w:r>
    </w:p>
    <w:p>
      <w:pPr>
        <w:pStyle w:val="BodyText"/>
        <w:spacing w:before="9"/>
        <w:rPr>
          <w:sz w:val="21"/>
        </w:rPr>
      </w:pPr>
    </w:p>
    <w:p>
      <w:pPr>
        <w:pStyle w:val="ListParagraph"/>
        <w:numPr>
          <w:ilvl w:val="0"/>
          <w:numId w:val="2"/>
        </w:numPr>
        <w:tabs>
          <w:tab w:pos="626" w:val="left" w:leader="none"/>
        </w:tabs>
        <w:spacing w:line="350" w:lineRule="auto" w:before="1" w:after="0"/>
        <w:ind w:left="625" w:right="143" w:hanging="360"/>
        <w:jc w:val="both"/>
        <w:rPr>
          <w:sz w:val="24"/>
        </w:rPr>
      </w:pPr>
      <w:r>
        <w:rPr>
          <w:sz w:val="24"/>
        </w:rPr>
        <w:t>Identificar el nivel de sobrecarga del cuidador informal primario de acuerdo al género.</w:t>
      </w:r>
    </w:p>
    <w:p>
      <w:pPr>
        <w:pStyle w:val="BodyText"/>
        <w:spacing w:before="3"/>
        <w:rPr>
          <w:sz w:val="22"/>
        </w:rPr>
      </w:pPr>
    </w:p>
    <w:p>
      <w:pPr>
        <w:pStyle w:val="ListParagraph"/>
        <w:numPr>
          <w:ilvl w:val="0"/>
          <w:numId w:val="2"/>
        </w:numPr>
        <w:tabs>
          <w:tab w:pos="626" w:val="left" w:leader="none"/>
        </w:tabs>
        <w:spacing w:line="355" w:lineRule="auto" w:before="0" w:after="0"/>
        <w:ind w:left="625" w:right="135" w:hanging="360"/>
        <w:jc w:val="both"/>
        <w:rPr>
          <w:sz w:val="24"/>
        </w:rPr>
      </w:pPr>
      <w:r>
        <w:rPr>
          <w:sz w:val="24"/>
        </w:rPr>
        <w:t>Enunciar la disposición del cuidador informal primario a participar en un programa educativo que le proporcione conocimientos y habilidades sobre el cuidado.</w:t>
      </w:r>
    </w:p>
    <w:p>
      <w:pPr>
        <w:spacing w:after="0" w:line="355" w:lineRule="auto"/>
        <w:jc w:val="both"/>
        <w:rPr>
          <w:sz w:val="24"/>
        </w:rPr>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2"/>
        <w:ind w:left="2095" w:right="1971"/>
        <w:jc w:val="center"/>
      </w:pPr>
      <w:bookmarkStart w:name="_TOC_250006" w:id="3"/>
      <w:bookmarkEnd w:id="3"/>
      <w:r>
        <w:rPr/>
        <w:t>Capítulo I</w:t>
      </w:r>
    </w:p>
    <w:p>
      <w:pPr>
        <w:pStyle w:val="BodyText"/>
        <w:rPr>
          <w:b/>
        </w:rPr>
      </w:pPr>
    </w:p>
    <w:p>
      <w:pPr>
        <w:pStyle w:val="BodyText"/>
        <w:rPr>
          <w:b/>
        </w:rPr>
      </w:pPr>
    </w:p>
    <w:p>
      <w:pPr>
        <w:pStyle w:val="Heading3"/>
        <w:ind w:right="1968"/>
        <w:rPr>
          <w:i/>
        </w:rPr>
      </w:pPr>
      <w:r>
        <w:rPr>
          <w:i/>
        </w:rPr>
        <w:t>Antecedentes y estado actual del tema</w:t>
      </w:r>
    </w:p>
    <w:p>
      <w:pPr>
        <w:pStyle w:val="BodyText"/>
        <w:rPr>
          <w:b/>
          <w:i/>
        </w:rPr>
      </w:pPr>
    </w:p>
    <w:p>
      <w:pPr>
        <w:pStyle w:val="BodyText"/>
        <w:rPr>
          <w:b/>
          <w:i/>
        </w:rPr>
      </w:pPr>
    </w:p>
    <w:p>
      <w:pPr>
        <w:pStyle w:val="BodyText"/>
        <w:spacing w:line="360" w:lineRule="auto"/>
        <w:ind w:left="265" w:right="169"/>
        <w:jc w:val="both"/>
      </w:pPr>
      <w:r>
        <w:rPr/>
        <w:t>Desde los estudios realizados por Zarit y sus colaboradores en los años ochentas, han tenido importancia los estudios relacionados con el cuidador, se han documentado los efectos negativos principalmente; así mismo, son enumerados las diferentes características del cuidador, de acuerdo con Montorio et al. (1998) “este cuerpo de conocimientos, se ha desarrollado partiendo de un reducido número de estudios, sobre el cuidador informal hasta llegar a un punto en que el cuidador, se ha convertido en tema principal de la gerontología” (Montorio et al. 1998), en torno a la concepción de ser cuidador, las diferentes conceptualizaciones y sus características difieren de un autor a otro (Tabla No. 1), en las diferentes conjeturas de estos autores, son más las similitudes en las características que enuncian para definirlo, otro aspecto importante, más allá, de los conceptos es el “consenso generalizado entre los investigadores, respecto a que la situación de cuidar a una persona mayor constituye una situación estresante”; en torno a lo anterior se han encaminado los diferentes estudios, para evaluar y medir dichas repercusiones estresantes a las que en su conjunto se han definido como “carga”, dicho “sentimiento de carga del cuidador se ha revelado como un importante factor en la calidad de vida de los cuidadores”. (Poulshock y Deimling, 1984, citados en Montorio et al.</w:t>
      </w:r>
      <w:r>
        <w:rPr>
          <w:spacing w:val="-18"/>
        </w:rPr>
        <w:t> </w:t>
      </w:r>
      <w:r>
        <w:rPr/>
        <w:t>1998)</w:t>
      </w:r>
    </w:p>
    <w:p>
      <w:pPr>
        <w:pStyle w:val="BodyText"/>
      </w:pPr>
    </w:p>
    <w:p>
      <w:pPr>
        <w:pStyle w:val="BodyText"/>
        <w:spacing w:line="360" w:lineRule="auto" w:before="142"/>
        <w:ind w:left="265" w:right="168"/>
        <w:jc w:val="both"/>
      </w:pPr>
      <w:r>
        <w:rPr/>
        <w:t>Zarit (1980) en sus investigaciones con cuidadores de pacientes con Alzheimer, diseña su escala de sobrecarga del cuidador que originalmente consistía en 29 ítems, en su revisión en 1985, el mismo autor la redujo a 22, dicho instrumento ha sido objeto de diferentes estudios de validación, traducción y aplicación en diferentes escenarios, tanto así que es el instrumento más utilizado para estudios de carga del cuidador, si bien, las diferentes variables, conceptos que componen la</w:t>
      </w:r>
      <w:r>
        <w:rPr>
          <w:spacing w:val="21"/>
        </w:rPr>
        <w:t> </w:t>
      </w:r>
      <w:r>
        <w:rPr/>
        <w:t>carga</w:t>
      </w:r>
      <w:r>
        <w:rPr>
          <w:spacing w:val="22"/>
        </w:rPr>
        <w:t> </w:t>
      </w:r>
      <w:r>
        <w:rPr/>
        <w:t>del</w:t>
      </w:r>
      <w:r>
        <w:rPr>
          <w:spacing w:val="20"/>
        </w:rPr>
        <w:t> </w:t>
      </w:r>
      <w:r>
        <w:rPr/>
        <w:t>cuidador</w:t>
      </w:r>
      <w:r>
        <w:rPr>
          <w:spacing w:val="15"/>
        </w:rPr>
        <w:t> </w:t>
      </w:r>
      <w:r>
        <w:rPr/>
        <w:t>son</w:t>
      </w:r>
      <w:r>
        <w:rPr>
          <w:spacing w:val="22"/>
        </w:rPr>
        <w:t> </w:t>
      </w:r>
      <w:r>
        <w:rPr/>
        <w:t>complejos</w:t>
      </w:r>
      <w:r>
        <w:rPr>
          <w:spacing w:val="21"/>
        </w:rPr>
        <w:t> </w:t>
      </w:r>
      <w:r>
        <w:rPr/>
        <w:t>y</w:t>
      </w:r>
      <w:r>
        <w:rPr>
          <w:spacing w:val="18"/>
        </w:rPr>
        <w:t> </w:t>
      </w:r>
      <w:r>
        <w:rPr/>
        <w:t>existe</w:t>
      </w:r>
      <w:r>
        <w:rPr>
          <w:spacing w:val="22"/>
        </w:rPr>
        <w:t> </w:t>
      </w:r>
      <w:r>
        <w:rPr/>
        <w:t>disparidad</w:t>
      </w:r>
      <w:r>
        <w:rPr>
          <w:spacing w:val="19"/>
        </w:rPr>
        <w:t> </w:t>
      </w:r>
      <w:r>
        <w:rPr/>
        <w:t>en</w:t>
      </w:r>
      <w:r>
        <w:rPr>
          <w:spacing w:val="22"/>
        </w:rPr>
        <w:t> </w:t>
      </w:r>
      <w:r>
        <w:rPr/>
        <w:t>algunos,</w:t>
      </w:r>
      <w:r>
        <w:rPr>
          <w:spacing w:val="21"/>
        </w:rPr>
        <w:t> </w:t>
      </w:r>
      <w:r>
        <w:rPr/>
        <w:t>en</w:t>
      </w:r>
      <w:r>
        <w:rPr>
          <w:spacing w:val="19"/>
        </w:rPr>
        <w:t> </w:t>
      </w:r>
      <w:r>
        <w:rPr/>
        <w:t>el</w:t>
      </w:r>
      <w:r>
        <w:rPr>
          <w:spacing w:val="20"/>
        </w:rPr>
        <w:t> </w:t>
      </w:r>
      <w:r>
        <w:rPr/>
        <w:t>medio</w:t>
      </w:r>
    </w:p>
    <w:p>
      <w:pPr>
        <w:spacing w:after="0" w:line="360" w:lineRule="auto"/>
        <w:jc w:val="both"/>
        <w:sectPr>
          <w:footerReference w:type="default" r:id="rId18"/>
          <w:pgSz w:w="12250" w:h="15850"/>
          <w:pgMar w:footer="1122" w:header="748" w:top="1260" w:bottom="1320" w:left="1720" w:right="1280"/>
          <w:pgNumType w:start="16"/>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72"/>
        <w:jc w:val="both"/>
      </w:pPr>
      <w:r>
        <w:rPr/>
        <w:t>internacional destacan los estudios de sobrecarga del cuidador de Carretero et al. (2004), Crespo y López (2006), Breinbauer et al, (2009), Barahona. (2013), Grandón et al. (2011), Jofre y Sanhueza (2010), López et al. (2009), Montorio et al. (1998), Quero (2007), Steel. (2010), entre otros, en tanto en el contexto nacional, se refiere a Gómez (2008), Márquez (2008) y Domínguez et al (2010), Covarrubias L y Andrade G. (2012), si bien es cuantiosa la información disponible “la investigación sobre el estrés del cuidador se caracteriza porque los hechos se acumulan con una velocidad mayor que nuestra capacidad para darles coherencia teórica”. (en Montorio et al.</w:t>
      </w:r>
      <w:r>
        <w:rPr>
          <w:spacing w:val="-12"/>
        </w:rPr>
        <w:t> </w:t>
      </w:r>
      <w:r>
        <w:rPr/>
        <w:t>1998)</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2"/>
        <w:ind w:left="2095" w:right="1966"/>
        <w:jc w:val="center"/>
      </w:pPr>
      <w:bookmarkStart w:name="_TOC_250005" w:id="4"/>
      <w:bookmarkEnd w:id="4"/>
      <w:r>
        <w:rPr/>
        <w:t>Capítulo II</w:t>
      </w:r>
    </w:p>
    <w:p>
      <w:pPr>
        <w:pStyle w:val="BodyText"/>
        <w:rPr>
          <w:b/>
        </w:rPr>
      </w:pPr>
    </w:p>
    <w:p>
      <w:pPr>
        <w:pStyle w:val="BodyText"/>
        <w:rPr>
          <w:b/>
        </w:rPr>
      </w:pPr>
    </w:p>
    <w:p>
      <w:pPr>
        <w:pStyle w:val="Heading3"/>
        <w:ind w:right="2020"/>
        <w:rPr>
          <w:i/>
        </w:rPr>
      </w:pPr>
      <w:r>
        <w:rPr>
          <w:i/>
        </w:rPr>
        <w:t>Fenómeno de dependencia y hospitalización</w:t>
      </w:r>
    </w:p>
    <w:p>
      <w:pPr>
        <w:pStyle w:val="BodyText"/>
        <w:rPr>
          <w:b/>
          <w:i/>
        </w:rPr>
      </w:pPr>
    </w:p>
    <w:p>
      <w:pPr>
        <w:pStyle w:val="BodyText"/>
        <w:rPr>
          <w:b/>
          <w:i/>
        </w:rPr>
      </w:pPr>
    </w:p>
    <w:p>
      <w:pPr>
        <w:pStyle w:val="BodyText"/>
        <w:spacing w:line="360" w:lineRule="auto"/>
        <w:ind w:left="265" w:right="141"/>
        <w:jc w:val="both"/>
      </w:pPr>
      <w:r>
        <w:rPr/>
        <w:t>Los cambios demográficos se caracterizan por ser transformaciones silenciosas y lentas, en las que las consecuencias, no son palpables hasta varias décadas después, de ser iniciados, estos cambios, implican un reto en el ámbito  económico, político y social de cualquier nación, el envejecimiento de la población mundial, es un tema que ha entrado en auge, desde hace más de 30 años de acuerdo con la Organización de Naciones</w:t>
      </w:r>
      <w:r>
        <w:rPr>
          <w:spacing w:val="-14"/>
        </w:rPr>
        <w:t> </w:t>
      </w:r>
      <w:r>
        <w:rPr/>
        <w:t>Unidas.</w:t>
      </w:r>
    </w:p>
    <w:p>
      <w:pPr>
        <w:pStyle w:val="BodyText"/>
      </w:pPr>
    </w:p>
    <w:p>
      <w:pPr>
        <w:pStyle w:val="BodyText"/>
        <w:spacing w:before="1"/>
        <w:rPr>
          <w:sz w:val="28"/>
        </w:rPr>
      </w:pPr>
    </w:p>
    <w:p>
      <w:pPr>
        <w:spacing w:before="1"/>
        <w:ind w:left="1146" w:right="1048" w:firstLine="0"/>
        <w:jc w:val="both"/>
        <w:rPr>
          <w:sz w:val="22"/>
        </w:rPr>
      </w:pPr>
      <w:r>
        <w:rPr>
          <w:i/>
          <w:sz w:val="22"/>
        </w:rPr>
        <w:t>“en 1950 habían alrededor de 200 millones de adultos mayores, que </w:t>
      </w:r>
      <w:r>
        <w:rPr>
          <w:i/>
          <w:sz w:val="22"/>
        </w:rPr>
        <w:t>aumentaron en 1975 a 350, mientras que para el 2000 la cifra aumentó a 600 millones (10% de los habitantes del planeta) y para el 2025 pueden ser 1100 millones, lo que significa un aumento del 224% a contar de 1975. Se prevé que durante ese mismo período la población total mundial aumentará de 4.100 millones a 8.200 millones, o sea, un 102%. Por lo tanto, en el 2025 las personas de edad avanzada constituirán el 15% de la población mundial y para el 2050 el 20%, que se estima en alrededor de 2000 millones de ancianos.” </w:t>
      </w:r>
      <w:r>
        <w:rPr>
          <w:sz w:val="22"/>
        </w:rPr>
        <w:t>(Organización Mundial de la Salud. 1982, citado en Roca y Blanco 2007).</w:t>
      </w:r>
    </w:p>
    <w:p>
      <w:pPr>
        <w:pStyle w:val="BodyText"/>
        <w:rPr>
          <w:sz w:val="22"/>
        </w:rPr>
      </w:pPr>
    </w:p>
    <w:p>
      <w:pPr>
        <w:pStyle w:val="BodyText"/>
        <w:rPr>
          <w:sz w:val="22"/>
        </w:rPr>
      </w:pPr>
    </w:p>
    <w:p>
      <w:pPr>
        <w:pStyle w:val="BodyText"/>
        <w:spacing w:line="360" w:lineRule="auto" w:before="194"/>
        <w:ind w:left="265" w:right="135"/>
        <w:jc w:val="both"/>
      </w:pPr>
      <w:r>
        <w:rPr/>
        <w:t>“En general, los 60 años de edad, es aquella que, gobiernos y organizaciones internacionales comienzan a definir como la del “adulto mayor” (Organización Panamericana de la Salud 2006, citado en Roca y Blanco 2007). México no es la excepción, ante dichos cambios, actualmente se experimentan cambios en la dinámica poblacional, acorde con Villagómez (2010):</w:t>
      </w:r>
    </w:p>
    <w:p>
      <w:pPr>
        <w:pStyle w:val="BodyText"/>
      </w:pPr>
    </w:p>
    <w:p>
      <w:pPr>
        <w:pStyle w:val="BodyText"/>
        <w:spacing w:before="1"/>
        <w:rPr>
          <w:sz w:val="28"/>
        </w:rPr>
      </w:pPr>
    </w:p>
    <w:p>
      <w:pPr>
        <w:spacing w:before="1"/>
        <w:ind w:left="1165" w:right="1133" w:firstLine="0"/>
        <w:jc w:val="both"/>
        <w:rPr>
          <w:sz w:val="22"/>
        </w:rPr>
      </w:pPr>
      <w:r>
        <w:rPr>
          <w:i/>
          <w:sz w:val="22"/>
        </w:rPr>
        <w:t>“El perfil sociodemográfico de la sociedad mexicana ha sufrido </w:t>
      </w:r>
      <w:r>
        <w:rPr>
          <w:i/>
          <w:sz w:val="22"/>
        </w:rPr>
        <w:t>transformaciones sustantivas a lo largo del tiempo. En un periodo no mayor a cuatro décadas, la población de México frenó y redujo su acelerado crecimiento, consolidó su perfil urbano, intensificó su actividad migratoria y dejó de ser un país eminentemente joven para iniciar su tránsito hacia el envejecimiento”. (</w:t>
      </w:r>
      <w:r>
        <w:rPr>
          <w:sz w:val="22"/>
        </w:rPr>
        <w:t>Villagómez, 2010)</w:t>
      </w:r>
    </w:p>
    <w:p>
      <w:pPr>
        <w:spacing w:after="0"/>
        <w:jc w:val="both"/>
        <w:rPr>
          <w:sz w:val="22"/>
        </w:rPr>
        <w:sectPr>
          <w:footerReference w:type="default" r:id="rId19"/>
          <w:pgSz w:w="12250" w:h="15850"/>
          <w:pgMar w:footer="1122" w:header="748" w:top="1260" w:bottom="1320" w:left="1720" w:right="1280"/>
          <w:pgNumType w:start="18"/>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36"/>
        <w:jc w:val="both"/>
      </w:pPr>
      <w:r>
        <w:rPr/>
        <w:t>De acuerdo con el Estudio Nacional de Salud y Envejecimiento en México (2013), la población de 60 años y más corresponde a 10’055,379 de habitantes, lo cual corresponde a un 9% de la población total, tanto así, la cuarta parte  de  los hogares mexicanos, hay un adulto de 60 años o más (INEGI, 2010). Así mismo, se estima para 2036 será del 16% y para 2050 se estima que habrá más de 36 millones de adultos mayores. (Gráfica No.1)</w:t>
      </w:r>
    </w:p>
    <w:p>
      <w:pPr>
        <w:spacing w:before="161"/>
        <w:ind w:left="265" w:right="0" w:firstLine="0"/>
        <w:jc w:val="both"/>
        <w:rPr>
          <w:sz w:val="20"/>
        </w:rPr>
      </w:pPr>
      <w:r>
        <w:rPr/>
        <w:drawing>
          <wp:anchor distT="0" distB="0" distL="0" distR="0" allowOverlap="1" layoutInCell="1" locked="0" behindDoc="0" simplePos="0" relativeHeight="1048">
            <wp:simplePos x="0" y="0"/>
            <wp:positionH relativeFrom="page">
              <wp:posOffset>1764664</wp:posOffset>
            </wp:positionH>
            <wp:positionV relativeFrom="paragraph">
              <wp:posOffset>323467</wp:posOffset>
            </wp:positionV>
            <wp:extent cx="4571999" cy="3657600"/>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20" cstate="print"/>
                    <a:stretch>
                      <a:fillRect/>
                    </a:stretch>
                  </pic:blipFill>
                  <pic:spPr>
                    <a:xfrm>
                      <a:off x="0" y="0"/>
                      <a:ext cx="4571999" cy="3657600"/>
                    </a:xfrm>
                    <a:prstGeom prst="rect">
                      <a:avLst/>
                    </a:prstGeom>
                  </pic:spPr>
                </pic:pic>
              </a:graphicData>
            </a:graphic>
          </wp:anchor>
        </w:drawing>
      </w:r>
      <w:r>
        <w:rPr>
          <w:b/>
          <w:sz w:val="20"/>
        </w:rPr>
        <w:t>Gráfica No.1. </w:t>
      </w:r>
      <w:r>
        <w:rPr>
          <w:sz w:val="20"/>
        </w:rPr>
        <w:t>Pirámide Poblacional México 2010.</w:t>
      </w:r>
    </w:p>
    <w:p>
      <w:pPr>
        <w:spacing w:before="84"/>
        <w:ind w:left="1095" w:right="219" w:firstLine="0"/>
        <w:jc w:val="left"/>
        <w:rPr>
          <w:sz w:val="20"/>
        </w:rPr>
      </w:pPr>
      <w:r>
        <w:rPr>
          <w:sz w:val="20"/>
        </w:rPr>
        <w:t>Fuente: INEGI, 2010.</w:t>
      </w:r>
    </w:p>
    <w:p>
      <w:pPr>
        <w:pStyle w:val="BodyText"/>
        <w:rPr>
          <w:sz w:val="20"/>
        </w:rPr>
      </w:pPr>
    </w:p>
    <w:p>
      <w:pPr>
        <w:pStyle w:val="BodyText"/>
        <w:spacing w:before="2"/>
        <w:rPr>
          <w:sz w:val="20"/>
        </w:rPr>
      </w:pPr>
    </w:p>
    <w:p>
      <w:pPr>
        <w:pStyle w:val="BodyText"/>
        <w:spacing w:line="360" w:lineRule="auto"/>
        <w:ind w:left="265" w:right="139"/>
        <w:jc w:val="both"/>
      </w:pPr>
      <w:r>
        <w:rPr/>
        <w:t>Este creciente grupo de adultos mayores, representan un reto para las diferentes instituciones de salud, las cuales deberán destinar mayores recursos para la atención, puesto que el proceso de envejecimiento, lleva implícito un desarrollo de algún tipo de limitaciones y dependencia, “la edad implica un mayor riesgo de dependencia y que las personas mayores representan la mayor parte de las personas en situación de dependencia” (Libro blanco de atención a las personas en  situación  de  dependencia  en  España, 2004). Existe  en  la  literatura hispana</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265" w:right="194"/>
        <w:jc w:val="both"/>
      </w:pPr>
      <w:r>
        <w:rPr/>
        <w:t>diferentes conceptos sobre “dependencia” la Organización Mundial de la Salud (OMS) en 2011 define la dependencia como: la limitación en la actividad para realizar algunas actividades claves y que requiere una ayuda humana que no se necesitaría de forma acostumbrada para un adulto sano. El Consejo de Europa establece que la dependencia es:</w:t>
      </w:r>
    </w:p>
    <w:p>
      <w:pPr>
        <w:pStyle w:val="BodyText"/>
        <w:spacing w:before="4"/>
      </w:pPr>
    </w:p>
    <w:p>
      <w:pPr>
        <w:spacing w:before="0"/>
        <w:ind w:left="1165" w:right="1190" w:firstLine="0"/>
        <w:jc w:val="both"/>
        <w:rPr>
          <w:sz w:val="22"/>
        </w:rPr>
      </w:pPr>
      <w:r>
        <w:rPr>
          <w:i/>
          <w:sz w:val="22"/>
        </w:rPr>
        <w:t>El estado en el cual se encuentran las personas que, por razones </w:t>
      </w:r>
      <w:r>
        <w:rPr>
          <w:i/>
          <w:sz w:val="22"/>
        </w:rPr>
        <w:t>ligadas a la falta o pérdida de autonomía física, psíquica o intelectual, necesitan de una asistencia y/o ayuda importante –de otra persona– para realizar las actividades de la vida diaria, </w:t>
      </w:r>
      <w:r>
        <w:rPr>
          <w:sz w:val="22"/>
        </w:rPr>
        <w:t>(Consejo de Europa, 1998, citado en Carretero, et al, 2004)</w:t>
      </w:r>
    </w:p>
    <w:p>
      <w:pPr>
        <w:pStyle w:val="BodyText"/>
        <w:rPr>
          <w:sz w:val="22"/>
        </w:rPr>
      </w:pPr>
    </w:p>
    <w:p>
      <w:pPr>
        <w:pStyle w:val="BodyText"/>
        <w:spacing w:before="1"/>
        <w:rPr>
          <w:sz w:val="26"/>
        </w:rPr>
      </w:pPr>
    </w:p>
    <w:p>
      <w:pPr>
        <w:pStyle w:val="BodyText"/>
        <w:spacing w:line="360" w:lineRule="auto" w:before="1"/>
        <w:ind w:left="265" w:right="192"/>
        <w:jc w:val="both"/>
      </w:pPr>
      <w:r>
        <w:rPr/>
        <w:t>Si bien, son diversos los conceptos sobre dependencia, existen conjeturas claras en torno a su definición. (Cuadro No.1) Otra definición, sobre el origen de la dependencia desde el punto de vista de Garcés, 2000, citado en Carretero et al, 2004.</w:t>
      </w:r>
    </w:p>
    <w:p>
      <w:pPr>
        <w:pStyle w:val="BodyText"/>
        <w:spacing w:before="2"/>
      </w:pPr>
    </w:p>
    <w:p>
      <w:pPr>
        <w:spacing w:before="0"/>
        <w:ind w:left="1165" w:right="1191" w:firstLine="0"/>
        <w:jc w:val="both"/>
        <w:rPr>
          <w:sz w:val="22"/>
        </w:rPr>
      </w:pPr>
      <w:r>
        <w:rPr>
          <w:i/>
          <w:sz w:val="22"/>
        </w:rPr>
        <w:t>La dependencia surge cuando una persona requiere en mayor o  </w:t>
      </w:r>
      <w:r>
        <w:rPr>
          <w:i/>
          <w:sz w:val="22"/>
        </w:rPr>
        <w:t>menor grado la ayuda o la supervisión de otras para poder realizar las tareas o actividades de la vida diaria”, siendo estas tareas “las básicas e instrumentales para desenvolverse de forma autónoma”. </w:t>
      </w:r>
      <w:r>
        <w:rPr>
          <w:sz w:val="22"/>
        </w:rPr>
        <w:t>(Garcés, 2000, citado en Carretero, et al,</w:t>
      </w:r>
      <w:r>
        <w:rPr>
          <w:spacing w:val="-7"/>
          <w:sz w:val="22"/>
        </w:rPr>
        <w:t> </w:t>
      </w:r>
      <w:r>
        <w:rPr>
          <w:sz w:val="22"/>
        </w:rPr>
        <w:t>2004)</w:t>
      </w:r>
    </w:p>
    <w:p>
      <w:pPr>
        <w:pStyle w:val="BodyText"/>
        <w:rPr>
          <w:sz w:val="22"/>
        </w:rPr>
      </w:pPr>
    </w:p>
    <w:p>
      <w:pPr>
        <w:pStyle w:val="BodyText"/>
        <w:spacing w:before="11"/>
        <w:rPr>
          <w:sz w:val="21"/>
        </w:rPr>
      </w:pPr>
    </w:p>
    <w:p>
      <w:pPr>
        <w:pStyle w:val="BodyText"/>
        <w:spacing w:line="360" w:lineRule="auto"/>
        <w:ind w:left="265" w:right="119"/>
        <w:jc w:val="both"/>
      </w:pPr>
      <w:r>
        <w:rPr/>
        <w:t>El fenómeno de dependencia es multifactorial y no se puede señalar una causa específica, se pueden enunciar “factores de riesgo” destacando la enfermedad y la edad, ésta última es uno de los factores no modificables y progresivos que generan un grado de dependencia.</w:t>
      </w:r>
    </w:p>
    <w:p>
      <w:pPr>
        <w:pStyle w:val="BodyText"/>
      </w:pPr>
    </w:p>
    <w:p>
      <w:pPr>
        <w:spacing w:before="138"/>
        <w:ind w:left="265" w:right="0" w:firstLine="0"/>
        <w:jc w:val="both"/>
        <w:rPr>
          <w:sz w:val="20"/>
        </w:rPr>
      </w:pPr>
      <w:r>
        <w:rPr>
          <w:b/>
          <w:sz w:val="20"/>
        </w:rPr>
        <w:t>Cuadro No. 1. </w:t>
      </w:r>
      <w:r>
        <w:rPr>
          <w:sz w:val="20"/>
        </w:rPr>
        <w:t>Conceptos comunes entre las diferentes definiciones de dependencia.</w:t>
      </w:r>
    </w:p>
    <w:p>
      <w:pPr>
        <w:pStyle w:val="BodyText"/>
        <w:spacing w:before="3"/>
        <w:rPr>
          <w:sz w:val="10"/>
        </w:rPr>
      </w:pPr>
    </w:p>
    <w:tbl>
      <w:tblPr>
        <w:tblW w:w="0" w:type="auto"/>
        <w:jc w:val="left"/>
        <w:tblInd w:w="4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47"/>
      </w:tblGrid>
      <w:tr>
        <w:trPr>
          <w:trHeight w:val="356" w:hRule="exact"/>
        </w:trPr>
        <w:tc>
          <w:tcPr>
            <w:tcW w:w="8747" w:type="dxa"/>
            <w:tcBorders>
              <w:bottom w:val="nil"/>
            </w:tcBorders>
          </w:tcPr>
          <w:p>
            <w:pPr>
              <w:pStyle w:val="TableParagraph"/>
              <w:spacing w:before="57"/>
              <w:ind w:left="64"/>
              <w:jc w:val="left"/>
              <w:rPr>
                <w:sz w:val="22"/>
              </w:rPr>
            </w:pPr>
            <w:r>
              <w:rPr>
                <w:sz w:val="22"/>
              </w:rPr>
              <w:t>&gt;No existe una causa concreta generadora de dependencia</w:t>
            </w:r>
          </w:p>
        </w:tc>
      </w:tr>
      <w:tr>
        <w:trPr>
          <w:trHeight w:val="312" w:hRule="exact"/>
        </w:trPr>
        <w:tc>
          <w:tcPr>
            <w:tcW w:w="8747" w:type="dxa"/>
            <w:tcBorders>
              <w:top w:val="nil"/>
              <w:bottom w:val="nil"/>
            </w:tcBorders>
          </w:tcPr>
          <w:p>
            <w:pPr>
              <w:pStyle w:val="TableParagraph"/>
              <w:spacing w:before="18"/>
              <w:ind w:left="64"/>
              <w:jc w:val="left"/>
              <w:rPr>
                <w:sz w:val="22"/>
              </w:rPr>
            </w:pPr>
            <w:r>
              <w:rPr>
                <w:sz w:val="22"/>
              </w:rPr>
              <w:t>&gt;La necesidad de ayuda a otros</w:t>
            </w:r>
          </w:p>
        </w:tc>
      </w:tr>
      <w:tr>
        <w:trPr>
          <w:trHeight w:val="312" w:hRule="exact"/>
        </w:trPr>
        <w:tc>
          <w:tcPr>
            <w:tcW w:w="8747" w:type="dxa"/>
            <w:tcBorders>
              <w:top w:val="nil"/>
              <w:bottom w:val="nil"/>
            </w:tcBorders>
          </w:tcPr>
          <w:p>
            <w:pPr>
              <w:pStyle w:val="TableParagraph"/>
              <w:spacing w:before="18"/>
              <w:ind w:left="64"/>
              <w:jc w:val="left"/>
              <w:rPr>
                <w:sz w:val="22"/>
              </w:rPr>
            </w:pPr>
            <w:r>
              <w:rPr>
                <w:sz w:val="22"/>
              </w:rPr>
              <w:t>&gt;La ayuda durante un periodo prolongado de tiempo</w:t>
            </w:r>
          </w:p>
        </w:tc>
      </w:tr>
      <w:tr>
        <w:trPr>
          <w:trHeight w:val="280" w:hRule="exact"/>
        </w:trPr>
        <w:tc>
          <w:tcPr>
            <w:tcW w:w="8747" w:type="dxa"/>
            <w:tcBorders>
              <w:top w:val="nil"/>
            </w:tcBorders>
          </w:tcPr>
          <w:p>
            <w:pPr>
              <w:pStyle w:val="TableParagraph"/>
              <w:spacing w:before="18"/>
              <w:ind w:left="64"/>
              <w:jc w:val="left"/>
              <w:rPr>
                <w:sz w:val="22"/>
              </w:rPr>
            </w:pPr>
            <w:r>
              <w:rPr>
                <w:sz w:val="22"/>
              </w:rPr>
              <w:t>&gt;Las actividades de la vida diaria</w:t>
            </w:r>
          </w:p>
        </w:tc>
      </w:tr>
    </w:tbl>
    <w:p>
      <w:pPr>
        <w:spacing w:line="227" w:lineRule="exact" w:before="0"/>
        <w:ind w:left="320" w:right="230" w:firstLine="0"/>
        <w:jc w:val="left"/>
        <w:rPr>
          <w:sz w:val="20"/>
        </w:rPr>
      </w:pPr>
      <w:r>
        <w:rPr>
          <w:sz w:val="20"/>
        </w:rPr>
        <w:t>Fuente: Carretero et al, 2004.</w:t>
      </w:r>
    </w:p>
    <w:p>
      <w:pPr>
        <w:spacing w:after="0" w:line="227" w:lineRule="exact"/>
        <w:jc w:val="left"/>
        <w:rPr>
          <w:sz w:val="20"/>
        </w:rPr>
        <w:sectPr>
          <w:footerReference w:type="default" r:id="rId21"/>
          <w:pgSz w:w="12250" w:h="15850"/>
          <w:pgMar w:footer="1122" w:header="748"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11"/>
        <w:jc w:val="both"/>
      </w:pPr>
      <w:r>
        <w:rPr/>
        <w:t>Teniendo presente lo anterior, se puede relacionar la dependencia con la edad avanzada. Así, el porcentaje de individuos, que soportan limitaciones en su capacidad funcional aumenta, conforme se consideran grupos poblacionales de mayor edad. (Eurostat, 2003; Garcés et al. 2004; citados en Carretero et al, 2004)</w:t>
      </w:r>
    </w:p>
    <w:p>
      <w:pPr>
        <w:pStyle w:val="BodyText"/>
      </w:pPr>
    </w:p>
    <w:p>
      <w:pPr>
        <w:pStyle w:val="BodyText"/>
        <w:spacing w:line="360" w:lineRule="auto" w:before="142"/>
        <w:ind w:left="625" w:right="120"/>
        <w:jc w:val="both"/>
      </w:pPr>
      <w:r>
        <w:rPr/>
        <w:t>Otro vínculo ineludible es la recurrente hospitalización de los adultos mayores, de acuerdo con el Instituto de Geriatría, en 2010, la población mayor a 60 años, requirió ser hospitalizada al menos 1.7 veces al año. En México el Sistema Nacional de Salud está conformando por diferentes instituciones que cumplen la función de prevención, diagnóstico y tratamiento de acuerdo con los diferentes tipos de población a los que atienden, cada una con características particulares, éste se divide en tres niveles de atención; el segundo nivel conformado por hospitales generales, son aquellos que atienden a la mayoría de población que necesita estancia hospitalaria. Actualmente el segundo nivel de atención ha aumentado, la atención a población de mayores de 60 años es atendida en los servicios de medicina interna y urgencias, sin embargo, el aumento exponencial ha hecho que algunas instituciones establezcan salas específicas de geriatría, con el objetivo de brindar una atención más especializada.</w:t>
      </w:r>
    </w:p>
    <w:p>
      <w:pPr>
        <w:pStyle w:val="BodyText"/>
      </w:pPr>
    </w:p>
    <w:p>
      <w:pPr>
        <w:pStyle w:val="BodyText"/>
        <w:spacing w:line="360" w:lineRule="auto" w:before="142"/>
        <w:ind w:left="625" w:right="202"/>
        <w:jc w:val="both"/>
      </w:pPr>
      <w:r>
        <w:rPr/>
        <w:t>El entorno intrahospitalario es un entorno extraño para el paciente, y dependiendo a su estado de salud requiere ser acompañado y asistido muchas veces de tiempo completo por un acompañante.</w:t>
      </w:r>
    </w:p>
    <w:p>
      <w:pPr>
        <w:pStyle w:val="BodyText"/>
        <w:spacing w:before="2"/>
      </w:pPr>
    </w:p>
    <w:p>
      <w:pPr>
        <w:spacing w:before="0"/>
        <w:ind w:left="1525" w:right="1194" w:firstLine="0"/>
        <w:jc w:val="both"/>
        <w:rPr>
          <w:sz w:val="22"/>
        </w:rPr>
      </w:pPr>
      <w:r>
        <w:rPr>
          <w:i/>
          <w:sz w:val="22"/>
        </w:rPr>
        <w:t>La hospitalización representa una experiencia única e inesperada </w:t>
      </w:r>
      <w:r>
        <w:rPr>
          <w:i/>
          <w:sz w:val="22"/>
        </w:rPr>
        <w:t>tanto para las personas enfermas como para los familiares que apoyan el cuidado, lo que conlleva a alteraciones en la vida diaria de los cuidadores por la dinámica propia del hospital, la comunicación con los familiares en algunas ocasiones se torna insuficiente, de tal forma que la relación que lleva el receptor del cuidado es únicamente a través de la persona cuidadora, volviéndose éste el apoyo principal. </w:t>
      </w:r>
      <w:r>
        <w:rPr>
          <w:sz w:val="22"/>
        </w:rPr>
        <w:t>(Covarrubias y Andrade. 2012)</w:t>
      </w:r>
    </w:p>
    <w:p>
      <w:pPr>
        <w:spacing w:after="0"/>
        <w:jc w:val="both"/>
        <w:rPr>
          <w:sz w:val="22"/>
        </w:rPr>
        <w:sectPr>
          <w:footerReference w:type="default" r:id="rId22"/>
          <w:pgSz w:w="12250" w:h="15850"/>
          <w:pgMar w:footer="1122" w:header="748" w:top="1260" w:bottom="1320" w:left="1720" w:right="1220"/>
          <w:pgNumType w:start="21"/>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15"/>
        <w:jc w:val="both"/>
      </w:pPr>
      <w:r>
        <w:rPr/>
        <w:t>En el contexto clínico en las diferentes instituciones sanitarias, el abordaje del paciente adulto mayor, se centra en el diagnóstico y tratamiento, soslayando participación y las consecuencias negativas que impactan en el cuidador, convirtiéndose en un espectador; lo anterior evidencia la institucionalización del cuidado, el cual ha remplazado a los cuidados empíricos brindados en el hogar, por el cuidado profesional de enfermería, brindado de manera científica y acompañado de recursos tecnológicos, brindando una opción de atención al adulto mayor, ofreciendo muchas veces, un escape de tal forma que “los cuidadores verían el internamiento en un centro de cuidados de larga duración, como una fuente de alivio a sus problemas”. (Colerick y George, 1986, Todd y Zarit, 1986; Pruchno, Michaels y Potashnik, 1990; Gaugler et al. 2000; citados en Carretero et al,</w:t>
      </w:r>
      <w:r>
        <w:rPr>
          <w:spacing w:val="-7"/>
        </w:rPr>
        <w:t> </w:t>
      </w:r>
      <w:r>
        <w:rPr/>
        <w:t>2004)</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Heading2"/>
        <w:ind w:left="2095" w:right="1606"/>
        <w:jc w:val="center"/>
      </w:pPr>
      <w:bookmarkStart w:name="_TOC_250004" w:id="5"/>
      <w:bookmarkEnd w:id="5"/>
      <w:r>
        <w:rPr/>
        <w:t>Capítulo III</w:t>
      </w:r>
    </w:p>
    <w:p>
      <w:pPr>
        <w:pStyle w:val="BodyText"/>
        <w:rPr>
          <w:b/>
        </w:rPr>
      </w:pPr>
    </w:p>
    <w:p>
      <w:pPr>
        <w:pStyle w:val="BodyText"/>
        <w:rPr>
          <w:b/>
        </w:rPr>
      </w:pPr>
    </w:p>
    <w:p>
      <w:pPr>
        <w:pStyle w:val="Heading3"/>
        <w:ind w:right="1608"/>
        <w:rPr>
          <w:i/>
        </w:rPr>
      </w:pPr>
      <w:bookmarkStart w:name="_TOC_250003" w:id="6"/>
      <w:bookmarkEnd w:id="6"/>
      <w:r>
        <w:rPr>
          <w:i/>
        </w:rPr>
        <w:t>Conceptualizando al cuidador</w:t>
      </w:r>
    </w:p>
    <w:p>
      <w:pPr>
        <w:pStyle w:val="BodyText"/>
        <w:rPr>
          <w:b/>
          <w:i/>
        </w:rPr>
      </w:pPr>
    </w:p>
    <w:p>
      <w:pPr>
        <w:pStyle w:val="BodyText"/>
        <w:rPr>
          <w:b/>
          <w:i/>
        </w:rPr>
      </w:pPr>
    </w:p>
    <w:p>
      <w:pPr>
        <w:pStyle w:val="BodyText"/>
        <w:spacing w:line="360" w:lineRule="auto"/>
        <w:ind w:left="625" w:right="140"/>
        <w:jc w:val="both"/>
      </w:pPr>
      <w:r>
        <w:rPr/>
        <w:t>El acto de cuidar es considerado como una práctica antigua, se podría decir que desde el comienzo la de vida humana, este acto va dirigido principalmente a la preservación de la vida, no sólo, durante la enfermedad, sino también, en el mantenimiento de la salud. Su principal objetivo, es cubrir las necesidades básicas para mantener la vida de la persona que recibe dicho</w:t>
      </w:r>
      <w:r>
        <w:rPr>
          <w:spacing w:val="-27"/>
        </w:rPr>
        <w:t> </w:t>
      </w:r>
      <w:r>
        <w:rPr/>
        <w:t>cuidado.</w:t>
      </w:r>
    </w:p>
    <w:p>
      <w:pPr>
        <w:pStyle w:val="BodyText"/>
      </w:pPr>
    </w:p>
    <w:p>
      <w:pPr>
        <w:pStyle w:val="BodyText"/>
        <w:spacing w:line="360" w:lineRule="auto" w:before="142"/>
        <w:ind w:left="625" w:right="135"/>
        <w:jc w:val="both"/>
      </w:pPr>
      <w:r>
        <w:rPr/>
        <w:t>El concepto de cuidado ha evolucionado a través, del tiempo, es acorde al trasfondo cultural, momento histórico y sin dejar de lado su esencia de humanismo. Según Izquierdo (2003): los cuidados son una necesidad multidimensional de todas las personas en todos los momentos del ciclo vital, aunque en distintos grados, dimensiones y formas. Constituyen la necesidad más básica y cotidiana que permiten la sustentación de la vida.</w:t>
      </w:r>
    </w:p>
    <w:p>
      <w:pPr>
        <w:pStyle w:val="BodyText"/>
      </w:pPr>
    </w:p>
    <w:p>
      <w:pPr>
        <w:pStyle w:val="BodyText"/>
        <w:spacing w:line="360" w:lineRule="auto" w:before="142"/>
        <w:ind w:left="625" w:right="137"/>
        <w:jc w:val="both"/>
      </w:pPr>
      <w:r>
        <w:rPr/>
        <w:t>Según Vaquiro y Stiepovich (2010) el núcleo familiar constituye el primer grupo en que se brindan cuidados desde el momento del nacimiento hasta la muerte, históricamente la familia:</w:t>
      </w:r>
    </w:p>
    <w:p>
      <w:pPr>
        <w:pStyle w:val="BodyText"/>
        <w:spacing w:before="4"/>
      </w:pPr>
    </w:p>
    <w:p>
      <w:pPr>
        <w:spacing w:line="240" w:lineRule="auto" w:before="0"/>
        <w:ind w:left="1525" w:right="1232" w:firstLine="0"/>
        <w:jc w:val="both"/>
        <w:rPr>
          <w:sz w:val="22"/>
        </w:rPr>
      </w:pPr>
      <w:r>
        <w:rPr>
          <w:i/>
          <w:sz w:val="22"/>
        </w:rPr>
        <w:t>“Es una de las instituciones sociales más antiguas y más fuertes, </w:t>
      </w:r>
      <w:r>
        <w:rPr>
          <w:i/>
          <w:sz w:val="22"/>
        </w:rPr>
        <w:t>considerada como un sistema y una unidad cuya socialización e interacción mutua afecta en mayor o en menor grado a cada uno de sus miembros; donde uno de ellos asume el rol de cuidador/a en caso de discapacidad o limitación”</w:t>
      </w:r>
      <w:r>
        <w:rPr>
          <w:sz w:val="22"/>
        </w:rPr>
        <w:t>. (Vaquiro y Stiepovich, 2010)</w:t>
      </w:r>
    </w:p>
    <w:p>
      <w:pPr>
        <w:pStyle w:val="BodyText"/>
        <w:rPr>
          <w:sz w:val="22"/>
        </w:rPr>
      </w:pPr>
    </w:p>
    <w:p>
      <w:pPr>
        <w:pStyle w:val="BodyText"/>
        <w:spacing w:before="11"/>
        <w:rPr>
          <w:sz w:val="21"/>
        </w:rPr>
      </w:pPr>
    </w:p>
    <w:p>
      <w:pPr>
        <w:pStyle w:val="BodyText"/>
        <w:spacing w:line="360" w:lineRule="auto"/>
        <w:ind w:left="625" w:right="172"/>
        <w:jc w:val="both"/>
      </w:pPr>
      <w:r>
        <w:rPr/>
        <w:t>En cuanto al género y la edad, Delicado (2000) sostiene que aún, es difícil cuantificar la actividad del cuidador informal la mayoría de los cuidadores son mujeres (un 83% según la encuesta del Centro de Investigaciones  Sociológicas    “Ayuda    informal   a    personas    mayores”   España),    en </w:t>
      </w:r>
      <w:r>
        <w:rPr>
          <w:spacing w:val="57"/>
        </w:rPr>
        <w:t> </w:t>
      </w:r>
      <w:r>
        <w:rPr/>
        <w:t>lo</w:t>
      </w:r>
    </w:p>
    <w:p>
      <w:pPr>
        <w:spacing w:after="0" w:line="360" w:lineRule="auto"/>
        <w:jc w:val="both"/>
        <w:sectPr>
          <w:footerReference w:type="default" r:id="rId23"/>
          <w:pgSz w:w="12250" w:h="15850"/>
          <w:pgMar w:footer="1122" w:header="748" w:top="1260" w:bottom="1320" w:left="1720" w:right="1280"/>
          <w:pgNumType w:start="23"/>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9"/>
        <w:jc w:val="both"/>
      </w:pPr>
      <w:r>
        <w:rPr/>
        <w:t>concerniente a la edad localizó al cuidador en una edad entre los 40 a los 60 años, por otra parte, Domínguez et al. (2008), encontró una mayoría de 69% de mujeres cuidadoras, con una edad media de 40.2</w:t>
      </w:r>
      <w:r>
        <w:rPr>
          <w:spacing w:val="-22"/>
        </w:rPr>
        <w:t> </w:t>
      </w:r>
      <w:r>
        <w:rPr/>
        <w:t>años.</w:t>
      </w:r>
    </w:p>
    <w:p>
      <w:pPr>
        <w:pStyle w:val="BodyText"/>
      </w:pPr>
    </w:p>
    <w:p>
      <w:pPr>
        <w:pStyle w:val="BodyText"/>
        <w:spacing w:line="360" w:lineRule="auto" w:before="142"/>
        <w:ind w:left="625" w:right="138"/>
        <w:jc w:val="both"/>
      </w:pPr>
      <w:r>
        <w:rPr/>
        <w:t>La estructura y función social de la familia, permite emanar la figura del cuidador que ha tenido diferentes enfoques y diversos conceptos. De acuerdo con Cruz y Ostiguin (2011) el cuidador es denotado en la literatura hispana como: cuidador informal, cuidador primario, cuidador principal, etc. (Diagrama No.1)</w:t>
      </w:r>
    </w:p>
    <w:p>
      <w:pPr>
        <w:pStyle w:val="BodyText"/>
        <w:spacing w:before="11"/>
        <w:rPr>
          <w:sz w:val="23"/>
        </w:rPr>
      </w:pPr>
    </w:p>
    <w:p>
      <w:pPr>
        <w:spacing w:before="0"/>
        <w:ind w:left="625" w:right="0" w:firstLine="0"/>
        <w:jc w:val="both"/>
        <w:rPr>
          <w:sz w:val="20"/>
        </w:rPr>
      </w:pPr>
      <w:r>
        <w:rPr>
          <w:b/>
          <w:sz w:val="20"/>
        </w:rPr>
        <w:t>Diagrama No.1 </w:t>
      </w:r>
      <w:r>
        <w:rPr>
          <w:sz w:val="20"/>
        </w:rPr>
        <w:t>Conceptos asociados al cuidador</w:t>
      </w:r>
    </w:p>
    <w:p>
      <w:pPr>
        <w:pStyle w:val="BodyText"/>
        <w:rPr>
          <w:sz w:val="20"/>
        </w:rPr>
      </w:pPr>
    </w:p>
    <w:p>
      <w:pPr>
        <w:pStyle w:val="BodyText"/>
        <w:spacing w:before="4"/>
        <w:rPr>
          <w:sz w:val="11"/>
        </w:rPr>
      </w:pPr>
      <w:r>
        <w:rPr/>
        <w:pict>
          <v:group style="position:absolute;margin-left:170.850006pt;margin-top:8.521850pt;width:316.850pt;height:329.5pt;mso-position-horizontal-relative:page;mso-position-vertical-relative:paragraph;z-index:1288;mso-wrap-distance-left:0;mso-wrap-distance-right:0" coordorigin="3417,170" coordsize="6337,6590">
            <v:line style="position:absolute" from="5823,3079" to="5059,2669" stroked="true" strokeweight="2.25pt" strokecolor="#cccc99"/>
            <v:shape style="position:absolute;left:3456;top:1397;width:1684;height:621" type="#_x0000_t75" stroked="false">
              <v:imagedata r:id="rId24" o:title=""/>
            </v:shape>
            <v:shape style="position:absolute;left:3417;top:1442;width:1761;height:1637" type="#_x0000_t75" stroked="false">
              <v:imagedata r:id="rId25" o:title=""/>
            </v:shape>
            <v:line style="position:absolute" from="7347,3079" to="8111,2669" stroked="true" strokeweight="2.25pt" strokecolor="#cccc99"/>
            <v:line style="position:absolute" from="8828,1421" to="8873,1421" stroked="true" strokeweight="2.2pt" strokecolor="#1e3b3b"/>
            <v:line style="position:absolute" from="8873,1442" to="8873,1399" stroked="true" strokeweight=".140pt" strokecolor="#1e3b3b"/>
            <v:line style="position:absolute" from="8850,1421" to="8873,1421" stroked="true" strokeweight="2.180pt" strokecolor="#1e3b3b"/>
            <v:line style="position:absolute" from="8828,1421" to="8851,1421" stroked="true" strokeweight="2.180pt" strokecolor="#1e3c3c"/>
            <v:shape style="position:absolute;left:8783;top:1400;width:46;height:47" coordorigin="8783,1400" coordsize="46,47" path="m8829,1400l8785,1403,8783,1446,8828,1443,8829,1400xe" filled="true" fillcolor="#1f3d3d" stroked="false">
              <v:path arrowok="t"/>
              <v:fill type="solid"/>
            </v:shape>
            <v:line style="position:absolute" from="8828,1443" to="8829,1400" stroked="true" strokeweight=".140pt" strokecolor="#1f3d3d"/>
            <v:shape style="position:absolute;left:8739;top:1403;width:46;height:49" coordorigin="8739,1403" coordsize="46,49" path="m8785,1403l8742,1408,8739,1451,8783,1446,8785,1403xe" filled="true" fillcolor="#1f3e3e" stroked="false">
              <v:path arrowok="t"/>
              <v:fill type="solid"/>
            </v:shape>
            <v:line style="position:absolute" from="8783,1446" to="8785,1403" stroked="true" strokeweight=".140pt" strokecolor="#1f3e3e"/>
            <v:shape style="position:absolute;left:8761;top:1403;width:24;height:46" coordorigin="8761,1403" coordsize="24,46" path="m8785,1403l8763,1405,8761,1449,8783,1446,8785,1403xe" filled="true" fillcolor="#1f3e3e" stroked="false">
              <v:path arrowok="t"/>
              <v:fill type="solid"/>
            </v:shape>
            <v:shape style="position:absolute;left:8739;top:1405;width:25;height:46" coordorigin="8739,1405" coordsize="25,46" path="m8763,1405l8742,1408,8739,1451,8761,1449,8763,1405xe" filled="true" fillcolor="#1f4040" stroked="false">
              <v:path arrowok="t"/>
              <v:fill type="solid"/>
            </v:shape>
            <v:shape style="position:absolute;left:8695;top:1408;width:47;height:51" coordorigin="8695,1408" coordsize="47,51" path="m8742,1408l8699,1415,8695,1458,8739,1451,8742,1408xe" filled="true" fillcolor="#1f4141" stroked="false">
              <v:path arrowok="t"/>
              <v:fill type="solid"/>
            </v:shape>
            <v:line style="position:absolute" from="8739,1451" to="8742,1408" stroked="true" strokeweight=".140pt" strokecolor="#1f4141"/>
            <v:shape style="position:absolute;left:8653;top:1415;width:47;height:53" coordorigin="8653,1415" coordsize="47,53" path="m8699,1415l8658,1424,8653,1468,8695,1458,8699,1415xe" filled="true" fillcolor="#204242" stroked="false">
              <v:path arrowok="t"/>
              <v:fill type="solid"/>
            </v:shape>
            <v:line style="position:absolute" from="8695,1458" to="8699,1415" stroked="true" strokeweight=".140pt" strokecolor="#204242"/>
            <v:shape style="position:absolute;left:8611;top:1424;width:47;height:55" coordorigin="8611,1424" coordsize="47,55" path="m8658,1424l8617,1435,8611,1479,8653,1468,8658,1424xe" filled="true" fillcolor="#204343" stroked="false">
              <v:path arrowok="t"/>
              <v:fill type="solid"/>
            </v:shape>
            <v:line style="position:absolute" from="8653,1468" to="8658,1424" stroked="true" strokeweight=".140pt" strokecolor="#204343"/>
            <v:shape style="position:absolute;left:8632;top:1424;width:26;height:50" coordorigin="8632,1424" coordsize="26,50" path="m8658,1424l8637,1429,8632,1473,8653,1468,8658,1424xe" filled="true" fillcolor="#204343" stroked="false">
              <v:path arrowok="t"/>
              <v:fill type="solid"/>
            </v:shape>
            <v:shape style="position:absolute;left:8611;top:1429;width:27;height:50" coordorigin="8611,1429" coordsize="27,50" path="m8637,1429l8617,1435,8611,1479,8632,1473,8637,1429xe" filled="true" fillcolor="#204444" stroked="false">
              <v:path arrowok="t"/>
              <v:fill type="solid"/>
            </v:shape>
            <v:shape style="position:absolute;left:8570;top:1435;width:47;height:57" coordorigin="8570,1435" coordsize="47,57" path="m8617,1435l8577,1447,8570,1491,8611,1479,8617,1435xe" filled="true" fillcolor="#214545" stroked="false">
              <v:path arrowok="t"/>
              <v:fill type="solid"/>
            </v:shape>
            <v:line style="position:absolute" from="8611,1479" to="8617,1435" stroked="true" strokeweight=".140pt" strokecolor="#214545"/>
            <v:shape style="position:absolute;left:8530;top:1447;width:47;height:59" coordorigin="8530,1447" coordsize="47,59" path="m8577,1447l8538,1462,8530,1506,8570,1491,8577,1447xe" filled="true" fillcolor="#224646" stroked="false">
              <v:path arrowok="t"/>
              <v:fill type="solid"/>
            </v:shape>
            <v:line style="position:absolute" from="8570,1491" to="8577,1447" stroked="true" strokeweight=".140pt" strokecolor="#224646"/>
            <v:shape style="position:absolute;left:8491;top:1462;width:47;height:61" coordorigin="8491,1462" coordsize="47,61" path="m8538,1462l8499,1478,8491,1523,8530,1506,8538,1462xe" filled="true" fillcolor="#224646" stroked="false">
              <v:path arrowok="t"/>
              <v:fill type="solid"/>
            </v:shape>
            <v:line style="position:absolute" from="8530,1506" to="8538,1462" stroked="true" strokeweight=".140pt" strokecolor="#224646"/>
            <v:shape style="position:absolute;left:8453;top:1478;width:47;height:63" coordorigin="8453,1478" coordsize="47,63" path="m8499,1478l8462,1495,8453,1541,8491,1523,8499,1478xe" filled="true" fillcolor="#234747" stroked="false">
              <v:path arrowok="t"/>
              <v:fill type="solid"/>
            </v:shape>
            <v:line style="position:absolute" from="8491,1523" to="8499,1478" stroked="true" strokeweight=".140pt" strokecolor="#234747"/>
            <v:shape style="position:absolute;left:8472;top:1478;width:28;height:54" coordorigin="8472,1478" coordsize="28,54" path="m8499,1478l8481,1487,8472,1532,8491,1523,8499,1478xe" filled="true" fillcolor="#234747" stroked="false">
              <v:path arrowok="t"/>
              <v:fill type="solid"/>
            </v:shape>
            <v:shape style="position:absolute;left:8453;top:1487;width:28;height:54" coordorigin="8453,1487" coordsize="28,54" path="m8481,1487l8462,1495,8453,1541,8472,1532,8481,1487xe" filled="true" fillcolor="#234848" stroked="false">
              <v:path arrowok="t"/>
              <v:fill type="solid"/>
            </v:shape>
            <v:shape style="position:absolute;left:8416;top:1495;width:46;height:65" coordorigin="8416,1495" coordsize="46,65" path="m8462,1495l8426,1515,8416,1560,8453,1541,8462,1495xe" filled="true" fillcolor="#244949" stroked="false">
              <v:path arrowok="t"/>
              <v:fill type="solid"/>
            </v:shape>
            <v:line style="position:absolute" from="8453,1541" to="8462,1495" stroked="true" strokeweight=".140pt" strokecolor="#244949"/>
            <v:shape style="position:absolute;left:8380;top:1515;width:46;height:67" coordorigin="8380,1515" coordsize="46,67" path="m8426,1515l8391,1536,8380,1582,8416,1560,8426,1515xe" filled="true" fillcolor="#244a4a" stroked="false">
              <v:path arrowok="t"/>
              <v:fill type="solid"/>
            </v:shape>
            <v:line style="position:absolute" from="8416,1560" to="8426,1515" stroked="true" strokeweight=".140pt" strokecolor="#244a4a"/>
            <v:shape style="position:absolute;left:8346;top:1536;width:46;height:69" coordorigin="8346,1536" coordsize="46,69" path="m8391,1536l8357,1558,8346,1604,8380,1582,8391,1536xe" filled="true" fillcolor="#254b4b" stroked="false">
              <v:path arrowok="t"/>
              <v:fill type="solid"/>
            </v:shape>
            <v:line style="position:absolute" from="8380,1582" to="8391,1536" stroked="true" strokeweight=".140pt" strokecolor="#254b4b"/>
            <v:shape style="position:absolute;left:8313;top:1558;width:45;height:71" coordorigin="8313,1558" coordsize="45,71" path="m8357,1558l8325,1582,8313,1629,8346,1604,8357,1558xe" filled="true" fillcolor="#254d4d" stroked="false">
              <v:path arrowok="t"/>
              <v:fill type="solid"/>
            </v:shape>
            <v:line style="position:absolute" from="8346,1604" to="8357,1558" stroked="true" strokeweight=".140pt" strokecolor="#254d4d"/>
            <v:shape style="position:absolute;left:8281;top:1582;width:45;height:73" coordorigin="8281,1582" coordsize="45,73" path="m8325,1582l8294,1607,8281,1654,8313,1629,8325,1582xe" filled="true" fillcolor="#274e4e" stroked="false">
              <v:path arrowok="t"/>
              <v:fill type="solid"/>
            </v:shape>
            <v:line style="position:absolute" from="8313,1629" to="8325,1582" stroked="true" strokeweight=".140pt" strokecolor="#274e4e"/>
            <v:shape style="position:absolute;left:8250;top:1607;width:44;height:75" coordorigin="8250,1607" coordsize="44,75" path="m8294,1607l8264,1633,8250,1682,8281,1654,8294,1607xe" filled="true" fillcolor="#274f4f" stroked="false">
              <v:path arrowok="t"/>
              <v:fill type="solid"/>
            </v:shape>
            <v:line style="position:absolute" from="8281,1654" to="8294,1607" stroked="true" strokeweight=".140pt" strokecolor="#274f4f"/>
            <v:shape style="position:absolute;left:8221;top:1633;width:43;height:77" coordorigin="8221,1633" coordsize="43,77" path="m8264,1633l8235,1661,8221,1710,8250,1682,8264,1633xe" filled="true" fillcolor="#285050" stroked="false">
              <v:path arrowok="t"/>
              <v:fill type="solid"/>
            </v:shape>
            <v:line style="position:absolute" from="8250,1682" to="8264,1633" stroked="true" strokeweight=".140pt" strokecolor="#285050"/>
            <v:shape style="position:absolute;left:8193;top:1661;width:42;height:79" coordorigin="8193,1661" coordsize="42,79" path="m8235,1661l8208,1690,8193,1740,8221,1710,8235,1661xe" filled="true" fillcolor="#285151" stroked="false">
              <v:path arrowok="t"/>
              <v:fill type="solid"/>
            </v:shape>
            <v:line style="position:absolute" from="8221,1710" to="8235,1661" stroked="true" strokeweight=".140pt" strokecolor="#285151"/>
            <v:shape style="position:absolute;left:8167;top:1690;width:41;height:81" coordorigin="8167,1690" coordsize="41,81" path="m8208,1690l8182,1720,8167,1771,8193,1740,8208,1690xe" filled="true" fillcolor="#295252" stroked="false">
              <v:path arrowok="t"/>
              <v:fill type="solid"/>
            </v:shape>
            <v:line style="position:absolute" from="8193,1740" to="8208,1690" stroked="true" strokeweight=".140pt" strokecolor="#295252"/>
            <v:shape style="position:absolute;left:8142;top:1720;width:40;height:83" coordorigin="8142,1720" coordsize="40,83" path="m8182,1720l8158,1752,8142,1803,8167,1771,8182,1720xe" filled="true" fillcolor="#295252" stroked="false">
              <v:path arrowok="t"/>
              <v:fill type="solid"/>
            </v:shape>
            <v:line style="position:absolute" from="8167,1771" to="8182,1720" stroked="true" strokeweight=".140pt" strokecolor="#295252"/>
            <v:shape style="position:absolute;left:8119;top:1752;width:39;height:85" coordorigin="8119,1752" coordsize="39,85" path="m8158,1752l8136,1784,8119,1836,8142,1803,8158,1752xe" filled="true" fillcolor="#2a5353" stroked="false">
              <v:path arrowok="t"/>
              <v:fill type="solid"/>
            </v:shape>
            <v:line style="position:absolute" from="8142,1803" to="8158,1752" stroked="true" strokeweight=".140pt" strokecolor="#2a5353"/>
            <v:shape style="position:absolute;left:8098;top:1784;width:38;height:86" coordorigin="8098,1784" coordsize="38,86" path="m8136,1784l8115,1818,8098,1870,8119,1836,8136,1784xe" filled="true" fillcolor="#2a5454" stroked="false">
              <v:path arrowok="t"/>
              <v:fill type="solid"/>
            </v:shape>
            <v:line style="position:absolute" from="8119,1836" to="8136,1784" stroked="true" strokeweight=".140pt" strokecolor="#2a5454"/>
            <v:shape style="position:absolute;left:8079;top:1818;width:37;height:88" coordorigin="8079,1818" coordsize="37,88" path="m8115,1818l8096,1852,8079,1906,8098,1870,8115,1818xe" filled="true" fillcolor="#2b5555" stroked="false">
              <v:path arrowok="t"/>
              <v:fill type="solid"/>
            </v:shape>
            <v:line style="position:absolute" from="8098,1870" to="8115,1818" stroked="true" strokeweight=".140pt" strokecolor="#2b5555"/>
            <v:shape style="position:absolute;left:8061;top:1852;width:35;height:90" coordorigin="8061,1852" coordsize="35,90" path="m8096,1852l8079,1888,8061,1942,8079,1906,8096,1852xe" filled="true" fillcolor="#2b5555" stroked="false">
              <v:path arrowok="t"/>
              <v:fill type="solid"/>
            </v:shape>
            <v:line style="position:absolute" from="8079,1906" to="8096,1852" stroked="true" strokeweight=".140pt" strokecolor="#2b5555"/>
            <v:shape style="position:absolute;left:8045;top:1888;width:34;height:92" coordorigin="8045,1888" coordsize="34,92" path="m8079,1888l8063,1924,8045,1979,8061,1942,8079,1888xe" filled="true" fillcolor="#2b5656" stroked="false">
              <v:path arrowok="t"/>
              <v:fill type="solid"/>
            </v:shape>
            <v:line style="position:absolute" from="8061,1942" to="8079,1888" stroked="true" strokeweight=".140pt" strokecolor="#2b5656"/>
            <v:shape style="position:absolute;left:8032;top:1924;width:32;height:93" coordorigin="8032,1924" coordsize="32,93" path="m8063,1924l8050,1961,8032,2017,8045,1979,8063,1924xe" filled="true" fillcolor="#2c5757" stroked="false">
              <v:path arrowok="t"/>
              <v:fill type="solid"/>
            </v:shape>
            <v:line style="position:absolute" from="8045,1979" to="8063,1924" stroked="true" strokeweight=".140pt" strokecolor="#2c5757"/>
            <v:shape style="position:absolute;left:9683;top:1924;width:32;height:93" coordorigin="9683,1924" coordsize="32,93" path="m9683,1924l9701,1979,9714,2017,9696,1961,9683,1924xe" filled="true" fillcolor="#2c5757" stroked="false">
              <v:path arrowok="t"/>
              <v:fill type="solid"/>
            </v:shape>
            <v:line style="position:absolute" from="9714,2017" to="9696,1961" stroked="true" strokeweight=".140pt" strokecolor="#2c5757"/>
            <v:shape style="position:absolute;left:9667;top:1888;width:34;height:92" coordorigin="9667,1888" coordsize="34,92" path="m9667,1888l9685,1942,9701,1979,9683,1924,9667,1888xe" filled="true" fillcolor="#2c5757" stroked="false">
              <v:path arrowok="t"/>
              <v:fill type="solid"/>
            </v:shape>
            <v:line style="position:absolute" from="9701,1979" to="9683,1924" stroked="true" strokeweight=".140pt" strokecolor="#2c5757"/>
            <v:shape style="position:absolute;left:9650;top:1852;width:35;height:90" coordorigin="9650,1852" coordsize="35,90" path="m9650,1852l9667,1906,9685,1942,9667,1888,9650,1852xe" filled="true" fillcolor="#2b5656" stroked="false">
              <v:path arrowok="t"/>
              <v:fill type="solid"/>
            </v:shape>
            <v:line style="position:absolute" from="9685,1942" to="9667,1888" stroked="true" strokeweight=".140pt" strokecolor="#2b5656"/>
            <v:shape style="position:absolute;left:9631;top:1818;width:37;height:88" coordorigin="9631,1818" coordsize="37,88" path="m9631,1818l9648,1870,9667,1906,9650,1852,9631,1818xe" filled="true" fillcolor="#2b5555" stroked="false">
              <v:path arrowok="t"/>
              <v:fill type="solid"/>
            </v:shape>
            <v:line style="position:absolute" from="9667,1906" to="9650,1852" stroked="true" strokeweight=".140pt" strokecolor="#2b5555"/>
            <v:shape style="position:absolute;left:9610;top:1784;width:38;height:86" coordorigin="9610,1784" coordsize="38,86" path="m9610,1784l9627,1836,9648,1870,9631,1818,9610,1784xe" filled="true" fillcolor="#2b5555" stroked="false">
              <v:path arrowok="t"/>
              <v:fill type="solid"/>
            </v:shape>
            <v:line style="position:absolute" from="9648,1870" to="9631,1818" stroked="true" strokeweight=".140pt" strokecolor="#2b5555"/>
            <v:shape style="position:absolute;left:9588;top:1752;width:39;height:85" coordorigin="9588,1752" coordsize="39,85" path="m9588,1752l9604,1803,9627,1836,9610,1784,9588,1752xe" filled="true" fillcolor="#2a5454" stroked="false">
              <v:path arrowok="t"/>
              <v:fill type="solid"/>
            </v:shape>
            <v:line style="position:absolute" from="9627,1836" to="9610,1784" stroked="true" strokeweight=".140pt" strokecolor="#2a5454"/>
            <v:shape style="position:absolute;left:9564;top:1720;width:40;height:83" coordorigin="9564,1720" coordsize="40,83" path="m9564,1720l9579,1771,9604,1803,9588,1752,9564,1720xe" filled="true" fillcolor="#2a5353" stroked="false">
              <v:path arrowok="t"/>
              <v:fill type="solid"/>
            </v:shape>
            <v:line style="position:absolute" from="9604,1803" to="9588,1752" stroked="true" strokeweight=".140pt" strokecolor="#2a5353"/>
            <v:shape style="position:absolute;left:9538;top:1690;width:41;height:81" coordorigin="9538,1690" coordsize="41,81" path="m9538,1690l9553,1740,9579,1771,9564,1720,9538,1690xe" filled="true" fillcolor="#295252" stroked="false">
              <v:path arrowok="t"/>
              <v:fill type="solid"/>
            </v:shape>
            <v:line style="position:absolute" from="9579,1771" to="9564,1720" stroked="true" strokeweight=".140pt" strokecolor="#295252"/>
            <v:shape style="position:absolute;left:9511;top:1661;width:42;height:79" coordorigin="9511,1661" coordsize="42,79" path="m9511,1661l9525,1710,9553,1740,9538,1690,9511,1661xe" filled="true" fillcolor="#295252" stroked="false">
              <v:path arrowok="t"/>
              <v:fill type="solid"/>
            </v:shape>
            <v:line style="position:absolute" from="9553,1740" to="9538,1690" stroked="true" strokeweight=".140pt" strokecolor="#295252"/>
            <v:shape style="position:absolute;left:9482;top:1633;width:43;height:77" coordorigin="9482,1633" coordsize="43,77" path="m9482,1633l9496,1682,9525,1710,9511,1661,9482,1633xe" filled="true" fillcolor="#285151" stroked="false">
              <v:path arrowok="t"/>
              <v:fill type="solid"/>
            </v:shape>
            <v:line style="position:absolute" from="9525,1710" to="9511,1661" stroked="true" strokeweight=".140pt" strokecolor="#285151"/>
            <v:shape style="position:absolute;left:9453;top:1607;width:44;height:75" coordorigin="9453,1607" coordsize="44,75" path="m9453,1607l9465,1654,9496,1682,9482,1633,9453,1607xe" filled="true" fillcolor="#285050" stroked="false">
              <v:path arrowok="t"/>
              <v:fill type="solid"/>
            </v:shape>
            <v:line style="position:absolute" from="9496,1682" to="9482,1633" stroked="true" strokeweight=".140pt" strokecolor="#285050"/>
            <v:shape style="position:absolute;left:9421;top:1582;width:45;height:73" coordorigin="9421,1582" coordsize="45,73" path="m9421,1582l9433,1629,9465,1654,9453,1607,9421,1582xe" filled="true" fillcolor="#274f4f" stroked="false">
              <v:path arrowok="t"/>
              <v:fill type="solid"/>
            </v:shape>
            <v:line style="position:absolute" from="9465,1654" to="9453,1607" stroked="true" strokeweight=".140pt" strokecolor="#274f4f"/>
            <v:shape style="position:absolute;left:9389;top:1558;width:45;height:71" coordorigin="9389,1558" coordsize="45,71" path="m9389,1558l9400,1604,9433,1629,9421,1582,9389,1558xe" filled="true" fillcolor="#274e4e" stroked="false">
              <v:path arrowok="t"/>
              <v:fill type="solid"/>
            </v:shape>
            <v:line style="position:absolute" from="9433,1629" to="9421,1582" stroked="true" strokeweight=".140pt" strokecolor="#274e4e"/>
            <v:shape style="position:absolute;left:9355;top:1536;width:46;height:69" coordorigin="9355,1536" coordsize="46,69" path="m9355,1536l9366,1582,9400,1604,9389,1558,9355,1536xe" filled="true" fillcolor="#254d4d" stroked="false">
              <v:path arrowok="t"/>
              <v:fill type="solid"/>
            </v:shape>
            <v:line style="position:absolute" from="9400,1604" to="9389,1558" stroked="true" strokeweight=".140pt" strokecolor="#254d4d"/>
            <v:shape style="position:absolute;left:9320;top:1515;width:46;height:67" coordorigin="9320,1515" coordsize="46,67" path="m9320,1515l9330,1560,9366,1582,9355,1536,9320,1515xe" filled="true" fillcolor="#254b4b" stroked="false">
              <v:path arrowok="t"/>
              <v:fill type="solid"/>
            </v:shape>
            <v:line style="position:absolute" from="9366,1582" to="9355,1536" stroked="true" strokeweight=".140pt" strokecolor="#254b4b"/>
            <v:shape style="position:absolute;left:9284;top:1495;width:46;height:65" coordorigin="9284,1495" coordsize="46,65" path="m9284,1495l9293,1541,9330,1560,9320,1515,9284,1495xe" filled="true" fillcolor="#244a4a" stroked="false">
              <v:path arrowok="t"/>
              <v:fill type="solid"/>
            </v:shape>
            <v:line style="position:absolute" from="9330,1560" to="9320,1515" stroked="true" strokeweight=".140pt" strokecolor="#244a4a"/>
            <v:shape style="position:absolute;left:9247;top:1478;width:47;height:63" coordorigin="9247,1478" coordsize="47,63" path="m9247,1478l9255,1523,9293,1541,9284,1495,9247,1478xe" filled="true" fillcolor="#244949" stroked="false">
              <v:path arrowok="t"/>
              <v:fill type="solid"/>
            </v:shape>
            <v:line style="position:absolute" from="9293,1541" to="9284,1495" stroked="true" strokeweight=".140pt" strokecolor="#244949"/>
            <v:shape style="position:absolute;left:9265;top:1487;width:28;height:54" coordorigin="9265,1487" coordsize="28,54" path="m9265,1487l9274,1532,9293,1541,9284,1495,9265,1487xe" filled="true" fillcolor="#244949" stroked="false">
              <v:path arrowok="t"/>
              <v:fill type="solid"/>
            </v:shape>
            <v:shape style="position:absolute;left:9247;top:1478;width:28;height:54" coordorigin="9247,1478" coordsize="28,54" path="m9247,1478l9255,1523,9274,1532,9265,1487,9247,1478xe" filled="true" fillcolor="#234848" stroked="false">
              <v:path arrowok="t"/>
              <v:fill type="solid"/>
            </v:shape>
            <v:shape style="position:absolute;left:9209;top:1462;width:47;height:61" coordorigin="9209,1462" coordsize="47,61" path="m9209,1462l9216,1506,9255,1523,9247,1478,9209,1462xe" filled="true" fillcolor="#234747" stroked="false">
              <v:path arrowok="t"/>
              <v:fill type="solid"/>
            </v:shape>
            <v:line style="position:absolute" from="9255,1523" to="9247,1478" stroked="true" strokeweight=".140pt" strokecolor="#234747"/>
            <v:shape style="position:absolute;left:9169;top:1447;width:47;height:59" coordorigin="9169,1447" coordsize="47,59" path="m9169,1447l9176,1491,9216,1506,9209,1462,9169,1447xe" filled="true" fillcolor="#224646" stroked="false">
              <v:path arrowok="t"/>
              <v:fill type="solid"/>
            </v:shape>
            <v:line style="position:absolute" from="9216,1506" to="9209,1462" stroked="true" strokeweight=".140pt" strokecolor="#224646"/>
            <v:shape style="position:absolute;left:9129;top:1435;width:47;height:57" coordorigin="9129,1435" coordsize="47,57" path="m9129,1435l9135,1479,9176,1491,9169,1447,9129,1435xe" filled="true" fillcolor="#224646" stroked="false">
              <v:path arrowok="t"/>
              <v:fill type="solid"/>
            </v:shape>
            <v:line style="position:absolute" from="9176,1491" to="9169,1447" stroked="true" strokeweight=".140pt" strokecolor="#224646"/>
            <v:shape style="position:absolute;left:9088;top:1424;width:47;height:55" coordorigin="9088,1424" coordsize="47,55" path="m9088,1424l9093,1468,9135,1479,9129,1435,9088,1424xe" filled="true" fillcolor="#214545" stroked="false">
              <v:path arrowok="t"/>
              <v:fill type="solid"/>
            </v:shape>
            <v:line style="position:absolute" from="9135,1479" to="9129,1435" stroked="true" strokeweight=".140pt" strokecolor="#214545"/>
            <v:shape style="position:absolute;left:9109;top:1429;width:27;height:50" coordorigin="9109,1429" coordsize="27,50" path="m9109,1429l9114,1473,9135,1479,9129,1435,9109,1429xe" filled="true" fillcolor="#214545" stroked="false">
              <v:path arrowok="t"/>
              <v:fill type="solid"/>
            </v:shape>
            <v:shape style="position:absolute;left:9088;top:1424;width:26;height:50" coordorigin="9088,1424" coordsize="26,50" path="m9088,1424l9093,1468,9114,1473,9109,1429,9088,1424xe" filled="true" fillcolor="#204444" stroked="false">
              <v:path arrowok="t"/>
              <v:fill type="solid"/>
            </v:shape>
            <v:shape style="position:absolute;left:9047;top:1415;width:47;height:53" coordorigin="9047,1415" coordsize="47,53" path="m9047,1415l9051,1458,9093,1468,9088,1424,9047,1415xe" filled="true" fillcolor="#204343" stroked="false">
              <v:path arrowok="t"/>
              <v:fill type="solid"/>
            </v:shape>
            <v:line style="position:absolute" from="9093,1468" to="9088,1424" stroked="true" strokeweight=".140pt" strokecolor="#204343"/>
            <v:shape style="position:absolute;left:9004;top:1408;width:47;height:51" coordorigin="9004,1408" coordsize="47,51" path="m9004,1408l9007,1451,9051,1458,9047,1415,9004,1408xe" filled="true" fillcolor="#204242" stroked="false">
              <v:path arrowok="t"/>
              <v:fill type="solid"/>
            </v:shape>
            <v:line style="position:absolute" from="9051,1458" to="9047,1415" stroked="true" strokeweight=".140pt" strokecolor="#204242"/>
            <v:shape style="position:absolute;left:8961;top:1403;width:46;height:49" coordorigin="8961,1403" coordsize="46,49" path="m8961,1403l8963,1446,9007,1451,9004,1408,8961,1403xe" filled="true" fillcolor="#1f4141" stroked="false">
              <v:path arrowok="t"/>
              <v:fill type="solid"/>
            </v:shape>
            <v:line style="position:absolute" from="9007,1451" to="9004,1408" stroked="true" strokeweight=".140pt" strokecolor="#1f4141"/>
            <v:shape style="position:absolute;left:8983;top:1405;width:25;height:46" coordorigin="8983,1405" coordsize="25,46" path="m8983,1405l8985,1449,9007,1451,9004,1408,8983,1405xe" filled="true" fillcolor="#1f4141" stroked="false">
              <v:path arrowok="t"/>
              <v:fill type="solid"/>
            </v:shape>
            <v:shape style="position:absolute;left:8961;top:1403;width:24;height:46" coordorigin="8961,1403" coordsize="24,46" path="m8961,1403l8963,1446,8985,1449,8983,1405,8961,1403xe" filled="true" fillcolor="#1f4040" stroked="false">
              <v:path arrowok="t"/>
              <v:fill type="solid"/>
            </v:shape>
            <v:shape style="position:absolute;left:8917;top:1400;width:46;height:47" coordorigin="8917,1400" coordsize="46,47" path="m8917,1400l8918,1443,8963,1446,8961,1403,8917,1400xe" filled="true" fillcolor="#1f3e3e" stroked="false">
              <v:path arrowok="t"/>
              <v:fill type="solid"/>
            </v:shape>
            <v:line style="position:absolute" from="8963,1446" to="8961,1403" stroked="true" strokeweight=".140pt" strokecolor="#1f3e3e"/>
            <v:line style="position:absolute" from="8873,1421" to="8918,1421" stroked="true" strokeweight="2.2pt" strokecolor="#1f3d3d"/>
            <v:line style="position:absolute" from="8918,1443" to="8917,1400" stroked="true" strokeweight=".140pt" strokecolor="#1f3d3d"/>
            <v:line style="position:absolute" from="8895,1421" to="8918,1421" stroked="true" strokeweight="2.180pt" strokecolor="#1f3d3d"/>
            <v:line style="position:absolute" from="8873,1421" to="8896,1421" stroked="true" strokeweight="2.180pt" strokecolor="#1e3c3c"/>
            <v:shape style="position:absolute;left:7992;top:1442;width:1762;height:1637" type="#_x0000_t75" stroked="false">
              <v:imagedata r:id="rId26" o:title=""/>
            </v:shape>
            <v:line style="position:absolute" from="6585,2670" to="6585,1851" stroked="true" strokeweight="2.25pt" strokecolor="#cccc99"/>
            <v:shape style="position:absolute;left:5744;top:170;width:1684;height:621" type="#_x0000_t75" stroked="false">
              <v:imagedata r:id="rId27" o:title=""/>
            </v:shape>
            <v:shape style="position:absolute;left:5705;top:215;width:1761;height:1637" type="#_x0000_t75" stroked="false">
              <v:imagedata r:id="rId28" o:title=""/>
            </v:shape>
            <v:shape style="position:absolute;left:5744;top:2625;width:1684;height:621" type="#_x0000_t75" stroked="false">
              <v:imagedata r:id="rId29" o:title=""/>
            </v:shape>
            <v:shape style="position:absolute;left:3456;top:3852;width:2389;height:621" type="#_x0000_t75" stroked="false">
              <v:imagedata r:id="rId30" o:title=""/>
            </v:shape>
            <v:shape style="position:absolute;left:3417;top:3897;width:1761;height:1636" type="#_x0000_t75" stroked="false">
              <v:imagedata r:id="rId31" o:title=""/>
            </v:shape>
            <v:shape style="position:absolute;left:5744;top:4281;width:1684;height:1419" type="#_x0000_t75" stroked="false">
              <v:imagedata r:id="rId32" o:title=""/>
            </v:shape>
            <v:shape style="position:absolute;left:5705;top:5124;width:1761;height:1636" type="#_x0000_t75" stroked="false">
              <v:imagedata r:id="rId33" o:title=""/>
            </v:shape>
            <v:shape style="position:absolute;left:7325;top:3852;width:2391;height:621" type="#_x0000_t75" stroked="false">
              <v:imagedata r:id="rId34" o:title=""/>
            </v:shape>
            <v:shape style="position:absolute;left:7992;top:3897;width:1762;height:1636" type="#_x0000_t75" stroked="false">
              <v:imagedata r:id="rId35" o:title=""/>
            </v:shape>
            <v:shape style="position:absolute;left:5705;top:2670;width:1761;height:1637" type="#_x0000_t75" stroked="false">
              <v:imagedata r:id="rId36" o:title=""/>
            </v:shape>
            <v:shape style="position:absolute;left:6189;top:570;width:795;height:778" type="#_x0000_t202" filled="false" stroked="false">
              <v:textbox inset="0,0,0,0">
                <w:txbxContent>
                  <w:p>
                    <w:pPr>
                      <w:spacing w:line="215" w:lineRule="exact" w:before="0"/>
                      <w:ind w:left="21" w:right="-16" w:hanging="22"/>
                      <w:jc w:val="left"/>
                      <w:rPr>
                        <w:rFonts w:ascii="Calibri"/>
                        <w:b/>
                        <w:sz w:val="21"/>
                      </w:rPr>
                    </w:pPr>
                    <w:r>
                      <w:rPr>
                        <w:rFonts w:ascii="Calibri"/>
                        <w:b/>
                        <w:sz w:val="21"/>
                      </w:rPr>
                      <w:t>Cuidador</w:t>
                    </w:r>
                  </w:p>
                  <w:p>
                    <w:pPr>
                      <w:spacing w:line="280" w:lineRule="atLeast" w:before="3"/>
                      <w:ind w:left="23" w:right="3" w:hanging="3"/>
                      <w:jc w:val="left"/>
                      <w:rPr>
                        <w:rFonts w:ascii="Calibri"/>
                        <w:b/>
                        <w:sz w:val="21"/>
                      </w:rPr>
                    </w:pPr>
                    <w:r>
                      <w:rPr>
                        <w:rFonts w:ascii="Calibri"/>
                        <w:b/>
                        <w:sz w:val="21"/>
                      </w:rPr>
                      <w:t>Primario Informal</w:t>
                    </w:r>
                  </w:p>
                </w:txbxContent>
              </v:textbox>
              <w10:wrap type="none"/>
            </v:shape>
            <v:shape style="position:absolute;left:8476;top:1766;width:795;height:212" type="#_x0000_t202" filled="false" stroked="false">
              <v:textbox inset="0,0,0,0">
                <w:txbxContent>
                  <w:p>
                    <w:pPr>
                      <w:spacing w:line="211" w:lineRule="exact" w:before="0"/>
                      <w:ind w:left="0" w:right="-17" w:firstLine="0"/>
                      <w:jc w:val="left"/>
                      <w:rPr>
                        <w:rFonts w:ascii="Calibri"/>
                        <w:b/>
                        <w:sz w:val="21"/>
                      </w:rPr>
                    </w:pPr>
                    <w:r>
                      <w:rPr>
                        <w:rFonts w:ascii="Calibri"/>
                        <w:b/>
                        <w:sz w:val="21"/>
                      </w:rPr>
                      <w:t>Cuidador</w:t>
                    </w:r>
                  </w:p>
                </w:txbxContent>
              </v:textbox>
              <w10:wrap type="none"/>
            </v:shape>
            <v:shape style="position:absolute;left:3901;top:2193;width:795;height:495" type="#_x0000_t202" filled="false" stroked="false">
              <v:textbox inset="0,0,0,0">
                <w:txbxContent>
                  <w:p>
                    <w:pPr>
                      <w:spacing w:line="215" w:lineRule="exact" w:before="0"/>
                      <w:ind w:left="23" w:right="-16" w:hanging="24"/>
                      <w:jc w:val="left"/>
                      <w:rPr>
                        <w:rFonts w:ascii="Calibri"/>
                        <w:b/>
                        <w:sz w:val="21"/>
                      </w:rPr>
                    </w:pPr>
                    <w:r>
                      <w:rPr>
                        <w:rFonts w:ascii="Calibri"/>
                        <w:b/>
                        <w:sz w:val="21"/>
                      </w:rPr>
                      <w:t>Cuidador</w:t>
                    </w:r>
                  </w:p>
                  <w:p>
                    <w:pPr>
                      <w:spacing w:line="253" w:lineRule="exact" w:before="27"/>
                      <w:ind w:left="23" w:right="-16" w:firstLine="0"/>
                      <w:jc w:val="left"/>
                      <w:rPr>
                        <w:rFonts w:ascii="Calibri"/>
                        <w:b/>
                        <w:sz w:val="21"/>
                      </w:rPr>
                    </w:pPr>
                    <w:r>
                      <w:rPr>
                        <w:rFonts w:ascii="Calibri"/>
                        <w:b/>
                        <w:sz w:val="21"/>
                      </w:rPr>
                      <w:t>Informal</w:t>
                    </w:r>
                  </w:p>
                </w:txbxContent>
              </v:textbox>
              <w10:wrap type="none"/>
            </v:shape>
            <v:shape style="position:absolute;left:8521;top:2046;width:706;height:656" type="#_x0000_t202" filled="false" stroked="false">
              <v:textbox inset="0,0,0,0">
                <w:txbxContent>
                  <w:p>
                    <w:pPr>
                      <w:spacing w:line="215" w:lineRule="exact" w:before="0"/>
                      <w:ind w:left="0" w:right="-18" w:firstLine="45"/>
                      <w:jc w:val="left"/>
                      <w:rPr>
                        <w:rFonts w:ascii="Calibri"/>
                        <w:b/>
                        <w:sz w:val="21"/>
                      </w:rPr>
                    </w:pPr>
                    <w:r>
                      <w:rPr>
                        <w:rFonts w:ascii="Calibri"/>
                        <w:b/>
                        <w:sz w:val="21"/>
                      </w:rPr>
                      <w:t>Formal</w:t>
                    </w:r>
                  </w:p>
                  <w:p>
                    <w:pPr>
                      <w:spacing w:line="240" w:lineRule="auto" w:before="3"/>
                      <w:rPr>
                        <w:sz w:val="16"/>
                      </w:rPr>
                    </w:pPr>
                  </w:p>
                  <w:p>
                    <w:pPr>
                      <w:spacing w:line="253" w:lineRule="exact" w:before="0"/>
                      <w:ind w:left="0" w:right="-18" w:firstLine="0"/>
                      <w:jc w:val="left"/>
                      <w:rPr>
                        <w:rFonts w:ascii="Calibri"/>
                        <w:b/>
                        <w:sz w:val="21"/>
                      </w:rPr>
                    </w:pPr>
                    <w:r>
                      <w:rPr>
                        <w:rFonts w:ascii="Calibri"/>
                        <w:b/>
                        <w:sz w:val="21"/>
                      </w:rPr>
                      <w:t>Familiar</w:t>
                    </w:r>
                  </w:p>
                </w:txbxContent>
              </v:textbox>
              <w10:wrap type="none"/>
            </v:shape>
            <v:shape style="position:absolute;left:5987;top:3380;width:1283;height:341" type="#_x0000_t202" filled="false" stroked="false">
              <v:textbox inset="0,0,0,0">
                <w:txbxContent>
                  <w:p>
                    <w:pPr>
                      <w:spacing w:line="341" w:lineRule="exact" w:before="0"/>
                      <w:ind w:left="0" w:right="-20" w:firstLine="0"/>
                      <w:jc w:val="left"/>
                      <w:rPr>
                        <w:rFonts w:ascii="Calibri"/>
                        <w:b/>
                        <w:sz w:val="34"/>
                      </w:rPr>
                    </w:pPr>
                    <w:r>
                      <w:rPr>
                        <w:rFonts w:ascii="Calibri"/>
                        <w:b/>
                        <w:sz w:val="34"/>
                      </w:rPr>
                      <w:t>Cuidador</w:t>
                    </w:r>
                  </w:p>
                </w:txbxContent>
              </v:textbox>
              <w10:wrap type="none"/>
            </v:shape>
            <v:shape style="position:absolute;left:6047;top:3332;width:41;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w:t>
                    </w:r>
                  </w:p>
                </w:txbxContent>
              </v:textbox>
              <w10:wrap type="none"/>
            </v:shape>
            <v:shape style="position:absolute;left:3901;top:4649;width:795;height:495" type="#_x0000_t202" filled="false" stroked="false">
              <v:textbox inset="0,0,0,0">
                <w:txbxContent>
                  <w:p>
                    <w:pPr>
                      <w:spacing w:line="215" w:lineRule="exact" w:before="0"/>
                      <w:ind w:left="19" w:right="-16" w:hanging="20"/>
                      <w:jc w:val="left"/>
                      <w:rPr>
                        <w:rFonts w:ascii="Calibri"/>
                        <w:b/>
                        <w:sz w:val="21"/>
                      </w:rPr>
                    </w:pPr>
                    <w:r>
                      <w:rPr>
                        <w:rFonts w:ascii="Calibri"/>
                        <w:b/>
                        <w:sz w:val="21"/>
                      </w:rPr>
                      <w:t>Cuidador</w:t>
                    </w:r>
                  </w:p>
                  <w:p>
                    <w:pPr>
                      <w:spacing w:line="253" w:lineRule="exact" w:before="27"/>
                      <w:ind w:left="19" w:right="-3" w:firstLine="0"/>
                      <w:jc w:val="left"/>
                      <w:rPr>
                        <w:rFonts w:ascii="Calibri"/>
                        <w:b/>
                        <w:sz w:val="21"/>
                      </w:rPr>
                    </w:pPr>
                    <w:r>
                      <w:rPr>
                        <w:rFonts w:ascii="Calibri"/>
                        <w:b/>
                        <w:sz w:val="21"/>
                      </w:rPr>
                      <w:t>Principal</w:t>
                    </w:r>
                  </w:p>
                </w:txbxContent>
              </v:textbox>
              <w10:wrap type="none"/>
            </v:shape>
            <v:shape style="position:absolute;left:8476;top:4649;width:795;height:495" type="#_x0000_t202" filled="false" stroked="false">
              <v:textbox inset="0,0,0,0">
                <w:txbxContent>
                  <w:p>
                    <w:pPr>
                      <w:spacing w:line="215" w:lineRule="exact" w:before="0"/>
                      <w:ind w:left="45" w:right="-16" w:hanging="46"/>
                      <w:jc w:val="left"/>
                      <w:rPr>
                        <w:rFonts w:ascii="Calibri"/>
                        <w:b/>
                        <w:sz w:val="21"/>
                      </w:rPr>
                    </w:pPr>
                    <w:r>
                      <w:rPr>
                        <w:rFonts w:ascii="Calibri"/>
                        <w:b/>
                        <w:sz w:val="21"/>
                      </w:rPr>
                      <w:t>Cuidador</w:t>
                    </w:r>
                  </w:p>
                  <w:p>
                    <w:pPr>
                      <w:spacing w:line="253" w:lineRule="exact" w:before="27"/>
                      <w:ind w:left="45" w:right="-16" w:firstLine="0"/>
                      <w:jc w:val="left"/>
                      <w:rPr>
                        <w:rFonts w:ascii="Calibri"/>
                        <w:b/>
                        <w:sz w:val="21"/>
                      </w:rPr>
                    </w:pPr>
                    <w:r>
                      <w:rPr>
                        <w:rFonts w:ascii="Calibri"/>
                        <w:b/>
                        <w:sz w:val="21"/>
                      </w:rPr>
                      <w:t>Familiar</w:t>
                    </w:r>
                  </w:p>
                </w:txbxContent>
              </v:textbox>
              <w10:wrap type="none"/>
            </v:shape>
            <v:shape style="position:absolute;left:6189;top:5822;width:795;height:495" type="#_x0000_t202" filled="false" stroked="false">
              <v:textbox inset="0,0,0,0">
                <w:txbxContent>
                  <w:p>
                    <w:pPr>
                      <w:spacing w:line="215" w:lineRule="exact" w:before="0"/>
                      <w:ind w:left="21" w:right="-16" w:hanging="22"/>
                      <w:jc w:val="left"/>
                      <w:rPr>
                        <w:rFonts w:ascii="Calibri"/>
                        <w:b/>
                        <w:sz w:val="21"/>
                      </w:rPr>
                    </w:pPr>
                    <w:r>
                      <w:rPr>
                        <w:rFonts w:ascii="Calibri"/>
                        <w:b/>
                        <w:sz w:val="21"/>
                      </w:rPr>
                      <w:t>Cuidador</w:t>
                    </w:r>
                  </w:p>
                  <w:p>
                    <w:pPr>
                      <w:spacing w:line="253" w:lineRule="exact" w:before="27"/>
                      <w:ind w:left="21" w:right="-16" w:firstLine="0"/>
                      <w:jc w:val="left"/>
                      <w:rPr>
                        <w:rFonts w:ascii="Calibri"/>
                        <w:b/>
                        <w:sz w:val="21"/>
                      </w:rPr>
                    </w:pPr>
                    <w:r>
                      <w:rPr>
                        <w:rFonts w:ascii="Calibri"/>
                        <w:b/>
                        <w:sz w:val="21"/>
                      </w:rPr>
                      <w:t>Primario</w:t>
                    </w:r>
                  </w:p>
                </w:txbxContent>
              </v:textbox>
              <w10:wrap type="none"/>
            </v:shape>
            <w10:wrap type="topAndBottom"/>
          </v:group>
        </w:pict>
      </w:r>
    </w:p>
    <w:p>
      <w:pPr>
        <w:pStyle w:val="BodyText"/>
        <w:rPr>
          <w:sz w:val="20"/>
        </w:rPr>
      </w:pPr>
    </w:p>
    <w:p>
      <w:pPr>
        <w:pStyle w:val="BodyText"/>
        <w:spacing w:before="2"/>
        <w:rPr>
          <w:sz w:val="18"/>
        </w:rPr>
      </w:pPr>
    </w:p>
    <w:p>
      <w:pPr>
        <w:spacing w:before="0"/>
        <w:ind w:left="985" w:right="219" w:firstLine="0"/>
        <w:jc w:val="left"/>
        <w:rPr>
          <w:sz w:val="20"/>
        </w:rPr>
      </w:pPr>
      <w:r>
        <w:rPr>
          <w:sz w:val="20"/>
        </w:rPr>
        <w:t>Fuente: Cruz y Ostiguin, 2011.</w:t>
      </w:r>
    </w:p>
    <w:p>
      <w:pPr>
        <w:spacing w:after="0"/>
        <w:jc w:val="left"/>
        <w:rPr>
          <w:sz w:val="20"/>
        </w:rPr>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233"/>
        <w:jc w:val="both"/>
      </w:pPr>
      <w:r>
        <w:rPr/>
        <w:t>Existen diversos autores que han definido al “cuidador”, teniendo diferencias y similitudes en cada concepto. Algunos autores involucrados en la conceptualización del cuidador (Reyes, 2001; Bergero,2000; Venegas, 2006; Vallerend,  2001;  Celma,2001;  Maeyama,  2007;  Expósito,  2008;    Alvarado,</w:t>
      </w:r>
    </w:p>
    <w:p>
      <w:pPr>
        <w:pStyle w:val="BodyText"/>
        <w:spacing w:line="360" w:lineRule="auto" w:before="2"/>
        <w:ind w:left="625" w:right="232"/>
        <w:jc w:val="both"/>
      </w:pPr>
      <w:r>
        <w:rPr/>
        <w:t>2009; Salas, 2006; Izquierdo, 2009. citados en Cruz y Ostiguin 2011</w:t>
      </w:r>
      <w:r>
        <w:rPr>
          <w:sz w:val="20"/>
        </w:rPr>
        <w:t>), </w:t>
      </w:r>
      <w:r>
        <w:rPr/>
        <w:t>plantean diferencias en cuanto al calificativo, más importante, son las similitudes tales como: un alto grado de responsabilidad, apego importante al enfermo-familia y amigos, una nula o escasa capacitación, además, de no recibir una remuneración económica por el cuidado otorgado, entre otros. (Tabla No.1)</w:t>
      </w:r>
    </w:p>
    <w:p>
      <w:pPr>
        <w:pStyle w:val="BodyText"/>
      </w:pPr>
    </w:p>
    <w:p>
      <w:pPr>
        <w:spacing w:before="141"/>
        <w:ind w:left="625" w:right="0" w:firstLine="0"/>
        <w:jc w:val="both"/>
        <w:rPr>
          <w:sz w:val="22"/>
        </w:rPr>
      </w:pPr>
      <w:r>
        <w:rPr>
          <w:b/>
          <w:sz w:val="20"/>
        </w:rPr>
        <w:t>Tabla No.1. </w:t>
      </w:r>
      <w:r>
        <w:rPr>
          <w:sz w:val="22"/>
        </w:rPr>
        <w:t>Conceptos operativos del término cuidador identificados en la literatura.</w:t>
      </w:r>
    </w:p>
    <w:p>
      <w:pPr>
        <w:pStyle w:val="BodyText"/>
        <w:spacing w:before="2"/>
        <w:rPr>
          <w:sz w:val="11"/>
        </w:rPr>
      </w:pPr>
    </w:p>
    <w:tbl>
      <w:tblPr>
        <w:tblW w:w="0" w:type="auto"/>
        <w:jc w:val="left"/>
        <w:tblInd w:w="15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555"/>
        <w:gridCol w:w="5060"/>
        <w:gridCol w:w="2417"/>
      </w:tblGrid>
      <w:tr>
        <w:trPr>
          <w:trHeight w:val="382" w:hRule="exact"/>
        </w:trPr>
        <w:tc>
          <w:tcPr>
            <w:tcW w:w="1555" w:type="dxa"/>
            <w:tcBorders>
              <w:bottom w:val="single" w:sz="4" w:space="0" w:color="000000"/>
              <w:right w:val="single" w:sz="4" w:space="0" w:color="000000"/>
            </w:tcBorders>
          </w:tcPr>
          <w:p>
            <w:pPr>
              <w:pStyle w:val="TableParagraph"/>
              <w:spacing w:before="57"/>
              <w:ind w:left="165" w:right="173"/>
              <w:rPr>
                <w:b/>
                <w:sz w:val="21"/>
              </w:rPr>
            </w:pPr>
            <w:r>
              <w:rPr>
                <w:b/>
                <w:sz w:val="21"/>
              </w:rPr>
              <w:t>Término</w:t>
            </w:r>
          </w:p>
        </w:tc>
        <w:tc>
          <w:tcPr>
            <w:tcW w:w="5060" w:type="dxa"/>
            <w:tcBorders>
              <w:left w:val="single" w:sz="4" w:space="0" w:color="000000"/>
              <w:bottom w:val="single" w:sz="4" w:space="0" w:color="000000"/>
              <w:right w:val="single" w:sz="4" w:space="0" w:color="000000"/>
            </w:tcBorders>
          </w:tcPr>
          <w:p>
            <w:pPr>
              <w:pStyle w:val="TableParagraph"/>
              <w:spacing w:before="57"/>
              <w:ind w:left="2020" w:right="2021"/>
              <w:rPr>
                <w:b/>
                <w:sz w:val="21"/>
              </w:rPr>
            </w:pPr>
            <w:r>
              <w:rPr>
                <w:b/>
                <w:sz w:val="21"/>
              </w:rPr>
              <w:t>Concepto</w:t>
            </w:r>
          </w:p>
        </w:tc>
        <w:tc>
          <w:tcPr>
            <w:tcW w:w="2417" w:type="dxa"/>
            <w:tcBorders>
              <w:left w:val="single" w:sz="4" w:space="0" w:color="000000"/>
              <w:bottom w:val="single" w:sz="4" w:space="0" w:color="000000"/>
            </w:tcBorders>
          </w:tcPr>
          <w:p>
            <w:pPr>
              <w:pStyle w:val="TableParagraph"/>
              <w:spacing w:before="57"/>
              <w:ind w:left="81" w:right="71"/>
              <w:rPr>
                <w:b/>
                <w:sz w:val="21"/>
              </w:rPr>
            </w:pPr>
            <w:r>
              <w:rPr>
                <w:b/>
                <w:sz w:val="21"/>
              </w:rPr>
              <w:t>Autor</w:t>
            </w:r>
          </w:p>
        </w:tc>
      </w:tr>
      <w:tr>
        <w:trPr>
          <w:trHeight w:val="1359" w:hRule="exact"/>
        </w:trPr>
        <w:tc>
          <w:tcPr>
            <w:tcW w:w="1555" w:type="dxa"/>
            <w:tcBorders>
              <w:top w:val="single" w:sz="4" w:space="0" w:color="000000"/>
              <w:bottom w:val="single" w:sz="4" w:space="0" w:color="000000"/>
              <w:right w:val="single" w:sz="4" w:space="0" w:color="000000"/>
            </w:tcBorders>
          </w:tcPr>
          <w:p>
            <w:pPr>
              <w:pStyle w:val="TableParagraph"/>
              <w:jc w:val="left"/>
              <w:rPr>
                <w:sz w:val="20"/>
              </w:rPr>
            </w:pPr>
          </w:p>
          <w:p>
            <w:pPr>
              <w:pStyle w:val="TableParagraph"/>
              <w:spacing w:before="8"/>
              <w:jc w:val="left"/>
              <w:rPr>
                <w:sz w:val="27"/>
              </w:rPr>
            </w:pPr>
          </w:p>
          <w:p>
            <w:pPr>
              <w:pStyle w:val="TableParagraph"/>
              <w:spacing w:before="1"/>
              <w:ind w:left="166" w:right="173"/>
              <w:rPr>
                <w:sz w:val="21"/>
              </w:rPr>
            </w:pPr>
            <w:r>
              <w:rPr>
                <w:sz w:val="21"/>
              </w:rPr>
              <w:t>1.- Cuidador</w:t>
            </w:r>
          </w:p>
        </w:tc>
        <w:tc>
          <w:tcPr>
            <w:tcW w:w="5060" w:type="dxa"/>
            <w:tcBorders>
              <w:top w:val="single" w:sz="4" w:space="0" w:color="000000"/>
              <w:left w:val="single" w:sz="4" w:space="0" w:color="000000"/>
              <w:bottom w:val="single" w:sz="4" w:space="0" w:color="000000"/>
              <w:right w:val="single" w:sz="4" w:space="0" w:color="000000"/>
            </w:tcBorders>
          </w:tcPr>
          <w:p>
            <w:pPr>
              <w:pStyle w:val="TableParagraph"/>
              <w:spacing w:before="67"/>
              <w:ind w:left="64" w:right="64"/>
              <w:jc w:val="both"/>
              <w:rPr>
                <w:sz w:val="21"/>
              </w:rPr>
            </w:pPr>
            <w:r>
              <w:rPr>
                <w:sz w:val="21"/>
              </w:rPr>
              <w:t>Aquella persona que asiste o cuida a otra afectada de cualquier tipo de discapacidad, minusvalía o incapacidad que le dificulta o impide el desarrollo normal de sus actividades vitales o de sus relaciones</w:t>
            </w:r>
            <w:r>
              <w:rPr>
                <w:spacing w:val="-5"/>
                <w:sz w:val="21"/>
              </w:rPr>
              <w:t> </w:t>
            </w:r>
            <w:r>
              <w:rPr>
                <w:sz w:val="21"/>
              </w:rPr>
              <w:t>sociales.</w:t>
            </w:r>
          </w:p>
        </w:tc>
        <w:tc>
          <w:tcPr>
            <w:tcW w:w="2417" w:type="dxa"/>
            <w:tcBorders>
              <w:top w:val="single" w:sz="4" w:space="0" w:color="000000"/>
              <w:left w:val="single" w:sz="4" w:space="0" w:color="000000"/>
              <w:bottom w:val="single" w:sz="4" w:space="0" w:color="000000"/>
            </w:tcBorders>
          </w:tcPr>
          <w:p>
            <w:pPr>
              <w:pStyle w:val="TableParagraph"/>
              <w:spacing w:before="8"/>
              <w:jc w:val="left"/>
              <w:rPr>
                <w:sz w:val="26"/>
              </w:rPr>
            </w:pPr>
          </w:p>
          <w:p>
            <w:pPr>
              <w:pStyle w:val="TableParagraph"/>
              <w:ind w:left="65" w:right="52" w:hanging="5"/>
              <w:rPr>
                <w:sz w:val="21"/>
              </w:rPr>
            </w:pPr>
            <w:r>
              <w:rPr>
                <w:sz w:val="21"/>
              </w:rPr>
              <w:t>Construyendo el concepto cuidador de ancianos. (Reyes, 2001)</w:t>
            </w:r>
          </w:p>
        </w:tc>
      </w:tr>
      <w:tr>
        <w:trPr>
          <w:trHeight w:val="1822" w:hRule="exact"/>
        </w:trPr>
        <w:tc>
          <w:tcPr>
            <w:tcW w:w="1555" w:type="dxa"/>
            <w:tcBorders>
              <w:top w:val="single" w:sz="4" w:space="0" w:color="000000"/>
              <w:bottom w:val="single" w:sz="4" w:space="0" w:color="000000"/>
              <w:right w:val="single" w:sz="4" w:space="0" w:color="000000"/>
            </w:tcBorders>
          </w:tcPr>
          <w:p>
            <w:pPr>
              <w:pStyle w:val="TableParagraph"/>
              <w:jc w:val="left"/>
              <w:rPr>
                <w:sz w:val="20"/>
              </w:rPr>
            </w:pPr>
          </w:p>
          <w:p>
            <w:pPr>
              <w:pStyle w:val="TableParagraph"/>
              <w:jc w:val="left"/>
              <w:rPr>
                <w:sz w:val="20"/>
              </w:rPr>
            </w:pPr>
          </w:p>
          <w:p>
            <w:pPr>
              <w:pStyle w:val="TableParagraph"/>
              <w:spacing w:before="9"/>
              <w:jc w:val="left"/>
              <w:rPr>
                <w:sz w:val="27"/>
              </w:rPr>
            </w:pPr>
          </w:p>
          <w:p>
            <w:pPr>
              <w:pStyle w:val="TableParagraph"/>
              <w:ind w:left="164" w:right="173"/>
              <w:rPr>
                <w:sz w:val="21"/>
              </w:rPr>
            </w:pPr>
            <w:r>
              <w:rPr>
                <w:sz w:val="21"/>
              </w:rPr>
              <w:t>Cuidador</w:t>
            </w:r>
          </w:p>
        </w:tc>
        <w:tc>
          <w:tcPr>
            <w:tcW w:w="5060" w:type="dxa"/>
            <w:tcBorders>
              <w:top w:val="single" w:sz="4" w:space="0" w:color="000000"/>
              <w:left w:val="single" w:sz="4" w:space="0" w:color="000000"/>
              <w:bottom w:val="single" w:sz="4" w:space="0" w:color="000000"/>
              <w:right w:val="single" w:sz="4" w:space="0" w:color="000000"/>
            </w:tcBorders>
          </w:tcPr>
          <w:p>
            <w:pPr>
              <w:pStyle w:val="TableParagraph"/>
              <w:spacing w:before="57"/>
              <w:ind w:left="64" w:right="60"/>
              <w:jc w:val="both"/>
              <w:rPr>
                <w:sz w:val="21"/>
              </w:rPr>
            </w:pPr>
            <w:r>
              <w:rPr>
                <w:sz w:val="21"/>
              </w:rPr>
              <w:t>Es un concepto mixto formado en gran medida por  la realización de tareas de carácter de apoyo, pero definido también en términos de relaciones sociales y familiares, generalmente parentesco, aunque se extiende a lazos de amistad o de vecindad donde éstos han adquirido el carácter de relaciones primarias</w:t>
            </w:r>
          </w:p>
        </w:tc>
        <w:tc>
          <w:tcPr>
            <w:tcW w:w="2417" w:type="dxa"/>
            <w:tcBorders>
              <w:top w:val="single" w:sz="4" w:space="0" w:color="000000"/>
              <w:left w:val="single" w:sz="4" w:space="0" w:color="000000"/>
              <w:bottom w:val="single" w:sz="4" w:space="0" w:color="000000"/>
            </w:tcBorders>
          </w:tcPr>
          <w:p>
            <w:pPr>
              <w:pStyle w:val="TableParagraph"/>
              <w:spacing w:before="9"/>
              <w:jc w:val="left"/>
              <w:rPr>
                <w:sz w:val="25"/>
              </w:rPr>
            </w:pPr>
          </w:p>
          <w:p>
            <w:pPr>
              <w:pStyle w:val="TableParagraph"/>
              <w:spacing w:before="1"/>
              <w:ind w:left="110" w:right="100" w:hanging="1"/>
              <w:rPr>
                <w:sz w:val="21"/>
              </w:rPr>
            </w:pPr>
            <w:r>
              <w:rPr>
                <w:sz w:val="21"/>
              </w:rPr>
              <w:t>Grupo de cuidador primario de daño cerebral: una perspectiva de análisis. (Bergero, 2000)</w:t>
            </w:r>
          </w:p>
        </w:tc>
      </w:tr>
      <w:tr>
        <w:trPr>
          <w:trHeight w:val="1097" w:hRule="exact"/>
        </w:trPr>
        <w:tc>
          <w:tcPr>
            <w:tcW w:w="1555" w:type="dxa"/>
            <w:tcBorders>
              <w:top w:val="single" w:sz="4" w:space="0" w:color="000000"/>
              <w:bottom w:val="single" w:sz="4" w:space="0" w:color="000000"/>
              <w:right w:val="single" w:sz="4" w:space="0" w:color="000000"/>
            </w:tcBorders>
          </w:tcPr>
          <w:p>
            <w:pPr>
              <w:pStyle w:val="TableParagraph"/>
              <w:spacing w:before="9"/>
              <w:jc w:val="left"/>
              <w:rPr>
                <w:sz w:val="25"/>
              </w:rPr>
            </w:pPr>
          </w:p>
          <w:p>
            <w:pPr>
              <w:pStyle w:val="TableParagraph"/>
              <w:spacing w:before="1"/>
              <w:ind w:left="359" w:right="177" w:hanging="176"/>
              <w:jc w:val="left"/>
              <w:rPr>
                <w:sz w:val="21"/>
              </w:rPr>
            </w:pPr>
            <w:r>
              <w:rPr>
                <w:sz w:val="21"/>
              </w:rPr>
              <w:t>2.- Cuidador Principal</w:t>
            </w:r>
          </w:p>
        </w:tc>
        <w:tc>
          <w:tcPr>
            <w:tcW w:w="5060" w:type="dxa"/>
            <w:tcBorders>
              <w:top w:val="single" w:sz="4" w:space="0" w:color="000000"/>
              <w:left w:val="single" w:sz="4" w:space="0" w:color="000000"/>
              <w:bottom w:val="single" w:sz="4" w:space="0" w:color="000000"/>
              <w:right w:val="single" w:sz="4" w:space="0" w:color="000000"/>
            </w:tcBorders>
          </w:tcPr>
          <w:p>
            <w:pPr>
              <w:pStyle w:val="TableParagraph"/>
              <w:spacing w:before="55"/>
              <w:ind w:left="64" w:right="63"/>
              <w:jc w:val="both"/>
              <w:rPr>
                <w:sz w:val="21"/>
              </w:rPr>
            </w:pPr>
            <w:r>
              <w:rPr>
                <w:sz w:val="21"/>
              </w:rPr>
              <w:t>Es la persona familiar o cercana que se ocupa de brindar de forma prioritaria apoyo tanto físico como emocional a otro de manera permanente y comprometida</w:t>
            </w:r>
          </w:p>
        </w:tc>
        <w:tc>
          <w:tcPr>
            <w:tcW w:w="2417" w:type="dxa"/>
            <w:tcBorders>
              <w:top w:val="single" w:sz="4" w:space="0" w:color="000000"/>
              <w:left w:val="single" w:sz="4" w:space="0" w:color="000000"/>
              <w:bottom w:val="single" w:sz="4" w:space="0" w:color="000000"/>
            </w:tcBorders>
          </w:tcPr>
          <w:p>
            <w:pPr>
              <w:pStyle w:val="TableParagraph"/>
              <w:spacing w:before="55"/>
              <w:ind w:left="82" w:right="71"/>
              <w:rPr>
                <w:sz w:val="21"/>
              </w:rPr>
            </w:pPr>
            <w:r>
              <w:rPr>
                <w:sz w:val="21"/>
              </w:rPr>
              <w:t>Habilidad del cuidador y funcionalidad de la persona cuidada. (Venegas, 2006)</w:t>
            </w:r>
          </w:p>
        </w:tc>
      </w:tr>
      <w:tr>
        <w:trPr>
          <w:trHeight w:val="1337" w:hRule="exact"/>
        </w:trPr>
        <w:tc>
          <w:tcPr>
            <w:tcW w:w="1555" w:type="dxa"/>
            <w:tcBorders>
              <w:top w:val="single" w:sz="4" w:space="0" w:color="000000"/>
              <w:bottom w:val="single" w:sz="4" w:space="0" w:color="000000"/>
              <w:right w:val="single" w:sz="4" w:space="0" w:color="000000"/>
            </w:tcBorders>
          </w:tcPr>
          <w:p>
            <w:pPr>
              <w:pStyle w:val="TableParagraph"/>
              <w:jc w:val="left"/>
              <w:rPr>
                <w:sz w:val="20"/>
              </w:rPr>
            </w:pPr>
          </w:p>
          <w:p>
            <w:pPr>
              <w:pStyle w:val="TableParagraph"/>
              <w:spacing w:before="3"/>
              <w:jc w:val="left"/>
              <w:rPr>
                <w:sz w:val="16"/>
              </w:rPr>
            </w:pPr>
          </w:p>
          <w:p>
            <w:pPr>
              <w:pStyle w:val="TableParagraph"/>
              <w:ind w:left="359" w:right="328" w:hanging="24"/>
              <w:jc w:val="left"/>
              <w:rPr>
                <w:sz w:val="21"/>
              </w:rPr>
            </w:pPr>
            <w:r>
              <w:rPr>
                <w:sz w:val="21"/>
              </w:rPr>
              <w:t>Cuidador Principal</w:t>
            </w:r>
          </w:p>
        </w:tc>
        <w:tc>
          <w:tcPr>
            <w:tcW w:w="5060" w:type="dxa"/>
            <w:tcBorders>
              <w:top w:val="single" w:sz="4" w:space="0" w:color="000000"/>
              <w:left w:val="single" w:sz="4" w:space="0" w:color="000000"/>
              <w:bottom w:val="single" w:sz="4" w:space="0" w:color="000000"/>
              <w:right w:val="single" w:sz="4" w:space="0" w:color="000000"/>
            </w:tcBorders>
          </w:tcPr>
          <w:p>
            <w:pPr>
              <w:pStyle w:val="TableParagraph"/>
              <w:spacing w:before="175"/>
              <w:ind w:left="64" w:right="63"/>
              <w:jc w:val="both"/>
              <w:rPr>
                <w:sz w:val="21"/>
              </w:rPr>
            </w:pPr>
            <w:r>
              <w:rPr>
                <w:sz w:val="21"/>
              </w:rPr>
              <w:t>El término se utilizaba para referirse a los miembros de la familia u otros importantes que atendieron al paciente en su domicilio y que fue identificado por el paciente como su cuidador principal</w:t>
            </w:r>
          </w:p>
        </w:tc>
        <w:tc>
          <w:tcPr>
            <w:tcW w:w="2417" w:type="dxa"/>
            <w:tcBorders>
              <w:top w:val="single" w:sz="4" w:space="0" w:color="000000"/>
              <w:left w:val="single" w:sz="4" w:space="0" w:color="000000"/>
              <w:bottom w:val="single" w:sz="4" w:space="0" w:color="000000"/>
            </w:tcBorders>
          </w:tcPr>
          <w:p>
            <w:pPr>
              <w:pStyle w:val="TableParagraph"/>
              <w:spacing w:before="55"/>
              <w:ind w:left="110" w:right="101" w:hanging="2"/>
              <w:rPr>
                <w:sz w:val="21"/>
              </w:rPr>
            </w:pPr>
            <w:r>
              <w:rPr>
                <w:sz w:val="21"/>
              </w:rPr>
              <w:t>Manejo del dolor en pacientes con cáncer que reciben atención domiciliaria. (Vallerend, 2007)</w:t>
            </w:r>
          </w:p>
        </w:tc>
      </w:tr>
      <w:tr>
        <w:trPr>
          <w:trHeight w:val="854" w:hRule="exact"/>
        </w:trPr>
        <w:tc>
          <w:tcPr>
            <w:tcW w:w="1555" w:type="dxa"/>
            <w:tcBorders>
              <w:top w:val="single" w:sz="4" w:space="0" w:color="000000"/>
              <w:bottom w:val="single" w:sz="4" w:space="0" w:color="000000"/>
              <w:right w:val="single" w:sz="4" w:space="0" w:color="000000"/>
            </w:tcBorders>
          </w:tcPr>
          <w:p>
            <w:pPr>
              <w:pStyle w:val="TableParagraph"/>
              <w:spacing w:before="175"/>
              <w:ind w:left="383" w:right="177" w:hanging="200"/>
              <w:jc w:val="left"/>
              <w:rPr>
                <w:sz w:val="21"/>
              </w:rPr>
            </w:pPr>
            <w:r>
              <w:rPr>
                <w:sz w:val="21"/>
              </w:rPr>
              <w:t>3.- Cuidador Informal</w:t>
            </w:r>
          </w:p>
        </w:tc>
        <w:tc>
          <w:tcPr>
            <w:tcW w:w="5060" w:type="dxa"/>
            <w:tcBorders>
              <w:top w:val="single" w:sz="4" w:space="0" w:color="000000"/>
              <w:left w:val="single" w:sz="4" w:space="0" w:color="000000"/>
              <w:bottom w:val="single" w:sz="4" w:space="0" w:color="000000"/>
              <w:right w:val="single" w:sz="4" w:space="0" w:color="000000"/>
            </w:tcBorders>
          </w:tcPr>
          <w:p>
            <w:pPr>
              <w:pStyle w:val="TableParagraph"/>
              <w:spacing w:before="55"/>
              <w:ind w:left="64" w:right="64"/>
              <w:jc w:val="both"/>
              <w:rPr>
                <w:sz w:val="21"/>
              </w:rPr>
            </w:pPr>
            <w:r>
              <w:rPr>
                <w:sz w:val="21"/>
              </w:rPr>
              <w:t>Son las personas que no pertenecen a ninguna institución sanitaria ni social y que cuidan a  personas no autónomas que viven en su</w:t>
            </w:r>
            <w:r>
              <w:rPr>
                <w:spacing w:val="-12"/>
                <w:sz w:val="21"/>
              </w:rPr>
              <w:t> </w:t>
            </w:r>
            <w:r>
              <w:rPr>
                <w:sz w:val="21"/>
              </w:rPr>
              <w:t>domicilio</w:t>
            </w:r>
          </w:p>
        </w:tc>
        <w:tc>
          <w:tcPr>
            <w:tcW w:w="2417" w:type="dxa"/>
            <w:tcBorders>
              <w:top w:val="single" w:sz="4" w:space="0" w:color="000000"/>
              <w:left w:val="single" w:sz="4" w:space="0" w:color="000000"/>
              <w:bottom w:val="single" w:sz="4" w:space="0" w:color="000000"/>
            </w:tcBorders>
          </w:tcPr>
          <w:p>
            <w:pPr>
              <w:pStyle w:val="TableParagraph"/>
              <w:spacing w:before="55"/>
              <w:ind w:left="65" w:right="53" w:hanging="5"/>
              <w:rPr>
                <w:sz w:val="21"/>
              </w:rPr>
            </w:pPr>
            <w:r>
              <w:rPr>
                <w:sz w:val="21"/>
              </w:rPr>
              <w:t>Cuidadoras informales en el medio hospitalario. (Celma, 2001)</w:t>
            </w:r>
          </w:p>
        </w:tc>
      </w:tr>
      <w:tr>
        <w:trPr>
          <w:trHeight w:val="1037" w:hRule="exact"/>
        </w:trPr>
        <w:tc>
          <w:tcPr>
            <w:tcW w:w="1555" w:type="dxa"/>
            <w:tcBorders>
              <w:top w:val="single" w:sz="4" w:space="0" w:color="000000"/>
              <w:bottom w:val="single" w:sz="4" w:space="0" w:color="000000"/>
              <w:right w:val="single" w:sz="4" w:space="0" w:color="000000"/>
            </w:tcBorders>
          </w:tcPr>
          <w:p>
            <w:pPr>
              <w:pStyle w:val="TableParagraph"/>
              <w:spacing w:before="1"/>
              <w:jc w:val="left"/>
              <w:rPr>
                <w:sz w:val="23"/>
              </w:rPr>
            </w:pPr>
          </w:p>
          <w:p>
            <w:pPr>
              <w:pStyle w:val="TableParagraph"/>
              <w:ind w:left="388" w:right="176" w:hanging="204"/>
              <w:jc w:val="left"/>
              <w:rPr>
                <w:sz w:val="21"/>
              </w:rPr>
            </w:pPr>
            <w:r>
              <w:rPr>
                <w:sz w:val="21"/>
              </w:rPr>
              <w:t>4.- Cuidador Familiar</w:t>
            </w:r>
          </w:p>
        </w:tc>
        <w:tc>
          <w:tcPr>
            <w:tcW w:w="5060" w:type="dxa"/>
            <w:tcBorders>
              <w:top w:val="single" w:sz="4" w:space="0" w:color="000000"/>
              <w:left w:val="single" w:sz="4" w:space="0" w:color="000000"/>
              <w:bottom w:val="single" w:sz="4" w:space="0" w:color="000000"/>
              <w:right w:val="single" w:sz="4" w:space="0" w:color="000000"/>
            </w:tcBorders>
          </w:tcPr>
          <w:p>
            <w:pPr>
              <w:pStyle w:val="TableParagraph"/>
              <w:spacing w:before="55"/>
              <w:ind w:left="64" w:right="63"/>
              <w:jc w:val="both"/>
              <w:rPr>
                <w:sz w:val="21"/>
              </w:rPr>
            </w:pPr>
            <w:r>
              <w:rPr>
                <w:sz w:val="21"/>
              </w:rPr>
              <w:t>Las personas que presten atención a las personas que necesitan supervisión o asistencia en la enfermedad o la discapacidad. Ellos pueden proporcionar el cuidado en el hogar, en un hospital o</w:t>
            </w:r>
          </w:p>
        </w:tc>
        <w:tc>
          <w:tcPr>
            <w:tcW w:w="2417" w:type="dxa"/>
            <w:tcBorders>
              <w:top w:val="single" w:sz="4" w:space="0" w:color="000000"/>
              <w:left w:val="single" w:sz="4" w:space="0" w:color="000000"/>
              <w:bottom w:val="single" w:sz="4" w:space="0" w:color="000000"/>
            </w:tcBorders>
          </w:tcPr>
          <w:p>
            <w:pPr>
              <w:pStyle w:val="TableParagraph"/>
              <w:tabs>
                <w:tab w:pos="2063" w:val="left" w:leader="none"/>
              </w:tabs>
              <w:spacing w:before="55"/>
              <w:ind w:left="65" w:right="50"/>
              <w:jc w:val="both"/>
              <w:rPr>
                <w:sz w:val="21"/>
              </w:rPr>
            </w:pPr>
            <w:r>
              <w:rPr>
                <w:sz w:val="21"/>
              </w:rPr>
              <w:t>Experiencias</w:t>
              <w:tab/>
              <w:t>del cuidador familiar en el cuidado de un paciente con  cáncer.</w:t>
            </w:r>
            <w:r>
              <w:rPr>
                <w:spacing w:val="23"/>
                <w:sz w:val="21"/>
              </w:rPr>
              <w:t> </w:t>
            </w:r>
            <w:r>
              <w:rPr>
                <w:sz w:val="21"/>
              </w:rPr>
              <w:t>(Maeyama,</w:t>
            </w:r>
          </w:p>
        </w:tc>
      </w:tr>
    </w:tbl>
    <w:p>
      <w:pPr>
        <w:spacing w:after="0"/>
        <w:jc w:val="both"/>
        <w:rPr>
          <w:sz w:val="21"/>
        </w:rPr>
        <w:sectPr>
          <w:pgSz w:w="12250" w:h="15850"/>
          <w:pgMar w:header="748" w:footer="1122" w:top="1260" w:bottom="1320" w:left="1720" w:right="1180"/>
        </w:sectPr>
      </w:pPr>
    </w:p>
    <w:p>
      <w:pPr>
        <w:pStyle w:val="BodyText"/>
        <w:rPr>
          <w:sz w:val="20"/>
        </w:rPr>
      </w:pPr>
    </w:p>
    <w:p>
      <w:pPr>
        <w:pStyle w:val="BodyText"/>
        <w:rPr>
          <w:sz w:val="20"/>
        </w:rPr>
      </w:pPr>
    </w:p>
    <w:p>
      <w:pPr>
        <w:pStyle w:val="BodyText"/>
        <w:spacing w:before="6" w:after="1"/>
        <w:rPr>
          <w:sz w:val="21"/>
        </w:rPr>
      </w:pPr>
    </w:p>
    <w:tbl>
      <w:tblPr>
        <w:tblW w:w="0" w:type="auto"/>
        <w:jc w:val="left"/>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5060"/>
        <w:gridCol w:w="2417"/>
      </w:tblGrid>
      <w:tr>
        <w:trPr>
          <w:trHeight w:val="1037" w:hRule="exact"/>
        </w:trPr>
        <w:tc>
          <w:tcPr>
            <w:tcW w:w="1555" w:type="dxa"/>
            <w:tcBorders>
              <w:left w:val="double" w:sz="4" w:space="0" w:color="000000"/>
            </w:tcBorders>
          </w:tcPr>
          <w:p>
            <w:pPr/>
          </w:p>
        </w:tc>
        <w:tc>
          <w:tcPr>
            <w:tcW w:w="5060" w:type="dxa"/>
          </w:tcPr>
          <w:p>
            <w:pPr>
              <w:pStyle w:val="TableParagraph"/>
              <w:ind w:left="64" w:right="63"/>
              <w:jc w:val="both"/>
              <w:rPr>
                <w:sz w:val="21"/>
              </w:rPr>
            </w:pPr>
            <w:r>
              <w:rPr>
                <w:sz w:val="21"/>
              </w:rPr>
              <w:t>en una institución, el concepto se refiere también a los padres, cónyuges u otros familiares, amigos, miembros del clero, profesores, trabajadores sociales, los demás pacientes, etc.</w:t>
            </w:r>
          </w:p>
        </w:tc>
        <w:tc>
          <w:tcPr>
            <w:tcW w:w="2417" w:type="dxa"/>
            <w:tcBorders>
              <w:right w:val="double" w:sz="4" w:space="0" w:color="000000"/>
            </w:tcBorders>
          </w:tcPr>
          <w:p>
            <w:pPr>
              <w:pStyle w:val="TableParagraph"/>
              <w:spacing w:line="237" w:lineRule="exact"/>
              <w:ind w:left="65"/>
              <w:jc w:val="left"/>
              <w:rPr>
                <w:sz w:val="21"/>
              </w:rPr>
            </w:pPr>
            <w:r>
              <w:rPr>
                <w:sz w:val="21"/>
              </w:rPr>
              <w:t>2007)</w:t>
            </w:r>
          </w:p>
        </w:tc>
      </w:tr>
      <w:tr>
        <w:trPr>
          <w:trHeight w:val="1337" w:hRule="exact"/>
        </w:trPr>
        <w:tc>
          <w:tcPr>
            <w:tcW w:w="1555" w:type="dxa"/>
            <w:tcBorders>
              <w:left w:val="double" w:sz="4" w:space="0" w:color="000000"/>
            </w:tcBorders>
          </w:tcPr>
          <w:p>
            <w:pPr>
              <w:pStyle w:val="TableParagraph"/>
              <w:jc w:val="left"/>
              <w:rPr>
                <w:sz w:val="20"/>
              </w:rPr>
            </w:pPr>
          </w:p>
          <w:p>
            <w:pPr>
              <w:pStyle w:val="TableParagraph"/>
              <w:spacing w:before="3"/>
              <w:jc w:val="left"/>
              <w:rPr>
                <w:sz w:val="16"/>
              </w:rPr>
            </w:pPr>
          </w:p>
          <w:p>
            <w:pPr>
              <w:pStyle w:val="TableParagraph"/>
              <w:ind w:left="371" w:right="177" w:hanging="188"/>
              <w:jc w:val="left"/>
              <w:rPr>
                <w:sz w:val="21"/>
              </w:rPr>
            </w:pPr>
            <w:r>
              <w:rPr>
                <w:sz w:val="21"/>
              </w:rPr>
              <w:t>5.- Cuidador Primario</w:t>
            </w:r>
          </w:p>
        </w:tc>
        <w:tc>
          <w:tcPr>
            <w:tcW w:w="5060" w:type="dxa"/>
          </w:tcPr>
          <w:p>
            <w:pPr>
              <w:pStyle w:val="TableParagraph"/>
              <w:spacing w:before="55"/>
              <w:ind w:left="64" w:right="63"/>
              <w:jc w:val="both"/>
              <w:rPr>
                <w:sz w:val="21"/>
              </w:rPr>
            </w:pPr>
            <w:r>
              <w:rPr>
                <w:sz w:val="21"/>
              </w:rPr>
              <w:t>Es el que pone en marcha la solidaridad con el que sufre y el que más pronto comprende que no puede quedarse con los brazos cruzados ante la dura realidad    que    afecta    a     su     familiar     o amigo</w:t>
            </w:r>
          </w:p>
        </w:tc>
        <w:tc>
          <w:tcPr>
            <w:tcW w:w="2417" w:type="dxa"/>
            <w:tcBorders>
              <w:right w:val="double" w:sz="4" w:space="0" w:color="000000"/>
            </w:tcBorders>
          </w:tcPr>
          <w:p>
            <w:pPr>
              <w:pStyle w:val="TableParagraph"/>
              <w:spacing w:before="175"/>
              <w:ind w:left="65" w:right="51"/>
              <w:jc w:val="both"/>
              <w:rPr>
                <w:sz w:val="21"/>
              </w:rPr>
            </w:pPr>
            <w:r>
              <w:rPr>
                <w:sz w:val="21"/>
              </w:rPr>
              <w:t>La calidad de vida en los cuidadores primarios de pacientes con cáncer. (Expósito,</w:t>
            </w:r>
            <w:r>
              <w:rPr>
                <w:spacing w:val="-4"/>
                <w:sz w:val="21"/>
              </w:rPr>
              <w:t> </w:t>
            </w:r>
            <w:r>
              <w:rPr>
                <w:sz w:val="21"/>
              </w:rPr>
              <w:t>2008)</w:t>
            </w:r>
          </w:p>
        </w:tc>
      </w:tr>
      <w:tr>
        <w:trPr>
          <w:trHeight w:val="1337" w:hRule="exact"/>
        </w:trPr>
        <w:tc>
          <w:tcPr>
            <w:tcW w:w="1555" w:type="dxa"/>
            <w:tcBorders>
              <w:left w:val="double" w:sz="4" w:space="0" w:color="000000"/>
            </w:tcBorders>
          </w:tcPr>
          <w:p>
            <w:pPr>
              <w:pStyle w:val="TableParagraph"/>
              <w:jc w:val="left"/>
              <w:rPr>
                <w:sz w:val="20"/>
              </w:rPr>
            </w:pPr>
          </w:p>
          <w:p>
            <w:pPr>
              <w:pStyle w:val="TableParagraph"/>
              <w:spacing w:before="4"/>
              <w:jc w:val="left"/>
              <w:rPr>
                <w:sz w:val="16"/>
              </w:rPr>
            </w:pPr>
          </w:p>
          <w:p>
            <w:pPr>
              <w:pStyle w:val="TableParagraph"/>
              <w:ind w:left="371" w:right="328" w:hanging="36"/>
              <w:jc w:val="left"/>
              <w:rPr>
                <w:sz w:val="21"/>
              </w:rPr>
            </w:pPr>
            <w:r>
              <w:rPr>
                <w:sz w:val="21"/>
              </w:rPr>
              <w:t>Cuidador Primario</w:t>
            </w:r>
          </w:p>
        </w:tc>
        <w:tc>
          <w:tcPr>
            <w:tcW w:w="5060" w:type="dxa"/>
          </w:tcPr>
          <w:p>
            <w:pPr>
              <w:pStyle w:val="TableParagraph"/>
              <w:spacing w:before="55"/>
              <w:ind w:left="64" w:right="63"/>
              <w:jc w:val="both"/>
              <w:rPr>
                <w:sz w:val="21"/>
              </w:rPr>
            </w:pPr>
            <w:r>
              <w:rPr>
                <w:sz w:val="21"/>
              </w:rPr>
              <w:t>Persona que atiende en primera instancia las necesidades físicas y emocionales de un enfermo: papel que por lo general lo juegan el/la esposo/a, hijo/a, un familiar cercano o alguien que es significativo para el paciente</w:t>
            </w:r>
          </w:p>
        </w:tc>
        <w:tc>
          <w:tcPr>
            <w:tcW w:w="2417" w:type="dxa"/>
            <w:tcBorders>
              <w:right w:val="double" w:sz="4" w:space="0" w:color="000000"/>
            </w:tcBorders>
          </w:tcPr>
          <w:p>
            <w:pPr>
              <w:pStyle w:val="TableParagraph"/>
              <w:spacing w:before="175"/>
              <w:ind w:left="65" w:right="52"/>
              <w:jc w:val="both"/>
              <w:rPr>
                <w:sz w:val="21"/>
              </w:rPr>
            </w:pPr>
            <w:r>
              <w:rPr>
                <w:sz w:val="21"/>
              </w:rPr>
              <w:t>Desgaste físico y emocional del cuidador primario en cáncer. (Alvarado, 2009)</w:t>
            </w:r>
          </w:p>
        </w:tc>
      </w:tr>
      <w:tr>
        <w:trPr>
          <w:trHeight w:val="1822" w:hRule="exact"/>
        </w:trPr>
        <w:tc>
          <w:tcPr>
            <w:tcW w:w="1555" w:type="dxa"/>
            <w:tcBorders>
              <w:left w:val="double" w:sz="4" w:space="0" w:color="000000"/>
            </w:tcBorders>
          </w:tcPr>
          <w:p>
            <w:pPr>
              <w:pStyle w:val="TableParagraph"/>
              <w:jc w:val="left"/>
              <w:rPr>
                <w:sz w:val="20"/>
              </w:rPr>
            </w:pPr>
          </w:p>
          <w:p>
            <w:pPr>
              <w:pStyle w:val="TableParagraph"/>
              <w:spacing w:before="10"/>
              <w:jc w:val="left"/>
              <w:rPr>
                <w:sz w:val="26"/>
              </w:rPr>
            </w:pPr>
          </w:p>
          <w:p>
            <w:pPr>
              <w:pStyle w:val="TableParagraph"/>
              <w:spacing w:before="1"/>
              <w:ind w:left="369" w:right="176" w:hanging="185"/>
              <w:jc w:val="left"/>
              <w:rPr>
                <w:sz w:val="21"/>
              </w:rPr>
            </w:pPr>
            <w:r>
              <w:rPr>
                <w:sz w:val="21"/>
              </w:rPr>
              <w:t>6.- Cuidador Primario Informal</w:t>
            </w:r>
          </w:p>
        </w:tc>
        <w:tc>
          <w:tcPr>
            <w:tcW w:w="5060" w:type="dxa"/>
          </w:tcPr>
          <w:p>
            <w:pPr>
              <w:pStyle w:val="TableParagraph"/>
              <w:spacing w:before="55"/>
              <w:ind w:left="64" w:right="61"/>
              <w:jc w:val="both"/>
              <w:rPr>
                <w:sz w:val="21"/>
              </w:rPr>
            </w:pPr>
            <w:r>
              <w:rPr>
                <w:sz w:val="21"/>
              </w:rPr>
              <w:t>Asume la responsabilidad total del paciente ayudándole a realizar todas las actividades que no puede llevar a cabo; generalmente es un miembro de    la     red     social     inmediata     (familiar, amigo o incluso vecino), que no recibe ayuda económica ni capacitación previa para la atención del</w:t>
            </w:r>
            <w:r>
              <w:rPr>
                <w:spacing w:val="-1"/>
                <w:sz w:val="21"/>
              </w:rPr>
              <w:t> </w:t>
            </w:r>
            <w:r>
              <w:rPr>
                <w:sz w:val="21"/>
              </w:rPr>
              <w:t>paciente</w:t>
            </w:r>
          </w:p>
        </w:tc>
        <w:tc>
          <w:tcPr>
            <w:tcW w:w="2417" w:type="dxa"/>
            <w:tcBorders>
              <w:right w:val="double" w:sz="4" w:space="0" w:color="000000"/>
            </w:tcBorders>
          </w:tcPr>
          <w:p>
            <w:pPr>
              <w:pStyle w:val="TableParagraph"/>
              <w:spacing w:before="9"/>
              <w:jc w:val="left"/>
              <w:rPr>
                <w:sz w:val="25"/>
              </w:rPr>
            </w:pPr>
          </w:p>
          <w:p>
            <w:pPr>
              <w:pStyle w:val="TableParagraph"/>
              <w:tabs>
                <w:tab w:pos="1584" w:val="left" w:leader="none"/>
              </w:tabs>
              <w:spacing w:before="1"/>
              <w:ind w:left="65" w:right="51"/>
              <w:jc w:val="both"/>
              <w:rPr>
                <w:sz w:val="21"/>
              </w:rPr>
            </w:pPr>
            <w:r>
              <w:rPr>
                <w:sz w:val="21"/>
              </w:rPr>
              <w:t>Perfil psicosocial del cuidador</w:t>
              <w:tab/>
            </w:r>
            <w:r>
              <w:rPr>
                <w:spacing w:val="-1"/>
                <w:sz w:val="21"/>
              </w:rPr>
              <w:t>primario </w:t>
            </w:r>
            <w:r>
              <w:rPr>
                <w:sz w:val="21"/>
              </w:rPr>
              <w:t>informal del paciente con EPOC. (Salas, 2006)</w:t>
            </w:r>
          </w:p>
        </w:tc>
      </w:tr>
      <w:tr>
        <w:trPr>
          <w:trHeight w:val="1589" w:hRule="exact"/>
        </w:trPr>
        <w:tc>
          <w:tcPr>
            <w:tcW w:w="1555" w:type="dxa"/>
            <w:tcBorders>
              <w:left w:val="double" w:sz="4" w:space="0" w:color="000000"/>
              <w:bottom w:val="double" w:sz="4" w:space="0" w:color="000000"/>
            </w:tcBorders>
          </w:tcPr>
          <w:p>
            <w:pPr>
              <w:pStyle w:val="TableParagraph"/>
              <w:jc w:val="left"/>
              <w:rPr>
                <w:sz w:val="20"/>
              </w:rPr>
            </w:pPr>
          </w:p>
          <w:p>
            <w:pPr>
              <w:pStyle w:val="TableParagraph"/>
              <w:spacing w:before="3"/>
              <w:jc w:val="left"/>
              <w:rPr>
                <w:sz w:val="16"/>
              </w:rPr>
            </w:pPr>
          </w:p>
          <w:p>
            <w:pPr>
              <w:pStyle w:val="TableParagraph"/>
              <w:spacing w:before="1"/>
              <w:ind w:left="165" w:right="173"/>
              <w:rPr>
                <w:sz w:val="21"/>
              </w:rPr>
            </w:pPr>
            <w:r>
              <w:rPr>
                <w:sz w:val="21"/>
              </w:rPr>
              <w:t>7.- Cuidador Principal Familiar</w:t>
            </w:r>
          </w:p>
        </w:tc>
        <w:tc>
          <w:tcPr>
            <w:tcW w:w="5060" w:type="dxa"/>
            <w:tcBorders>
              <w:bottom w:val="double" w:sz="4" w:space="0" w:color="000000"/>
            </w:tcBorders>
          </w:tcPr>
          <w:p>
            <w:pPr>
              <w:pStyle w:val="TableParagraph"/>
              <w:spacing w:before="55"/>
              <w:ind w:left="64" w:right="64"/>
              <w:jc w:val="both"/>
              <w:rPr>
                <w:sz w:val="21"/>
              </w:rPr>
            </w:pPr>
            <w:r>
              <w:rPr>
                <w:sz w:val="21"/>
              </w:rPr>
              <w:t>Se identifica como aquel cuidador principal familiar reconocido como primordial agente que da asistencia básica a los pacientes en su condición de enfermedad crónica. Es el apoyo continuo que lo asiste en lo cotidiano y quien asume las principales decisiones sobre su</w:t>
            </w:r>
            <w:r>
              <w:rPr>
                <w:spacing w:val="-3"/>
                <w:sz w:val="21"/>
              </w:rPr>
              <w:t> </w:t>
            </w:r>
            <w:r>
              <w:rPr>
                <w:sz w:val="21"/>
              </w:rPr>
              <w:t>cuidado</w:t>
            </w:r>
          </w:p>
        </w:tc>
        <w:tc>
          <w:tcPr>
            <w:tcW w:w="2417" w:type="dxa"/>
            <w:tcBorders>
              <w:bottom w:val="double" w:sz="4" w:space="0" w:color="000000"/>
              <w:right w:val="double" w:sz="4" w:space="0" w:color="000000"/>
            </w:tcBorders>
          </w:tcPr>
          <w:p>
            <w:pPr>
              <w:pStyle w:val="TableParagraph"/>
              <w:spacing w:before="7"/>
              <w:jc w:val="left"/>
              <w:rPr>
                <w:sz w:val="25"/>
              </w:rPr>
            </w:pPr>
          </w:p>
          <w:p>
            <w:pPr>
              <w:pStyle w:val="TableParagraph"/>
              <w:spacing w:before="1"/>
              <w:ind w:left="65" w:right="50"/>
              <w:jc w:val="both"/>
              <w:rPr>
                <w:sz w:val="21"/>
              </w:rPr>
            </w:pPr>
            <w:r>
              <w:rPr>
                <w:sz w:val="21"/>
              </w:rPr>
              <w:t>El cuidado de los individuos y de los grupos: quien se cuida. (izquierdo, 2009)</w:t>
            </w:r>
          </w:p>
        </w:tc>
      </w:tr>
    </w:tbl>
    <w:p>
      <w:pPr>
        <w:spacing w:line="227" w:lineRule="exact" w:before="0"/>
        <w:ind w:left="625" w:right="0" w:firstLine="0"/>
        <w:jc w:val="both"/>
        <w:rPr>
          <w:sz w:val="20"/>
        </w:rPr>
      </w:pPr>
      <w:r>
        <w:rPr>
          <w:sz w:val="20"/>
        </w:rPr>
        <w:t>Fuente: Cruz y Ostiguin, 2011.</w:t>
      </w:r>
    </w:p>
    <w:p>
      <w:pPr>
        <w:pStyle w:val="BodyText"/>
        <w:rPr>
          <w:sz w:val="20"/>
        </w:rPr>
      </w:pPr>
    </w:p>
    <w:p>
      <w:pPr>
        <w:pStyle w:val="BodyText"/>
        <w:rPr>
          <w:sz w:val="26"/>
        </w:rPr>
      </w:pPr>
    </w:p>
    <w:p>
      <w:pPr>
        <w:pStyle w:val="BodyText"/>
        <w:spacing w:line="360" w:lineRule="auto"/>
        <w:ind w:left="625" w:right="242"/>
        <w:jc w:val="both"/>
      </w:pPr>
      <w:r>
        <w:rPr/>
        <w:t>Si bien, el concepto de cuidador resulta ambiguo en cuanto a su definición, es necesario delimitar la figura del cuidador por lo que para efectos del presente estudio se utiliza el concepto de:</w:t>
      </w:r>
    </w:p>
    <w:p>
      <w:pPr>
        <w:pStyle w:val="BodyText"/>
        <w:spacing w:before="5"/>
      </w:pPr>
    </w:p>
    <w:p>
      <w:pPr>
        <w:spacing w:before="0"/>
        <w:ind w:left="1525" w:right="1333" w:firstLine="60"/>
        <w:jc w:val="both"/>
        <w:rPr>
          <w:sz w:val="22"/>
        </w:rPr>
      </w:pPr>
      <w:r>
        <w:rPr>
          <w:i/>
          <w:sz w:val="22"/>
        </w:rPr>
        <w:t>“Cuidador primario informal </w:t>
      </w:r>
      <w:r>
        <w:rPr>
          <w:sz w:val="22"/>
        </w:rPr>
        <w:t>e</w:t>
      </w:r>
      <w:r>
        <w:rPr>
          <w:i/>
          <w:sz w:val="22"/>
        </w:rPr>
        <w:t>s la persona que asume la </w:t>
      </w:r>
      <w:r>
        <w:rPr>
          <w:i/>
          <w:sz w:val="22"/>
        </w:rPr>
        <w:t>responsabilidad total del paciente ayudándole a realizar todas las actividades que no puede llevar a cabo; generalmente es un miembro de la red social inmediata (familiar, amigo o incluso vecino), que no recibe ayuda económica ni capacitación previa para la atención del paciente”. </w:t>
      </w:r>
      <w:r>
        <w:rPr>
          <w:sz w:val="22"/>
        </w:rPr>
        <w:t>(Salas 2006, citado en Cruz y Ostiguin, 2011)</w:t>
      </w:r>
    </w:p>
    <w:p>
      <w:pPr>
        <w:pStyle w:val="BodyText"/>
        <w:spacing w:before="1"/>
      </w:pPr>
    </w:p>
    <w:p>
      <w:pPr>
        <w:pStyle w:val="BodyText"/>
        <w:spacing w:line="360" w:lineRule="auto" w:before="1"/>
        <w:ind w:left="625" w:right="259"/>
        <w:jc w:val="both"/>
      </w:pPr>
      <w:r>
        <w:rPr/>
        <w:t>El cuidador informal primario, es aquel que proporciona cuidados a enfermos, pertenecientes a su red social inmediata dentro del ámbito domiciliario, muchas</w:t>
      </w:r>
    </w:p>
    <w:p>
      <w:pPr>
        <w:spacing w:after="0" w:line="360" w:lineRule="auto"/>
        <w:jc w:val="both"/>
        <w:sectPr>
          <w:pgSz w:w="12250" w:h="15850"/>
          <w:pgMar w:header="748" w:footer="1122" w:top="1260" w:bottom="1320" w:left="1720" w:right="11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58"/>
        <w:jc w:val="both"/>
      </w:pPr>
      <w:r>
        <w:rPr/>
        <w:t>veces conforme a sus recursos propios y otras con apoyo de alguna institución gubernamental, fundamental para sobrellevar la responsabilidad de ser cuidador y también el enlace entre el enfermo y la institución sanitaria.</w:t>
      </w:r>
    </w:p>
    <w:p>
      <w:pPr>
        <w:pStyle w:val="BodyText"/>
      </w:pPr>
    </w:p>
    <w:p>
      <w:pPr>
        <w:pStyle w:val="BodyText"/>
        <w:spacing w:line="360" w:lineRule="auto" w:before="142"/>
        <w:ind w:left="625" w:right="152"/>
        <w:jc w:val="both"/>
      </w:pPr>
      <w:r>
        <w:rPr/>
        <w:t>El cuidador informal primario, cumple también, con la función de brindar apoyo moral y emocional, que ayude a su enfermo a sobrellevar la estancia hospitalaria y a favorecer el restablecimiento de su salud, en cuanto a la interacción del cuidador informal primario con la institución hospitalaria.</w:t>
      </w:r>
    </w:p>
    <w:p>
      <w:pPr>
        <w:pStyle w:val="BodyText"/>
        <w:spacing w:before="4"/>
      </w:pPr>
    </w:p>
    <w:p>
      <w:pPr>
        <w:spacing w:before="0"/>
        <w:ind w:left="1525" w:right="1134" w:firstLine="0"/>
        <w:jc w:val="both"/>
        <w:rPr>
          <w:sz w:val="22"/>
        </w:rPr>
      </w:pPr>
      <w:r>
        <w:rPr>
          <w:i/>
          <w:sz w:val="22"/>
        </w:rPr>
        <w:t>La presencia de los cuidadores, en las instituciones de seguridad </w:t>
      </w:r>
      <w:r>
        <w:rPr>
          <w:i/>
          <w:sz w:val="22"/>
        </w:rPr>
        <w:t>social y pública está normada por un pase de estancia que va de dos horas hasta 24 horas. Este tiempo está determinado por el estado de salud y dependencia del paciente; sin embargo, las actividades de este cuidador no están especificadas. La literatura  al respecto menciona que las actividades son principalmente las necesidades básicas como: alimentación, movilización, apoyo en la eliminación, hidratación, higiene, entre otras, así como apoyo a las medidas terapéuticas tales como la aplicación de medicamentos tópicos, colocación de nebulizaciones, vigilancia de oxígeno y venoclisis</w:t>
      </w:r>
      <w:r>
        <w:rPr>
          <w:sz w:val="22"/>
        </w:rPr>
        <w:t>. (Covarrubias y Andrade,</w:t>
      </w:r>
      <w:r>
        <w:rPr>
          <w:spacing w:val="-10"/>
          <w:sz w:val="22"/>
        </w:rPr>
        <w:t> </w:t>
      </w:r>
      <w:r>
        <w:rPr>
          <w:sz w:val="22"/>
        </w:rPr>
        <w:t>2012)</w:t>
      </w:r>
    </w:p>
    <w:p>
      <w:pPr>
        <w:pStyle w:val="BodyText"/>
        <w:rPr>
          <w:sz w:val="22"/>
        </w:rPr>
      </w:pPr>
    </w:p>
    <w:p>
      <w:pPr>
        <w:pStyle w:val="BodyText"/>
        <w:spacing w:before="11"/>
        <w:rPr>
          <w:sz w:val="25"/>
        </w:rPr>
      </w:pPr>
    </w:p>
    <w:p>
      <w:pPr>
        <w:pStyle w:val="BodyText"/>
        <w:spacing w:line="360" w:lineRule="auto"/>
        <w:ind w:left="625" w:right="159"/>
        <w:jc w:val="both"/>
      </w:pPr>
      <w:r>
        <w:rPr/>
        <w:t>La figura del cuidador informal primario aún permanece invisible para las instituciones sanitarias, al no ser debidamente reconocidos, como un sujeto activo que debe participar conjuntamente con el personal de enfermería, en los cuidados básicos de su paciente hospitalizado, esta falta de reconocimiento, es debido a que los sistemas de salud se conforman alrededor de la salud y seguridad del paciente. Según Quero (2007):</w:t>
      </w:r>
    </w:p>
    <w:p>
      <w:pPr>
        <w:pStyle w:val="BodyText"/>
        <w:spacing w:before="2"/>
      </w:pPr>
    </w:p>
    <w:p>
      <w:pPr>
        <w:spacing w:before="0"/>
        <w:ind w:left="1525" w:right="1133" w:firstLine="0"/>
        <w:jc w:val="both"/>
        <w:rPr>
          <w:sz w:val="22"/>
        </w:rPr>
      </w:pPr>
      <w:r>
        <w:rPr>
          <w:i/>
          <w:sz w:val="22"/>
        </w:rPr>
        <w:t>“Todos los cuidados y asistencia al enfermo son asumidos por la </w:t>
      </w:r>
      <w:r>
        <w:rPr>
          <w:i/>
          <w:sz w:val="22"/>
        </w:rPr>
        <w:t>institución sanitaria y la familia queda al margen de cualquier actividad relacionada con el cuidado. Esta circunstancia se va a convertir en un elemento clave de la concepción sanitaria a nivel institucional, ya que en nuestra política sanitaria el sistema cuenta y confía en la colaboración familiar para la prestación de determinados cuidados y actividades”. </w:t>
      </w:r>
      <w:r>
        <w:rPr>
          <w:sz w:val="22"/>
        </w:rPr>
        <w:t>(Quero,</w:t>
      </w:r>
      <w:r>
        <w:rPr>
          <w:spacing w:val="-12"/>
          <w:sz w:val="22"/>
        </w:rPr>
        <w:t> </w:t>
      </w:r>
      <w:r>
        <w:rPr>
          <w:sz w:val="22"/>
        </w:rPr>
        <w:t>2007)</w:t>
      </w:r>
    </w:p>
    <w:p>
      <w:pPr>
        <w:spacing w:after="0"/>
        <w:jc w:val="both"/>
        <w:rPr>
          <w:sz w:val="22"/>
        </w:rPr>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0"/>
        <w:jc w:val="both"/>
      </w:pPr>
      <w:r>
        <w:rPr/>
        <w:t>Para Aravena y Alvarado (2006) “las personas que ejercen dicha actividad no se encuentran incluidas dentro del sistema formal de salud, por lo tanto, no reciben alguna asistencia, donde puedan atender las necesidades” (Aravena y Alvarado. 2006, citados en Torrealba y Yépez, 2012). Por lo que la participación del cuidador informal primario dentro de las instituciones hospitalarias se vuelve una actividad ambigua y tácita, que está sujeta muchas veces a la disposición del cuidador informal primario, al no existir una normativa institucional, específica en cuanto a las actividades, que puede y debe participar. Por otra parte, la definición de cuidador profesional o en algunos casos denominado “formal” se ha encontrado con conceptos más definidos en la literatura, en los cuales las principales conjeturas son: la “capacitación” y la remuneración económica. Según Aparicio et al, 2007 los cuidadores formales</w:t>
      </w:r>
      <w:r>
        <w:rPr>
          <w:spacing w:val="-7"/>
        </w:rPr>
        <w:t> </w:t>
      </w:r>
      <w:r>
        <w:rPr/>
        <w:t>son:</w:t>
      </w:r>
    </w:p>
    <w:p>
      <w:pPr>
        <w:pStyle w:val="BodyText"/>
        <w:spacing w:before="2"/>
      </w:pPr>
    </w:p>
    <w:p>
      <w:pPr>
        <w:spacing w:before="0"/>
        <w:ind w:left="1525" w:right="1230" w:firstLine="0"/>
        <w:jc w:val="both"/>
        <w:rPr>
          <w:sz w:val="22"/>
        </w:rPr>
      </w:pPr>
      <w:r>
        <w:rPr>
          <w:i/>
          <w:sz w:val="22"/>
        </w:rPr>
        <w:t>“Aquellos trabajadores de una institución pública o entidad, con y </w:t>
      </w:r>
      <w:r>
        <w:rPr>
          <w:i/>
          <w:sz w:val="22"/>
        </w:rPr>
        <w:t>sin ánimo de lucro, o profesional autónomo entre cuyas  finalidades se encuentre la prestación de que varían en función del estatus sociolaboral. Así, dentro de esta categoría encontraríamos cuidadores con una formación teórico práctica para la atención al dependiente (terapeutas ocupacionales, enfermeras/os…) y cuidadores sin formación teórico-práctica o, si la han recibido, es de corta duración y muy limitada”. </w:t>
      </w:r>
      <w:r>
        <w:rPr>
          <w:sz w:val="22"/>
        </w:rPr>
        <w:t>(Aparicio et al, 2007)</w:t>
      </w:r>
    </w:p>
    <w:p>
      <w:pPr>
        <w:pStyle w:val="BodyText"/>
        <w:rPr>
          <w:sz w:val="22"/>
        </w:rPr>
      </w:pPr>
    </w:p>
    <w:p>
      <w:pPr>
        <w:pStyle w:val="BodyText"/>
        <w:spacing w:before="11"/>
        <w:rPr>
          <w:sz w:val="25"/>
        </w:rPr>
      </w:pPr>
    </w:p>
    <w:p>
      <w:pPr>
        <w:pStyle w:val="BodyText"/>
        <w:spacing w:line="360" w:lineRule="auto"/>
        <w:ind w:left="625" w:right="158"/>
        <w:jc w:val="both"/>
      </w:pPr>
      <w:r>
        <w:rPr/>
        <w:t>En base a lo anterior, se entiende que es el personal de enfermería quien desempeña el rol de cuidador profesional dentro de las instituciones hospitalarias, enmarcado bajo diferentes categorías y subcategorías acordes a la institución sanitaria, donde se encuentre laborando, sujeto a una jornada laboral y percibiendo una remuneración económica por sus labores.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2"/>
        <w:ind w:left="1181" w:right="788"/>
        <w:jc w:val="center"/>
      </w:pPr>
      <w:bookmarkStart w:name="_TOC_250002" w:id="7"/>
      <w:bookmarkEnd w:id="7"/>
      <w:r>
        <w:rPr/>
        <w:t>Capítulo IV</w:t>
      </w:r>
    </w:p>
    <w:p>
      <w:pPr>
        <w:pStyle w:val="BodyText"/>
        <w:rPr>
          <w:b/>
        </w:rPr>
      </w:pPr>
    </w:p>
    <w:p>
      <w:pPr>
        <w:pStyle w:val="BodyText"/>
        <w:rPr>
          <w:b/>
        </w:rPr>
      </w:pPr>
    </w:p>
    <w:p>
      <w:pPr>
        <w:pStyle w:val="Heading3"/>
        <w:spacing w:line="360" w:lineRule="auto"/>
        <w:ind w:left="1191" w:right="788"/>
      </w:pPr>
      <w:r>
        <w:rPr>
          <w:i/>
        </w:rPr>
        <w:t>Cuidador informal primario y cuidador profesional, similitudes y </w:t>
      </w:r>
      <w:r>
        <w:rPr/>
        <w:t>diferencias</w:t>
      </w:r>
    </w:p>
    <w:p>
      <w:pPr>
        <w:pStyle w:val="BodyText"/>
        <w:rPr>
          <w:b/>
          <w:i/>
        </w:rPr>
      </w:pPr>
    </w:p>
    <w:p>
      <w:pPr>
        <w:pStyle w:val="BodyText"/>
        <w:spacing w:line="360" w:lineRule="auto" w:before="142"/>
        <w:ind w:left="625" w:right="214"/>
        <w:jc w:val="both"/>
      </w:pPr>
      <w:r>
        <w:rPr/>
        <w:t>El papel fundamental que cumple el cuidador informal primario fuera del ámbito domiciliario, es ser el nexo entre el enfermo y las diferentes instituciones sanitarias, el ámbito intrahospitalario, donde se circunscribe, quien desempeña o desempeñará el rol del cuidador informal primario, éste último también  deberá interactuar con los diferentes profesionales de la salud. (Tabla No.</w:t>
      </w:r>
      <w:r>
        <w:rPr>
          <w:spacing w:val="-24"/>
        </w:rPr>
        <w:t> </w:t>
      </w:r>
      <w:r>
        <w:rPr/>
        <w:t>2)</w:t>
      </w:r>
    </w:p>
    <w:p>
      <w:pPr>
        <w:pStyle w:val="BodyText"/>
      </w:pPr>
    </w:p>
    <w:p>
      <w:pPr>
        <w:pStyle w:val="BodyText"/>
        <w:spacing w:line="360" w:lineRule="auto" w:before="142"/>
        <w:ind w:left="625" w:right="117"/>
        <w:jc w:val="both"/>
      </w:pPr>
      <w:r>
        <w:rPr/>
        <w:t>Ya mencionado anteriormente, el cuidador informal primario, es aquel que no perciben algún tipo de remuneración económica por sus tareas, proporciona  una atención, sin limitación de actividades y horarios, experimentan un alto nivel de compromiso con el enfermo, derivado de la relación interpersonal que los une, sin soslayar, que en muchos casos no disponen de ningún tipo de capacitación que los oriente en la responsabilidad que ha adquirido, y también es fuente de un mayor estrés físico y</w:t>
      </w:r>
      <w:r>
        <w:rPr>
          <w:spacing w:val="-16"/>
        </w:rPr>
        <w:t> </w:t>
      </w:r>
      <w:r>
        <w:rPr/>
        <w:t>emocional.</w:t>
      </w:r>
    </w:p>
    <w:p>
      <w:pPr>
        <w:pStyle w:val="BodyText"/>
      </w:pPr>
    </w:p>
    <w:p>
      <w:pPr>
        <w:pStyle w:val="BodyText"/>
        <w:spacing w:line="360" w:lineRule="auto" w:before="142"/>
        <w:ind w:left="625" w:right="114"/>
        <w:jc w:val="both"/>
      </w:pPr>
      <w:r>
        <w:rPr/>
        <w:t>El cuidador formal si dispone de una capacitación teórico-práctica (esta capacitación cambia en función del nivel académico) que lo faculta para ejercer el cuidado en diferentes áreas, recibe una remuneración económica por sus servicios, está acotado al cumplimiento de una jornada laboral, además, no pertenecer a la red social inmediata del enfermo, estos dos últimos factores pueden propiciar una inadecuada empatía con el paciente hospitalizado y el cuidador informal primario.</w:t>
      </w:r>
    </w:p>
    <w:p>
      <w:pPr>
        <w:pStyle w:val="BodyText"/>
      </w:pPr>
    </w:p>
    <w:p>
      <w:pPr>
        <w:pStyle w:val="BodyText"/>
        <w:spacing w:line="360" w:lineRule="auto" w:before="142"/>
        <w:ind w:left="625" w:right="118"/>
        <w:jc w:val="both"/>
      </w:pPr>
      <w:r>
        <w:rPr/>
        <w:t>No obstante, el brindar cuidados es el hacer tanto del cuidador informal  primario, como del cuidador formal, esta actividad constituye la principal y más importante   característica   en   común;   esta   semejanza,   no</w:t>
      </w:r>
      <w:r>
        <w:rPr>
          <w:spacing w:val="-4"/>
        </w:rPr>
        <w:t> </w:t>
      </w:r>
      <w:r>
        <w:rPr/>
        <w:t>necesariamente</w:t>
      </w:r>
    </w:p>
    <w:p>
      <w:pPr>
        <w:spacing w:after="0" w:line="360" w:lineRule="auto"/>
        <w:jc w:val="both"/>
        <w:sectPr>
          <w:footerReference w:type="default" r:id="rId37"/>
          <w:pgSz w:w="12250" w:h="15850"/>
          <w:pgMar w:footer="1122" w:header="748" w:top="1260" w:bottom="1320" w:left="1720" w:right="1220"/>
          <w:pgNumType w:start="2"/>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42"/>
        <w:jc w:val="both"/>
      </w:pPr>
      <w:r>
        <w:rPr/>
        <w:t>predispone una relación de cooperación, participación en torno a las necesidades del paciente hospitalizado, ya que, ambos se encuentran desempeñando el rol de cuidador, bajo razones y circunstancias diferentes, a menudo son opuestas. (Tabla No. 2)</w:t>
      </w:r>
    </w:p>
    <w:p>
      <w:pPr>
        <w:pStyle w:val="BodyText"/>
        <w:rPr>
          <w:sz w:val="30"/>
        </w:rPr>
      </w:pPr>
    </w:p>
    <w:p>
      <w:pPr>
        <w:spacing w:before="0"/>
        <w:ind w:left="625" w:right="0" w:firstLine="0"/>
        <w:jc w:val="both"/>
        <w:rPr>
          <w:sz w:val="20"/>
        </w:rPr>
      </w:pPr>
      <w:r>
        <w:rPr>
          <w:b/>
          <w:sz w:val="20"/>
        </w:rPr>
        <w:t>Tabla No. 2. </w:t>
      </w:r>
      <w:r>
        <w:rPr>
          <w:sz w:val="20"/>
        </w:rPr>
        <w:t>Principales diferencias entre cuidador informal primario y cuidador profesional.</w:t>
      </w:r>
    </w:p>
    <w:p>
      <w:pPr>
        <w:pStyle w:val="BodyText"/>
        <w:spacing w:before="5" w:after="1"/>
        <w:rPr>
          <w:sz w:val="10"/>
        </w:rPr>
      </w:pPr>
    </w:p>
    <w:tbl>
      <w:tblPr>
        <w:tblW w:w="0" w:type="auto"/>
        <w:jc w:val="left"/>
        <w:tblInd w:w="598"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4307"/>
        <w:gridCol w:w="4249"/>
      </w:tblGrid>
      <w:tr>
        <w:trPr>
          <w:trHeight w:val="502" w:hRule="exact"/>
        </w:trPr>
        <w:tc>
          <w:tcPr>
            <w:tcW w:w="4307" w:type="dxa"/>
          </w:tcPr>
          <w:p>
            <w:pPr>
              <w:pStyle w:val="TableParagraph"/>
              <w:spacing w:before="98"/>
              <w:ind w:left="712"/>
              <w:jc w:val="left"/>
              <w:rPr>
                <w:b/>
                <w:sz w:val="22"/>
              </w:rPr>
            </w:pPr>
            <w:r>
              <w:rPr>
                <w:b/>
                <w:sz w:val="22"/>
              </w:rPr>
              <w:t>Cuidador primario informal</w:t>
            </w:r>
          </w:p>
        </w:tc>
        <w:tc>
          <w:tcPr>
            <w:tcW w:w="4249" w:type="dxa"/>
          </w:tcPr>
          <w:p>
            <w:pPr>
              <w:pStyle w:val="TableParagraph"/>
              <w:spacing w:before="98"/>
              <w:ind w:left="976" w:right="976"/>
              <w:rPr>
                <w:b/>
                <w:sz w:val="22"/>
              </w:rPr>
            </w:pPr>
            <w:r>
              <w:rPr>
                <w:b/>
                <w:sz w:val="22"/>
              </w:rPr>
              <w:t>Cuidador profesional</w:t>
            </w:r>
          </w:p>
        </w:tc>
      </w:tr>
      <w:tr>
        <w:trPr>
          <w:trHeight w:val="907" w:hRule="exact"/>
        </w:trPr>
        <w:tc>
          <w:tcPr>
            <w:tcW w:w="4307" w:type="dxa"/>
            <w:tcBorders>
              <w:bottom w:val="single" w:sz="4" w:space="0" w:color="000000"/>
              <w:right w:val="single" w:sz="4" w:space="0" w:color="000000"/>
            </w:tcBorders>
          </w:tcPr>
          <w:p>
            <w:pPr>
              <w:pStyle w:val="TableParagraph"/>
              <w:spacing w:before="187"/>
              <w:ind w:left="381" w:right="131" w:hanging="252"/>
              <w:jc w:val="left"/>
              <w:rPr>
                <w:sz w:val="22"/>
              </w:rPr>
            </w:pPr>
            <w:r>
              <w:rPr>
                <w:sz w:val="22"/>
              </w:rPr>
              <w:t>1.- No disponen de una capacitación que los guié para proporcionar cuidados</w:t>
            </w:r>
          </w:p>
        </w:tc>
        <w:tc>
          <w:tcPr>
            <w:tcW w:w="4249" w:type="dxa"/>
            <w:tcBorders>
              <w:left w:val="single" w:sz="4" w:space="0" w:color="000000"/>
              <w:bottom w:val="single" w:sz="4" w:space="0" w:color="000000"/>
            </w:tcBorders>
          </w:tcPr>
          <w:p>
            <w:pPr>
              <w:pStyle w:val="TableParagraph"/>
              <w:spacing w:before="60"/>
              <w:ind w:left="81" w:right="62" w:hanging="4"/>
              <w:rPr>
                <w:sz w:val="22"/>
              </w:rPr>
            </w:pPr>
            <w:r>
              <w:rPr>
                <w:sz w:val="22"/>
              </w:rPr>
              <w:t>1.- Cuentan con una formación académica que los faculta, para ejercer el cuidado</w:t>
            </w:r>
          </w:p>
        </w:tc>
      </w:tr>
      <w:tr>
        <w:trPr>
          <w:trHeight w:val="773" w:hRule="exact"/>
        </w:trPr>
        <w:tc>
          <w:tcPr>
            <w:tcW w:w="4307" w:type="dxa"/>
            <w:tcBorders>
              <w:top w:val="single" w:sz="4" w:space="0" w:color="000000"/>
              <w:bottom w:val="single" w:sz="4" w:space="0" w:color="000000"/>
              <w:right w:val="single" w:sz="4" w:space="0" w:color="000000"/>
            </w:tcBorders>
          </w:tcPr>
          <w:p>
            <w:pPr>
              <w:pStyle w:val="TableParagraph"/>
              <w:spacing w:before="127"/>
              <w:ind w:left="897" w:right="655" w:hanging="240"/>
              <w:jc w:val="left"/>
              <w:rPr>
                <w:sz w:val="22"/>
              </w:rPr>
            </w:pPr>
            <w:r>
              <w:rPr>
                <w:sz w:val="22"/>
              </w:rPr>
              <w:t>2.- No perciben ningún tipo de remuneración económica</w:t>
            </w:r>
          </w:p>
        </w:tc>
        <w:tc>
          <w:tcPr>
            <w:tcW w:w="4249" w:type="dxa"/>
            <w:tcBorders>
              <w:top w:val="single" w:sz="4" w:space="0" w:color="000000"/>
              <w:left w:val="single" w:sz="4" w:space="0" w:color="000000"/>
              <w:bottom w:val="single" w:sz="4" w:space="0" w:color="000000"/>
            </w:tcBorders>
          </w:tcPr>
          <w:p>
            <w:pPr>
              <w:pStyle w:val="TableParagraph"/>
              <w:spacing w:before="127"/>
              <w:ind w:left="491" w:right="74" w:hanging="387"/>
              <w:jc w:val="left"/>
              <w:rPr>
                <w:sz w:val="22"/>
              </w:rPr>
            </w:pPr>
            <w:r>
              <w:rPr>
                <w:sz w:val="22"/>
              </w:rPr>
              <w:t>2.- Percibe una remuneración económica por la prestación de sus servicios</w:t>
            </w:r>
          </w:p>
        </w:tc>
      </w:tr>
      <w:tr>
        <w:trPr>
          <w:trHeight w:val="770" w:hRule="exact"/>
        </w:trPr>
        <w:tc>
          <w:tcPr>
            <w:tcW w:w="4307" w:type="dxa"/>
            <w:tcBorders>
              <w:top w:val="single" w:sz="4" w:space="0" w:color="000000"/>
              <w:bottom w:val="single" w:sz="4" w:space="0" w:color="000000"/>
              <w:right w:val="single" w:sz="4" w:space="0" w:color="000000"/>
            </w:tcBorders>
          </w:tcPr>
          <w:p>
            <w:pPr>
              <w:pStyle w:val="TableParagraph"/>
              <w:spacing w:before="125"/>
              <w:ind w:left="1411" w:right="58" w:hanging="1355"/>
              <w:jc w:val="left"/>
              <w:rPr>
                <w:sz w:val="22"/>
              </w:rPr>
            </w:pPr>
            <w:r>
              <w:rPr>
                <w:sz w:val="22"/>
              </w:rPr>
              <w:t>3.- Presenta un apego emocional derivado del parentesco</w:t>
            </w:r>
          </w:p>
        </w:tc>
        <w:tc>
          <w:tcPr>
            <w:tcW w:w="4249" w:type="dxa"/>
            <w:tcBorders>
              <w:top w:val="single" w:sz="4" w:space="0" w:color="000000"/>
              <w:left w:val="single" w:sz="4" w:space="0" w:color="000000"/>
              <w:bottom w:val="single" w:sz="4" w:space="0" w:color="000000"/>
            </w:tcBorders>
          </w:tcPr>
          <w:p>
            <w:pPr>
              <w:pStyle w:val="TableParagraph"/>
              <w:spacing w:before="125"/>
              <w:ind w:left="1715" w:right="318" w:hanging="1366"/>
              <w:jc w:val="left"/>
              <w:rPr>
                <w:sz w:val="22"/>
              </w:rPr>
            </w:pPr>
            <w:r>
              <w:rPr>
                <w:sz w:val="22"/>
              </w:rPr>
              <w:t>3.- No pertenecen a la red social del enfermo</w:t>
            </w:r>
          </w:p>
        </w:tc>
      </w:tr>
      <w:tr>
        <w:trPr>
          <w:trHeight w:val="773" w:hRule="exact"/>
        </w:trPr>
        <w:tc>
          <w:tcPr>
            <w:tcW w:w="4307" w:type="dxa"/>
            <w:tcBorders>
              <w:top w:val="single" w:sz="4" w:space="0" w:color="000000"/>
              <w:bottom w:val="single" w:sz="4" w:space="0" w:color="000000"/>
              <w:right w:val="single" w:sz="4" w:space="0" w:color="000000"/>
            </w:tcBorders>
          </w:tcPr>
          <w:p>
            <w:pPr>
              <w:pStyle w:val="TableParagraph"/>
              <w:spacing w:before="127"/>
              <w:ind w:left="1135" w:right="180" w:hanging="956"/>
              <w:jc w:val="left"/>
              <w:rPr>
                <w:sz w:val="22"/>
              </w:rPr>
            </w:pPr>
            <w:r>
              <w:rPr>
                <w:sz w:val="22"/>
              </w:rPr>
              <w:t>4.- Presentan cuidados sin restricciones de tiempo y horarios</w:t>
            </w:r>
          </w:p>
        </w:tc>
        <w:tc>
          <w:tcPr>
            <w:tcW w:w="4249" w:type="dxa"/>
            <w:tcBorders>
              <w:top w:val="single" w:sz="4" w:space="0" w:color="000000"/>
              <w:left w:val="single" w:sz="4" w:space="0" w:color="000000"/>
              <w:bottom w:val="single" w:sz="4" w:space="0" w:color="000000"/>
            </w:tcBorders>
          </w:tcPr>
          <w:p>
            <w:pPr>
              <w:pStyle w:val="TableParagraph"/>
              <w:spacing w:before="1"/>
              <w:jc w:val="left"/>
              <w:rPr>
                <w:sz w:val="22"/>
              </w:rPr>
            </w:pPr>
          </w:p>
          <w:p>
            <w:pPr>
              <w:pStyle w:val="TableParagraph"/>
              <w:ind w:left="81" w:right="63"/>
              <w:rPr>
                <w:sz w:val="22"/>
              </w:rPr>
            </w:pPr>
            <w:r>
              <w:rPr>
                <w:sz w:val="22"/>
              </w:rPr>
              <w:t>4.- Están apegados a una jornada laboral</w:t>
            </w:r>
          </w:p>
        </w:tc>
      </w:tr>
      <w:tr>
        <w:trPr>
          <w:trHeight w:val="809" w:hRule="exact"/>
        </w:trPr>
        <w:tc>
          <w:tcPr>
            <w:tcW w:w="4307" w:type="dxa"/>
            <w:tcBorders>
              <w:top w:val="single" w:sz="4" w:space="0" w:color="000000"/>
              <w:right w:val="single" w:sz="4" w:space="0" w:color="000000"/>
            </w:tcBorders>
          </w:tcPr>
          <w:p>
            <w:pPr>
              <w:pStyle w:val="TableParagraph"/>
              <w:spacing w:before="134"/>
              <w:ind w:left="420" w:right="246" w:hanging="173"/>
              <w:jc w:val="left"/>
              <w:rPr>
                <w:sz w:val="22"/>
              </w:rPr>
            </w:pPr>
            <w:r>
              <w:rPr>
                <w:sz w:val="22"/>
              </w:rPr>
              <w:t>5.- Pueden presentar desgaste físico y emocional (Síndrome del cuidador)</w:t>
            </w:r>
          </w:p>
        </w:tc>
        <w:tc>
          <w:tcPr>
            <w:tcW w:w="4249" w:type="dxa"/>
            <w:tcBorders>
              <w:top w:val="single" w:sz="4" w:space="0" w:color="000000"/>
              <w:left w:val="single" w:sz="4" w:space="0" w:color="000000"/>
            </w:tcBorders>
          </w:tcPr>
          <w:p>
            <w:pPr>
              <w:pStyle w:val="TableParagraph"/>
              <w:spacing w:before="134"/>
              <w:ind w:left="443" w:right="201" w:hanging="209"/>
              <w:jc w:val="left"/>
              <w:rPr>
                <w:sz w:val="22"/>
              </w:rPr>
            </w:pPr>
            <w:r>
              <w:rPr>
                <w:sz w:val="22"/>
              </w:rPr>
              <w:t>5.- Pueden presentar desgaste físico y emocional (Síndrome del Burnout)</w:t>
            </w:r>
          </w:p>
        </w:tc>
      </w:tr>
    </w:tbl>
    <w:p>
      <w:pPr>
        <w:pStyle w:val="BodyText"/>
        <w:spacing w:before="9"/>
        <w:rPr>
          <w:sz w:val="23"/>
        </w:rPr>
      </w:pPr>
    </w:p>
    <w:p>
      <w:pPr>
        <w:pStyle w:val="BodyText"/>
        <w:spacing w:line="360" w:lineRule="auto" w:before="70"/>
        <w:ind w:left="625" w:right="132"/>
        <w:jc w:val="both"/>
      </w:pPr>
      <w:r>
        <w:rPr/>
        <w:t>Acorde con la tabla número 2, estas diferencias son las que constituyen la base de la relación, entre cuidadores dentro de la institución hospitalaria, la cual debería ser de manera participativa y coadyuvante, a favor del paciente hospitalizado; de acuerdo con Cuesta (2009), “los cuidadores se basan de manera casi exclusiva en los aspectos instrumentales del cuidado, constituyéndose en una pieza clave en la triada terapéutica (equipo de salud - paciente - cuidador)” (Cuesta. 2009, citado en Torrealba y Yépez. 2012); sin embargo, estas diferencias pueden derivar en una relación conflictiva, el cuidador informal primario desempeña el rol de cuidador, por “situación” y no eligió el estado de enfermedad para alguno de sus seres cercanos, tampoco la responsabilidad de cuidar a esa persona que se encuentra en la necesidad de permanecer hospitalizado; cabe mencionar, que este proceso de convertirse en</w:t>
      </w:r>
    </w:p>
    <w:p>
      <w:pPr>
        <w:spacing w:after="0" w:line="360" w:lineRule="auto"/>
        <w:jc w:val="both"/>
        <w:sectPr>
          <w:pgSz w:w="12250" w:h="15850"/>
          <w:pgMar w:header="748" w:footer="1122" w:top="1260" w:bottom="1320" w:left="1720" w:right="120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21"/>
        <w:jc w:val="both"/>
      </w:pPr>
      <w:r>
        <w:rPr/>
        <w:t>cuidador puede darse de manera paulatina o de manera inesperada. (Cuadro No. 1)</w:t>
      </w:r>
    </w:p>
    <w:p>
      <w:pPr>
        <w:pStyle w:val="BodyText"/>
      </w:pPr>
    </w:p>
    <w:p>
      <w:pPr>
        <w:pStyle w:val="BodyText"/>
        <w:spacing w:line="360" w:lineRule="auto" w:before="142"/>
        <w:ind w:left="625" w:right="111"/>
        <w:jc w:val="both"/>
      </w:pPr>
      <w:r>
        <w:rPr/>
        <w:t>En cambio el cuidador formal, desempeña su rol por “convicción” e identidad profesional ya que, éste eligió seguir una formación institucional, para desempeñar el rol profesional de enfermería; cada uno desempeña su rol acorde a sus respectivas características ya mencionadas, pero también con sus respectivas repercusiones físicas y/o emocionales. Por parte, el cuidador profesional (personal de enfermería) se identifica por varios autores como el síndrome de “Burnout” como principal repercusión en la salud física y emocional y se considera un grupo en constante riesgo, de acuerdo a Rosas</w:t>
      </w:r>
      <w:r>
        <w:rPr>
          <w:spacing w:val="-21"/>
        </w:rPr>
        <w:t> </w:t>
      </w:r>
      <w:r>
        <w:rPr/>
        <w:t>(2003):</w:t>
      </w:r>
    </w:p>
    <w:p>
      <w:pPr>
        <w:pStyle w:val="BodyText"/>
        <w:spacing w:before="2"/>
      </w:pPr>
    </w:p>
    <w:p>
      <w:pPr>
        <w:spacing w:before="0"/>
        <w:ind w:left="1525" w:right="1295" w:firstLine="0"/>
        <w:jc w:val="both"/>
        <w:rPr>
          <w:sz w:val="22"/>
        </w:rPr>
      </w:pPr>
      <w:r>
        <w:rPr>
          <w:i/>
          <w:sz w:val="22"/>
        </w:rPr>
        <w:t>La enfermería es una profesión especialmente vocacional de </w:t>
      </w:r>
      <w:r>
        <w:rPr>
          <w:i/>
          <w:sz w:val="22"/>
        </w:rPr>
        <w:t>ayuda y cuidados, posee altos niveles de responsabilidad, relaciones interpersonales y exigencias sociales, lo que hacen ser a este colectivo más vulnerable al Estrés Laboral circunstancias propias del trabajo desarrollando muchas horas unidas al sufrimiento del paciente, ser el intermediario entre el paciente, médico y la familia, soportar críticas y exigencias de ambos lados, la devaluada imagen de la profesión, el poco reconocimiento social de esta profesión y las dificultades organizativas, son el marco adecuado para que pueda instaurarse el Estrés Laboral  con todas sus manifestaciones psicofísicas y/o síndrome de Burnout. </w:t>
      </w:r>
      <w:r>
        <w:rPr>
          <w:sz w:val="22"/>
        </w:rPr>
        <w:t>(Rosas,</w:t>
      </w:r>
      <w:r>
        <w:rPr>
          <w:spacing w:val="-2"/>
          <w:sz w:val="22"/>
        </w:rPr>
        <w:t> </w:t>
      </w:r>
      <w:r>
        <w:rPr>
          <w:sz w:val="22"/>
        </w:rPr>
        <w:t>2003)</w:t>
      </w:r>
    </w:p>
    <w:p>
      <w:pPr>
        <w:pStyle w:val="BodyText"/>
        <w:rPr>
          <w:sz w:val="22"/>
        </w:rPr>
      </w:pPr>
    </w:p>
    <w:p>
      <w:pPr>
        <w:pStyle w:val="BodyText"/>
        <w:spacing w:before="11"/>
        <w:rPr>
          <w:sz w:val="25"/>
        </w:rPr>
      </w:pPr>
    </w:p>
    <w:p>
      <w:pPr>
        <w:pStyle w:val="BodyText"/>
        <w:spacing w:line="360" w:lineRule="auto"/>
        <w:ind w:left="625" w:right="122"/>
        <w:jc w:val="both"/>
      </w:pPr>
      <w:r>
        <w:rPr/>
        <w:t>Igualmente el cuidador informal primario, también, puede presentar  un fenómeno similar, se denomina “carga” y puede derivar en el denominado síndrome de sobrecarga del cuidador.</w:t>
      </w:r>
    </w:p>
    <w:p>
      <w:pPr>
        <w:spacing w:after="0" w:line="360" w:lineRule="auto"/>
        <w:jc w:val="both"/>
        <w:sectPr>
          <w:footerReference w:type="default" r:id="rId38"/>
          <w:pgSz w:w="12250" w:h="15850"/>
          <w:pgMar w:footer="1122" w:header="748" w:top="1260" w:bottom="1320" w:left="1720" w:right="1220"/>
        </w:sectPr>
      </w:pPr>
    </w:p>
    <w:p>
      <w:pPr>
        <w:pStyle w:val="BodyText"/>
        <w:rPr>
          <w:sz w:val="20"/>
        </w:rPr>
      </w:pPr>
    </w:p>
    <w:p>
      <w:pPr>
        <w:pStyle w:val="BodyText"/>
        <w:rPr>
          <w:sz w:val="20"/>
        </w:rPr>
      </w:pPr>
    </w:p>
    <w:p>
      <w:pPr>
        <w:pStyle w:val="BodyText"/>
        <w:spacing w:before="5"/>
        <w:rPr>
          <w:sz w:val="21"/>
        </w:rPr>
      </w:pPr>
    </w:p>
    <w:p>
      <w:pPr>
        <w:pStyle w:val="Heading2"/>
        <w:ind w:left="806" w:right="788"/>
        <w:jc w:val="center"/>
      </w:pPr>
      <w:bookmarkStart w:name="_TOC_250001" w:id="8"/>
      <w:bookmarkEnd w:id="8"/>
      <w:r>
        <w:rPr/>
        <w:t>Capítulo V</w:t>
      </w:r>
    </w:p>
    <w:p>
      <w:pPr>
        <w:pStyle w:val="BodyText"/>
        <w:rPr>
          <w:b/>
        </w:rPr>
      </w:pPr>
    </w:p>
    <w:p>
      <w:pPr>
        <w:pStyle w:val="BodyText"/>
        <w:rPr>
          <w:b/>
        </w:rPr>
      </w:pPr>
    </w:p>
    <w:p>
      <w:pPr>
        <w:pStyle w:val="Heading3"/>
        <w:ind w:left="2632" w:right="230"/>
        <w:jc w:val="left"/>
        <w:rPr>
          <w:i/>
        </w:rPr>
      </w:pPr>
      <w:bookmarkStart w:name="_TOC_250000" w:id="9"/>
      <w:bookmarkEnd w:id="9"/>
      <w:r>
        <w:rPr>
          <w:i/>
        </w:rPr>
        <w:t>Fenómeno de sobrecarga del cuidador</w:t>
      </w:r>
    </w:p>
    <w:p>
      <w:pPr>
        <w:pStyle w:val="BodyText"/>
        <w:rPr>
          <w:b/>
          <w:i/>
        </w:rPr>
      </w:pPr>
    </w:p>
    <w:p>
      <w:pPr>
        <w:pStyle w:val="BodyText"/>
        <w:rPr>
          <w:b/>
          <w:i/>
        </w:rPr>
      </w:pPr>
    </w:p>
    <w:p>
      <w:pPr>
        <w:pStyle w:val="BodyText"/>
        <w:spacing w:line="360" w:lineRule="auto"/>
        <w:ind w:left="625" w:right="119"/>
        <w:jc w:val="both"/>
      </w:pPr>
      <w:r>
        <w:rPr/>
        <w:t>El malestar físico, psicológico y emocional experimentado por los cuidadores,  es un proceso, derivado del estrés crónico por desempeñar las actividades del cuidado de manera empirica, aunado al rol que desempeña dentro del núcleo familiar, quien generalmente asume este rol es una mujer, sobre la cual recae la responsabilidad del enfermo dependiente, este conjunto de adversidades se reflejan en una serie de sentimientos negativos tales como tristeza, depresión, irritabilidad, etc., además de extenderse al ámbito social, familiar y</w:t>
      </w:r>
      <w:r>
        <w:rPr>
          <w:spacing w:val="-23"/>
        </w:rPr>
        <w:t> </w:t>
      </w:r>
      <w:r>
        <w:rPr/>
        <w:t>económico.</w:t>
      </w:r>
    </w:p>
    <w:p>
      <w:pPr>
        <w:pStyle w:val="BodyText"/>
        <w:spacing w:before="2"/>
      </w:pPr>
    </w:p>
    <w:p>
      <w:pPr>
        <w:spacing w:before="0"/>
        <w:ind w:left="1525" w:right="1193" w:firstLine="0"/>
        <w:jc w:val="both"/>
        <w:rPr>
          <w:sz w:val="22"/>
        </w:rPr>
      </w:pPr>
      <w:r>
        <w:rPr>
          <w:i/>
          <w:sz w:val="22"/>
        </w:rPr>
        <w:t>La carga familiar se refiere a las consecuencias para el familiar que </w:t>
      </w:r>
      <w:r>
        <w:rPr>
          <w:i/>
          <w:sz w:val="22"/>
        </w:rPr>
        <w:t>tiene el estrecho contacto con pacientes gravemente perturbados, y se define como un concepto multidimensional que considera la tensión existente en los aspectos emocionales, físicos, sociales y económicos de la vida de las personas. </w:t>
      </w:r>
      <w:r>
        <w:rPr>
          <w:sz w:val="22"/>
        </w:rPr>
        <w:t>(Dejo, 2007; Leal, 2008, citados en Steel,</w:t>
      </w:r>
      <w:r>
        <w:rPr>
          <w:spacing w:val="-5"/>
          <w:sz w:val="22"/>
        </w:rPr>
        <w:t> </w:t>
      </w:r>
      <w:r>
        <w:rPr>
          <w:sz w:val="22"/>
        </w:rPr>
        <w:t>2010)</w:t>
      </w:r>
    </w:p>
    <w:p>
      <w:pPr>
        <w:pStyle w:val="BodyText"/>
        <w:rPr>
          <w:sz w:val="22"/>
        </w:rPr>
      </w:pPr>
    </w:p>
    <w:p>
      <w:pPr>
        <w:pStyle w:val="BodyText"/>
        <w:spacing w:before="2"/>
        <w:rPr>
          <w:sz w:val="22"/>
        </w:rPr>
      </w:pPr>
    </w:p>
    <w:p>
      <w:pPr>
        <w:pStyle w:val="BodyText"/>
        <w:spacing w:line="360" w:lineRule="auto"/>
        <w:ind w:left="625" w:right="121"/>
        <w:jc w:val="both"/>
      </w:pPr>
      <w:r>
        <w:rPr/>
        <w:t>El concepto de carga fue originalmente descrito por Freudenberguer “indica agotamiento mental y ansiedad frente al cuidado. También está relacionado con dificultades en la salud física, debido a una acumulación de estresares frente a los cuales el cuidador está desprovisto de estrategias adecuadas de afrontamiento”. (Freudenberguer, 1974, citado en Zambrano y Ceballo, 2007)</w:t>
      </w:r>
    </w:p>
    <w:p>
      <w:pPr>
        <w:pStyle w:val="BodyText"/>
      </w:pPr>
    </w:p>
    <w:p>
      <w:pPr>
        <w:pStyle w:val="BodyText"/>
        <w:spacing w:line="360" w:lineRule="auto" w:before="142"/>
        <w:ind w:left="625" w:right="114"/>
        <w:jc w:val="both"/>
      </w:pPr>
      <w:r>
        <w:rPr/>
        <w:t>Por lo tanto. se ve modulada en función del género del cuidador. Diferentes estudios muestran que las mujeres cuidadoras presentan casi el doble de sobrecarga, que los hombres cuidadores. (Chappell y Reid, 2002; Navaies- Waliser, Spriggs y Feldman, 2002, citados en Carretero et al, 2004)</w:t>
      </w:r>
    </w:p>
    <w:p>
      <w:pPr>
        <w:pStyle w:val="BodyText"/>
        <w:spacing w:before="4"/>
      </w:pPr>
    </w:p>
    <w:p>
      <w:pPr>
        <w:spacing w:before="0"/>
        <w:ind w:left="1525" w:right="1193" w:firstLine="0"/>
        <w:jc w:val="both"/>
        <w:rPr>
          <w:i/>
          <w:sz w:val="22"/>
        </w:rPr>
      </w:pPr>
      <w:r>
        <w:rPr>
          <w:i/>
          <w:sz w:val="22"/>
        </w:rPr>
        <w:t>“El hecho que el cuidado informal sea un trabajo físico, emocional </w:t>
      </w:r>
      <w:r>
        <w:rPr>
          <w:i/>
          <w:sz w:val="22"/>
        </w:rPr>
        <w:t>en un escenario de inequidad de género, en el cual se ejercen múltiples roles simultáneos de madre, esposa, trabajadora y el desarrollo  de  roles  propios  del  cuidado,  traduce  el  impacto  de</w:t>
      </w:r>
    </w:p>
    <w:p>
      <w:pPr>
        <w:spacing w:after="0"/>
        <w:jc w:val="both"/>
        <w:rPr>
          <w:sz w:val="22"/>
        </w:rPr>
        <w:sectPr>
          <w:footerReference w:type="default" r:id="rId39"/>
          <w:pgSz w:w="12250" w:h="15850"/>
          <w:pgMar w:footer="1122" w:header="748" w:top="1260" w:bottom="1320" w:left="1720" w:right="1220"/>
          <w:pgNumType w:start="32"/>
        </w:sectPr>
      </w:pPr>
    </w:p>
    <w:p>
      <w:pPr>
        <w:pStyle w:val="BodyText"/>
        <w:rPr>
          <w:i/>
          <w:sz w:val="20"/>
        </w:rPr>
      </w:pPr>
    </w:p>
    <w:p>
      <w:pPr>
        <w:pStyle w:val="BodyText"/>
        <w:rPr>
          <w:i/>
          <w:sz w:val="20"/>
        </w:rPr>
      </w:pPr>
    </w:p>
    <w:p>
      <w:pPr>
        <w:pStyle w:val="BodyText"/>
        <w:spacing w:before="4"/>
        <w:rPr>
          <w:i/>
          <w:sz w:val="21"/>
        </w:rPr>
      </w:pPr>
    </w:p>
    <w:p>
      <w:pPr>
        <w:spacing w:before="0"/>
        <w:ind w:left="1525" w:right="1193" w:firstLine="0"/>
        <w:jc w:val="both"/>
        <w:rPr>
          <w:sz w:val="22"/>
        </w:rPr>
      </w:pPr>
      <w:r>
        <w:rPr>
          <w:i/>
          <w:sz w:val="22"/>
        </w:rPr>
        <w:t>cuidar en los diferentes aspectos de la salud y de calidad de vida, </w:t>
      </w:r>
      <w:r>
        <w:rPr>
          <w:i/>
          <w:sz w:val="22"/>
        </w:rPr>
        <w:t>se vuelve un factor de riesgo para su salud; adicional a ello tiene  un alto costo de oportunidades, ya que, entre otros, se puede perder o tener que renunciar a la actividad laboral. La vida de la cuidadora se acondiciona por su papel.” </w:t>
      </w:r>
      <w:r>
        <w:rPr>
          <w:sz w:val="22"/>
        </w:rPr>
        <w:t>(Vaquiro y Stiepovich, 2010)</w:t>
      </w:r>
    </w:p>
    <w:p>
      <w:pPr>
        <w:pStyle w:val="BodyText"/>
        <w:rPr>
          <w:sz w:val="22"/>
        </w:rPr>
      </w:pPr>
    </w:p>
    <w:p>
      <w:pPr>
        <w:pStyle w:val="BodyText"/>
        <w:spacing w:line="360" w:lineRule="auto" w:before="161"/>
        <w:ind w:left="625" w:right="111"/>
        <w:jc w:val="both"/>
      </w:pPr>
      <w:r>
        <w:rPr/>
        <w:t>Dicho fenómeno está articulado, por la dificultad y complejidad de adaptarse al desempeño de un nuevo rol, a los cambios en su modo de vida, en muchas ocasiones la suma de estos sucesos sobrepasan la propia capacidad física y mental del cuidador, conformando un evento estresante crónico, generador de la sobrecarga del cuidador. (Zarit,</w:t>
      </w:r>
      <w:r>
        <w:rPr>
          <w:spacing w:val="-16"/>
        </w:rPr>
        <w:t> </w:t>
      </w:r>
      <w:r>
        <w:rPr/>
        <w:t>1980)</w:t>
      </w:r>
    </w:p>
    <w:p>
      <w:pPr>
        <w:pStyle w:val="BodyText"/>
      </w:pPr>
    </w:p>
    <w:p>
      <w:pPr>
        <w:pStyle w:val="BodyText"/>
        <w:spacing w:line="360" w:lineRule="auto" w:before="142"/>
        <w:ind w:left="625" w:right="113"/>
        <w:jc w:val="both"/>
      </w:pPr>
      <w:r>
        <w:rPr/>
        <w:t>A la revisión en la literatura, sobre el concepto de sobrecarga es inminente la complejidad del fenómeno, “pues lo que se denomina sobrecarga es el reconocimiento de que el estrés del cuidado, es un proceso multidimensional, con muchas consecuencias potenciales” (Zarit, 1980)  dichas  consecuencias han sido documentadas en diferentes estudios:</w:t>
      </w:r>
    </w:p>
    <w:p>
      <w:pPr>
        <w:pStyle w:val="BodyText"/>
        <w:spacing w:before="2"/>
      </w:pPr>
    </w:p>
    <w:p>
      <w:pPr>
        <w:spacing w:before="0"/>
        <w:ind w:left="1506" w:right="1108" w:firstLine="0"/>
        <w:jc w:val="both"/>
        <w:rPr>
          <w:sz w:val="22"/>
        </w:rPr>
      </w:pPr>
      <w:r>
        <w:rPr>
          <w:i/>
          <w:sz w:val="22"/>
        </w:rPr>
        <w:t>“De hecho, se ha llegado a afirmar que las secuelas físicas y </w:t>
      </w:r>
      <w:r>
        <w:rPr>
          <w:i/>
          <w:sz w:val="22"/>
        </w:rPr>
        <w:t>mentales generadas por la provisión de asistencia a una persona dependiente pueden provocar que el propio cuidador demande cuidados de larga duración.” </w:t>
      </w:r>
      <w:r>
        <w:rPr>
          <w:sz w:val="22"/>
        </w:rPr>
        <w:t>(Family Caregiver Alliance, 2003; citados en Carretero et al, 2004)</w:t>
      </w:r>
    </w:p>
    <w:p>
      <w:pPr>
        <w:pStyle w:val="BodyText"/>
        <w:rPr>
          <w:sz w:val="22"/>
        </w:rPr>
      </w:pPr>
    </w:p>
    <w:p>
      <w:pPr>
        <w:pStyle w:val="BodyText"/>
        <w:spacing w:line="360" w:lineRule="auto" w:before="161"/>
        <w:ind w:left="625" w:right="118"/>
        <w:jc w:val="both"/>
      </w:pPr>
      <w:r>
        <w:rPr/>
        <w:t>En torno a las diferentes investigaciones en relevancia al cuidador, Pérez. (2006), Zarit (1980), Crespo y López (2006), García (2004) entre otros, han documentado diferentes consecuencias negativas ligadas al proceso de llevar a cabo el cuidado. (Cuadro No. 2)</w:t>
      </w:r>
    </w:p>
    <w:p>
      <w:pPr>
        <w:pStyle w:val="BodyText"/>
      </w:pPr>
    </w:p>
    <w:p>
      <w:pPr>
        <w:spacing w:before="141"/>
        <w:ind w:left="1506" w:right="1109" w:firstLine="0"/>
        <w:jc w:val="both"/>
        <w:rPr>
          <w:sz w:val="22"/>
        </w:rPr>
      </w:pPr>
      <w:r>
        <w:rPr>
          <w:i/>
          <w:sz w:val="22"/>
        </w:rPr>
        <w:t>No obstante, los estudios que prueban los beneficios del cuidado </w:t>
      </w:r>
      <w:r>
        <w:rPr>
          <w:i/>
          <w:sz w:val="22"/>
        </w:rPr>
        <w:t>sobre el cuidador son escasos si los comparamos con la cantidad ingente de publicaciones sobre la carga del cuidador. Algunos autores han señalado que las dos consecuencias positivas del cuidado más importantes que puede experimentar un cuidador en  su provisión de la asistencia son la satisfacción y la pericia”.  </w:t>
      </w:r>
      <w:r>
        <w:rPr>
          <w:sz w:val="22"/>
        </w:rPr>
        <w:t>(Lawton et al., 1989; citados en Carretero et al,</w:t>
      </w:r>
      <w:r>
        <w:rPr>
          <w:spacing w:val="-14"/>
          <w:sz w:val="22"/>
        </w:rPr>
        <w:t> </w:t>
      </w:r>
      <w:r>
        <w:rPr>
          <w:sz w:val="22"/>
        </w:rPr>
        <w:t>2004)</w:t>
      </w:r>
    </w:p>
    <w:p>
      <w:pPr>
        <w:spacing w:after="0"/>
        <w:jc w:val="both"/>
        <w:rPr>
          <w:sz w:val="22"/>
        </w:rPr>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40"/>
        <w:jc w:val="both"/>
      </w:pPr>
      <w:r>
        <w:rPr/>
        <w:t>La satisfacción se puede entender, como la sensación subjetiva de bienestar sobre el poder ayudar al otro, disfrutando el tiempo dedicado, en cuanto a la maestría se refiere a la adquisición de habilidades para realizar las tareas de cuidado, desarrollando criterio y pericia para resolver las diversas situaciones inherentes al rol de cuidador.</w:t>
      </w:r>
    </w:p>
    <w:p>
      <w:pPr>
        <w:pStyle w:val="BodyText"/>
        <w:spacing w:before="11"/>
        <w:rPr>
          <w:sz w:val="19"/>
        </w:rPr>
      </w:pPr>
    </w:p>
    <w:p>
      <w:pPr>
        <w:spacing w:before="0"/>
        <w:ind w:left="625" w:right="0" w:firstLine="0"/>
        <w:jc w:val="both"/>
        <w:rPr>
          <w:sz w:val="20"/>
        </w:rPr>
      </w:pPr>
      <w:r>
        <w:rPr>
          <w:b/>
          <w:sz w:val="20"/>
        </w:rPr>
        <w:t>Cuadro No. 2. </w:t>
      </w:r>
      <w:r>
        <w:rPr>
          <w:sz w:val="20"/>
        </w:rPr>
        <w:t>Repercusiones físicas, sociales y psicológicas, referidas en la bibliografía.</w:t>
      </w:r>
    </w:p>
    <w:p>
      <w:pPr>
        <w:pStyle w:val="BodyText"/>
        <w:spacing w:before="7"/>
        <w:rPr>
          <w:sz w:val="10"/>
        </w:rPr>
      </w:pPr>
    </w:p>
    <w:tbl>
      <w:tblPr>
        <w:tblW w:w="0" w:type="auto"/>
        <w:jc w:val="left"/>
        <w:tblInd w:w="63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749"/>
        <w:gridCol w:w="2952"/>
        <w:gridCol w:w="2825"/>
      </w:tblGrid>
      <w:tr>
        <w:trPr>
          <w:trHeight w:val="575" w:hRule="exact"/>
        </w:trPr>
        <w:tc>
          <w:tcPr>
            <w:tcW w:w="2749" w:type="dxa"/>
            <w:tcBorders>
              <w:bottom w:val="single" w:sz="4" w:space="0" w:color="000000"/>
              <w:right w:val="single" w:sz="4" w:space="0" w:color="000000"/>
            </w:tcBorders>
            <w:shd w:val="clear" w:color="auto" w:fill="C0C0C0"/>
          </w:tcPr>
          <w:p>
            <w:pPr>
              <w:pStyle w:val="TableParagraph"/>
              <w:spacing w:before="145"/>
              <w:ind w:left="453" w:right="196"/>
              <w:jc w:val="left"/>
              <w:rPr>
                <w:b/>
                <w:sz w:val="22"/>
              </w:rPr>
            </w:pPr>
            <w:r>
              <w:rPr>
                <w:b/>
                <w:sz w:val="22"/>
              </w:rPr>
              <w:t>Aspectos Físicos</w:t>
            </w:r>
          </w:p>
        </w:tc>
        <w:tc>
          <w:tcPr>
            <w:tcW w:w="2952" w:type="dxa"/>
            <w:tcBorders>
              <w:left w:val="single" w:sz="4" w:space="0" w:color="000000"/>
              <w:bottom w:val="single" w:sz="4" w:space="0" w:color="000000"/>
              <w:right w:val="single" w:sz="4" w:space="0" w:color="000000"/>
            </w:tcBorders>
            <w:shd w:val="clear" w:color="auto" w:fill="C0C0C0"/>
          </w:tcPr>
          <w:p>
            <w:pPr>
              <w:pStyle w:val="TableParagraph"/>
              <w:spacing w:before="145"/>
              <w:ind w:left="94" w:right="92"/>
              <w:rPr>
                <w:b/>
                <w:sz w:val="22"/>
              </w:rPr>
            </w:pPr>
            <w:r>
              <w:rPr>
                <w:b/>
                <w:sz w:val="22"/>
              </w:rPr>
              <w:t>Aspectos Sociales</w:t>
            </w:r>
          </w:p>
        </w:tc>
        <w:tc>
          <w:tcPr>
            <w:tcW w:w="2825" w:type="dxa"/>
            <w:tcBorders>
              <w:left w:val="single" w:sz="4" w:space="0" w:color="000000"/>
              <w:bottom w:val="single" w:sz="4" w:space="0" w:color="000000"/>
            </w:tcBorders>
            <w:shd w:val="clear" w:color="auto" w:fill="C0C0C0"/>
          </w:tcPr>
          <w:p>
            <w:pPr>
              <w:pStyle w:val="TableParagraph"/>
              <w:spacing w:before="145"/>
              <w:ind w:left="183" w:right="174"/>
              <w:rPr>
                <w:b/>
                <w:sz w:val="22"/>
              </w:rPr>
            </w:pPr>
            <w:r>
              <w:rPr>
                <w:b/>
                <w:sz w:val="22"/>
              </w:rPr>
              <w:t>Aspectos Psicológicos</w:t>
            </w:r>
          </w:p>
        </w:tc>
      </w:tr>
      <w:tr>
        <w:trPr>
          <w:trHeight w:val="312" w:hRule="exact"/>
        </w:trPr>
        <w:tc>
          <w:tcPr>
            <w:tcW w:w="2749" w:type="dxa"/>
            <w:tcBorders>
              <w:top w:val="single" w:sz="4" w:space="0" w:color="000000"/>
              <w:bottom w:val="single" w:sz="4" w:space="0" w:color="000000"/>
              <w:right w:val="single" w:sz="4" w:space="0" w:color="000000"/>
            </w:tcBorders>
          </w:tcPr>
          <w:p>
            <w:pPr>
              <w:pStyle w:val="TableParagraph"/>
              <w:spacing w:before="21"/>
              <w:ind w:left="794" w:right="196"/>
              <w:jc w:val="left"/>
              <w:rPr>
                <w:sz w:val="22"/>
              </w:rPr>
            </w:pPr>
            <w:r>
              <w:rPr>
                <w:sz w:val="22"/>
              </w:rPr>
              <w:t>Lumbalgias</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21"/>
              <w:ind w:left="94" w:right="94"/>
              <w:rPr>
                <w:sz w:val="22"/>
              </w:rPr>
            </w:pPr>
            <w:r>
              <w:rPr>
                <w:sz w:val="22"/>
              </w:rPr>
              <w:t>Aislamiento social</w:t>
            </w:r>
          </w:p>
        </w:tc>
        <w:tc>
          <w:tcPr>
            <w:tcW w:w="2825" w:type="dxa"/>
            <w:tcBorders>
              <w:top w:val="single" w:sz="4" w:space="0" w:color="000000"/>
              <w:left w:val="single" w:sz="4" w:space="0" w:color="000000"/>
              <w:bottom w:val="single" w:sz="4" w:space="0" w:color="000000"/>
            </w:tcBorders>
          </w:tcPr>
          <w:p>
            <w:pPr>
              <w:pStyle w:val="TableParagraph"/>
              <w:spacing w:before="21"/>
              <w:ind w:left="183" w:right="172"/>
              <w:rPr>
                <w:sz w:val="22"/>
              </w:rPr>
            </w:pPr>
            <w:r>
              <w:rPr>
                <w:sz w:val="22"/>
              </w:rPr>
              <w:t>Temor</w:t>
            </w:r>
          </w:p>
        </w:tc>
      </w:tr>
      <w:tr>
        <w:trPr>
          <w:trHeight w:val="312" w:hRule="exact"/>
        </w:trPr>
        <w:tc>
          <w:tcPr>
            <w:tcW w:w="2749" w:type="dxa"/>
            <w:tcBorders>
              <w:top w:val="single" w:sz="4" w:space="0" w:color="000000"/>
              <w:bottom w:val="single" w:sz="4" w:space="0" w:color="000000"/>
              <w:right w:val="single" w:sz="4" w:space="0" w:color="000000"/>
            </w:tcBorders>
          </w:tcPr>
          <w:p>
            <w:pPr>
              <w:pStyle w:val="TableParagraph"/>
              <w:spacing w:before="21"/>
              <w:ind w:left="739" w:right="196"/>
              <w:jc w:val="left"/>
              <w:rPr>
                <w:sz w:val="22"/>
              </w:rPr>
            </w:pPr>
            <w:r>
              <w:rPr>
                <w:sz w:val="22"/>
              </w:rPr>
              <w:t>Hipertensión</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21"/>
              <w:ind w:left="94" w:right="94"/>
              <w:rPr>
                <w:sz w:val="22"/>
              </w:rPr>
            </w:pPr>
            <w:r>
              <w:rPr>
                <w:sz w:val="22"/>
              </w:rPr>
              <w:t>Despersonalización</w:t>
            </w:r>
          </w:p>
        </w:tc>
        <w:tc>
          <w:tcPr>
            <w:tcW w:w="2825" w:type="dxa"/>
            <w:tcBorders>
              <w:top w:val="single" w:sz="4" w:space="0" w:color="000000"/>
              <w:left w:val="single" w:sz="4" w:space="0" w:color="000000"/>
              <w:bottom w:val="single" w:sz="4" w:space="0" w:color="000000"/>
            </w:tcBorders>
          </w:tcPr>
          <w:p>
            <w:pPr>
              <w:pStyle w:val="TableParagraph"/>
              <w:spacing w:before="21"/>
              <w:ind w:left="182" w:right="174"/>
              <w:rPr>
                <w:sz w:val="22"/>
              </w:rPr>
            </w:pPr>
            <w:r>
              <w:rPr>
                <w:sz w:val="22"/>
              </w:rPr>
              <w:t>Ansiedad</w:t>
            </w:r>
          </w:p>
        </w:tc>
      </w:tr>
      <w:tr>
        <w:trPr>
          <w:trHeight w:val="516" w:hRule="exact"/>
        </w:trPr>
        <w:tc>
          <w:tcPr>
            <w:tcW w:w="2749" w:type="dxa"/>
            <w:tcBorders>
              <w:top w:val="single" w:sz="4" w:space="0" w:color="000000"/>
              <w:bottom w:val="single" w:sz="4" w:space="0" w:color="000000"/>
              <w:right w:val="single" w:sz="4" w:space="0" w:color="000000"/>
            </w:tcBorders>
          </w:tcPr>
          <w:p>
            <w:pPr>
              <w:pStyle w:val="TableParagraph"/>
              <w:spacing w:line="252" w:lineRule="exact" w:before="2"/>
              <w:ind w:left="580" w:right="576" w:firstLine="249"/>
              <w:jc w:val="left"/>
              <w:rPr>
                <w:sz w:val="22"/>
              </w:rPr>
            </w:pPr>
            <w:r>
              <w:rPr>
                <w:sz w:val="22"/>
              </w:rPr>
              <w:t>Problemas osteoarticulares</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125"/>
              <w:ind w:left="94" w:right="94"/>
              <w:rPr>
                <w:sz w:val="22"/>
              </w:rPr>
            </w:pPr>
            <w:r>
              <w:rPr>
                <w:sz w:val="22"/>
              </w:rPr>
              <w:t>Restricción de la vida social</w:t>
            </w:r>
          </w:p>
        </w:tc>
        <w:tc>
          <w:tcPr>
            <w:tcW w:w="2825" w:type="dxa"/>
            <w:tcBorders>
              <w:top w:val="single" w:sz="4" w:space="0" w:color="000000"/>
              <w:left w:val="single" w:sz="4" w:space="0" w:color="000000"/>
              <w:bottom w:val="single" w:sz="4" w:space="0" w:color="000000"/>
            </w:tcBorders>
          </w:tcPr>
          <w:p>
            <w:pPr>
              <w:pStyle w:val="TableParagraph"/>
              <w:spacing w:before="125"/>
              <w:ind w:left="183" w:right="173"/>
              <w:rPr>
                <w:sz w:val="22"/>
              </w:rPr>
            </w:pPr>
            <w:r>
              <w:rPr>
                <w:sz w:val="22"/>
              </w:rPr>
              <w:t>Desesperanza</w:t>
            </w:r>
          </w:p>
        </w:tc>
      </w:tr>
      <w:tr>
        <w:trPr>
          <w:trHeight w:val="614" w:hRule="exact"/>
        </w:trPr>
        <w:tc>
          <w:tcPr>
            <w:tcW w:w="2749" w:type="dxa"/>
            <w:tcBorders>
              <w:top w:val="single" w:sz="4" w:space="0" w:color="000000"/>
              <w:bottom w:val="single" w:sz="4" w:space="0" w:color="000000"/>
              <w:right w:val="single" w:sz="4" w:space="0" w:color="000000"/>
            </w:tcBorders>
          </w:tcPr>
          <w:p>
            <w:pPr>
              <w:pStyle w:val="TableParagraph"/>
              <w:spacing w:before="173"/>
              <w:ind w:right="389"/>
              <w:jc w:val="right"/>
              <w:rPr>
                <w:sz w:val="22"/>
              </w:rPr>
            </w:pPr>
            <w:r>
              <w:rPr>
                <w:sz w:val="22"/>
              </w:rPr>
              <w:t>Trastorno del sueño</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45"/>
              <w:ind w:left="816" w:right="180" w:hanging="617"/>
              <w:jc w:val="left"/>
              <w:rPr>
                <w:sz w:val="22"/>
              </w:rPr>
            </w:pPr>
            <w:r>
              <w:rPr>
                <w:sz w:val="22"/>
              </w:rPr>
              <w:t>Cambios en la relación de pareja e hijos</w:t>
            </w:r>
          </w:p>
        </w:tc>
        <w:tc>
          <w:tcPr>
            <w:tcW w:w="2825" w:type="dxa"/>
            <w:tcBorders>
              <w:top w:val="single" w:sz="4" w:space="0" w:color="000000"/>
              <w:left w:val="single" w:sz="4" w:space="0" w:color="000000"/>
              <w:bottom w:val="single" w:sz="4" w:space="0" w:color="000000"/>
            </w:tcBorders>
          </w:tcPr>
          <w:p>
            <w:pPr>
              <w:pStyle w:val="TableParagraph"/>
              <w:spacing w:before="45"/>
              <w:ind w:left="1126" w:right="348" w:hanging="755"/>
              <w:jc w:val="left"/>
              <w:rPr>
                <w:sz w:val="22"/>
              </w:rPr>
            </w:pPr>
            <w:r>
              <w:rPr>
                <w:sz w:val="22"/>
              </w:rPr>
              <w:t>Incertidumbre ante el futuro</w:t>
            </w:r>
          </w:p>
        </w:tc>
      </w:tr>
      <w:tr>
        <w:trPr>
          <w:trHeight w:val="312" w:hRule="exact"/>
        </w:trPr>
        <w:tc>
          <w:tcPr>
            <w:tcW w:w="2749" w:type="dxa"/>
            <w:tcBorders>
              <w:top w:val="single" w:sz="4" w:space="0" w:color="000000"/>
              <w:bottom w:val="single" w:sz="4" w:space="0" w:color="000000"/>
              <w:right w:val="single" w:sz="4" w:space="0" w:color="000000"/>
            </w:tcBorders>
          </w:tcPr>
          <w:p>
            <w:pPr>
              <w:pStyle w:val="TableParagraph"/>
              <w:spacing w:before="21"/>
              <w:ind w:left="962" w:right="969"/>
              <w:rPr>
                <w:sz w:val="22"/>
              </w:rPr>
            </w:pPr>
            <w:r>
              <w:rPr>
                <w:sz w:val="22"/>
              </w:rPr>
              <w:t>Cefalea</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21"/>
              <w:ind w:left="94" w:right="93"/>
              <w:rPr>
                <w:sz w:val="22"/>
              </w:rPr>
            </w:pPr>
            <w:r>
              <w:rPr>
                <w:sz w:val="22"/>
              </w:rPr>
              <w:t>Dificultades económicas</w:t>
            </w:r>
          </w:p>
        </w:tc>
        <w:tc>
          <w:tcPr>
            <w:tcW w:w="2825" w:type="dxa"/>
            <w:tcBorders>
              <w:top w:val="single" w:sz="4" w:space="0" w:color="000000"/>
              <w:left w:val="single" w:sz="4" w:space="0" w:color="000000"/>
              <w:bottom w:val="single" w:sz="4" w:space="0" w:color="000000"/>
            </w:tcBorders>
          </w:tcPr>
          <w:p>
            <w:pPr>
              <w:pStyle w:val="TableParagraph"/>
              <w:spacing w:before="21"/>
              <w:ind w:left="179" w:right="174"/>
              <w:rPr>
                <w:sz w:val="22"/>
              </w:rPr>
            </w:pPr>
            <w:r>
              <w:rPr>
                <w:sz w:val="22"/>
              </w:rPr>
              <w:t>Miedo</w:t>
            </w:r>
          </w:p>
        </w:tc>
      </w:tr>
      <w:tr>
        <w:trPr>
          <w:trHeight w:val="312" w:hRule="exact"/>
        </w:trPr>
        <w:tc>
          <w:tcPr>
            <w:tcW w:w="2749" w:type="dxa"/>
            <w:tcBorders>
              <w:top w:val="single" w:sz="4" w:space="0" w:color="000000"/>
              <w:bottom w:val="single" w:sz="4" w:space="0" w:color="000000"/>
              <w:right w:val="single" w:sz="4" w:space="0" w:color="000000"/>
            </w:tcBorders>
          </w:tcPr>
          <w:p>
            <w:pPr>
              <w:pStyle w:val="TableParagraph"/>
              <w:spacing w:before="21"/>
              <w:ind w:left="837" w:right="196"/>
              <w:jc w:val="left"/>
              <w:rPr>
                <w:sz w:val="22"/>
              </w:rPr>
            </w:pPr>
            <w:r>
              <w:rPr>
                <w:sz w:val="22"/>
              </w:rPr>
              <w:t>Cansancio</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21"/>
              <w:ind w:left="94" w:right="94"/>
              <w:rPr>
                <w:sz w:val="22"/>
              </w:rPr>
            </w:pPr>
            <w:r>
              <w:rPr>
                <w:sz w:val="22"/>
              </w:rPr>
              <w:t>Perdida fuente de empleo</w:t>
            </w:r>
          </w:p>
        </w:tc>
        <w:tc>
          <w:tcPr>
            <w:tcW w:w="2825" w:type="dxa"/>
            <w:tcBorders>
              <w:top w:val="single" w:sz="4" w:space="0" w:color="000000"/>
              <w:left w:val="single" w:sz="4" w:space="0" w:color="000000"/>
              <w:bottom w:val="single" w:sz="4" w:space="0" w:color="000000"/>
            </w:tcBorders>
          </w:tcPr>
          <w:p>
            <w:pPr>
              <w:pStyle w:val="TableParagraph"/>
              <w:spacing w:before="21"/>
              <w:ind w:left="183" w:right="169"/>
              <w:rPr>
                <w:sz w:val="22"/>
              </w:rPr>
            </w:pPr>
            <w:r>
              <w:rPr>
                <w:sz w:val="22"/>
              </w:rPr>
              <w:t>Ira</w:t>
            </w:r>
          </w:p>
        </w:tc>
      </w:tr>
      <w:tr>
        <w:trPr>
          <w:trHeight w:val="612" w:hRule="exact"/>
        </w:trPr>
        <w:tc>
          <w:tcPr>
            <w:tcW w:w="2749" w:type="dxa"/>
            <w:tcBorders>
              <w:top w:val="single" w:sz="4" w:space="0" w:color="000000"/>
              <w:bottom w:val="single" w:sz="4" w:space="0" w:color="000000"/>
              <w:right w:val="single" w:sz="4" w:space="0" w:color="000000"/>
            </w:tcBorders>
          </w:tcPr>
          <w:p>
            <w:pPr>
              <w:pStyle w:val="TableParagraph"/>
              <w:spacing w:before="173"/>
              <w:ind w:right="371"/>
              <w:jc w:val="right"/>
              <w:rPr>
                <w:sz w:val="22"/>
              </w:rPr>
            </w:pPr>
            <w:r>
              <w:rPr>
                <w:sz w:val="22"/>
              </w:rPr>
              <w:t>Trastornos gástricos</w:t>
            </w:r>
          </w:p>
        </w:tc>
        <w:tc>
          <w:tcPr>
            <w:tcW w:w="2952" w:type="dxa"/>
            <w:tcBorders>
              <w:top w:val="single" w:sz="4" w:space="0" w:color="000000"/>
              <w:left w:val="single" w:sz="4" w:space="0" w:color="000000"/>
              <w:bottom w:val="single" w:sz="4" w:space="0" w:color="000000"/>
              <w:right w:val="single" w:sz="4" w:space="0" w:color="000000"/>
            </w:tcBorders>
          </w:tcPr>
          <w:p>
            <w:pPr>
              <w:pStyle w:val="TableParagraph"/>
              <w:spacing w:before="45"/>
              <w:ind w:left="883" w:right="359" w:hanging="509"/>
              <w:jc w:val="left"/>
              <w:rPr>
                <w:sz w:val="22"/>
              </w:rPr>
            </w:pPr>
            <w:r>
              <w:rPr>
                <w:sz w:val="22"/>
              </w:rPr>
              <w:t>Abandono de estudios académicos</w:t>
            </w:r>
          </w:p>
        </w:tc>
        <w:tc>
          <w:tcPr>
            <w:tcW w:w="2825" w:type="dxa"/>
            <w:tcBorders>
              <w:top w:val="single" w:sz="4" w:space="0" w:color="000000"/>
              <w:left w:val="single" w:sz="4" w:space="0" w:color="000000"/>
              <w:bottom w:val="single" w:sz="4" w:space="0" w:color="000000"/>
            </w:tcBorders>
          </w:tcPr>
          <w:p>
            <w:pPr>
              <w:pStyle w:val="TableParagraph"/>
              <w:spacing w:before="173"/>
              <w:ind w:left="183" w:right="173"/>
              <w:rPr>
                <w:sz w:val="22"/>
              </w:rPr>
            </w:pPr>
            <w:r>
              <w:rPr>
                <w:sz w:val="22"/>
              </w:rPr>
              <w:t>Duelo anticipado</w:t>
            </w:r>
          </w:p>
        </w:tc>
      </w:tr>
      <w:tr>
        <w:trPr>
          <w:trHeight w:val="626" w:hRule="exact"/>
        </w:trPr>
        <w:tc>
          <w:tcPr>
            <w:tcW w:w="2749" w:type="dxa"/>
            <w:tcBorders>
              <w:top w:val="single" w:sz="4" w:space="0" w:color="000000"/>
              <w:right w:val="single" w:sz="4" w:space="0" w:color="000000"/>
            </w:tcBorders>
          </w:tcPr>
          <w:p>
            <w:pPr>
              <w:pStyle w:val="TableParagraph"/>
              <w:spacing w:before="48"/>
              <w:ind w:left="398" w:right="196" w:hanging="197"/>
              <w:jc w:val="left"/>
              <w:rPr>
                <w:sz w:val="22"/>
              </w:rPr>
            </w:pPr>
            <w:r>
              <w:rPr>
                <w:sz w:val="22"/>
              </w:rPr>
              <w:t>Elevación de niveles de insulina y colesterol</w:t>
            </w:r>
          </w:p>
        </w:tc>
        <w:tc>
          <w:tcPr>
            <w:tcW w:w="2952" w:type="dxa"/>
            <w:tcBorders>
              <w:top w:val="single" w:sz="4" w:space="0" w:color="000000"/>
              <w:left w:val="single" w:sz="4" w:space="0" w:color="000000"/>
              <w:right w:val="single" w:sz="4" w:space="0" w:color="000000"/>
            </w:tcBorders>
          </w:tcPr>
          <w:p>
            <w:pPr>
              <w:pStyle w:val="TableParagraph"/>
              <w:spacing w:before="48"/>
              <w:ind w:left="302" w:right="133" w:hanging="154"/>
              <w:jc w:val="left"/>
              <w:rPr>
                <w:sz w:val="22"/>
              </w:rPr>
            </w:pPr>
            <w:r>
              <w:rPr>
                <w:sz w:val="22"/>
              </w:rPr>
              <w:t>Incomprensión y cítrica por parte del núcleo familiar</w:t>
            </w:r>
          </w:p>
        </w:tc>
        <w:tc>
          <w:tcPr>
            <w:tcW w:w="2825" w:type="dxa"/>
            <w:tcBorders>
              <w:top w:val="single" w:sz="4" w:space="0" w:color="000000"/>
              <w:left w:val="single" w:sz="4" w:space="0" w:color="000000"/>
            </w:tcBorders>
          </w:tcPr>
          <w:p>
            <w:pPr>
              <w:pStyle w:val="TableParagraph"/>
              <w:spacing w:before="175"/>
              <w:ind w:left="179" w:right="174"/>
              <w:rPr>
                <w:sz w:val="22"/>
              </w:rPr>
            </w:pPr>
            <w:r>
              <w:rPr>
                <w:sz w:val="22"/>
              </w:rPr>
              <w:t>Deterioro cognitivo</w:t>
            </w:r>
          </w:p>
        </w:tc>
      </w:tr>
    </w:tbl>
    <w:p>
      <w:pPr>
        <w:pStyle w:val="BodyText"/>
        <w:spacing w:before="7"/>
        <w:rPr>
          <w:sz w:val="14"/>
        </w:rPr>
      </w:pPr>
    </w:p>
    <w:p>
      <w:pPr>
        <w:pStyle w:val="BodyText"/>
        <w:spacing w:line="360" w:lineRule="auto" w:before="70"/>
        <w:ind w:left="625" w:right="138"/>
        <w:jc w:val="both"/>
      </w:pPr>
      <w:r>
        <w:rPr/>
        <w:t>La situación de cuidar se vive de manera subjetiva, en torno a un trasfondo particular, el cual se articula acorde a las diversas características sociales, demográficas y económicas, tanto del cuidador informal primario como su paciente adulto mayor, si bien, las repercusiones negativas del cuidado como los aspectos positivos, son muchas veces antagónicos, no necesariamente deben derivar en una situación</w:t>
      </w:r>
      <w:r>
        <w:rPr>
          <w:spacing w:val="-15"/>
        </w:rPr>
        <w:t> </w:t>
      </w:r>
      <w:r>
        <w:rPr/>
        <w:t>conflictiva.</w:t>
      </w:r>
    </w:p>
    <w:p>
      <w:pPr>
        <w:pStyle w:val="BodyText"/>
      </w:pPr>
    </w:p>
    <w:p>
      <w:pPr>
        <w:spacing w:before="141"/>
        <w:ind w:left="1506" w:right="1127" w:firstLine="0"/>
        <w:jc w:val="both"/>
        <w:rPr>
          <w:sz w:val="22"/>
        </w:rPr>
      </w:pPr>
      <w:r>
        <w:rPr>
          <w:i/>
          <w:sz w:val="22"/>
        </w:rPr>
        <w:t>Si el cuidador tiene los recursos adecuados y buenos mecanismos </w:t>
      </w:r>
      <w:r>
        <w:rPr>
          <w:i/>
          <w:sz w:val="22"/>
        </w:rPr>
        <w:t>de adaptación, la situación de cuidar al familiar no tiene por qué ser necesariamente una experiencia frustrante y hasta puede llegar a encontrarse ciertos aspectos gratificantes. </w:t>
      </w:r>
      <w:r>
        <w:rPr>
          <w:sz w:val="22"/>
        </w:rPr>
        <w:t>(Bazo, 1998 y Farran, 1997, citados en Crespo y López, 2006)</w:t>
      </w:r>
    </w:p>
    <w:p>
      <w:pPr>
        <w:spacing w:after="0"/>
        <w:jc w:val="both"/>
        <w:rPr>
          <w:sz w:val="22"/>
        </w:rPr>
        <w:sectPr>
          <w:pgSz w:w="12250" w:h="15850"/>
          <w:pgMar w:header="748" w:footer="1122" w:top="1260" w:bottom="1320" w:left="1720" w:right="120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4"/>
        <w:jc w:val="both"/>
      </w:pPr>
      <w:r>
        <w:rPr/>
        <w:t>Un instrumento útil para medir el nivel de sobrecarga, que experimenta el cuidador, es la escala de sobrecarga del cuidador, que registra de manera cuantitativa, el nivel de sobrecarga de los cuidadores de  personas dependientes. Ciertamente no es el único instrumento disponible para tales efectos; sin embargo, sí es el más utilizado en estudios relevantes al cuidador, dicho instrumento fue diseñado por Steven H. Zarit y sus colaboradores en los años 80, cuya versión original en idioma inglés, tiene un copyright desde 1983,  y se ha traducido a diversos idiomas incluyendo el español, consta de 22 ítems en formato de pregunta, estratificado en escala tipo Likert de 5 puntos (1=Nunca; 2=Casi nunca; 3=A veces; 4=Bastantes veces; 5=Casi siempre), obteniendo un rango mínimo de 22 puntos y un máximo de 110, para la clasificación de los niveles de sobrecarga los resultados se</w:t>
      </w:r>
      <w:r>
        <w:rPr>
          <w:spacing w:val="-24"/>
        </w:rPr>
        <w:t> </w:t>
      </w:r>
      <w:r>
        <w:rPr/>
        <w:t>interpretan:</w:t>
      </w:r>
    </w:p>
    <w:p>
      <w:pPr>
        <w:pStyle w:val="BodyText"/>
        <w:rPr>
          <w:sz w:val="20"/>
        </w:rPr>
      </w:pPr>
    </w:p>
    <w:p>
      <w:pPr>
        <w:pStyle w:val="BodyText"/>
        <w:spacing w:before="5" w:after="1"/>
        <w:rPr>
          <w:sz w:val="16"/>
        </w:rPr>
      </w:pPr>
    </w:p>
    <w:tbl>
      <w:tblPr>
        <w:tblW w:w="0" w:type="auto"/>
        <w:jc w:val="left"/>
        <w:tblInd w:w="60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345"/>
        <w:gridCol w:w="4249"/>
      </w:tblGrid>
      <w:tr>
        <w:trPr>
          <w:trHeight w:val="480" w:hRule="exact"/>
        </w:trPr>
        <w:tc>
          <w:tcPr>
            <w:tcW w:w="4345" w:type="dxa"/>
            <w:tcBorders>
              <w:bottom w:val="single" w:sz="4" w:space="0" w:color="000000"/>
              <w:right w:val="single" w:sz="4" w:space="0" w:color="000000"/>
            </w:tcBorders>
          </w:tcPr>
          <w:p>
            <w:pPr>
              <w:pStyle w:val="TableParagraph"/>
              <w:spacing w:before="103"/>
              <w:ind w:left="1162" w:right="1166"/>
              <w:rPr>
                <w:sz w:val="22"/>
              </w:rPr>
            </w:pPr>
            <w:r>
              <w:rPr>
                <w:sz w:val="22"/>
              </w:rPr>
              <w:t>Menor de 46 puntos</w:t>
            </w:r>
          </w:p>
        </w:tc>
        <w:tc>
          <w:tcPr>
            <w:tcW w:w="4249" w:type="dxa"/>
            <w:tcBorders>
              <w:left w:val="single" w:sz="4" w:space="0" w:color="000000"/>
              <w:bottom w:val="single" w:sz="4" w:space="0" w:color="000000"/>
            </w:tcBorders>
          </w:tcPr>
          <w:p>
            <w:pPr>
              <w:pStyle w:val="TableParagraph"/>
              <w:spacing w:before="103"/>
              <w:ind w:left="1144" w:right="1136"/>
              <w:rPr>
                <w:sz w:val="22"/>
              </w:rPr>
            </w:pPr>
            <w:r>
              <w:rPr>
                <w:sz w:val="22"/>
              </w:rPr>
              <w:t>No sobrecarga</w:t>
            </w:r>
          </w:p>
        </w:tc>
      </w:tr>
      <w:tr>
        <w:trPr>
          <w:trHeight w:val="471" w:hRule="exact"/>
        </w:trPr>
        <w:tc>
          <w:tcPr>
            <w:tcW w:w="4345" w:type="dxa"/>
            <w:tcBorders>
              <w:top w:val="single" w:sz="4" w:space="0" w:color="000000"/>
              <w:bottom w:val="single" w:sz="4" w:space="0" w:color="000000"/>
              <w:right w:val="single" w:sz="4" w:space="0" w:color="000000"/>
            </w:tcBorders>
          </w:tcPr>
          <w:p>
            <w:pPr>
              <w:pStyle w:val="TableParagraph"/>
              <w:spacing w:before="101"/>
              <w:ind w:left="1162" w:right="1166"/>
              <w:rPr>
                <w:sz w:val="22"/>
              </w:rPr>
            </w:pPr>
            <w:r>
              <w:rPr>
                <w:sz w:val="22"/>
              </w:rPr>
              <w:t>De 47 a 55 puntos</w:t>
            </w:r>
          </w:p>
        </w:tc>
        <w:tc>
          <w:tcPr>
            <w:tcW w:w="4249" w:type="dxa"/>
            <w:tcBorders>
              <w:top w:val="single" w:sz="4" w:space="0" w:color="000000"/>
              <w:left w:val="single" w:sz="4" w:space="0" w:color="000000"/>
              <w:bottom w:val="single" w:sz="4" w:space="0" w:color="000000"/>
            </w:tcBorders>
          </w:tcPr>
          <w:p>
            <w:pPr>
              <w:pStyle w:val="TableParagraph"/>
              <w:spacing w:before="101"/>
              <w:ind w:left="1142" w:right="1136"/>
              <w:rPr>
                <w:sz w:val="22"/>
              </w:rPr>
            </w:pPr>
            <w:r>
              <w:rPr>
                <w:sz w:val="22"/>
              </w:rPr>
              <w:t>Sobrecarga leve</w:t>
            </w:r>
          </w:p>
        </w:tc>
      </w:tr>
      <w:tr>
        <w:trPr>
          <w:trHeight w:val="497" w:hRule="exact"/>
        </w:trPr>
        <w:tc>
          <w:tcPr>
            <w:tcW w:w="4345" w:type="dxa"/>
            <w:tcBorders>
              <w:top w:val="single" w:sz="4" w:space="0" w:color="000000"/>
              <w:right w:val="single" w:sz="4" w:space="0" w:color="000000"/>
            </w:tcBorders>
          </w:tcPr>
          <w:p>
            <w:pPr>
              <w:pStyle w:val="TableParagraph"/>
              <w:spacing w:before="108"/>
              <w:ind w:left="1160" w:right="1166"/>
              <w:rPr>
                <w:sz w:val="22"/>
              </w:rPr>
            </w:pPr>
            <w:r>
              <w:rPr>
                <w:sz w:val="22"/>
              </w:rPr>
              <w:t>Mayor de 56 puntos</w:t>
            </w:r>
          </w:p>
        </w:tc>
        <w:tc>
          <w:tcPr>
            <w:tcW w:w="4249" w:type="dxa"/>
            <w:tcBorders>
              <w:top w:val="single" w:sz="4" w:space="0" w:color="000000"/>
              <w:left w:val="single" w:sz="4" w:space="0" w:color="000000"/>
            </w:tcBorders>
          </w:tcPr>
          <w:p>
            <w:pPr>
              <w:pStyle w:val="TableParagraph"/>
              <w:spacing w:before="108"/>
              <w:ind w:left="1144" w:right="1136"/>
              <w:rPr>
                <w:sz w:val="22"/>
              </w:rPr>
            </w:pPr>
            <w:r>
              <w:rPr>
                <w:sz w:val="22"/>
              </w:rPr>
              <w:t>Sobrecarga intensa</w:t>
            </w:r>
          </w:p>
        </w:tc>
      </w:tr>
    </w:tbl>
    <w:p>
      <w:pPr>
        <w:pStyle w:val="BodyText"/>
        <w:spacing w:before="8"/>
        <w:rPr>
          <w:sz w:val="29"/>
        </w:rPr>
      </w:pPr>
    </w:p>
    <w:p>
      <w:pPr>
        <w:pStyle w:val="BodyText"/>
        <w:spacing w:line="360" w:lineRule="auto" w:before="69"/>
        <w:ind w:left="625" w:right="180"/>
        <w:jc w:val="both"/>
      </w:pPr>
      <w:r>
        <w:rPr/>
        <w:t>En cuanto al estudio de la viabilidad de su aplicación en el contexto latinoamericano, Breinbauer et al, (2009) en Chile, ratificó la validez del la  escala en su versión original de 22 ítems traducida al español en el año de 1996 por Martín et al, puede aplicarse de manera objetiva, para medir el nivel de sobrecarga que experimentan los cuidadores y poder guiar los procesos de investigación en torno al cuidador. (Cuadro No.</w:t>
      </w:r>
      <w:r>
        <w:rPr>
          <w:spacing w:val="-13"/>
        </w:rPr>
        <w:t> </w:t>
      </w:r>
      <w:r>
        <w:rPr/>
        <w:t>3)</w:t>
      </w:r>
    </w:p>
    <w:p>
      <w:pPr>
        <w:pStyle w:val="BodyText"/>
      </w:pPr>
    </w:p>
    <w:p>
      <w:pPr>
        <w:pStyle w:val="BodyText"/>
        <w:spacing w:line="360" w:lineRule="auto" w:before="142"/>
        <w:ind w:left="625" w:right="171"/>
        <w:jc w:val="both"/>
      </w:pPr>
      <w:r>
        <w:rPr/>
        <w:t>En el contexto nacional Alpuche et al. (2008) realizó un análisis de confiabilidad a la escala de sobrecarga del cuidador de Zarit, en un estudio con 141 cuidadores, considerándolo como un instrumento confiable para evaluar la  carga del cuidador de pacientes con enfermedades crónico-degenerativas. (Cuadro</w:t>
      </w:r>
      <w:r>
        <w:rPr>
          <w:spacing w:val="-5"/>
        </w:rPr>
        <w:t> </w:t>
      </w:r>
      <w:r>
        <w:rPr/>
        <w:t>No.5)</w:t>
      </w:r>
    </w:p>
    <w:p>
      <w:pPr>
        <w:spacing w:after="0" w:line="360" w:lineRule="auto"/>
        <w:jc w:val="both"/>
        <w:sectPr>
          <w:pgSz w:w="12250" w:h="15850"/>
          <w:pgMar w:header="748" w:footer="1122" w:top="1260" w:bottom="1320" w:left="1720" w:right="1160"/>
        </w:sectPr>
      </w:pPr>
    </w:p>
    <w:p>
      <w:pPr>
        <w:pStyle w:val="BodyText"/>
        <w:rPr>
          <w:sz w:val="20"/>
        </w:rPr>
      </w:pPr>
    </w:p>
    <w:p>
      <w:pPr>
        <w:pStyle w:val="BodyText"/>
        <w:rPr>
          <w:sz w:val="20"/>
        </w:rPr>
      </w:pPr>
    </w:p>
    <w:p>
      <w:pPr>
        <w:pStyle w:val="BodyText"/>
        <w:spacing w:before="1"/>
        <w:rPr>
          <w:sz w:val="21"/>
        </w:rPr>
      </w:pPr>
    </w:p>
    <w:p>
      <w:pPr>
        <w:spacing w:before="0"/>
        <w:ind w:left="625" w:right="0" w:firstLine="0"/>
        <w:jc w:val="both"/>
        <w:rPr>
          <w:sz w:val="20"/>
        </w:rPr>
      </w:pPr>
      <w:r>
        <w:rPr/>
        <w:pict>
          <v:shape style="position:absolute;margin-left:121.029716pt;margin-top:71.683838pt;width:10.35pt;height:27.5pt;mso-position-horizontal-relative:page;mso-position-vertical-relative:paragraph;z-index:-174688" type="#_x0000_t202" filled="false" stroked="false">
            <v:textbox inset="0,0,0,0" style="layout-flow:vertical;mso-layout-flow-alt:bottom-to-top">
              <w:txbxContent>
                <w:p>
                  <w:pPr>
                    <w:spacing w:before="4"/>
                    <w:ind w:left="20" w:right="-341" w:firstLine="0"/>
                    <w:jc w:val="left"/>
                    <w:rPr>
                      <w:sz w:val="16"/>
                    </w:rPr>
                  </w:pPr>
                  <w:r>
                    <w:rPr>
                      <w:spacing w:val="-1"/>
                      <w:w w:val="97"/>
                      <w:sz w:val="16"/>
                    </w:rPr>
                    <w:t>V</w:t>
                  </w:r>
                  <w:r>
                    <w:rPr>
                      <w:w w:val="97"/>
                      <w:sz w:val="16"/>
                    </w:rPr>
                    <w:t>a</w:t>
                  </w:r>
                  <w:r>
                    <w:rPr>
                      <w:spacing w:val="-2"/>
                      <w:w w:val="97"/>
                      <w:sz w:val="16"/>
                    </w:rPr>
                    <w:t>l</w:t>
                  </w:r>
                  <w:r>
                    <w:rPr>
                      <w:spacing w:val="-1"/>
                      <w:w w:val="97"/>
                      <w:sz w:val="16"/>
                    </w:rPr>
                    <w:t>i</w:t>
                  </w:r>
                  <w:r>
                    <w:rPr>
                      <w:w w:val="97"/>
                      <w:sz w:val="16"/>
                    </w:rPr>
                    <w:t>d</w:t>
                  </w:r>
                  <w:r>
                    <w:rPr>
                      <w:spacing w:val="-1"/>
                      <w:w w:val="97"/>
                      <w:sz w:val="16"/>
                    </w:rPr>
                    <w:t>e</w:t>
                  </w:r>
                  <w:r>
                    <w:rPr>
                      <w:w w:val="97"/>
                      <w:sz w:val="16"/>
                    </w:rPr>
                    <w:t>z</w:t>
                  </w:r>
                </w:p>
              </w:txbxContent>
            </v:textbox>
            <w10:wrap type="none"/>
          </v:shape>
        </w:pict>
      </w:r>
      <w:r>
        <w:rPr>
          <w:b/>
          <w:sz w:val="20"/>
        </w:rPr>
        <w:t>Cuadro No.3 </w:t>
      </w:r>
      <w:r>
        <w:rPr>
          <w:sz w:val="20"/>
        </w:rPr>
        <w:t>Resultados de pruebas de validez y confiabilidad para ambos instrumentos</w:t>
      </w:r>
    </w:p>
    <w:p>
      <w:pPr>
        <w:pStyle w:val="BodyText"/>
        <w:spacing w:before="4" w:after="1"/>
        <w:rPr>
          <w:sz w:val="10"/>
        </w:rPr>
      </w:pPr>
    </w:p>
    <w:tbl>
      <w:tblPr>
        <w:tblW w:w="0" w:type="auto"/>
        <w:jc w:val="left"/>
        <w:tblInd w:w="6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06"/>
        <w:gridCol w:w="2636"/>
        <w:gridCol w:w="842"/>
        <w:gridCol w:w="1549"/>
        <w:gridCol w:w="1463"/>
      </w:tblGrid>
      <w:tr>
        <w:trPr>
          <w:trHeight w:val="799" w:hRule="exact"/>
        </w:trPr>
        <w:tc>
          <w:tcPr>
            <w:tcW w:w="2406" w:type="dxa"/>
            <w:tcBorders>
              <w:left w:val="single" w:sz="6" w:space="0" w:color="000000"/>
              <w:right w:val="nil"/>
            </w:tcBorders>
            <w:shd w:val="clear" w:color="auto" w:fill="C0C0C0"/>
          </w:tcPr>
          <w:p>
            <w:pPr>
              <w:pStyle w:val="TableParagraph"/>
              <w:jc w:val="left"/>
              <w:rPr>
                <w:sz w:val="16"/>
              </w:rPr>
            </w:pPr>
          </w:p>
          <w:p>
            <w:pPr>
              <w:pStyle w:val="TableParagraph"/>
              <w:spacing w:before="124"/>
              <w:ind w:left="369" w:right="76"/>
              <w:rPr>
                <w:b/>
                <w:sz w:val="15"/>
              </w:rPr>
            </w:pPr>
            <w:r>
              <w:rPr>
                <w:b/>
                <w:w w:val="110"/>
                <w:sz w:val="15"/>
              </w:rPr>
              <w:t>Aspecto evaluado</w:t>
            </w:r>
          </w:p>
        </w:tc>
        <w:tc>
          <w:tcPr>
            <w:tcW w:w="2636" w:type="dxa"/>
            <w:tcBorders>
              <w:left w:val="nil"/>
              <w:right w:val="nil"/>
            </w:tcBorders>
            <w:shd w:val="clear" w:color="auto" w:fill="C0C0C0"/>
          </w:tcPr>
          <w:p>
            <w:pPr>
              <w:pStyle w:val="TableParagraph"/>
              <w:jc w:val="left"/>
              <w:rPr>
                <w:sz w:val="16"/>
              </w:rPr>
            </w:pPr>
          </w:p>
          <w:p>
            <w:pPr>
              <w:pStyle w:val="TableParagraph"/>
              <w:spacing w:before="124"/>
              <w:ind w:left="347" w:right="568"/>
              <w:rPr>
                <w:b/>
                <w:sz w:val="15"/>
              </w:rPr>
            </w:pPr>
            <w:r>
              <w:rPr>
                <w:b/>
                <w:w w:val="110"/>
                <w:sz w:val="15"/>
              </w:rPr>
              <w:t>Prueba estadística</w:t>
            </w:r>
          </w:p>
        </w:tc>
        <w:tc>
          <w:tcPr>
            <w:tcW w:w="842" w:type="dxa"/>
            <w:tcBorders>
              <w:left w:val="nil"/>
              <w:right w:val="nil"/>
            </w:tcBorders>
            <w:shd w:val="clear" w:color="auto" w:fill="C0C0C0"/>
          </w:tcPr>
          <w:p>
            <w:pPr>
              <w:pStyle w:val="TableParagraph"/>
              <w:jc w:val="left"/>
              <w:rPr>
                <w:sz w:val="16"/>
              </w:rPr>
            </w:pPr>
          </w:p>
          <w:p>
            <w:pPr>
              <w:pStyle w:val="TableParagraph"/>
              <w:spacing w:before="124"/>
              <w:ind w:left="300" w:right="289"/>
              <w:rPr>
                <w:b/>
                <w:sz w:val="15"/>
              </w:rPr>
            </w:pPr>
            <w:r>
              <w:rPr>
                <w:b/>
                <w:w w:val="110"/>
                <w:sz w:val="15"/>
              </w:rPr>
              <w:t>(n)</w:t>
            </w:r>
          </w:p>
        </w:tc>
        <w:tc>
          <w:tcPr>
            <w:tcW w:w="1549" w:type="dxa"/>
            <w:tcBorders>
              <w:left w:val="nil"/>
              <w:right w:val="nil"/>
            </w:tcBorders>
            <w:shd w:val="clear" w:color="auto" w:fill="C0C0C0"/>
          </w:tcPr>
          <w:p>
            <w:pPr>
              <w:pStyle w:val="TableParagraph"/>
              <w:spacing w:before="1"/>
              <w:jc w:val="left"/>
              <w:rPr>
                <w:sz w:val="18"/>
              </w:rPr>
            </w:pPr>
          </w:p>
          <w:p>
            <w:pPr>
              <w:pStyle w:val="TableParagraph"/>
              <w:spacing w:line="283" w:lineRule="auto"/>
              <w:ind w:left="733" w:right="56" w:hanging="425"/>
              <w:jc w:val="left"/>
              <w:rPr>
                <w:b/>
                <w:sz w:val="15"/>
              </w:rPr>
            </w:pPr>
            <w:r>
              <w:rPr>
                <w:b/>
                <w:w w:val="110"/>
                <w:sz w:val="15"/>
              </w:rPr>
              <w:t>Escala de Zarit (EZ)</w:t>
            </w:r>
          </w:p>
        </w:tc>
        <w:tc>
          <w:tcPr>
            <w:tcW w:w="1463" w:type="dxa"/>
            <w:tcBorders>
              <w:left w:val="nil"/>
              <w:right w:val="single" w:sz="6" w:space="0" w:color="000000"/>
            </w:tcBorders>
            <w:shd w:val="clear" w:color="auto" w:fill="C0C0C0"/>
          </w:tcPr>
          <w:p>
            <w:pPr>
              <w:pStyle w:val="TableParagraph"/>
              <w:spacing w:before="1"/>
              <w:jc w:val="left"/>
              <w:rPr>
                <w:sz w:val="18"/>
              </w:rPr>
            </w:pPr>
          </w:p>
          <w:p>
            <w:pPr>
              <w:pStyle w:val="TableParagraph"/>
              <w:spacing w:line="283" w:lineRule="auto"/>
              <w:ind w:left="111" w:right="40" w:firstLine="56"/>
              <w:jc w:val="left"/>
              <w:rPr>
                <w:b/>
                <w:sz w:val="15"/>
              </w:rPr>
            </w:pPr>
            <w:r>
              <w:rPr>
                <w:b/>
                <w:w w:val="110"/>
                <w:sz w:val="15"/>
              </w:rPr>
              <w:t>Escala de Zarit Abreviada (EZA)</w:t>
            </w:r>
          </w:p>
        </w:tc>
      </w:tr>
      <w:tr>
        <w:trPr>
          <w:trHeight w:val="609" w:hRule="exact"/>
        </w:trPr>
        <w:tc>
          <w:tcPr>
            <w:tcW w:w="2406" w:type="dxa"/>
            <w:tcBorders>
              <w:left w:val="single" w:sz="6" w:space="0" w:color="000000"/>
              <w:bottom w:val="nil"/>
              <w:right w:val="nil"/>
            </w:tcBorders>
          </w:tcPr>
          <w:p>
            <w:pPr>
              <w:pStyle w:val="TableParagraph"/>
              <w:spacing w:before="2"/>
              <w:jc w:val="left"/>
              <w:rPr>
                <w:sz w:val="20"/>
              </w:rPr>
            </w:pPr>
          </w:p>
          <w:p>
            <w:pPr>
              <w:pStyle w:val="TableParagraph"/>
              <w:ind w:left="370" w:right="76"/>
              <w:rPr>
                <w:sz w:val="15"/>
              </w:rPr>
            </w:pPr>
            <w:r>
              <w:rPr>
                <w:w w:val="110"/>
                <w:sz w:val="15"/>
              </w:rPr>
              <w:t>Validez de constructo</w:t>
            </w:r>
          </w:p>
        </w:tc>
        <w:tc>
          <w:tcPr>
            <w:tcW w:w="2636" w:type="dxa"/>
            <w:tcBorders>
              <w:left w:val="nil"/>
              <w:bottom w:val="nil"/>
              <w:right w:val="nil"/>
            </w:tcBorders>
          </w:tcPr>
          <w:p>
            <w:pPr>
              <w:pStyle w:val="TableParagraph"/>
              <w:spacing w:line="273" w:lineRule="auto" w:before="134"/>
              <w:ind w:left="93" w:right="312" w:firstLine="84"/>
              <w:jc w:val="left"/>
              <w:rPr>
                <w:sz w:val="15"/>
              </w:rPr>
            </w:pPr>
            <w:r>
              <w:rPr>
                <w:w w:val="110"/>
                <w:sz w:val="15"/>
              </w:rPr>
              <w:t>Correlación de Pearson con indicador único de sobrecarga</w:t>
            </w:r>
          </w:p>
        </w:tc>
        <w:tc>
          <w:tcPr>
            <w:tcW w:w="842" w:type="dxa"/>
            <w:tcBorders>
              <w:left w:val="nil"/>
              <w:bottom w:val="nil"/>
              <w:right w:val="nil"/>
            </w:tcBorders>
          </w:tcPr>
          <w:p>
            <w:pPr>
              <w:pStyle w:val="TableParagraph"/>
              <w:spacing w:before="2"/>
              <w:jc w:val="left"/>
              <w:rPr>
                <w:sz w:val="20"/>
              </w:rPr>
            </w:pPr>
          </w:p>
          <w:p>
            <w:pPr>
              <w:pStyle w:val="TableParagraph"/>
              <w:ind w:left="300" w:right="287"/>
              <w:rPr>
                <w:sz w:val="15"/>
              </w:rPr>
            </w:pPr>
            <w:r>
              <w:rPr>
                <w:w w:val="110"/>
                <w:sz w:val="15"/>
              </w:rPr>
              <w:t>32</w:t>
            </w:r>
          </w:p>
        </w:tc>
        <w:tc>
          <w:tcPr>
            <w:tcW w:w="1549" w:type="dxa"/>
            <w:tcBorders>
              <w:left w:val="nil"/>
              <w:bottom w:val="nil"/>
              <w:right w:val="nil"/>
            </w:tcBorders>
          </w:tcPr>
          <w:p>
            <w:pPr>
              <w:pStyle w:val="TableParagraph"/>
              <w:spacing w:line="273" w:lineRule="auto" w:before="134"/>
              <w:ind w:left="639" w:right="380" w:firstLine="94"/>
              <w:jc w:val="left"/>
              <w:rPr>
                <w:sz w:val="15"/>
              </w:rPr>
            </w:pPr>
            <w:r>
              <w:rPr>
                <w:w w:val="110"/>
                <w:sz w:val="15"/>
              </w:rPr>
              <w:t>0.67 p&lt;0.05</w:t>
            </w:r>
          </w:p>
        </w:tc>
        <w:tc>
          <w:tcPr>
            <w:tcW w:w="1463" w:type="dxa"/>
            <w:tcBorders>
              <w:left w:val="nil"/>
              <w:bottom w:val="nil"/>
              <w:right w:val="single" w:sz="6" w:space="0" w:color="000000"/>
            </w:tcBorders>
          </w:tcPr>
          <w:p>
            <w:pPr>
              <w:pStyle w:val="TableParagraph"/>
              <w:spacing w:line="273" w:lineRule="auto" w:before="134"/>
              <w:ind w:left="452" w:right="382" w:firstLine="140"/>
              <w:jc w:val="left"/>
              <w:rPr>
                <w:sz w:val="15"/>
              </w:rPr>
            </w:pPr>
            <w:r>
              <w:rPr>
                <w:w w:val="110"/>
                <w:sz w:val="15"/>
              </w:rPr>
              <w:t>0.51 p&lt;0.001</w:t>
            </w:r>
          </w:p>
        </w:tc>
      </w:tr>
      <w:tr>
        <w:trPr>
          <w:trHeight w:val="553" w:hRule="exact"/>
        </w:trPr>
        <w:tc>
          <w:tcPr>
            <w:tcW w:w="2406" w:type="dxa"/>
            <w:tcBorders>
              <w:top w:val="nil"/>
              <w:left w:val="single" w:sz="6" w:space="0" w:color="000000"/>
              <w:bottom w:val="nil"/>
              <w:right w:val="nil"/>
            </w:tcBorders>
          </w:tcPr>
          <w:p>
            <w:pPr>
              <w:pStyle w:val="TableParagraph"/>
              <w:spacing w:before="10"/>
              <w:jc w:val="left"/>
              <w:rPr>
                <w:sz w:val="15"/>
              </w:rPr>
            </w:pPr>
          </w:p>
          <w:p>
            <w:pPr>
              <w:pStyle w:val="TableParagraph"/>
              <w:ind w:left="373" w:right="76"/>
              <w:rPr>
                <w:sz w:val="15"/>
              </w:rPr>
            </w:pPr>
            <w:r>
              <w:rPr>
                <w:w w:val="110"/>
                <w:sz w:val="15"/>
              </w:rPr>
              <w:t>Validez de criterio externo</w:t>
            </w:r>
          </w:p>
        </w:tc>
        <w:tc>
          <w:tcPr>
            <w:tcW w:w="2636" w:type="dxa"/>
            <w:tcBorders>
              <w:top w:val="nil"/>
              <w:left w:val="nil"/>
              <w:bottom w:val="nil"/>
              <w:right w:val="nil"/>
            </w:tcBorders>
          </w:tcPr>
          <w:p>
            <w:pPr>
              <w:pStyle w:val="TableParagraph"/>
              <w:spacing w:line="273" w:lineRule="auto" w:before="86"/>
              <w:ind w:left="842" w:right="394" w:hanging="666"/>
              <w:jc w:val="left"/>
              <w:rPr>
                <w:sz w:val="15"/>
              </w:rPr>
            </w:pPr>
            <w:r>
              <w:rPr>
                <w:w w:val="110"/>
                <w:sz w:val="15"/>
              </w:rPr>
              <w:t>Correlación de Pearson con depresión</w:t>
            </w:r>
          </w:p>
        </w:tc>
        <w:tc>
          <w:tcPr>
            <w:tcW w:w="842" w:type="dxa"/>
            <w:tcBorders>
              <w:top w:val="nil"/>
              <w:left w:val="nil"/>
              <w:bottom w:val="nil"/>
              <w:right w:val="nil"/>
            </w:tcBorders>
          </w:tcPr>
          <w:p>
            <w:pPr>
              <w:pStyle w:val="TableParagraph"/>
              <w:spacing w:before="10"/>
              <w:jc w:val="left"/>
              <w:rPr>
                <w:sz w:val="15"/>
              </w:rPr>
            </w:pPr>
          </w:p>
          <w:p>
            <w:pPr>
              <w:pStyle w:val="TableParagraph"/>
              <w:ind w:left="300" w:right="287"/>
              <w:rPr>
                <w:sz w:val="15"/>
              </w:rPr>
            </w:pPr>
            <w:r>
              <w:rPr>
                <w:w w:val="110"/>
                <w:sz w:val="15"/>
              </w:rPr>
              <w:t>32</w:t>
            </w:r>
          </w:p>
        </w:tc>
        <w:tc>
          <w:tcPr>
            <w:tcW w:w="1549" w:type="dxa"/>
            <w:tcBorders>
              <w:top w:val="nil"/>
              <w:left w:val="nil"/>
              <w:bottom w:val="nil"/>
              <w:right w:val="nil"/>
            </w:tcBorders>
          </w:tcPr>
          <w:p>
            <w:pPr>
              <w:pStyle w:val="TableParagraph"/>
              <w:spacing w:line="273" w:lineRule="auto" w:before="86"/>
              <w:ind w:left="639" w:right="380" w:firstLine="140"/>
              <w:jc w:val="left"/>
              <w:rPr>
                <w:sz w:val="15"/>
              </w:rPr>
            </w:pPr>
            <w:r>
              <w:rPr>
                <w:w w:val="110"/>
                <w:sz w:val="15"/>
              </w:rPr>
              <w:t>0.7 p&lt;0.01</w:t>
            </w:r>
          </w:p>
        </w:tc>
        <w:tc>
          <w:tcPr>
            <w:tcW w:w="1463" w:type="dxa"/>
            <w:tcBorders>
              <w:top w:val="nil"/>
              <w:left w:val="nil"/>
              <w:bottom w:val="nil"/>
              <w:right w:val="single" w:sz="6" w:space="0" w:color="000000"/>
            </w:tcBorders>
          </w:tcPr>
          <w:p>
            <w:pPr>
              <w:pStyle w:val="TableParagraph"/>
              <w:spacing w:line="273" w:lineRule="auto" w:before="86"/>
              <w:ind w:left="498" w:right="428" w:firstLine="94"/>
              <w:jc w:val="left"/>
              <w:rPr>
                <w:sz w:val="15"/>
              </w:rPr>
            </w:pPr>
            <w:r>
              <w:rPr>
                <w:w w:val="110"/>
                <w:sz w:val="15"/>
              </w:rPr>
              <w:t>0.67 p&lt;0.01</w:t>
            </w:r>
          </w:p>
        </w:tc>
      </w:tr>
      <w:tr>
        <w:trPr>
          <w:trHeight w:val="550" w:hRule="exact"/>
        </w:trPr>
        <w:tc>
          <w:tcPr>
            <w:tcW w:w="2406" w:type="dxa"/>
            <w:tcBorders>
              <w:top w:val="nil"/>
              <w:left w:val="single" w:sz="6" w:space="0" w:color="000000"/>
              <w:bottom w:val="nil"/>
              <w:right w:val="nil"/>
            </w:tcBorders>
          </w:tcPr>
          <w:p>
            <w:pPr>
              <w:pStyle w:val="TableParagraph"/>
              <w:spacing w:before="11"/>
              <w:jc w:val="left"/>
              <w:rPr>
                <w:sz w:val="15"/>
              </w:rPr>
            </w:pPr>
          </w:p>
          <w:p>
            <w:pPr>
              <w:pStyle w:val="TableParagraph"/>
              <w:ind w:left="371" w:right="76"/>
              <w:rPr>
                <w:sz w:val="15"/>
              </w:rPr>
            </w:pPr>
            <w:r>
              <w:rPr>
                <w:w w:val="110"/>
                <w:sz w:val="15"/>
              </w:rPr>
              <w:t>Consistencia interna</w:t>
            </w:r>
          </w:p>
        </w:tc>
        <w:tc>
          <w:tcPr>
            <w:tcW w:w="2636" w:type="dxa"/>
            <w:tcBorders>
              <w:top w:val="nil"/>
              <w:left w:val="nil"/>
              <w:bottom w:val="nil"/>
              <w:right w:val="nil"/>
            </w:tcBorders>
          </w:tcPr>
          <w:p>
            <w:pPr>
              <w:pStyle w:val="TableParagraph"/>
              <w:spacing w:line="273" w:lineRule="auto" w:before="86"/>
              <w:ind w:left="139" w:right="356" w:firstLine="2"/>
              <w:jc w:val="left"/>
              <w:rPr>
                <w:sz w:val="15"/>
              </w:rPr>
            </w:pPr>
            <w:r>
              <w:rPr>
                <w:w w:val="110"/>
                <w:sz w:val="15"/>
              </w:rPr>
              <w:t>Correlación entre puntuación EZA con EZ (Gold-Standard)</w:t>
            </w:r>
          </w:p>
        </w:tc>
        <w:tc>
          <w:tcPr>
            <w:tcW w:w="842" w:type="dxa"/>
            <w:tcBorders>
              <w:top w:val="nil"/>
              <w:left w:val="nil"/>
              <w:bottom w:val="nil"/>
              <w:right w:val="nil"/>
            </w:tcBorders>
          </w:tcPr>
          <w:p>
            <w:pPr>
              <w:pStyle w:val="TableParagraph"/>
              <w:spacing w:before="11"/>
              <w:jc w:val="left"/>
              <w:rPr>
                <w:sz w:val="15"/>
              </w:rPr>
            </w:pPr>
          </w:p>
          <w:p>
            <w:pPr>
              <w:pStyle w:val="TableParagraph"/>
              <w:ind w:left="300" w:right="287"/>
              <w:rPr>
                <w:sz w:val="15"/>
              </w:rPr>
            </w:pPr>
            <w:r>
              <w:rPr>
                <w:w w:val="110"/>
                <w:sz w:val="15"/>
              </w:rPr>
              <w:t>32</w:t>
            </w:r>
          </w:p>
        </w:tc>
        <w:tc>
          <w:tcPr>
            <w:tcW w:w="1549" w:type="dxa"/>
            <w:tcBorders>
              <w:top w:val="nil"/>
              <w:left w:val="nil"/>
              <w:bottom w:val="nil"/>
              <w:right w:val="nil"/>
            </w:tcBorders>
          </w:tcPr>
          <w:p>
            <w:pPr/>
          </w:p>
        </w:tc>
        <w:tc>
          <w:tcPr>
            <w:tcW w:w="1463" w:type="dxa"/>
            <w:tcBorders>
              <w:top w:val="nil"/>
              <w:left w:val="nil"/>
              <w:bottom w:val="nil"/>
              <w:right w:val="single" w:sz="6" w:space="0" w:color="000000"/>
            </w:tcBorders>
          </w:tcPr>
          <w:p>
            <w:pPr>
              <w:pStyle w:val="TableParagraph"/>
              <w:spacing w:line="273" w:lineRule="auto" w:before="86"/>
              <w:ind w:left="452" w:right="382" w:firstLine="140"/>
              <w:jc w:val="left"/>
              <w:rPr>
                <w:sz w:val="15"/>
              </w:rPr>
            </w:pPr>
            <w:r>
              <w:rPr>
                <w:w w:val="110"/>
                <w:sz w:val="15"/>
              </w:rPr>
              <w:t>0.92 p&lt;0.001</w:t>
            </w:r>
          </w:p>
        </w:tc>
      </w:tr>
      <w:tr>
        <w:trPr>
          <w:trHeight w:val="304" w:hRule="exact"/>
        </w:trPr>
        <w:tc>
          <w:tcPr>
            <w:tcW w:w="2406" w:type="dxa"/>
            <w:tcBorders>
              <w:top w:val="nil"/>
              <w:left w:val="single" w:sz="6" w:space="0" w:color="000000"/>
              <w:bottom w:val="nil"/>
              <w:right w:val="nil"/>
            </w:tcBorders>
          </w:tcPr>
          <w:p>
            <w:pPr>
              <w:pStyle w:val="TableParagraph"/>
              <w:spacing w:before="84"/>
              <w:ind w:left="373" w:right="76"/>
              <w:rPr>
                <w:sz w:val="15"/>
              </w:rPr>
            </w:pPr>
            <w:r>
              <w:rPr>
                <w:w w:val="110"/>
                <w:sz w:val="15"/>
              </w:rPr>
              <w:t>Confiabilidad</w:t>
            </w:r>
          </w:p>
        </w:tc>
        <w:tc>
          <w:tcPr>
            <w:tcW w:w="2636" w:type="dxa"/>
            <w:tcBorders>
              <w:top w:val="nil"/>
              <w:left w:val="nil"/>
              <w:bottom w:val="nil"/>
              <w:right w:val="nil"/>
            </w:tcBorders>
          </w:tcPr>
          <w:p>
            <w:pPr>
              <w:pStyle w:val="TableParagraph"/>
              <w:spacing w:before="84"/>
              <w:ind w:left="346" w:right="568"/>
              <w:rPr>
                <w:sz w:val="15"/>
              </w:rPr>
            </w:pPr>
            <w:r>
              <w:rPr>
                <w:w w:val="110"/>
                <w:sz w:val="15"/>
              </w:rPr>
              <w:t>Alfa de Cronbach</w:t>
            </w:r>
          </w:p>
        </w:tc>
        <w:tc>
          <w:tcPr>
            <w:tcW w:w="842" w:type="dxa"/>
            <w:tcBorders>
              <w:top w:val="nil"/>
              <w:left w:val="nil"/>
              <w:bottom w:val="nil"/>
              <w:right w:val="nil"/>
            </w:tcBorders>
          </w:tcPr>
          <w:p>
            <w:pPr>
              <w:pStyle w:val="TableParagraph"/>
              <w:spacing w:before="84"/>
              <w:ind w:left="300" w:right="287"/>
              <w:rPr>
                <w:sz w:val="15"/>
              </w:rPr>
            </w:pPr>
            <w:r>
              <w:rPr>
                <w:w w:val="110"/>
                <w:sz w:val="15"/>
              </w:rPr>
              <w:t>32</w:t>
            </w:r>
          </w:p>
        </w:tc>
        <w:tc>
          <w:tcPr>
            <w:tcW w:w="1549" w:type="dxa"/>
            <w:tcBorders>
              <w:top w:val="nil"/>
              <w:left w:val="nil"/>
              <w:bottom w:val="nil"/>
              <w:right w:val="nil"/>
            </w:tcBorders>
          </w:tcPr>
          <w:p>
            <w:pPr>
              <w:pStyle w:val="TableParagraph"/>
              <w:spacing w:before="84"/>
              <w:ind w:left="424" w:right="184"/>
              <w:rPr>
                <w:sz w:val="15"/>
              </w:rPr>
            </w:pPr>
            <w:r>
              <w:rPr>
                <w:w w:val="110"/>
                <w:sz w:val="15"/>
              </w:rPr>
              <w:t>0.87</w:t>
            </w:r>
          </w:p>
        </w:tc>
        <w:tc>
          <w:tcPr>
            <w:tcW w:w="1463" w:type="dxa"/>
            <w:tcBorders>
              <w:top w:val="nil"/>
              <w:left w:val="nil"/>
              <w:bottom w:val="nil"/>
              <w:right w:val="single" w:sz="6" w:space="0" w:color="000000"/>
            </w:tcBorders>
          </w:tcPr>
          <w:p>
            <w:pPr>
              <w:pStyle w:val="TableParagraph"/>
              <w:spacing w:before="84"/>
              <w:ind w:left="53" w:right="2"/>
              <w:rPr>
                <w:sz w:val="15"/>
              </w:rPr>
            </w:pPr>
            <w:r>
              <w:rPr>
                <w:w w:val="110"/>
                <w:sz w:val="15"/>
              </w:rPr>
              <w:t>0.84</w:t>
            </w:r>
          </w:p>
        </w:tc>
      </w:tr>
      <w:tr>
        <w:trPr>
          <w:trHeight w:val="242" w:hRule="exact"/>
        </w:trPr>
        <w:tc>
          <w:tcPr>
            <w:tcW w:w="2406" w:type="dxa"/>
            <w:tcBorders>
              <w:top w:val="nil"/>
              <w:left w:val="single" w:sz="6" w:space="0" w:color="000000"/>
              <w:bottom w:val="nil"/>
              <w:right w:val="nil"/>
            </w:tcBorders>
          </w:tcPr>
          <w:p>
            <w:pPr>
              <w:pStyle w:val="TableParagraph"/>
              <w:spacing w:before="36"/>
              <w:ind w:left="370" w:right="76"/>
              <w:rPr>
                <w:sz w:val="15"/>
              </w:rPr>
            </w:pPr>
            <w:r>
              <w:rPr>
                <w:w w:val="110"/>
                <w:sz w:val="15"/>
              </w:rPr>
              <w:t>Interobservador</w:t>
            </w:r>
          </w:p>
        </w:tc>
        <w:tc>
          <w:tcPr>
            <w:tcW w:w="2636" w:type="dxa"/>
            <w:tcBorders>
              <w:top w:val="nil"/>
              <w:left w:val="nil"/>
              <w:bottom w:val="nil"/>
              <w:right w:val="nil"/>
            </w:tcBorders>
          </w:tcPr>
          <w:p>
            <w:pPr>
              <w:pStyle w:val="TableParagraph"/>
              <w:spacing w:before="36"/>
              <w:ind w:left="348" w:right="568"/>
              <w:rPr>
                <w:sz w:val="15"/>
              </w:rPr>
            </w:pPr>
            <w:r>
              <w:rPr>
                <w:w w:val="110"/>
                <w:sz w:val="15"/>
              </w:rPr>
              <w:t>Coeficiente correlacion</w:t>
            </w:r>
          </w:p>
        </w:tc>
        <w:tc>
          <w:tcPr>
            <w:tcW w:w="842" w:type="dxa"/>
            <w:tcBorders>
              <w:top w:val="nil"/>
              <w:left w:val="nil"/>
              <w:bottom w:val="nil"/>
              <w:right w:val="nil"/>
            </w:tcBorders>
          </w:tcPr>
          <w:p>
            <w:pPr>
              <w:pStyle w:val="TableParagraph"/>
              <w:spacing w:before="36"/>
              <w:ind w:left="300" w:right="287"/>
              <w:rPr>
                <w:sz w:val="15"/>
              </w:rPr>
            </w:pPr>
            <w:r>
              <w:rPr>
                <w:w w:val="110"/>
                <w:sz w:val="15"/>
              </w:rPr>
              <w:t>22</w:t>
            </w:r>
          </w:p>
        </w:tc>
        <w:tc>
          <w:tcPr>
            <w:tcW w:w="1549" w:type="dxa"/>
            <w:tcBorders>
              <w:top w:val="nil"/>
              <w:left w:val="nil"/>
              <w:bottom w:val="nil"/>
              <w:right w:val="nil"/>
            </w:tcBorders>
          </w:tcPr>
          <w:p>
            <w:pPr>
              <w:pStyle w:val="TableParagraph"/>
              <w:spacing w:before="36"/>
              <w:ind w:left="424" w:right="184"/>
              <w:rPr>
                <w:sz w:val="15"/>
              </w:rPr>
            </w:pPr>
            <w:r>
              <w:rPr>
                <w:w w:val="110"/>
                <w:sz w:val="15"/>
              </w:rPr>
              <w:t>0.86</w:t>
            </w:r>
          </w:p>
        </w:tc>
        <w:tc>
          <w:tcPr>
            <w:tcW w:w="1463" w:type="dxa"/>
            <w:tcBorders>
              <w:top w:val="nil"/>
              <w:left w:val="nil"/>
              <w:bottom w:val="nil"/>
              <w:right w:val="single" w:sz="6" w:space="0" w:color="000000"/>
            </w:tcBorders>
          </w:tcPr>
          <w:p>
            <w:pPr>
              <w:pStyle w:val="TableParagraph"/>
              <w:spacing w:before="36"/>
              <w:ind w:left="53" w:right="2"/>
              <w:rPr>
                <w:sz w:val="15"/>
              </w:rPr>
            </w:pPr>
            <w:r>
              <w:rPr>
                <w:w w:val="110"/>
                <w:sz w:val="15"/>
              </w:rPr>
              <w:t>0.81</w:t>
            </w:r>
          </w:p>
        </w:tc>
      </w:tr>
      <w:tr>
        <w:trPr>
          <w:trHeight w:val="420" w:hRule="exact"/>
        </w:trPr>
        <w:tc>
          <w:tcPr>
            <w:tcW w:w="2406" w:type="dxa"/>
            <w:tcBorders>
              <w:top w:val="nil"/>
              <w:left w:val="single" w:sz="6" w:space="0" w:color="000000"/>
              <w:bottom w:val="nil"/>
              <w:right w:val="nil"/>
            </w:tcBorders>
          </w:tcPr>
          <w:p>
            <w:pPr>
              <w:pStyle w:val="TableParagraph"/>
              <w:spacing w:line="273" w:lineRule="auto" w:before="22"/>
              <w:ind w:left="951" w:right="442" w:hanging="199"/>
              <w:jc w:val="left"/>
              <w:rPr>
                <w:sz w:val="15"/>
              </w:rPr>
            </w:pPr>
            <w:r>
              <w:rPr>
                <w:w w:val="110"/>
                <w:sz w:val="15"/>
              </w:rPr>
              <w:t>Confiabilidad en estabilidad</w:t>
            </w:r>
          </w:p>
        </w:tc>
        <w:tc>
          <w:tcPr>
            <w:tcW w:w="2636" w:type="dxa"/>
            <w:tcBorders>
              <w:top w:val="nil"/>
              <w:left w:val="nil"/>
              <w:bottom w:val="nil"/>
              <w:right w:val="nil"/>
            </w:tcBorders>
          </w:tcPr>
          <w:p>
            <w:pPr>
              <w:pStyle w:val="TableParagraph"/>
              <w:spacing w:before="118"/>
              <w:ind w:left="347" w:right="568"/>
              <w:rPr>
                <w:sz w:val="15"/>
              </w:rPr>
            </w:pPr>
            <w:r>
              <w:rPr>
                <w:w w:val="110"/>
                <w:sz w:val="15"/>
              </w:rPr>
              <w:t>Intraclase (CCI)</w:t>
            </w:r>
          </w:p>
        </w:tc>
        <w:tc>
          <w:tcPr>
            <w:tcW w:w="842" w:type="dxa"/>
            <w:tcBorders>
              <w:top w:val="nil"/>
              <w:left w:val="nil"/>
              <w:bottom w:val="nil"/>
              <w:right w:val="nil"/>
            </w:tcBorders>
          </w:tcPr>
          <w:p>
            <w:pPr/>
          </w:p>
        </w:tc>
        <w:tc>
          <w:tcPr>
            <w:tcW w:w="1549" w:type="dxa"/>
            <w:tcBorders>
              <w:top w:val="nil"/>
              <w:left w:val="nil"/>
              <w:bottom w:val="nil"/>
              <w:right w:val="nil"/>
            </w:tcBorders>
          </w:tcPr>
          <w:p>
            <w:pPr>
              <w:pStyle w:val="TableParagraph"/>
              <w:spacing w:before="22"/>
              <w:ind w:left="424" w:right="186"/>
              <w:rPr>
                <w:sz w:val="15"/>
              </w:rPr>
            </w:pPr>
            <w:r>
              <w:rPr>
                <w:w w:val="110"/>
                <w:sz w:val="15"/>
              </w:rPr>
              <w:t>(0.81 - 0.91)</w:t>
            </w:r>
          </w:p>
          <w:p>
            <w:pPr>
              <w:pStyle w:val="TableParagraph"/>
              <w:spacing w:before="23"/>
              <w:ind w:left="424" w:right="184"/>
              <w:rPr>
                <w:sz w:val="15"/>
              </w:rPr>
            </w:pPr>
            <w:r>
              <w:rPr>
                <w:w w:val="110"/>
                <w:sz w:val="15"/>
              </w:rPr>
              <w:t>0.91</w:t>
            </w:r>
          </w:p>
        </w:tc>
        <w:tc>
          <w:tcPr>
            <w:tcW w:w="1463" w:type="dxa"/>
            <w:tcBorders>
              <w:top w:val="nil"/>
              <w:left w:val="nil"/>
              <w:bottom w:val="nil"/>
              <w:right w:val="single" w:sz="6" w:space="0" w:color="000000"/>
            </w:tcBorders>
          </w:tcPr>
          <w:p>
            <w:pPr>
              <w:pStyle w:val="TableParagraph"/>
              <w:spacing w:before="118"/>
              <w:ind w:left="53" w:right="4"/>
              <w:rPr>
                <w:sz w:val="15"/>
              </w:rPr>
            </w:pPr>
            <w:r>
              <w:rPr>
                <w:w w:val="110"/>
                <w:sz w:val="15"/>
              </w:rPr>
              <w:t>(0.76 - 0.87)   0.93</w:t>
            </w:r>
          </w:p>
        </w:tc>
      </w:tr>
      <w:tr>
        <w:trPr>
          <w:trHeight w:val="229" w:hRule="exact"/>
        </w:trPr>
        <w:tc>
          <w:tcPr>
            <w:tcW w:w="2406" w:type="dxa"/>
            <w:tcBorders>
              <w:top w:val="nil"/>
              <w:left w:val="single" w:sz="6" w:space="0" w:color="000000"/>
              <w:right w:val="nil"/>
            </w:tcBorders>
          </w:tcPr>
          <w:p>
            <w:pPr/>
          </w:p>
        </w:tc>
        <w:tc>
          <w:tcPr>
            <w:tcW w:w="2636" w:type="dxa"/>
            <w:tcBorders>
              <w:top w:val="nil"/>
              <w:left w:val="nil"/>
              <w:right w:val="nil"/>
            </w:tcBorders>
          </w:tcPr>
          <w:p>
            <w:pPr>
              <w:pStyle w:val="TableParagraph"/>
              <w:spacing w:before="18"/>
              <w:ind w:left="346" w:right="568"/>
              <w:rPr>
                <w:sz w:val="15"/>
              </w:rPr>
            </w:pPr>
            <w:r>
              <w:rPr>
                <w:w w:val="110"/>
                <w:sz w:val="15"/>
              </w:rPr>
              <w:t>Kappa en Tes-Retest</w:t>
            </w:r>
          </w:p>
        </w:tc>
        <w:tc>
          <w:tcPr>
            <w:tcW w:w="842" w:type="dxa"/>
            <w:tcBorders>
              <w:top w:val="nil"/>
              <w:left w:val="nil"/>
              <w:right w:val="nil"/>
            </w:tcBorders>
          </w:tcPr>
          <w:p>
            <w:pPr>
              <w:pStyle w:val="TableParagraph"/>
              <w:spacing w:before="18"/>
              <w:ind w:left="300" w:right="287"/>
              <w:rPr>
                <w:sz w:val="15"/>
              </w:rPr>
            </w:pPr>
            <w:r>
              <w:rPr>
                <w:w w:val="110"/>
                <w:sz w:val="15"/>
              </w:rPr>
              <w:t>22</w:t>
            </w:r>
          </w:p>
        </w:tc>
        <w:tc>
          <w:tcPr>
            <w:tcW w:w="1549" w:type="dxa"/>
            <w:tcBorders>
              <w:top w:val="nil"/>
              <w:left w:val="nil"/>
              <w:right w:val="nil"/>
            </w:tcBorders>
          </w:tcPr>
          <w:p>
            <w:pPr>
              <w:pStyle w:val="TableParagraph"/>
              <w:spacing w:before="18"/>
              <w:ind w:left="424" w:right="186"/>
              <w:rPr>
                <w:sz w:val="15"/>
              </w:rPr>
            </w:pPr>
            <w:r>
              <w:rPr>
                <w:w w:val="110"/>
                <w:sz w:val="15"/>
              </w:rPr>
              <w:t>(0.68 - 0.99)</w:t>
            </w:r>
          </w:p>
        </w:tc>
        <w:tc>
          <w:tcPr>
            <w:tcW w:w="1463" w:type="dxa"/>
            <w:tcBorders>
              <w:top w:val="nil"/>
              <w:left w:val="nil"/>
              <w:right w:val="single" w:sz="6" w:space="0" w:color="000000"/>
            </w:tcBorders>
          </w:tcPr>
          <w:p>
            <w:pPr>
              <w:pStyle w:val="TableParagraph"/>
              <w:spacing w:before="18"/>
              <w:ind w:left="52" w:right="4"/>
              <w:rPr>
                <w:sz w:val="15"/>
              </w:rPr>
            </w:pPr>
            <w:r>
              <w:rPr>
                <w:w w:val="110"/>
                <w:sz w:val="15"/>
              </w:rPr>
              <w:t>(0.74 - 0.99)</w:t>
            </w:r>
          </w:p>
        </w:tc>
      </w:tr>
    </w:tbl>
    <w:p>
      <w:pPr>
        <w:spacing w:before="113"/>
        <w:ind w:left="625" w:right="0" w:firstLine="0"/>
        <w:jc w:val="both"/>
        <w:rPr>
          <w:sz w:val="20"/>
        </w:rPr>
      </w:pPr>
      <w:r>
        <w:rPr/>
        <w:pict>
          <v:shape style="position:absolute;margin-left:121.029716pt;margin-top:-68.870605pt;width:10.35pt;height:46.95pt;mso-position-horizontal-relative:page;mso-position-vertical-relative:paragraph;z-index:-174712" type="#_x0000_t202" filled="false" stroked="false">
            <v:textbox inset="0,0,0,0" style="layout-flow:vertical;mso-layout-flow-alt:bottom-to-top">
              <w:txbxContent>
                <w:p>
                  <w:pPr>
                    <w:spacing w:before="4"/>
                    <w:ind w:left="20" w:right="-730" w:firstLine="0"/>
                    <w:jc w:val="left"/>
                    <w:rPr>
                      <w:sz w:val="16"/>
                    </w:rPr>
                  </w:pPr>
                  <w:r>
                    <w:rPr>
                      <w:w w:val="97"/>
                      <w:sz w:val="16"/>
                    </w:rPr>
                    <w:t>Con</w:t>
                  </w:r>
                  <w:r>
                    <w:rPr>
                      <w:spacing w:val="-1"/>
                      <w:w w:val="97"/>
                      <w:sz w:val="16"/>
                    </w:rPr>
                    <w:t>f</w:t>
                  </w:r>
                  <w:r>
                    <w:rPr>
                      <w:spacing w:val="-1"/>
                      <w:w w:val="97"/>
                      <w:sz w:val="16"/>
                    </w:rPr>
                    <w:t>i</w:t>
                  </w:r>
                  <w:r>
                    <w:rPr>
                      <w:w w:val="97"/>
                      <w:sz w:val="16"/>
                    </w:rPr>
                    <w:t>a</w:t>
                  </w:r>
                  <w:r>
                    <w:rPr>
                      <w:spacing w:val="-1"/>
                      <w:w w:val="97"/>
                      <w:sz w:val="16"/>
                    </w:rPr>
                    <w:t>b</w:t>
                  </w:r>
                  <w:r>
                    <w:rPr>
                      <w:spacing w:val="-1"/>
                      <w:w w:val="97"/>
                      <w:sz w:val="16"/>
                    </w:rPr>
                    <w:t>ili</w:t>
                  </w:r>
                  <w:r>
                    <w:rPr>
                      <w:w w:val="97"/>
                      <w:sz w:val="16"/>
                    </w:rPr>
                    <w:t>d</w:t>
                  </w:r>
                  <w:r>
                    <w:rPr>
                      <w:spacing w:val="-1"/>
                      <w:w w:val="97"/>
                      <w:sz w:val="16"/>
                    </w:rPr>
                    <w:t>a</w:t>
                  </w:r>
                  <w:r>
                    <w:rPr>
                      <w:w w:val="97"/>
                      <w:sz w:val="16"/>
                    </w:rPr>
                    <w:t>d</w:t>
                  </w:r>
                </w:p>
              </w:txbxContent>
            </v:textbox>
            <w10:wrap type="none"/>
          </v:shape>
        </w:pict>
      </w:r>
      <w:r>
        <w:rPr>
          <w:sz w:val="20"/>
        </w:rPr>
        <w:t>Fuente: Breinbauer et al., 2009.</w:t>
      </w:r>
    </w:p>
    <w:p>
      <w:pPr>
        <w:pStyle w:val="BodyText"/>
        <w:rPr>
          <w:sz w:val="20"/>
        </w:rPr>
      </w:pPr>
    </w:p>
    <w:p>
      <w:pPr>
        <w:pStyle w:val="BodyText"/>
        <w:spacing w:before="11"/>
        <w:rPr>
          <w:sz w:val="19"/>
        </w:rPr>
      </w:pPr>
    </w:p>
    <w:p>
      <w:pPr>
        <w:pStyle w:val="BodyText"/>
        <w:spacing w:line="360" w:lineRule="auto"/>
        <w:ind w:left="625" w:right="1449"/>
        <w:jc w:val="both"/>
      </w:pPr>
      <w:r>
        <w:rPr/>
        <w:t>De acuerdo con Grandón et al (2011), “el concepto de carga, aunque ampliamente usado en la investigación, presenta diversas definiciones, dimensiones y formas de operacionalizarlo. A pesar de estas diferencias, la mayoría de los autores concuerdan en dividirlo en dos grandes tipos: carga objetiva y subjetiva”. (Grandón et al. 2011)</w:t>
      </w:r>
    </w:p>
    <w:p>
      <w:pPr>
        <w:pStyle w:val="BodyText"/>
        <w:spacing w:before="2"/>
      </w:pPr>
    </w:p>
    <w:p>
      <w:pPr>
        <w:spacing w:before="0"/>
        <w:ind w:left="1506" w:right="2328" w:firstLine="0"/>
        <w:jc w:val="both"/>
        <w:rPr>
          <w:sz w:val="22"/>
        </w:rPr>
      </w:pPr>
      <w:r>
        <w:rPr>
          <w:i/>
          <w:sz w:val="22"/>
        </w:rPr>
        <w:t>“La sobrecarga objetiva, que se debe inexorablemente al </w:t>
      </w:r>
      <w:r>
        <w:rPr>
          <w:i/>
          <w:sz w:val="22"/>
        </w:rPr>
        <w:t>desempeño de las tareas de cuidado, como por ejemplo, asear al enfermo todos los días y darle de comer. Y la sobrecarga subjetiva, que corresponde al plano de los sentimientos y emociones que provocan dicha labor de cuidado”. </w:t>
      </w:r>
      <w:r>
        <w:rPr>
          <w:sz w:val="22"/>
        </w:rPr>
        <w:t>(Roig, Abengózar y Serra, 1998 ciados en Torrealba y Yépez 2012)</w:t>
      </w:r>
    </w:p>
    <w:p>
      <w:pPr>
        <w:pStyle w:val="BodyText"/>
        <w:rPr>
          <w:sz w:val="22"/>
        </w:rPr>
      </w:pPr>
    </w:p>
    <w:p>
      <w:pPr>
        <w:spacing w:before="128"/>
        <w:ind w:left="1506" w:right="2329" w:firstLine="0"/>
        <w:jc w:val="both"/>
        <w:rPr>
          <w:sz w:val="22"/>
        </w:rPr>
      </w:pPr>
      <w:r>
        <w:rPr>
          <w:i/>
          <w:sz w:val="22"/>
        </w:rPr>
        <w:t>En este mismo orden de ideas, Zarit (1989), Miller y Montgomery </w:t>
      </w:r>
      <w:r>
        <w:rPr>
          <w:i/>
          <w:sz w:val="22"/>
        </w:rPr>
        <w:t>(1990), exponen diferencias entre sobrecarga objetiva, la cual, corresponde a cómo la persona percibe el grado, dedicación y el impacto que éste tiene sobre su vida; y la sobrecarga subjetiva, que se refiere a la forma en que estos sujetos responden a la situación de cuidados. Es un sentimiento psicológico que se asocia al hecho de cuidar y se relaciona con el grado en que los/las cuidadores/as se sienten agotados y perciben dificultades para manejar la  situación que generan los cuidados. </w:t>
      </w:r>
      <w:r>
        <w:rPr>
          <w:sz w:val="22"/>
        </w:rPr>
        <w:t>(Aravena y Alvarado, 2010, ciados en Torrealba y Yépez</w:t>
      </w:r>
      <w:r>
        <w:rPr>
          <w:spacing w:val="-9"/>
          <w:sz w:val="22"/>
        </w:rPr>
        <w:t> </w:t>
      </w:r>
      <w:r>
        <w:rPr>
          <w:sz w:val="22"/>
        </w:rPr>
        <w:t>2012)</w:t>
      </w:r>
    </w:p>
    <w:p>
      <w:pPr>
        <w:spacing w:after="0"/>
        <w:jc w:val="both"/>
        <w:rPr>
          <w:sz w:val="22"/>
        </w:rPr>
        <w:sectPr>
          <w:pgSz w:w="12250" w:h="15850"/>
          <w:pgMar w:header="748" w:footer="1122" w:top="1260" w:bottom="1320" w:left="1720" w:right="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255"/>
        <w:jc w:val="both"/>
      </w:pPr>
      <w:r>
        <w:rPr/>
        <w:t>Al evidenciarse la división de las dimensiones de carga objetiva y subjetiva, la múltiple utilización, estudio, validación y traducción a diferentes idiomas de la escala de Zarit, Montorio et al. En 1998, tras la validación de la escala de sobrecarga de Zarit en su versión de 22 ítems, en Madrid, identificaron 3 subdimensiones subyacentes: impacto del cuidado, carga interpersonal y expectativa de autoeficacia, las cuales se reflejan en determinado número de ítems que componen la escala. (Cuadro No.4)</w:t>
      </w:r>
    </w:p>
    <w:p>
      <w:pPr>
        <w:pStyle w:val="BodyText"/>
      </w:pPr>
    </w:p>
    <w:p>
      <w:pPr>
        <w:spacing w:before="139"/>
        <w:ind w:left="625" w:right="0" w:firstLine="0"/>
        <w:jc w:val="both"/>
        <w:rPr>
          <w:sz w:val="20"/>
        </w:rPr>
      </w:pPr>
      <w:r>
        <w:rPr>
          <w:b/>
          <w:sz w:val="20"/>
        </w:rPr>
        <w:t>Cuadro No.4</w:t>
      </w:r>
      <w:r>
        <w:rPr>
          <w:sz w:val="20"/>
        </w:rPr>
        <w:t>. Operacionalización de la Escala de Carga del Cuidador de Zarit (ECCZ)</w:t>
      </w:r>
    </w:p>
    <w:p>
      <w:pPr>
        <w:pStyle w:val="BodyText"/>
        <w:spacing w:before="5" w:after="1"/>
        <w:rPr>
          <w:sz w:val="10"/>
        </w:rPr>
      </w:pPr>
    </w:p>
    <w:tbl>
      <w:tblPr>
        <w:tblW w:w="0" w:type="auto"/>
        <w:jc w:val="left"/>
        <w:tblInd w:w="66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116"/>
        <w:gridCol w:w="1467"/>
        <w:gridCol w:w="2312"/>
        <w:gridCol w:w="3598"/>
      </w:tblGrid>
      <w:tr>
        <w:trPr>
          <w:trHeight w:val="391" w:hRule="exact"/>
        </w:trPr>
        <w:tc>
          <w:tcPr>
            <w:tcW w:w="1116" w:type="dxa"/>
            <w:tcBorders>
              <w:right w:val="single" w:sz="4" w:space="0" w:color="000000"/>
            </w:tcBorders>
            <w:shd w:val="clear" w:color="auto" w:fill="DBE4F0"/>
          </w:tcPr>
          <w:p>
            <w:pPr>
              <w:pStyle w:val="TableParagraph"/>
              <w:spacing w:before="62"/>
              <w:ind w:left="153"/>
              <w:jc w:val="left"/>
              <w:rPr>
                <w:b/>
                <w:sz w:val="20"/>
              </w:rPr>
            </w:pPr>
            <w:r>
              <w:rPr>
                <w:b/>
                <w:sz w:val="20"/>
              </w:rPr>
              <w:t>Variable</w:t>
            </w:r>
          </w:p>
        </w:tc>
        <w:tc>
          <w:tcPr>
            <w:tcW w:w="1467" w:type="dxa"/>
            <w:tcBorders>
              <w:left w:val="single" w:sz="4" w:space="0" w:color="000000"/>
              <w:right w:val="single" w:sz="4" w:space="0" w:color="000000"/>
            </w:tcBorders>
            <w:shd w:val="clear" w:color="auto" w:fill="DBE4F0"/>
          </w:tcPr>
          <w:p>
            <w:pPr>
              <w:pStyle w:val="TableParagraph"/>
              <w:spacing w:before="62"/>
              <w:ind w:left="61" w:right="64"/>
              <w:rPr>
                <w:b/>
                <w:sz w:val="20"/>
              </w:rPr>
            </w:pPr>
            <w:r>
              <w:rPr>
                <w:b/>
                <w:sz w:val="20"/>
              </w:rPr>
              <w:t>Dimensión</w:t>
            </w:r>
          </w:p>
        </w:tc>
        <w:tc>
          <w:tcPr>
            <w:tcW w:w="2312" w:type="dxa"/>
            <w:tcBorders>
              <w:left w:val="single" w:sz="4" w:space="0" w:color="000000"/>
              <w:right w:val="single" w:sz="4" w:space="0" w:color="000000"/>
            </w:tcBorders>
            <w:shd w:val="clear" w:color="auto" w:fill="DBE4F0"/>
          </w:tcPr>
          <w:p>
            <w:pPr>
              <w:pStyle w:val="TableParagraph"/>
              <w:spacing w:before="62"/>
              <w:ind w:left="135" w:right="135"/>
              <w:rPr>
                <w:b/>
                <w:sz w:val="20"/>
              </w:rPr>
            </w:pPr>
            <w:r>
              <w:rPr>
                <w:b/>
                <w:sz w:val="20"/>
              </w:rPr>
              <w:t>Indicadores</w:t>
            </w:r>
          </w:p>
        </w:tc>
        <w:tc>
          <w:tcPr>
            <w:tcW w:w="3598" w:type="dxa"/>
            <w:tcBorders>
              <w:left w:val="single" w:sz="4" w:space="0" w:color="000000"/>
            </w:tcBorders>
            <w:shd w:val="clear" w:color="auto" w:fill="DBE4F0"/>
          </w:tcPr>
          <w:p>
            <w:pPr>
              <w:pStyle w:val="TableParagraph"/>
              <w:spacing w:before="62"/>
              <w:ind w:left="215" w:right="205"/>
              <w:rPr>
                <w:b/>
                <w:sz w:val="20"/>
              </w:rPr>
            </w:pPr>
            <w:r>
              <w:rPr>
                <w:b/>
                <w:sz w:val="20"/>
              </w:rPr>
              <w:t>Ítems</w:t>
            </w:r>
          </w:p>
        </w:tc>
      </w:tr>
      <w:tr>
        <w:trPr>
          <w:trHeight w:val="746" w:hRule="exact"/>
        </w:trPr>
        <w:tc>
          <w:tcPr>
            <w:tcW w:w="1116" w:type="dxa"/>
            <w:vMerge w:val="restart"/>
            <w:tcBorders>
              <w:right w:val="single" w:sz="4" w:space="0" w:color="000000"/>
            </w:tcBorders>
          </w:tcPr>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161"/>
              <w:ind w:left="271"/>
              <w:jc w:val="left"/>
              <w:rPr>
                <w:sz w:val="20"/>
              </w:rPr>
            </w:pPr>
            <w:r>
              <w:rPr>
                <w:sz w:val="20"/>
              </w:rPr>
              <w:t>Carga</w:t>
            </w:r>
          </w:p>
        </w:tc>
        <w:tc>
          <w:tcPr>
            <w:tcW w:w="1467" w:type="dxa"/>
            <w:tcBorders>
              <w:left w:val="single" w:sz="4" w:space="0" w:color="000000"/>
              <w:bottom w:val="single" w:sz="4" w:space="0" w:color="000000"/>
              <w:right w:val="single" w:sz="4" w:space="0" w:color="000000"/>
            </w:tcBorders>
          </w:tcPr>
          <w:p>
            <w:pPr>
              <w:pStyle w:val="TableParagraph"/>
              <w:spacing w:before="5"/>
              <w:jc w:val="left"/>
              <w:rPr>
                <w:sz w:val="21"/>
              </w:rPr>
            </w:pPr>
          </w:p>
          <w:p>
            <w:pPr>
              <w:pStyle w:val="TableParagraph"/>
              <w:ind w:left="63" w:right="64"/>
              <w:rPr>
                <w:sz w:val="20"/>
              </w:rPr>
            </w:pPr>
            <w:r>
              <w:rPr>
                <w:sz w:val="20"/>
              </w:rPr>
              <w:t>Carga objetiva</w:t>
            </w:r>
          </w:p>
        </w:tc>
        <w:tc>
          <w:tcPr>
            <w:tcW w:w="2312" w:type="dxa"/>
            <w:tcBorders>
              <w:left w:val="single" w:sz="4" w:space="0" w:color="000000"/>
              <w:bottom w:val="single" w:sz="4" w:space="0" w:color="000000"/>
              <w:right w:val="single" w:sz="4" w:space="0" w:color="000000"/>
            </w:tcBorders>
          </w:tcPr>
          <w:p>
            <w:pPr>
              <w:pStyle w:val="TableParagraph"/>
              <w:spacing w:before="5"/>
              <w:jc w:val="left"/>
              <w:rPr>
                <w:sz w:val="21"/>
              </w:rPr>
            </w:pPr>
          </w:p>
          <w:p>
            <w:pPr>
              <w:pStyle w:val="TableParagraph"/>
              <w:ind w:left="136" w:right="135"/>
              <w:rPr>
                <w:sz w:val="20"/>
              </w:rPr>
            </w:pPr>
            <w:r>
              <w:rPr>
                <w:sz w:val="20"/>
              </w:rPr>
              <w:t>Impacto de cuidado</w:t>
            </w:r>
          </w:p>
        </w:tc>
        <w:tc>
          <w:tcPr>
            <w:tcW w:w="3598" w:type="dxa"/>
            <w:tcBorders>
              <w:left w:val="single" w:sz="4" w:space="0" w:color="000000"/>
              <w:bottom w:val="single" w:sz="4" w:space="0" w:color="000000"/>
            </w:tcBorders>
          </w:tcPr>
          <w:p>
            <w:pPr>
              <w:pStyle w:val="TableParagraph"/>
              <w:spacing w:before="5"/>
              <w:jc w:val="left"/>
              <w:rPr>
                <w:sz w:val="21"/>
              </w:rPr>
            </w:pPr>
          </w:p>
          <w:p>
            <w:pPr>
              <w:pStyle w:val="TableParagraph"/>
              <w:ind w:left="215" w:right="210"/>
              <w:rPr>
                <w:sz w:val="20"/>
              </w:rPr>
            </w:pPr>
            <w:r>
              <w:rPr>
                <w:sz w:val="20"/>
              </w:rPr>
              <w:t>2,3,7,8,10,11,12,14,16,17,18,19,22</w:t>
            </w:r>
          </w:p>
        </w:tc>
      </w:tr>
      <w:tr>
        <w:trPr>
          <w:trHeight w:val="394" w:hRule="exact"/>
        </w:trPr>
        <w:tc>
          <w:tcPr>
            <w:tcW w:w="1116" w:type="dxa"/>
            <w:vMerge/>
            <w:tcBorders>
              <w:right w:val="single" w:sz="4" w:space="0" w:color="000000"/>
            </w:tcBorders>
          </w:tcPr>
          <w:p>
            <w:pPr/>
          </w:p>
        </w:tc>
        <w:tc>
          <w:tcPr>
            <w:tcW w:w="1467" w:type="dxa"/>
            <w:vMerge w:val="restart"/>
            <w:tcBorders>
              <w:top w:val="single" w:sz="4" w:space="0" w:color="000000"/>
              <w:left w:val="single" w:sz="4" w:space="0" w:color="000000"/>
              <w:right w:val="single" w:sz="4" w:space="0" w:color="000000"/>
            </w:tcBorders>
          </w:tcPr>
          <w:p>
            <w:pPr>
              <w:pStyle w:val="TableParagraph"/>
              <w:jc w:val="left"/>
              <w:rPr>
                <w:sz w:val="20"/>
              </w:rPr>
            </w:pPr>
          </w:p>
          <w:p>
            <w:pPr>
              <w:pStyle w:val="TableParagraph"/>
              <w:spacing w:before="146"/>
              <w:ind w:left="334" w:firstLine="122"/>
              <w:jc w:val="left"/>
              <w:rPr>
                <w:sz w:val="20"/>
              </w:rPr>
            </w:pPr>
            <w:r>
              <w:rPr>
                <w:sz w:val="20"/>
              </w:rPr>
              <w:t>Carga </w:t>
            </w:r>
            <w:r>
              <w:rPr>
                <w:w w:val="95"/>
                <w:sz w:val="20"/>
              </w:rPr>
              <w:t>subjetiva</w:t>
            </w:r>
          </w:p>
        </w:tc>
        <w:tc>
          <w:tcPr>
            <w:tcW w:w="2312" w:type="dxa"/>
            <w:tcBorders>
              <w:top w:val="single" w:sz="4" w:space="0" w:color="000000"/>
              <w:left w:val="single" w:sz="4" w:space="0" w:color="000000"/>
              <w:bottom w:val="single" w:sz="4" w:space="0" w:color="000000"/>
              <w:right w:val="single" w:sz="4" w:space="0" w:color="000000"/>
            </w:tcBorders>
          </w:tcPr>
          <w:p>
            <w:pPr>
              <w:pStyle w:val="TableParagraph"/>
              <w:spacing w:before="86"/>
              <w:ind w:left="136" w:right="135"/>
              <w:rPr>
                <w:sz w:val="20"/>
              </w:rPr>
            </w:pPr>
            <w:r>
              <w:rPr>
                <w:sz w:val="20"/>
              </w:rPr>
              <w:t>Relación interpersonal</w:t>
            </w:r>
          </w:p>
        </w:tc>
        <w:tc>
          <w:tcPr>
            <w:tcW w:w="3598" w:type="dxa"/>
            <w:tcBorders>
              <w:top w:val="single" w:sz="4" w:space="0" w:color="000000"/>
              <w:left w:val="single" w:sz="4" w:space="0" w:color="000000"/>
              <w:bottom w:val="single" w:sz="4" w:space="0" w:color="000000"/>
            </w:tcBorders>
          </w:tcPr>
          <w:p>
            <w:pPr>
              <w:pStyle w:val="TableParagraph"/>
              <w:spacing w:before="86"/>
              <w:ind w:left="215" w:right="206"/>
              <w:rPr>
                <w:sz w:val="20"/>
              </w:rPr>
            </w:pPr>
            <w:r>
              <w:rPr>
                <w:sz w:val="20"/>
              </w:rPr>
              <w:t>1,4,5,6,9,13</w:t>
            </w:r>
          </w:p>
        </w:tc>
      </w:tr>
      <w:tr>
        <w:trPr>
          <w:trHeight w:val="826" w:hRule="exact"/>
        </w:trPr>
        <w:tc>
          <w:tcPr>
            <w:tcW w:w="1116" w:type="dxa"/>
            <w:vMerge/>
            <w:tcBorders>
              <w:right w:val="single" w:sz="4" w:space="0" w:color="000000"/>
            </w:tcBorders>
          </w:tcPr>
          <w:p>
            <w:pPr/>
          </w:p>
        </w:tc>
        <w:tc>
          <w:tcPr>
            <w:tcW w:w="1467" w:type="dxa"/>
            <w:vMerge/>
            <w:tcBorders>
              <w:left w:val="single" w:sz="4" w:space="0" w:color="000000"/>
              <w:right w:val="single" w:sz="4" w:space="0" w:color="000000"/>
            </w:tcBorders>
          </w:tcPr>
          <w:p>
            <w:pPr/>
          </w:p>
        </w:tc>
        <w:tc>
          <w:tcPr>
            <w:tcW w:w="2312" w:type="dxa"/>
            <w:tcBorders>
              <w:top w:val="single" w:sz="4" w:space="0" w:color="000000"/>
              <w:left w:val="single" w:sz="4" w:space="0" w:color="000000"/>
              <w:right w:val="single" w:sz="4" w:space="0" w:color="000000"/>
            </w:tcBorders>
          </w:tcPr>
          <w:p>
            <w:pPr>
              <w:pStyle w:val="TableParagraph"/>
              <w:spacing w:before="179"/>
              <w:ind w:left="619" w:right="422" w:hanging="171"/>
              <w:jc w:val="left"/>
              <w:rPr>
                <w:sz w:val="20"/>
              </w:rPr>
            </w:pPr>
            <w:r>
              <w:rPr>
                <w:sz w:val="20"/>
              </w:rPr>
              <w:t>Expectativas de autoeficacia</w:t>
            </w:r>
          </w:p>
        </w:tc>
        <w:tc>
          <w:tcPr>
            <w:tcW w:w="3598" w:type="dxa"/>
            <w:tcBorders>
              <w:top w:val="single" w:sz="4" w:space="0" w:color="000000"/>
              <w:left w:val="single" w:sz="4" w:space="0" w:color="000000"/>
            </w:tcBorders>
          </w:tcPr>
          <w:p>
            <w:pPr>
              <w:pStyle w:val="TableParagraph"/>
              <w:spacing w:before="7"/>
              <w:jc w:val="left"/>
              <w:rPr>
                <w:sz w:val="25"/>
              </w:rPr>
            </w:pPr>
          </w:p>
          <w:p>
            <w:pPr>
              <w:pStyle w:val="TableParagraph"/>
              <w:ind w:left="215" w:right="205"/>
              <w:rPr>
                <w:sz w:val="20"/>
              </w:rPr>
            </w:pPr>
            <w:r>
              <w:rPr>
                <w:sz w:val="20"/>
              </w:rPr>
              <w:t>15,20,21</w:t>
            </w:r>
          </w:p>
        </w:tc>
      </w:tr>
    </w:tbl>
    <w:p>
      <w:pPr>
        <w:spacing w:line="227" w:lineRule="exact" w:before="0"/>
        <w:ind w:left="680" w:right="0" w:firstLine="0"/>
        <w:jc w:val="both"/>
        <w:rPr>
          <w:sz w:val="20"/>
        </w:rPr>
      </w:pPr>
      <w:r>
        <w:rPr>
          <w:sz w:val="20"/>
        </w:rPr>
        <w:t>Fuente: Torrealba y Yépez, 2012.</w:t>
      </w:r>
    </w:p>
    <w:p>
      <w:pPr>
        <w:pStyle w:val="BodyText"/>
        <w:rPr>
          <w:sz w:val="20"/>
        </w:rPr>
      </w:pPr>
    </w:p>
    <w:p>
      <w:pPr>
        <w:pStyle w:val="BodyText"/>
        <w:rPr>
          <w:sz w:val="26"/>
        </w:rPr>
      </w:pPr>
    </w:p>
    <w:p>
      <w:pPr>
        <w:pStyle w:val="BodyText"/>
        <w:spacing w:line="360" w:lineRule="auto"/>
        <w:ind w:left="625" w:right="255"/>
        <w:jc w:val="both"/>
      </w:pPr>
      <w:r>
        <w:rPr/>
        <w:t>A su vez las dimensiones y factores han sido igual objeto de estudio y de validación, aunque son pocos los estudios que contemplen su análisis. Por  otra parte Alpuche et al. (2008), realizó un análisis de dichos factores, obteniendo porcentaje de varianza e índice de confiabilidad Alfa de</w:t>
      </w:r>
      <w:r>
        <w:rPr>
          <w:spacing w:val="-35"/>
        </w:rPr>
        <w:t> </w:t>
      </w:r>
      <w:r>
        <w:rPr/>
        <w:t>Cronbach.</w:t>
      </w:r>
    </w:p>
    <w:p>
      <w:pPr>
        <w:pStyle w:val="BodyText"/>
      </w:pPr>
    </w:p>
    <w:p>
      <w:pPr>
        <w:spacing w:before="138"/>
        <w:ind w:left="625" w:right="0" w:firstLine="0"/>
        <w:jc w:val="both"/>
        <w:rPr>
          <w:sz w:val="20"/>
        </w:rPr>
      </w:pPr>
      <w:r>
        <w:rPr>
          <w:b/>
          <w:sz w:val="20"/>
        </w:rPr>
        <w:t>Cuadro No.5</w:t>
      </w:r>
      <w:r>
        <w:rPr>
          <w:sz w:val="20"/>
        </w:rPr>
        <w:t>. Estructura factorial, varianza porcentual y confiabilidad de la ECCZ</w:t>
      </w:r>
    </w:p>
    <w:p>
      <w:pPr>
        <w:pStyle w:val="BodyText"/>
        <w:spacing w:before="5"/>
        <w:rPr>
          <w:sz w:val="10"/>
        </w:rPr>
      </w:pPr>
    </w:p>
    <w:tbl>
      <w:tblPr>
        <w:tblW w:w="0" w:type="auto"/>
        <w:jc w:val="left"/>
        <w:tblInd w:w="66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017"/>
        <w:gridCol w:w="3255"/>
        <w:gridCol w:w="963"/>
        <w:gridCol w:w="1186"/>
        <w:gridCol w:w="1073"/>
      </w:tblGrid>
      <w:tr>
        <w:trPr>
          <w:trHeight w:val="824" w:hRule="exact"/>
        </w:trPr>
        <w:tc>
          <w:tcPr>
            <w:tcW w:w="2017" w:type="dxa"/>
            <w:tcBorders>
              <w:bottom w:val="single" w:sz="4" w:space="0" w:color="000000"/>
              <w:right w:val="single" w:sz="4" w:space="0" w:color="000000"/>
            </w:tcBorders>
            <w:shd w:val="clear" w:color="auto" w:fill="DBE4F0"/>
          </w:tcPr>
          <w:p>
            <w:pPr>
              <w:pStyle w:val="TableParagraph"/>
              <w:spacing w:before="8"/>
              <w:jc w:val="left"/>
              <w:rPr>
                <w:sz w:val="24"/>
              </w:rPr>
            </w:pPr>
          </w:p>
          <w:p>
            <w:pPr>
              <w:pStyle w:val="TableParagraph"/>
              <w:ind w:left="666" w:right="679"/>
              <w:rPr>
                <w:b/>
                <w:sz w:val="20"/>
              </w:rPr>
            </w:pPr>
            <w:r>
              <w:rPr>
                <w:b/>
                <w:sz w:val="20"/>
              </w:rPr>
              <w:t>Factor</w:t>
            </w:r>
          </w:p>
        </w:tc>
        <w:tc>
          <w:tcPr>
            <w:tcW w:w="3255" w:type="dxa"/>
            <w:tcBorders>
              <w:left w:val="single" w:sz="4" w:space="0" w:color="000000"/>
              <w:bottom w:val="single" w:sz="4" w:space="0" w:color="000000"/>
              <w:right w:val="single" w:sz="4" w:space="0" w:color="000000"/>
            </w:tcBorders>
            <w:shd w:val="clear" w:color="auto" w:fill="DBE4F0"/>
          </w:tcPr>
          <w:p>
            <w:pPr>
              <w:pStyle w:val="TableParagraph"/>
              <w:spacing w:before="8"/>
              <w:jc w:val="left"/>
              <w:rPr>
                <w:sz w:val="24"/>
              </w:rPr>
            </w:pPr>
          </w:p>
          <w:p>
            <w:pPr>
              <w:pStyle w:val="TableParagraph"/>
              <w:ind w:left="43" w:right="43"/>
              <w:rPr>
                <w:b/>
                <w:sz w:val="20"/>
              </w:rPr>
            </w:pPr>
            <w:r>
              <w:rPr>
                <w:b/>
                <w:sz w:val="20"/>
              </w:rPr>
              <w:t>ÍTEMS</w:t>
            </w:r>
          </w:p>
        </w:tc>
        <w:tc>
          <w:tcPr>
            <w:tcW w:w="963" w:type="dxa"/>
            <w:tcBorders>
              <w:left w:val="single" w:sz="4" w:space="0" w:color="000000"/>
              <w:bottom w:val="single" w:sz="4" w:space="0" w:color="000000"/>
              <w:right w:val="single" w:sz="4" w:space="0" w:color="000000"/>
            </w:tcBorders>
            <w:shd w:val="clear" w:color="auto" w:fill="DBE4F0"/>
          </w:tcPr>
          <w:p>
            <w:pPr>
              <w:pStyle w:val="TableParagraph"/>
              <w:spacing w:before="169"/>
              <w:ind w:left="64" w:right="46" w:firstLine="177"/>
              <w:jc w:val="left"/>
              <w:rPr>
                <w:b/>
                <w:sz w:val="20"/>
              </w:rPr>
            </w:pPr>
            <w:r>
              <w:rPr>
                <w:b/>
                <w:sz w:val="20"/>
              </w:rPr>
              <w:t>% de Varianza</w:t>
            </w:r>
          </w:p>
        </w:tc>
        <w:tc>
          <w:tcPr>
            <w:tcW w:w="1186" w:type="dxa"/>
            <w:tcBorders>
              <w:left w:val="single" w:sz="4" w:space="0" w:color="000000"/>
              <w:bottom w:val="single" w:sz="4" w:space="0" w:color="000000"/>
              <w:right w:val="single" w:sz="4" w:space="0" w:color="000000"/>
            </w:tcBorders>
            <w:shd w:val="clear" w:color="auto" w:fill="DBE4F0"/>
          </w:tcPr>
          <w:p>
            <w:pPr>
              <w:pStyle w:val="TableParagraph"/>
              <w:spacing w:before="53"/>
              <w:ind w:left="70" w:right="73"/>
              <w:rPr>
                <w:b/>
                <w:sz w:val="20"/>
              </w:rPr>
            </w:pPr>
            <w:r>
              <w:rPr>
                <w:b/>
                <w:sz w:val="20"/>
              </w:rPr>
              <w:t>% de varianza </w:t>
            </w:r>
            <w:r>
              <w:rPr>
                <w:b/>
                <w:w w:val="95"/>
                <w:sz w:val="20"/>
              </w:rPr>
              <w:t>acumulada</w:t>
            </w:r>
          </w:p>
        </w:tc>
        <w:tc>
          <w:tcPr>
            <w:tcW w:w="1073" w:type="dxa"/>
            <w:tcBorders>
              <w:left w:val="single" w:sz="4" w:space="0" w:color="000000"/>
              <w:bottom w:val="single" w:sz="4" w:space="0" w:color="000000"/>
            </w:tcBorders>
            <w:shd w:val="clear" w:color="auto" w:fill="DBE4F0"/>
          </w:tcPr>
          <w:p>
            <w:pPr>
              <w:pStyle w:val="TableParagraph"/>
              <w:spacing w:before="169"/>
              <w:ind w:left="64" w:firstLine="134"/>
              <w:jc w:val="left"/>
              <w:rPr>
                <w:b/>
                <w:sz w:val="20"/>
              </w:rPr>
            </w:pPr>
            <w:r>
              <w:rPr>
                <w:b/>
                <w:sz w:val="20"/>
              </w:rPr>
              <w:t>Alfa de </w:t>
            </w:r>
            <w:r>
              <w:rPr>
                <w:b/>
                <w:w w:val="95"/>
                <w:sz w:val="20"/>
              </w:rPr>
              <w:t>Cronbach</w:t>
            </w:r>
          </w:p>
        </w:tc>
      </w:tr>
      <w:tr>
        <w:trPr>
          <w:trHeight w:val="547" w:hRule="exact"/>
        </w:trPr>
        <w:tc>
          <w:tcPr>
            <w:tcW w:w="2017" w:type="dxa"/>
            <w:tcBorders>
              <w:top w:val="single" w:sz="4" w:space="0" w:color="000000"/>
              <w:bottom w:val="single" w:sz="4" w:space="0" w:color="000000"/>
              <w:right w:val="single" w:sz="4" w:space="0" w:color="000000"/>
            </w:tcBorders>
          </w:tcPr>
          <w:p>
            <w:pPr>
              <w:pStyle w:val="TableParagraph"/>
              <w:spacing w:before="35"/>
              <w:ind w:left="640" w:right="374" w:hanging="260"/>
              <w:jc w:val="left"/>
              <w:rPr>
                <w:sz w:val="20"/>
              </w:rPr>
            </w:pPr>
            <w:r>
              <w:rPr>
                <w:sz w:val="20"/>
              </w:rPr>
              <w:t>1.-Impacto de cuidado</w:t>
            </w:r>
          </w:p>
        </w:tc>
        <w:tc>
          <w:tcPr>
            <w:tcW w:w="3255" w:type="dxa"/>
            <w:tcBorders>
              <w:top w:val="single" w:sz="4" w:space="0" w:color="000000"/>
              <w:left w:val="single" w:sz="4" w:space="0" w:color="000000"/>
              <w:bottom w:val="single" w:sz="4" w:space="0" w:color="000000"/>
              <w:right w:val="single" w:sz="4" w:space="0" w:color="000000"/>
            </w:tcBorders>
          </w:tcPr>
          <w:p>
            <w:pPr>
              <w:pStyle w:val="TableParagraph"/>
              <w:spacing w:before="151"/>
              <w:ind w:left="43" w:right="47"/>
              <w:rPr>
                <w:sz w:val="20"/>
              </w:rPr>
            </w:pPr>
            <w:r>
              <w:rPr>
                <w:sz w:val="20"/>
              </w:rPr>
              <w:t>2,3,7,8,10,11,12,14,16,17,18,19,22</w:t>
            </w:r>
          </w:p>
        </w:tc>
        <w:tc>
          <w:tcPr>
            <w:tcW w:w="963" w:type="dxa"/>
            <w:tcBorders>
              <w:top w:val="single" w:sz="4" w:space="0" w:color="000000"/>
              <w:left w:val="single" w:sz="4" w:space="0" w:color="000000"/>
              <w:bottom w:val="single" w:sz="4" w:space="0" w:color="000000"/>
              <w:right w:val="single" w:sz="4" w:space="0" w:color="000000"/>
            </w:tcBorders>
          </w:tcPr>
          <w:p>
            <w:pPr>
              <w:pStyle w:val="TableParagraph"/>
              <w:spacing w:before="151"/>
              <w:ind w:right="284"/>
              <w:jc w:val="right"/>
              <w:rPr>
                <w:sz w:val="20"/>
              </w:rPr>
            </w:pPr>
            <w:r>
              <w:rPr>
                <w:sz w:val="20"/>
              </w:rPr>
              <w:t>24.5</w:t>
            </w:r>
          </w:p>
        </w:tc>
        <w:tc>
          <w:tcPr>
            <w:tcW w:w="1186" w:type="dxa"/>
            <w:tcBorders>
              <w:top w:val="single" w:sz="4" w:space="0" w:color="000000"/>
              <w:left w:val="single" w:sz="4" w:space="0" w:color="000000"/>
              <w:bottom w:val="single" w:sz="4" w:space="0" w:color="000000"/>
              <w:right w:val="single" w:sz="4" w:space="0" w:color="000000"/>
            </w:tcBorders>
          </w:tcPr>
          <w:p>
            <w:pPr>
              <w:pStyle w:val="TableParagraph"/>
              <w:spacing w:before="151"/>
              <w:ind w:left="68" w:right="73"/>
              <w:rPr>
                <w:sz w:val="20"/>
              </w:rPr>
            </w:pPr>
            <w:r>
              <w:rPr>
                <w:sz w:val="20"/>
              </w:rPr>
              <w:t>24.5</w:t>
            </w:r>
          </w:p>
        </w:tc>
        <w:tc>
          <w:tcPr>
            <w:tcW w:w="1073" w:type="dxa"/>
            <w:tcBorders>
              <w:top w:val="single" w:sz="4" w:space="0" w:color="000000"/>
              <w:left w:val="single" w:sz="4" w:space="0" w:color="000000"/>
              <w:bottom w:val="single" w:sz="4" w:space="0" w:color="000000"/>
            </w:tcBorders>
          </w:tcPr>
          <w:p>
            <w:pPr>
              <w:pStyle w:val="TableParagraph"/>
              <w:spacing w:before="151"/>
              <w:ind w:left="314" w:right="310"/>
              <w:rPr>
                <w:sz w:val="20"/>
              </w:rPr>
            </w:pPr>
            <w:r>
              <w:rPr>
                <w:sz w:val="20"/>
              </w:rPr>
              <w:t>0.88</w:t>
            </w:r>
          </w:p>
        </w:tc>
      </w:tr>
      <w:tr>
        <w:trPr>
          <w:trHeight w:val="497" w:hRule="exact"/>
        </w:trPr>
        <w:tc>
          <w:tcPr>
            <w:tcW w:w="2017" w:type="dxa"/>
            <w:tcBorders>
              <w:top w:val="single" w:sz="4" w:space="0" w:color="000000"/>
              <w:bottom w:val="single" w:sz="4" w:space="0" w:color="000000"/>
              <w:right w:val="single" w:sz="4" w:space="0" w:color="000000"/>
            </w:tcBorders>
          </w:tcPr>
          <w:p>
            <w:pPr>
              <w:pStyle w:val="TableParagraph"/>
              <w:spacing w:before="11"/>
              <w:ind w:left="412" w:right="374" w:firstLine="74"/>
              <w:jc w:val="left"/>
              <w:rPr>
                <w:sz w:val="20"/>
              </w:rPr>
            </w:pPr>
            <w:r>
              <w:rPr>
                <w:sz w:val="20"/>
              </w:rPr>
              <w:t>2.-Relación </w:t>
            </w:r>
            <w:r>
              <w:rPr>
                <w:w w:val="95"/>
                <w:sz w:val="20"/>
              </w:rPr>
              <w:t>interpersonal</w:t>
            </w:r>
          </w:p>
        </w:tc>
        <w:tc>
          <w:tcPr>
            <w:tcW w:w="3255" w:type="dxa"/>
            <w:tcBorders>
              <w:top w:val="single" w:sz="4" w:space="0" w:color="000000"/>
              <w:left w:val="single" w:sz="4" w:space="0" w:color="000000"/>
              <w:bottom w:val="single" w:sz="4" w:space="0" w:color="000000"/>
              <w:right w:val="single" w:sz="4" w:space="0" w:color="000000"/>
            </w:tcBorders>
          </w:tcPr>
          <w:p>
            <w:pPr>
              <w:pStyle w:val="TableParagraph"/>
              <w:spacing w:before="127"/>
              <w:ind w:left="42" w:right="47"/>
              <w:rPr>
                <w:sz w:val="20"/>
              </w:rPr>
            </w:pPr>
            <w:r>
              <w:rPr>
                <w:sz w:val="20"/>
              </w:rPr>
              <w:t>1,4,5,6,9,13</w:t>
            </w:r>
          </w:p>
        </w:tc>
        <w:tc>
          <w:tcPr>
            <w:tcW w:w="963" w:type="dxa"/>
            <w:tcBorders>
              <w:top w:val="single" w:sz="4" w:space="0" w:color="000000"/>
              <w:left w:val="single" w:sz="4" w:space="0" w:color="000000"/>
              <w:bottom w:val="single" w:sz="4" w:space="0" w:color="000000"/>
              <w:right w:val="single" w:sz="4" w:space="0" w:color="000000"/>
            </w:tcBorders>
          </w:tcPr>
          <w:p>
            <w:pPr>
              <w:pStyle w:val="TableParagraph"/>
              <w:spacing w:before="127"/>
              <w:ind w:right="284"/>
              <w:jc w:val="right"/>
              <w:rPr>
                <w:sz w:val="20"/>
              </w:rPr>
            </w:pPr>
            <w:r>
              <w:rPr>
                <w:sz w:val="20"/>
              </w:rPr>
              <w:t>16.3</w:t>
            </w:r>
          </w:p>
        </w:tc>
        <w:tc>
          <w:tcPr>
            <w:tcW w:w="1186" w:type="dxa"/>
            <w:tcBorders>
              <w:top w:val="single" w:sz="4" w:space="0" w:color="000000"/>
              <w:left w:val="single" w:sz="4" w:space="0" w:color="000000"/>
              <w:bottom w:val="single" w:sz="4" w:space="0" w:color="000000"/>
              <w:right w:val="single" w:sz="4" w:space="0" w:color="000000"/>
            </w:tcBorders>
          </w:tcPr>
          <w:p>
            <w:pPr>
              <w:pStyle w:val="TableParagraph"/>
              <w:spacing w:before="127"/>
              <w:ind w:left="68" w:right="73"/>
              <w:rPr>
                <w:sz w:val="20"/>
              </w:rPr>
            </w:pPr>
            <w:r>
              <w:rPr>
                <w:sz w:val="20"/>
              </w:rPr>
              <w:t>40.8</w:t>
            </w:r>
          </w:p>
        </w:tc>
        <w:tc>
          <w:tcPr>
            <w:tcW w:w="1073" w:type="dxa"/>
            <w:tcBorders>
              <w:top w:val="single" w:sz="4" w:space="0" w:color="000000"/>
              <w:left w:val="single" w:sz="4" w:space="0" w:color="000000"/>
              <w:bottom w:val="single" w:sz="4" w:space="0" w:color="000000"/>
            </w:tcBorders>
          </w:tcPr>
          <w:p>
            <w:pPr>
              <w:pStyle w:val="TableParagraph"/>
              <w:spacing w:before="127"/>
              <w:ind w:left="314" w:right="310"/>
              <w:rPr>
                <w:sz w:val="20"/>
              </w:rPr>
            </w:pPr>
            <w:r>
              <w:rPr>
                <w:sz w:val="20"/>
              </w:rPr>
              <w:t>0.77</w:t>
            </w:r>
          </w:p>
        </w:tc>
      </w:tr>
      <w:tr>
        <w:trPr>
          <w:trHeight w:val="574" w:hRule="exact"/>
        </w:trPr>
        <w:tc>
          <w:tcPr>
            <w:tcW w:w="2017" w:type="dxa"/>
            <w:tcBorders>
              <w:top w:val="single" w:sz="4" w:space="0" w:color="000000"/>
              <w:right w:val="single" w:sz="4" w:space="0" w:color="000000"/>
            </w:tcBorders>
          </w:tcPr>
          <w:p>
            <w:pPr>
              <w:pStyle w:val="TableParagraph"/>
              <w:spacing w:before="43"/>
              <w:ind w:left="458" w:right="162" w:hanging="288"/>
              <w:jc w:val="left"/>
              <w:rPr>
                <w:sz w:val="20"/>
              </w:rPr>
            </w:pPr>
            <w:r>
              <w:rPr>
                <w:sz w:val="20"/>
              </w:rPr>
              <w:t>3.-Expectativas de autoeficacia</w:t>
            </w:r>
          </w:p>
        </w:tc>
        <w:tc>
          <w:tcPr>
            <w:tcW w:w="3255" w:type="dxa"/>
            <w:tcBorders>
              <w:top w:val="single" w:sz="4" w:space="0" w:color="000000"/>
              <w:left w:val="single" w:sz="4" w:space="0" w:color="000000"/>
              <w:right w:val="single" w:sz="4" w:space="0" w:color="000000"/>
            </w:tcBorders>
          </w:tcPr>
          <w:p>
            <w:pPr>
              <w:pStyle w:val="TableParagraph"/>
              <w:spacing w:before="158"/>
              <w:ind w:left="42" w:right="47"/>
              <w:rPr>
                <w:sz w:val="20"/>
              </w:rPr>
            </w:pPr>
            <w:r>
              <w:rPr>
                <w:sz w:val="20"/>
              </w:rPr>
              <w:t>15,20,21</w:t>
            </w:r>
          </w:p>
        </w:tc>
        <w:tc>
          <w:tcPr>
            <w:tcW w:w="963" w:type="dxa"/>
            <w:tcBorders>
              <w:top w:val="single" w:sz="4" w:space="0" w:color="000000"/>
              <w:left w:val="single" w:sz="4" w:space="0" w:color="000000"/>
              <w:right w:val="single" w:sz="4" w:space="0" w:color="000000"/>
            </w:tcBorders>
          </w:tcPr>
          <w:p>
            <w:pPr>
              <w:pStyle w:val="TableParagraph"/>
              <w:spacing w:before="158"/>
              <w:ind w:right="339"/>
              <w:jc w:val="right"/>
              <w:rPr>
                <w:sz w:val="20"/>
              </w:rPr>
            </w:pPr>
            <w:r>
              <w:rPr>
                <w:sz w:val="20"/>
              </w:rPr>
              <w:t>9.5</w:t>
            </w:r>
          </w:p>
        </w:tc>
        <w:tc>
          <w:tcPr>
            <w:tcW w:w="1186" w:type="dxa"/>
            <w:tcBorders>
              <w:top w:val="single" w:sz="4" w:space="0" w:color="000000"/>
              <w:left w:val="single" w:sz="4" w:space="0" w:color="000000"/>
              <w:right w:val="single" w:sz="4" w:space="0" w:color="000000"/>
            </w:tcBorders>
          </w:tcPr>
          <w:p>
            <w:pPr>
              <w:pStyle w:val="TableParagraph"/>
              <w:spacing w:before="158"/>
              <w:ind w:left="68" w:right="73"/>
              <w:rPr>
                <w:sz w:val="20"/>
              </w:rPr>
            </w:pPr>
            <w:r>
              <w:rPr>
                <w:sz w:val="20"/>
              </w:rPr>
              <w:t>50.4</w:t>
            </w:r>
          </w:p>
        </w:tc>
        <w:tc>
          <w:tcPr>
            <w:tcW w:w="1073" w:type="dxa"/>
            <w:tcBorders>
              <w:top w:val="single" w:sz="4" w:space="0" w:color="000000"/>
              <w:left w:val="single" w:sz="4" w:space="0" w:color="000000"/>
            </w:tcBorders>
          </w:tcPr>
          <w:p>
            <w:pPr>
              <w:pStyle w:val="TableParagraph"/>
              <w:spacing w:before="158"/>
              <w:ind w:left="314" w:right="310"/>
              <w:rPr>
                <w:sz w:val="20"/>
              </w:rPr>
            </w:pPr>
            <w:r>
              <w:rPr>
                <w:sz w:val="20"/>
              </w:rPr>
              <w:t>0.64</w:t>
            </w:r>
          </w:p>
        </w:tc>
      </w:tr>
    </w:tbl>
    <w:p>
      <w:pPr>
        <w:spacing w:line="227" w:lineRule="exact" w:before="0"/>
        <w:ind w:left="680" w:right="160" w:firstLine="0"/>
        <w:jc w:val="left"/>
        <w:rPr>
          <w:sz w:val="20"/>
        </w:rPr>
      </w:pPr>
      <w:r>
        <w:rPr>
          <w:sz w:val="20"/>
        </w:rPr>
        <w:t>Fuente: Alpuche et al. 2008.</w:t>
      </w:r>
    </w:p>
    <w:p>
      <w:pPr>
        <w:spacing w:after="0" w:line="227" w:lineRule="exact"/>
        <w:jc w:val="left"/>
        <w:rPr>
          <w:sz w:val="20"/>
        </w:rPr>
        <w:sectPr>
          <w:pgSz w:w="12250" w:h="15850"/>
          <w:pgMar w:header="748" w:footer="1122" w:top="1260" w:bottom="1320" w:left="1720" w:right="120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233"/>
        <w:jc w:val="both"/>
      </w:pPr>
      <w:r>
        <w:rPr/>
        <w:t>De acuerdo con Montorio et al. (1998), el factor “impacto del cuidado” hace referencia a “aquellas cuestiones relacionadas con los efectos que la prestación de cuidados de un familiar mayor tiene para el cuidador: falta de tiempo libre, falta de intimidad, deterioro de la vida social, sensación de  pérdida de control de su vida, deterioro de salud, etc.” (Montorio et al.1998), en base a lo anterior se puede concluir que la subdimensión impacto del cuidado hace referencia a las diferentes restricciones sociales y de impacto directo en la salud del cuidador, siendo este factor el que abarca la mayoría de los ítems de la escala de</w:t>
      </w:r>
      <w:r>
        <w:rPr>
          <w:spacing w:val="-10"/>
        </w:rPr>
        <w:t> </w:t>
      </w:r>
      <w:r>
        <w:rPr/>
        <w:t>Zarit.</w:t>
      </w:r>
    </w:p>
    <w:p>
      <w:pPr>
        <w:pStyle w:val="BodyText"/>
      </w:pPr>
    </w:p>
    <w:p>
      <w:pPr>
        <w:pStyle w:val="BodyText"/>
        <w:spacing w:line="360" w:lineRule="auto" w:before="142"/>
        <w:ind w:left="625" w:right="232"/>
        <w:jc w:val="both"/>
      </w:pPr>
      <w:r>
        <w:rPr/>
        <w:t>El factor relación interpersonal “está representado por aquellos elementos referidos a la relación que el cuidador mantiene con la persona mayor cuidada, deseo de delegar el cuidado en otros, sentimientos de vergüenza, enfado o tensión hacia su familiar o sentimientos de indecisión acerca del cuidado” (Montorio et al.1998), esta subdimensión refleja los sentimientos que pueden llegar a surgir a consecuencia del cuidado prolongado, los cuales pueden tornarse negativos como el enojo, además de la sensación de abandono y escape a la situación por parte del cuidador.</w:t>
      </w:r>
    </w:p>
    <w:p>
      <w:pPr>
        <w:pStyle w:val="BodyText"/>
      </w:pPr>
    </w:p>
    <w:p>
      <w:pPr>
        <w:pStyle w:val="BodyText"/>
        <w:spacing w:line="360" w:lineRule="auto" w:before="142"/>
        <w:ind w:left="625" w:right="228"/>
        <w:jc w:val="both"/>
      </w:pPr>
      <w:r>
        <w:rPr/>
        <w:t>La expectativa de autoeficacia es el factor que “refleja creencias del cuidador sobre su capacidad para cuidar a su familiar, el deber de hacerlo, la falta de recursos económicos para poder cuidar a su familiar adecuadamente o la expectativa de no poder seguir prestando cuidados por mucho más tiempo” (Montorio et al.1998); tomando lo descrito, se puede determinar que éste es la subdimensión que refleja la perspectiva que tiene el cuidador ante el futuro, vinculado al desgaste económico.</w:t>
      </w:r>
    </w:p>
    <w:p>
      <w:pPr>
        <w:pStyle w:val="BodyText"/>
      </w:pPr>
    </w:p>
    <w:p>
      <w:pPr>
        <w:pStyle w:val="BodyText"/>
        <w:spacing w:line="360" w:lineRule="auto" w:before="142"/>
        <w:ind w:left="625" w:right="114"/>
        <w:jc w:val="both"/>
      </w:pPr>
      <w:r>
        <w:rPr/>
        <w:t>Lo descrito por Montorio el at. en 1998, acerca de las 3  subdimensiones, perdura ya que a pesar de existir números estudios acerca de la sobrecarga del cuidador, que han tomado de referencia la escala de Zarit, con respecto a lo</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15"/>
        <w:jc w:val="both"/>
      </w:pPr>
      <w:r>
        <w:rPr/>
        <w:t>anterior Alpuche et al en 2008, refiere los mismos conceptos de cada  dimensión, lo que refleja, no se han explorado debidamente esta subdimensiones, dificultando un análisis más</w:t>
      </w:r>
      <w:r>
        <w:rPr>
          <w:spacing w:val="-24"/>
        </w:rPr>
        <w:t> </w:t>
      </w:r>
      <w:r>
        <w:rPr/>
        <w:t>detallado.</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Heading3"/>
        <w:ind w:right="1608"/>
        <w:rPr>
          <w:i/>
        </w:rPr>
      </w:pPr>
      <w:r>
        <w:rPr>
          <w:i/>
        </w:rPr>
        <w:t>Metodología</w:t>
      </w:r>
    </w:p>
    <w:p>
      <w:pPr>
        <w:pStyle w:val="BodyText"/>
        <w:rPr>
          <w:b/>
          <w:i/>
        </w:rPr>
      </w:pPr>
    </w:p>
    <w:p>
      <w:pPr>
        <w:pStyle w:val="BodyText"/>
        <w:rPr>
          <w:b/>
          <w:i/>
        </w:rPr>
      </w:pPr>
    </w:p>
    <w:p>
      <w:pPr>
        <w:pStyle w:val="BodyText"/>
        <w:spacing w:line="360" w:lineRule="auto"/>
        <w:ind w:left="625" w:right="134"/>
        <w:jc w:val="both"/>
      </w:pPr>
      <w:r>
        <w:rPr/>
        <w:t>La presente investigación se diseño bajo un enfoque cuantitativo transversal y alcance descriptivo. De acuerdo con Pita y Pertegas (2002), la investigación cuantitativa es aquella en la que se recogen y analizan datos cuantitativos sobre variables, se trata de determinar la fuerza de asociación o correlación entre variables, la generalización y objetivación de los resultados a través de una muestra para hacer inferencia a una</w:t>
      </w:r>
      <w:r>
        <w:rPr>
          <w:spacing w:val="-22"/>
        </w:rPr>
        <w:t> </w:t>
      </w:r>
      <w:r>
        <w:rPr/>
        <w:t>población.</w:t>
      </w:r>
    </w:p>
    <w:p>
      <w:pPr>
        <w:pStyle w:val="BodyText"/>
      </w:pPr>
    </w:p>
    <w:p>
      <w:pPr>
        <w:pStyle w:val="ListParagraph"/>
        <w:numPr>
          <w:ilvl w:val="1"/>
          <w:numId w:val="2"/>
        </w:numPr>
        <w:tabs>
          <w:tab w:pos="1345" w:val="left" w:leader="none"/>
          <w:tab w:pos="1346" w:val="left" w:leader="none"/>
        </w:tabs>
        <w:spacing w:line="240" w:lineRule="auto" w:before="142" w:after="0"/>
        <w:ind w:left="1345" w:right="0" w:hanging="360"/>
        <w:jc w:val="left"/>
        <w:rPr>
          <w:sz w:val="24"/>
        </w:rPr>
      </w:pPr>
      <w:r>
        <w:rPr>
          <w:sz w:val="24"/>
        </w:rPr>
        <w:t>Población y</w:t>
      </w:r>
      <w:r>
        <w:rPr>
          <w:spacing w:val="-6"/>
          <w:sz w:val="24"/>
        </w:rPr>
        <w:t> </w:t>
      </w:r>
      <w:r>
        <w:rPr>
          <w:sz w:val="24"/>
        </w:rPr>
        <w:t>muestra</w:t>
      </w:r>
    </w:p>
    <w:p>
      <w:pPr>
        <w:pStyle w:val="BodyText"/>
      </w:pPr>
    </w:p>
    <w:p>
      <w:pPr>
        <w:pStyle w:val="BodyText"/>
        <w:spacing w:before="9"/>
        <w:rPr>
          <w:sz w:val="23"/>
        </w:rPr>
      </w:pPr>
    </w:p>
    <w:p>
      <w:pPr>
        <w:pStyle w:val="BodyText"/>
        <w:spacing w:line="360" w:lineRule="auto"/>
        <w:ind w:left="625" w:right="138"/>
        <w:jc w:val="both"/>
      </w:pPr>
      <w:r>
        <w:rPr/>
        <w:t>La población se conformó por familiares que asistían a un paciente adulto mayor hospitalizado en el servicio de medicina interna, en un hospital público de segundo nivel en México, Distrito Federal; finalmente, la muestra se constituyó de 30 participantes, seleccionados de manera no probabilística, por conveniencia, ya que las características del sujeto de estudio no estaban presentes en totalidad de la</w:t>
      </w:r>
      <w:r>
        <w:rPr>
          <w:spacing w:val="-14"/>
        </w:rPr>
        <w:t> </w:t>
      </w:r>
      <w:r>
        <w:rPr/>
        <w:t>población.</w:t>
      </w:r>
    </w:p>
    <w:p>
      <w:pPr>
        <w:pStyle w:val="BodyText"/>
      </w:pPr>
    </w:p>
    <w:p>
      <w:pPr>
        <w:pStyle w:val="ListParagraph"/>
        <w:numPr>
          <w:ilvl w:val="0"/>
          <w:numId w:val="3"/>
        </w:numPr>
        <w:tabs>
          <w:tab w:pos="1395" w:val="left" w:leader="none"/>
          <w:tab w:pos="1396" w:val="left" w:leader="none"/>
        </w:tabs>
        <w:spacing w:line="240" w:lineRule="auto" w:before="142" w:after="0"/>
        <w:ind w:left="1395" w:right="0" w:hanging="439"/>
        <w:jc w:val="left"/>
        <w:rPr>
          <w:sz w:val="24"/>
        </w:rPr>
      </w:pPr>
      <w:r>
        <w:rPr>
          <w:sz w:val="24"/>
        </w:rPr>
        <w:t>Criterios de</w:t>
      </w:r>
      <w:r>
        <w:rPr>
          <w:spacing w:val="-5"/>
          <w:sz w:val="24"/>
        </w:rPr>
        <w:t> </w:t>
      </w:r>
      <w:r>
        <w:rPr>
          <w:sz w:val="24"/>
        </w:rPr>
        <w:t>inclusión</w:t>
      </w:r>
    </w:p>
    <w:p>
      <w:pPr>
        <w:pStyle w:val="BodyText"/>
      </w:pPr>
    </w:p>
    <w:p>
      <w:pPr>
        <w:pStyle w:val="BodyText"/>
      </w:pPr>
    </w:p>
    <w:p>
      <w:pPr>
        <w:pStyle w:val="BodyText"/>
        <w:spacing w:line="360" w:lineRule="auto"/>
        <w:ind w:left="625" w:right="138"/>
        <w:jc w:val="both"/>
      </w:pPr>
      <w:r>
        <w:rPr/>
        <w:t>Familiares que desempeñen el rol de cuidador informal primario, que contaran con un paciente adulto mayor hospitalizado en el servicio de medicina interna, de edad mayor de 60 años, con una estancia hospitalaria mínima de 5 días naturales, de género y diagnóstico médico indistintos, que desearan participar en la investigación, además, ser mayores de 18 años; en caso de existir varios cuidadores se eligió a aquel, que dedicará más tiempo al cuidado, tomando como parámetro mínimo 10 horas semanales a la visita intrahospitalaria.</w:t>
      </w:r>
    </w:p>
    <w:p>
      <w:pPr>
        <w:spacing w:after="0" w:line="360" w:lineRule="auto"/>
        <w:jc w:val="both"/>
        <w:sectPr>
          <w:footerReference w:type="default" r:id="rId40"/>
          <w:pgSz w:w="12250" w:h="15850"/>
          <w:pgMar w:footer="1122" w:header="748" w:top="1260" w:bottom="1320" w:left="1720" w:right="1280"/>
          <w:pgNumType w:start="40"/>
        </w:sectPr>
      </w:pPr>
    </w:p>
    <w:p>
      <w:pPr>
        <w:pStyle w:val="BodyText"/>
        <w:rPr>
          <w:sz w:val="20"/>
        </w:rPr>
      </w:pPr>
    </w:p>
    <w:p>
      <w:pPr>
        <w:pStyle w:val="BodyText"/>
        <w:rPr>
          <w:sz w:val="20"/>
        </w:rPr>
      </w:pPr>
    </w:p>
    <w:p>
      <w:pPr>
        <w:pStyle w:val="BodyText"/>
        <w:spacing w:before="5"/>
        <w:rPr>
          <w:sz w:val="21"/>
        </w:rPr>
      </w:pPr>
    </w:p>
    <w:p>
      <w:pPr>
        <w:pStyle w:val="ListParagraph"/>
        <w:numPr>
          <w:ilvl w:val="0"/>
          <w:numId w:val="3"/>
        </w:numPr>
        <w:tabs>
          <w:tab w:pos="1395" w:val="left" w:leader="none"/>
          <w:tab w:pos="1396" w:val="left" w:leader="none"/>
        </w:tabs>
        <w:spacing w:line="240" w:lineRule="auto" w:before="0" w:after="0"/>
        <w:ind w:left="1395" w:right="0" w:hanging="439"/>
        <w:jc w:val="left"/>
        <w:rPr>
          <w:sz w:val="24"/>
        </w:rPr>
      </w:pPr>
      <w:r>
        <w:rPr>
          <w:sz w:val="24"/>
        </w:rPr>
        <w:t>Criterios de</w:t>
      </w:r>
      <w:r>
        <w:rPr>
          <w:spacing w:val="-6"/>
          <w:sz w:val="24"/>
        </w:rPr>
        <w:t> </w:t>
      </w:r>
      <w:r>
        <w:rPr>
          <w:sz w:val="24"/>
        </w:rPr>
        <w:t>exclusión</w:t>
      </w:r>
    </w:p>
    <w:p>
      <w:pPr>
        <w:pStyle w:val="BodyText"/>
      </w:pPr>
    </w:p>
    <w:p>
      <w:pPr>
        <w:pStyle w:val="BodyText"/>
      </w:pPr>
    </w:p>
    <w:p>
      <w:pPr>
        <w:pStyle w:val="BodyText"/>
        <w:spacing w:line="360" w:lineRule="auto"/>
        <w:ind w:left="625" w:right="137"/>
        <w:jc w:val="both"/>
      </w:pPr>
      <w:r>
        <w:rPr/>
        <w:t>Personas que no desearon participar en la investigación, que proporcionaran de manera inadecuada la información requerida, por el instrumento, familiares cuyo paciente se encontrara en categoría 3 de Reanimación Cardio Pulmonar, que contaran con pase de visita de 24 horas, además, se excluyó a las personas que no cumplieron con las características del cuidador informal primario.</w:t>
      </w:r>
    </w:p>
    <w:p>
      <w:pPr>
        <w:pStyle w:val="BodyText"/>
      </w:pPr>
    </w:p>
    <w:p>
      <w:pPr>
        <w:pStyle w:val="ListParagraph"/>
        <w:numPr>
          <w:ilvl w:val="1"/>
          <w:numId w:val="2"/>
        </w:numPr>
        <w:tabs>
          <w:tab w:pos="1345" w:val="left" w:leader="none"/>
          <w:tab w:pos="1346" w:val="left" w:leader="none"/>
        </w:tabs>
        <w:spacing w:line="240" w:lineRule="auto" w:before="142" w:after="0"/>
        <w:ind w:left="1345" w:right="0" w:hanging="360"/>
        <w:jc w:val="left"/>
        <w:rPr>
          <w:sz w:val="24"/>
        </w:rPr>
      </w:pPr>
      <w:r>
        <w:rPr>
          <w:sz w:val="24"/>
        </w:rPr>
        <w:t>Recopilación de</w:t>
      </w:r>
      <w:r>
        <w:rPr>
          <w:spacing w:val="-3"/>
          <w:sz w:val="24"/>
        </w:rPr>
        <w:t> </w:t>
      </w:r>
      <w:r>
        <w:rPr>
          <w:sz w:val="24"/>
        </w:rPr>
        <w:t>datos</w:t>
      </w:r>
    </w:p>
    <w:p>
      <w:pPr>
        <w:pStyle w:val="BodyText"/>
      </w:pPr>
    </w:p>
    <w:p>
      <w:pPr>
        <w:pStyle w:val="BodyText"/>
        <w:spacing w:before="9"/>
        <w:rPr>
          <w:sz w:val="23"/>
        </w:rPr>
      </w:pPr>
    </w:p>
    <w:p>
      <w:pPr>
        <w:pStyle w:val="BodyText"/>
        <w:spacing w:line="360" w:lineRule="auto"/>
        <w:ind w:left="625" w:right="142"/>
        <w:jc w:val="both"/>
      </w:pPr>
      <w:r>
        <w:rPr/>
        <w:t>La recopilación de datos se realizó en base al tema de investigación, utilizando principalmente bases de datos electrónicas como: Redalyc, Scielo, etc. y otros artículos electrónicos de investigación, lo anterior, con el objetivo de contar con la información más actualizada posible.</w:t>
      </w:r>
    </w:p>
    <w:p>
      <w:pPr>
        <w:pStyle w:val="BodyText"/>
      </w:pPr>
    </w:p>
    <w:p>
      <w:pPr>
        <w:pStyle w:val="BodyText"/>
        <w:spacing w:line="360" w:lineRule="auto" w:before="142"/>
        <w:ind w:left="625" w:right="142"/>
        <w:jc w:val="both"/>
      </w:pPr>
      <w:r>
        <w:rPr/>
        <w:t>Para una mayor documentación en torno al tema de investigación,  se estableció comunicación con las diferentes autoridades y compañeros del área de enfermería, trabajo social y área médica del hospital público de segundo nivel en México, Distrito Federal.</w:t>
      </w:r>
    </w:p>
    <w:p>
      <w:pPr>
        <w:pStyle w:val="BodyText"/>
      </w:pPr>
    </w:p>
    <w:p>
      <w:pPr>
        <w:pStyle w:val="ListParagraph"/>
        <w:numPr>
          <w:ilvl w:val="1"/>
          <w:numId w:val="2"/>
        </w:numPr>
        <w:tabs>
          <w:tab w:pos="1345" w:val="left" w:leader="none"/>
          <w:tab w:pos="1346" w:val="left" w:leader="none"/>
        </w:tabs>
        <w:spacing w:line="240" w:lineRule="auto" w:before="142" w:after="0"/>
        <w:ind w:left="1345" w:right="0" w:hanging="360"/>
        <w:jc w:val="left"/>
        <w:rPr>
          <w:sz w:val="24"/>
        </w:rPr>
      </w:pPr>
      <w:r>
        <w:rPr>
          <w:sz w:val="24"/>
        </w:rPr>
        <w:t>Instrumento</w:t>
      </w:r>
    </w:p>
    <w:p>
      <w:pPr>
        <w:pStyle w:val="BodyText"/>
      </w:pPr>
    </w:p>
    <w:p>
      <w:pPr>
        <w:pStyle w:val="BodyText"/>
        <w:spacing w:before="10"/>
        <w:rPr>
          <w:sz w:val="23"/>
        </w:rPr>
      </w:pPr>
    </w:p>
    <w:p>
      <w:pPr>
        <w:pStyle w:val="BodyText"/>
        <w:spacing w:line="360" w:lineRule="auto"/>
        <w:ind w:left="625" w:right="134"/>
        <w:jc w:val="both"/>
      </w:pPr>
      <w:r>
        <w:rPr/>
        <w:t>El instrumento diseñado para cumplir los objetivos de la investigación se divide en cuatro apartados, el primero está conformado por 9 ítems: género, edad, estado civil, escolaridad, religión, número de integrantes con los que habita, ocupación, vivienda e ingreso mensual, fueron tomados para la construcción del perfil sociodemográfico del cuidador informal primario, el segundo se conforma de 5 ítems relevantes a las características generales del paciente adulto mayor, tomando en cuenta género, edad, días de estancia  </w:t>
      </w:r>
      <w:r>
        <w:rPr>
          <w:spacing w:val="11"/>
        </w:rPr>
        <w:t> </w:t>
      </w:r>
      <w:r>
        <w:rPr/>
        <w:t>hospitalaria,</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33"/>
        <w:jc w:val="both"/>
      </w:pPr>
      <w:r>
        <w:rPr/>
        <w:t>diagnóstico médico y número de veces que ha sido hospitalizado en los últimos 6 meses, el tercer apartado se diseñó con 6 ítems abarcando los aspectos parentesco, tiempo que lleva viviendo con el enfermo, tiempo que dedica a la visita hospitalaria, para determinar el desempeño del rol de cuidador dentro de la institución hospitalaria, adicionalmente se le preguntó si es que cuenta con algún apoyo económico y capacitación para desempeñar el cuidado, además de la disposición para participar en un programa educativo, finalmente el último corresponde a la escala de sobrecarga del cuidador de Steven H. Zarit, en su versión adaptada al español, en 1996 por Martín et al. el cual mide el grado de sobrecarga que experimentan los cuidadores, consta de 22 ítems en formato  de pregunta, se estratifica en escala tipo Likert de 5 puntos (1=Nunca; 2=Casi nunca; 3=A veces; 4=Bastantes veces; 5=Casi siempre). (Anexo</w:t>
      </w:r>
      <w:r>
        <w:rPr>
          <w:spacing w:val="-20"/>
        </w:rPr>
        <w:t> </w:t>
      </w:r>
      <w:r>
        <w:rPr/>
        <w:t>No.1)</w:t>
      </w:r>
    </w:p>
    <w:p>
      <w:pPr>
        <w:pStyle w:val="BodyText"/>
      </w:pPr>
    </w:p>
    <w:p>
      <w:pPr>
        <w:pStyle w:val="BodyText"/>
        <w:spacing w:line="360" w:lineRule="auto" w:before="142"/>
        <w:ind w:left="625" w:right="137"/>
        <w:jc w:val="both"/>
      </w:pPr>
      <w:r>
        <w:rPr/>
        <w:t>A dicha escala se ha estudiado la validez de concepto y la validez de constructo, teniendo una consistencia interna (Coeficiente Alfa de Cronbach)  de 0.91 y una fiabilidad Test – Retest 0.86, en su versión original, con  Copyright en</w:t>
      </w:r>
      <w:r>
        <w:rPr>
          <w:spacing w:val="-9"/>
        </w:rPr>
        <w:t> </w:t>
      </w:r>
      <w:r>
        <w:rPr/>
        <w:t>1982.</w:t>
      </w:r>
    </w:p>
    <w:p>
      <w:pPr>
        <w:pStyle w:val="BodyText"/>
      </w:pPr>
    </w:p>
    <w:p>
      <w:pPr>
        <w:spacing w:before="142"/>
        <w:ind w:left="625" w:right="0" w:firstLine="0"/>
        <w:jc w:val="both"/>
        <w:rPr>
          <w:sz w:val="21"/>
        </w:rPr>
      </w:pPr>
      <w:r>
        <w:rPr>
          <w:sz w:val="24"/>
        </w:rPr>
        <w:t>De acuerdo con Breinbauer </w:t>
      </w:r>
      <w:r>
        <w:rPr>
          <w:sz w:val="21"/>
        </w:rPr>
        <w:t>H. (2009):</w:t>
      </w:r>
    </w:p>
    <w:p>
      <w:pPr>
        <w:pStyle w:val="BodyText"/>
      </w:pPr>
    </w:p>
    <w:p>
      <w:pPr>
        <w:pStyle w:val="BodyText"/>
        <w:spacing w:before="11"/>
        <w:rPr>
          <w:sz w:val="23"/>
        </w:rPr>
      </w:pPr>
    </w:p>
    <w:p>
      <w:pPr>
        <w:spacing w:before="0"/>
        <w:ind w:left="1724" w:right="938" w:firstLine="0"/>
        <w:jc w:val="both"/>
        <w:rPr>
          <w:i/>
          <w:sz w:val="22"/>
        </w:rPr>
      </w:pPr>
      <w:r>
        <w:rPr>
          <w:i/>
          <w:sz w:val="22"/>
        </w:rPr>
        <w:t>“Esta herramienta presenta gran confiabilidad ínter-observador </w:t>
      </w:r>
      <w:r>
        <w:rPr>
          <w:i/>
          <w:sz w:val="22"/>
        </w:rPr>
        <w:t>(coeficiente de correlación intra-clase (CCI) 0,71 en su estudio original, y 0,71-0,85 en validaciones internacionales), consistencia interna (alfa de Cronbach 0,91 en estudio original, y 0,85-0,93 en varios países. En su versión española: obtuvo 100% de sensibilidad, 90,5% de especificidad, 95,5% de valor predictivo positivo (VPP) y 100% valor predictivo negativo (VPN)”.</w:t>
      </w:r>
    </w:p>
    <w:p>
      <w:pPr>
        <w:pStyle w:val="BodyText"/>
        <w:rPr>
          <w:i/>
          <w:sz w:val="22"/>
        </w:rPr>
      </w:pPr>
    </w:p>
    <w:p>
      <w:pPr>
        <w:pStyle w:val="BodyText"/>
        <w:spacing w:line="360" w:lineRule="auto" w:before="128"/>
        <w:ind w:left="625" w:right="135"/>
        <w:jc w:val="both"/>
      </w:pPr>
      <w:r>
        <w:rPr/>
        <w:t>A pesar de su alta confiabilidad y validez se aplicó una prueba de confiabilidad obteniendo una Alfa de Cronbach de 0.941; considerando el instrumento como adecuado para su aplicación en la medición de sobrecarga.</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259"/>
        <w:jc w:val="both"/>
      </w:pPr>
      <w:r>
        <w:rPr/>
        <w:t>Para categorizar los niveles de sobrecarga que experimentan los cuidadores informales primarios, se interpretaron en base a la puntuación total de la suma de todos los ítems y se clasificaron de la siguiente manera:</w:t>
      </w:r>
    </w:p>
    <w:p>
      <w:pPr>
        <w:pStyle w:val="BodyText"/>
        <w:rPr>
          <w:sz w:val="20"/>
        </w:rPr>
      </w:pPr>
    </w:p>
    <w:p>
      <w:pPr>
        <w:pStyle w:val="BodyText"/>
        <w:spacing w:before="5" w:after="1"/>
        <w:rPr>
          <w:sz w:val="16"/>
        </w:rPr>
      </w:pPr>
    </w:p>
    <w:tbl>
      <w:tblPr>
        <w:tblW w:w="0" w:type="auto"/>
        <w:jc w:val="left"/>
        <w:tblInd w:w="60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345"/>
        <w:gridCol w:w="4249"/>
      </w:tblGrid>
      <w:tr>
        <w:trPr>
          <w:trHeight w:val="480" w:hRule="exact"/>
        </w:trPr>
        <w:tc>
          <w:tcPr>
            <w:tcW w:w="4345" w:type="dxa"/>
            <w:tcBorders>
              <w:bottom w:val="single" w:sz="4" w:space="0" w:color="000000"/>
              <w:right w:val="single" w:sz="4" w:space="0" w:color="000000"/>
            </w:tcBorders>
          </w:tcPr>
          <w:p>
            <w:pPr>
              <w:pStyle w:val="TableParagraph"/>
              <w:spacing w:before="101"/>
              <w:ind w:left="1162" w:right="1166"/>
              <w:rPr>
                <w:sz w:val="22"/>
              </w:rPr>
            </w:pPr>
            <w:r>
              <w:rPr>
                <w:sz w:val="22"/>
              </w:rPr>
              <w:t>Menor de 46 puntos</w:t>
            </w:r>
          </w:p>
        </w:tc>
        <w:tc>
          <w:tcPr>
            <w:tcW w:w="4249" w:type="dxa"/>
            <w:tcBorders>
              <w:left w:val="single" w:sz="4" w:space="0" w:color="000000"/>
              <w:bottom w:val="single" w:sz="4" w:space="0" w:color="000000"/>
            </w:tcBorders>
          </w:tcPr>
          <w:p>
            <w:pPr>
              <w:pStyle w:val="TableParagraph"/>
              <w:spacing w:before="101"/>
              <w:ind w:left="1144" w:right="1136"/>
              <w:rPr>
                <w:sz w:val="22"/>
              </w:rPr>
            </w:pPr>
            <w:r>
              <w:rPr>
                <w:sz w:val="22"/>
              </w:rPr>
              <w:t>No sobrecarga</w:t>
            </w:r>
          </w:p>
        </w:tc>
      </w:tr>
      <w:tr>
        <w:trPr>
          <w:trHeight w:val="468" w:hRule="exact"/>
        </w:trPr>
        <w:tc>
          <w:tcPr>
            <w:tcW w:w="4345" w:type="dxa"/>
            <w:tcBorders>
              <w:top w:val="single" w:sz="4" w:space="0" w:color="000000"/>
              <w:bottom w:val="single" w:sz="4" w:space="0" w:color="000000"/>
              <w:right w:val="single" w:sz="4" w:space="0" w:color="000000"/>
            </w:tcBorders>
          </w:tcPr>
          <w:p>
            <w:pPr>
              <w:pStyle w:val="TableParagraph"/>
              <w:spacing w:before="101"/>
              <w:ind w:left="1162" w:right="1166"/>
              <w:rPr>
                <w:sz w:val="22"/>
              </w:rPr>
            </w:pPr>
            <w:r>
              <w:rPr>
                <w:sz w:val="22"/>
              </w:rPr>
              <w:t>De 47 a 55 puntos</w:t>
            </w:r>
          </w:p>
        </w:tc>
        <w:tc>
          <w:tcPr>
            <w:tcW w:w="4249" w:type="dxa"/>
            <w:tcBorders>
              <w:top w:val="single" w:sz="4" w:space="0" w:color="000000"/>
              <w:left w:val="single" w:sz="4" w:space="0" w:color="000000"/>
              <w:bottom w:val="single" w:sz="4" w:space="0" w:color="000000"/>
            </w:tcBorders>
          </w:tcPr>
          <w:p>
            <w:pPr>
              <w:pStyle w:val="TableParagraph"/>
              <w:spacing w:before="101"/>
              <w:ind w:left="1142" w:right="1136"/>
              <w:rPr>
                <w:sz w:val="22"/>
              </w:rPr>
            </w:pPr>
            <w:r>
              <w:rPr>
                <w:sz w:val="22"/>
              </w:rPr>
              <w:t>Sobrecarga leve</w:t>
            </w:r>
          </w:p>
        </w:tc>
      </w:tr>
      <w:tr>
        <w:trPr>
          <w:trHeight w:val="500" w:hRule="exact"/>
        </w:trPr>
        <w:tc>
          <w:tcPr>
            <w:tcW w:w="4345" w:type="dxa"/>
            <w:tcBorders>
              <w:top w:val="single" w:sz="4" w:space="0" w:color="000000"/>
              <w:right w:val="single" w:sz="4" w:space="0" w:color="000000"/>
            </w:tcBorders>
          </w:tcPr>
          <w:p>
            <w:pPr>
              <w:pStyle w:val="TableParagraph"/>
              <w:spacing w:before="111"/>
              <w:ind w:left="1160" w:right="1166"/>
              <w:rPr>
                <w:sz w:val="22"/>
              </w:rPr>
            </w:pPr>
            <w:r>
              <w:rPr>
                <w:sz w:val="22"/>
              </w:rPr>
              <w:t>Mayor de 56 puntos</w:t>
            </w:r>
          </w:p>
        </w:tc>
        <w:tc>
          <w:tcPr>
            <w:tcW w:w="4249" w:type="dxa"/>
            <w:tcBorders>
              <w:top w:val="single" w:sz="4" w:space="0" w:color="000000"/>
              <w:left w:val="single" w:sz="4" w:space="0" w:color="000000"/>
            </w:tcBorders>
          </w:tcPr>
          <w:p>
            <w:pPr>
              <w:pStyle w:val="TableParagraph"/>
              <w:spacing w:before="111"/>
              <w:ind w:left="1144" w:right="1136"/>
              <w:rPr>
                <w:sz w:val="22"/>
              </w:rPr>
            </w:pPr>
            <w:r>
              <w:rPr>
                <w:sz w:val="22"/>
              </w:rPr>
              <w:t>Sobrecarga intensa</w:t>
            </w:r>
          </w:p>
        </w:tc>
      </w:tr>
    </w:tbl>
    <w:p>
      <w:pPr>
        <w:pStyle w:val="BodyText"/>
        <w:spacing w:before="8"/>
        <w:rPr>
          <w:sz w:val="29"/>
        </w:rPr>
      </w:pPr>
    </w:p>
    <w:p>
      <w:pPr>
        <w:pStyle w:val="BodyText"/>
        <w:spacing w:line="360" w:lineRule="auto" w:before="69"/>
        <w:ind w:left="625" w:right="257"/>
        <w:jc w:val="both"/>
      </w:pPr>
      <w:r>
        <w:rPr/>
        <w:t>Además de contar con un consentimiento informado para dar cumplimiento a la ética de la investigación, y a la participación consciente por parte del participante. (Anexo No. 2)</w:t>
      </w:r>
    </w:p>
    <w:p>
      <w:pPr>
        <w:pStyle w:val="BodyText"/>
      </w:pPr>
    </w:p>
    <w:p>
      <w:pPr>
        <w:pStyle w:val="BodyText"/>
        <w:spacing w:line="360" w:lineRule="auto" w:before="142"/>
        <w:ind w:left="625" w:right="254"/>
        <w:jc w:val="both"/>
      </w:pPr>
      <w:r>
        <w:rPr/>
        <w:t>Se contacto vía correo electrónico al autor Steven.H. Zarit, para solicitar la autorización del uso de su instrumento en la presente investigación, señaló que para la utilización del instrumento es necesario realizar un registro en el siguiente link: </w:t>
      </w:r>
      <w:hyperlink r:id="rId41">
        <w:r>
          <w:rPr>
            <w:u w:val="single"/>
          </w:rPr>
          <w:t>http://www.proqolid.org/instruments/zarit_burden_interview_zbi </w:t>
        </w:r>
      </w:hyperlink>
      <w:r>
        <w:rPr/>
        <w:t>al cual se logra tener acceso después de crear un nombre de usuario y contraseña sin costo alguno para investigaciones sin financiamiento. (Anexo No. 3)</w:t>
      </w:r>
    </w:p>
    <w:p>
      <w:pPr>
        <w:pStyle w:val="BodyText"/>
      </w:pPr>
    </w:p>
    <w:p>
      <w:pPr>
        <w:pStyle w:val="ListParagraph"/>
        <w:numPr>
          <w:ilvl w:val="0"/>
          <w:numId w:val="4"/>
        </w:numPr>
        <w:tabs>
          <w:tab w:pos="1345" w:val="left" w:leader="none"/>
          <w:tab w:pos="1346" w:val="left" w:leader="none"/>
        </w:tabs>
        <w:spacing w:line="240" w:lineRule="auto" w:before="142" w:after="0"/>
        <w:ind w:left="1345" w:right="0" w:hanging="360"/>
        <w:jc w:val="left"/>
        <w:rPr>
          <w:sz w:val="24"/>
        </w:rPr>
      </w:pPr>
      <w:r>
        <w:rPr>
          <w:sz w:val="24"/>
        </w:rPr>
        <w:t>Procedimiento</w:t>
      </w:r>
    </w:p>
    <w:p>
      <w:pPr>
        <w:pStyle w:val="BodyText"/>
      </w:pPr>
    </w:p>
    <w:p>
      <w:pPr>
        <w:pStyle w:val="BodyText"/>
        <w:spacing w:before="10"/>
        <w:rPr>
          <w:sz w:val="23"/>
        </w:rPr>
      </w:pPr>
    </w:p>
    <w:p>
      <w:pPr>
        <w:pStyle w:val="BodyText"/>
        <w:spacing w:line="360" w:lineRule="auto"/>
        <w:ind w:left="625" w:right="254"/>
        <w:jc w:val="both"/>
      </w:pPr>
      <w:r>
        <w:rPr/>
        <w:t>Durante el horario establecido para visita intrahospitalaria, el investigador se puso en contacto con los cuidadores que cumplieran los criterios de inclusión planteados anteriormente, se procedió a explicar los objetivos de la investigación y la importancia de su participación, una vez expresado el interés de participar en la investigación y firmado el consentimiento informado se procedió a aplicar el instrumento diseñado.</w:t>
      </w:r>
    </w:p>
    <w:p>
      <w:pPr>
        <w:spacing w:after="0" w:line="360" w:lineRule="auto"/>
        <w:jc w:val="both"/>
        <w:sectPr>
          <w:pgSz w:w="12250" w:h="15850"/>
          <w:pgMar w:header="748" w:footer="1122" w:top="1260" w:bottom="1320" w:left="1720" w:right="116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40"/>
        <w:jc w:val="both"/>
      </w:pPr>
      <w:r>
        <w:rPr/>
        <w:t>El procedimiento de aplicación, se realizó en el periodo comprendido de septiembre a octubre de 2013 en un hospital público de segundo nivel del Distrito Federal, México. Después de obtenidas las 30 encuestas se realizó un foliado progresivo de las mismas, para llevar un control estricto de los casos.</w:t>
      </w:r>
    </w:p>
    <w:p>
      <w:pPr>
        <w:pStyle w:val="BodyText"/>
      </w:pPr>
    </w:p>
    <w:p>
      <w:pPr>
        <w:pStyle w:val="ListParagraph"/>
        <w:numPr>
          <w:ilvl w:val="0"/>
          <w:numId w:val="4"/>
        </w:numPr>
        <w:tabs>
          <w:tab w:pos="1345" w:val="left" w:leader="none"/>
          <w:tab w:pos="1346" w:val="left" w:leader="none"/>
        </w:tabs>
        <w:spacing w:line="240" w:lineRule="auto" w:before="142" w:after="0"/>
        <w:ind w:left="1345" w:right="0" w:hanging="360"/>
        <w:jc w:val="left"/>
        <w:rPr>
          <w:sz w:val="24"/>
        </w:rPr>
      </w:pPr>
      <w:r>
        <w:rPr>
          <w:sz w:val="24"/>
        </w:rPr>
        <w:t>Análisis de la</w:t>
      </w:r>
      <w:r>
        <w:rPr>
          <w:spacing w:val="-8"/>
          <w:sz w:val="24"/>
        </w:rPr>
        <w:t> </w:t>
      </w:r>
      <w:r>
        <w:rPr>
          <w:sz w:val="24"/>
        </w:rPr>
        <w:t>información</w:t>
      </w:r>
    </w:p>
    <w:p>
      <w:pPr>
        <w:pStyle w:val="BodyText"/>
      </w:pPr>
    </w:p>
    <w:p>
      <w:pPr>
        <w:pStyle w:val="BodyText"/>
        <w:spacing w:before="7"/>
        <w:rPr>
          <w:sz w:val="23"/>
        </w:rPr>
      </w:pPr>
    </w:p>
    <w:p>
      <w:pPr>
        <w:pStyle w:val="BodyText"/>
        <w:spacing w:line="360" w:lineRule="auto" w:before="1"/>
        <w:ind w:left="625" w:right="136"/>
        <w:jc w:val="both"/>
      </w:pPr>
      <w:r>
        <w:rPr/>
        <w:t>El análisis de la información se llevó a cabo mediante la creación de una base de datos en el programa estadístico Statistical Package for the Social Science, por sus siglas SPSS en su versión 20 en Español, una vez diseñada la base de datos se alimentó con los resultados obtenidos de la aplicación de los 30 instrumentos, a dichos resultados, se aplicó estadística descriptiva para muestras no paramétricas: media, mediana, moda y chi-cuadrada de Pearsón (tomando como parámetro para determinar el nivel de significancia P &lt;0.05), la presentación de los datos se realizó mediante tablas y gráficas, para hacer  más visibles los resultados</w:t>
      </w:r>
      <w:r>
        <w:rPr>
          <w:spacing w:val="-12"/>
        </w:rPr>
        <w:t> </w:t>
      </w:r>
      <w:r>
        <w:rPr/>
        <w:t>obtenidos.</w:t>
      </w:r>
    </w:p>
    <w:p>
      <w:pPr>
        <w:pStyle w:val="BodyText"/>
      </w:pPr>
    </w:p>
    <w:p>
      <w:pPr>
        <w:pStyle w:val="ListParagraph"/>
        <w:numPr>
          <w:ilvl w:val="0"/>
          <w:numId w:val="4"/>
        </w:numPr>
        <w:tabs>
          <w:tab w:pos="1345" w:val="left" w:leader="none"/>
          <w:tab w:pos="1346" w:val="left" w:leader="none"/>
        </w:tabs>
        <w:spacing w:line="240" w:lineRule="auto" w:before="142" w:after="0"/>
        <w:ind w:left="1345" w:right="0" w:hanging="360"/>
        <w:jc w:val="left"/>
        <w:rPr>
          <w:sz w:val="24"/>
        </w:rPr>
      </w:pPr>
      <w:r>
        <w:rPr>
          <w:sz w:val="24"/>
        </w:rPr>
        <w:t>Aspecto bioético de la</w:t>
      </w:r>
      <w:r>
        <w:rPr>
          <w:spacing w:val="-15"/>
          <w:sz w:val="24"/>
        </w:rPr>
        <w:t> </w:t>
      </w:r>
      <w:r>
        <w:rPr>
          <w:sz w:val="24"/>
        </w:rPr>
        <w:t>investigación</w:t>
      </w:r>
    </w:p>
    <w:p>
      <w:pPr>
        <w:pStyle w:val="BodyText"/>
      </w:pPr>
    </w:p>
    <w:p>
      <w:pPr>
        <w:pStyle w:val="BodyText"/>
        <w:spacing w:before="9"/>
        <w:rPr>
          <w:sz w:val="23"/>
        </w:rPr>
      </w:pPr>
    </w:p>
    <w:p>
      <w:pPr>
        <w:pStyle w:val="BodyText"/>
        <w:spacing w:line="360" w:lineRule="auto"/>
        <w:ind w:left="625" w:right="138"/>
        <w:jc w:val="both"/>
      </w:pPr>
      <w:r>
        <w:rPr/>
        <w:t>Para dar cumplimiento a los artículos 14, 21 y 22 del reglamento de la Ley General de Salud en materia de investigación para la salud, se realizó un consentimiento informado, mediante el cual se obtuvo la firma del cuidador  para dar pie a la libre participación, informándole de los objetivos y de la importancia de su intervención, así como de la confidencialidad de la investigación. (Anexo No.</w:t>
      </w:r>
      <w:r>
        <w:rPr>
          <w:spacing w:val="-8"/>
        </w:rPr>
        <w:t> </w:t>
      </w:r>
      <w:r>
        <w:rPr/>
        <w:t>2)</w:t>
      </w:r>
    </w:p>
    <w:p>
      <w:pPr>
        <w:pStyle w:val="BodyText"/>
      </w:pPr>
    </w:p>
    <w:p>
      <w:pPr>
        <w:pStyle w:val="BodyText"/>
        <w:spacing w:line="360" w:lineRule="auto" w:before="142"/>
        <w:ind w:left="625" w:right="137"/>
        <w:jc w:val="both"/>
      </w:pPr>
      <w:r>
        <w:rPr/>
        <w:t>De acuerdo con el articulo 17 de reglamento de la Ley General de Salud en materia de investigación para la salud, la presente investigación se cataloga como: investigación sin riesgo, ya que se realizó una técnica documental, para la recolección de datos.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3"/>
        <w:ind w:left="3184" w:right="219"/>
        <w:jc w:val="left"/>
        <w:rPr>
          <w:i/>
        </w:rPr>
      </w:pPr>
      <w:r>
        <w:rPr>
          <w:i/>
        </w:rPr>
        <w:t>Descripción de resultados</w:t>
      </w:r>
    </w:p>
    <w:p>
      <w:pPr>
        <w:pStyle w:val="BodyText"/>
        <w:rPr>
          <w:b/>
          <w:i/>
        </w:rPr>
      </w:pPr>
    </w:p>
    <w:p>
      <w:pPr>
        <w:pStyle w:val="BodyText"/>
        <w:rPr>
          <w:b/>
          <w:i/>
        </w:rPr>
      </w:pPr>
    </w:p>
    <w:p>
      <w:pPr>
        <w:pStyle w:val="BodyText"/>
        <w:spacing w:line="360" w:lineRule="auto"/>
        <w:ind w:left="625" w:right="133"/>
        <w:jc w:val="both"/>
      </w:pPr>
      <w:r>
        <w:rPr/>
        <w:t>El presente estudio se realizó bajo una metodología cuantitativa de diseño trasversal y de alcance descriptivo, el objetivo principal de ésta es determinar  el nivel de sobrecarga que experimentan los cuidadores informales de adultos mayores hospitalizados, para ello, se contó con una muestra de 30 cuidadores los cuales fueron seleccionados acorde a criterios de inclusión y de exclusión orientados a identificar características específicas, el instrumento utilizado para cumplir con los objetivos de la investigación, se dividió en cuatro apartados, el primero consta de 9 ítems, orientados a obtener el perfil sociodemográfico del cuidador informal primario, el segundo se compone de 6 ítems diseñados para obtener datos generales del paciente adulto mayor así como su perfil,  el tercero se conformó de 6 ítems para evaluar el desempeño del rol del cuidador, y finalmente se aplicó la escala de sobrecarga del cuidador de Zarit en su versión traducida al español por Martín et al (1996), la cual consta de 22 ítems en escala tipo Licker y mide de manera cuantitativa el nivel de sobrecarga que experimenta el</w:t>
      </w:r>
      <w:r>
        <w:rPr>
          <w:spacing w:val="-12"/>
        </w:rPr>
        <w:t> </w:t>
      </w:r>
      <w:r>
        <w:rPr/>
        <w:t>cuidador.</w:t>
      </w:r>
    </w:p>
    <w:p>
      <w:pPr>
        <w:pStyle w:val="BodyText"/>
      </w:pPr>
    </w:p>
    <w:p>
      <w:pPr>
        <w:pStyle w:val="BodyText"/>
        <w:spacing w:line="360" w:lineRule="auto" w:before="142"/>
        <w:ind w:left="625" w:right="143"/>
        <w:jc w:val="both"/>
      </w:pPr>
      <w:r>
        <w:rPr/>
        <w:t>Para realizar el análisis y presentación de resultados se utilizó el programa estadístico SPSS, versión 20 en español, para obtener las tablas con la distribución de porcentajes de acuerdo a cada variable, así mismo las medidas de tendencia central y la construcción de tablas de contingencia para analizar la relación de dependencia entre variables, para dar visibilidad gráfica de los resultados se utilizó el programa Microsoft Excell</w:t>
      </w:r>
      <w:r>
        <w:rPr>
          <w:spacing w:val="-13"/>
        </w:rPr>
        <w:t> </w:t>
      </w:r>
      <w:r>
        <w:rPr/>
        <w:t>(2012).</w:t>
      </w:r>
    </w:p>
    <w:p>
      <w:pPr>
        <w:spacing w:after="0" w:line="360" w:lineRule="auto"/>
        <w:jc w:val="both"/>
        <w:sectPr>
          <w:footerReference w:type="default" r:id="rId42"/>
          <w:pgSz w:w="12250" w:h="15850"/>
          <w:pgMar w:footer="1122" w:header="748" w:top="1260" w:bottom="1320" w:left="1720" w:right="1280"/>
          <w:pgNumType w:start="45"/>
        </w:sectPr>
      </w:pPr>
    </w:p>
    <w:p>
      <w:pPr>
        <w:pStyle w:val="BodyText"/>
        <w:rPr>
          <w:sz w:val="20"/>
        </w:rPr>
      </w:pPr>
    </w:p>
    <w:p>
      <w:pPr>
        <w:pStyle w:val="BodyText"/>
        <w:rPr>
          <w:sz w:val="20"/>
        </w:rPr>
      </w:pPr>
    </w:p>
    <w:p>
      <w:pPr>
        <w:pStyle w:val="BodyText"/>
        <w:spacing w:before="5"/>
        <w:rPr>
          <w:sz w:val="21"/>
        </w:rPr>
      </w:pPr>
    </w:p>
    <w:p>
      <w:pPr>
        <w:pStyle w:val="Heading2"/>
        <w:spacing w:line="360" w:lineRule="auto"/>
        <w:jc w:val="left"/>
      </w:pPr>
      <w:r>
        <w:rPr/>
        <w:t>Descripción de datos sociodemográficos concernientes al cuidador informal primario.</w:t>
      </w:r>
    </w:p>
    <w:p>
      <w:pPr>
        <w:pStyle w:val="BodyText"/>
        <w:rPr>
          <w:b/>
        </w:rPr>
      </w:pPr>
    </w:p>
    <w:p>
      <w:pPr>
        <w:spacing w:line="360" w:lineRule="auto" w:before="142"/>
        <w:ind w:left="625" w:right="230" w:firstLine="0"/>
        <w:jc w:val="left"/>
        <w:rPr>
          <w:b/>
          <w:sz w:val="24"/>
        </w:rPr>
      </w:pPr>
      <w:r>
        <w:rPr>
          <w:sz w:val="24"/>
        </w:rPr>
        <w:t>Tabla No.1. </w:t>
      </w:r>
      <w:r>
        <w:rPr>
          <w:b/>
          <w:sz w:val="24"/>
        </w:rPr>
        <w:t>Género del cuidador informal primario,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252"/>
        <w:gridCol w:w="2798"/>
        <w:gridCol w:w="2493"/>
      </w:tblGrid>
      <w:tr>
        <w:trPr>
          <w:trHeight w:val="433" w:hRule="exact"/>
        </w:trPr>
        <w:tc>
          <w:tcPr>
            <w:tcW w:w="3252" w:type="dxa"/>
            <w:tcBorders>
              <w:left w:val="nil"/>
              <w:right w:val="nil"/>
            </w:tcBorders>
            <w:shd w:val="clear" w:color="auto" w:fill="99CC00"/>
          </w:tcPr>
          <w:p>
            <w:pPr>
              <w:pStyle w:val="TableParagraph"/>
              <w:spacing w:before="68"/>
              <w:ind w:right="1058"/>
              <w:jc w:val="right"/>
              <w:rPr>
                <w:b/>
                <w:sz w:val="24"/>
              </w:rPr>
            </w:pPr>
            <w:r>
              <w:rPr>
                <w:b/>
                <w:sz w:val="24"/>
              </w:rPr>
              <w:t>Género</w:t>
            </w:r>
          </w:p>
        </w:tc>
        <w:tc>
          <w:tcPr>
            <w:tcW w:w="2798" w:type="dxa"/>
            <w:tcBorders>
              <w:left w:val="nil"/>
              <w:right w:val="nil"/>
            </w:tcBorders>
            <w:shd w:val="clear" w:color="auto" w:fill="99CC00"/>
          </w:tcPr>
          <w:p>
            <w:pPr>
              <w:pStyle w:val="TableParagraph"/>
              <w:spacing w:before="68"/>
              <w:ind w:left="922" w:right="647"/>
              <w:rPr>
                <w:sz w:val="24"/>
              </w:rPr>
            </w:pPr>
            <w:r>
              <w:rPr>
                <w:sz w:val="24"/>
              </w:rPr>
              <w:t>Frecuencia</w:t>
            </w:r>
          </w:p>
        </w:tc>
        <w:tc>
          <w:tcPr>
            <w:tcW w:w="2493" w:type="dxa"/>
            <w:tcBorders>
              <w:left w:val="nil"/>
              <w:right w:val="nil"/>
            </w:tcBorders>
            <w:shd w:val="clear" w:color="auto" w:fill="99CC00"/>
          </w:tcPr>
          <w:p>
            <w:pPr>
              <w:pStyle w:val="TableParagraph"/>
              <w:spacing w:before="68"/>
              <w:ind w:left="648" w:right="657"/>
              <w:rPr>
                <w:sz w:val="24"/>
              </w:rPr>
            </w:pPr>
            <w:r>
              <w:rPr>
                <w:sz w:val="24"/>
              </w:rPr>
              <w:t>Porcentaje</w:t>
            </w:r>
          </w:p>
        </w:tc>
      </w:tr>
      <w:tr>
        <w:trPr>
          <w:trHeight w:val="419" w:hRule="exact"/>
        </w:trPr>
        <w:tc>
          <w:tcPr>
            <w:tcW w:w="3252" w:type="dxa"/>
            <w:tcBorders>
              <w:left w:val="nil"/>
              <w:bottom w:val="nil"/>
              <w:right w:val="nil"/>
            </w:tcBorders>
          </w:tcPr>
          <w:p>
            <w:pPr>
              <w:pStyle w:val="TableParagraph"/>
              <w:spacing w:before="58"/>
              <w:ind w:right="940"/>
              <w:jc w:val="right"/>
              <w:rPr>
                <w:sz w:val="24"/>
              </w:rPr>
            </w:pPr>
            <w:r>
              <w:rPr>
                <w:sz w:val="24"/>
              </w:rPr>
              <w:t>Masculino</w:t>
            </w:r>
          </w:p>
        </w:tc>
        <w:tc>
          <w:tcPr>
            <w:tcW w:w="2798" w:type="dxa"/>
            <w:tcBorders>
              <w:left w:val="nil"/>
              <w:bottom w:val="nil"/>
              <w:right w:val="nil"/>
            </w:tcBorders>
          </w:tcPr>
          <w:p>
            <w:pPr>
              <w:pStyle w:val="TableParagraph"/>
              <w:spacing w:before="58"/>
              <w:ind w:left="922" w:right="646"/>
              <w:rPr>
                <w:sz w:val="24"/>
              </w:rPr>
            </w:pPr>
            <w:r>
              <w:rPr>
                <w:sz w:val="24"/>
              </w:rPr>
              <w:t>12</w:t>
            </w:r>
          </w:p>
        </w:tc>
        <w:tc>
          <w:tcPr>
            <w:tcW w:w="2493" w:type="dxa"/>
            <w:tcBorders>
              <w:left w:val="nil"/>
              <w:bottom w:val="nil"/>
              <w:right w:val="nil"/>
            </w:tcBorders>
          </w:tcPr>
          <w:p>
            <w:pPr>
              <w:pStyle w:val="TableParagraph"/>
              <w:spacing w:before="58"/>
              <w:ind w:left="648" w:right="653"/>
              <w:rPr>
                <w:sz w:val="24"/>
              </w:rPr>
            </w:pPr>
            <w:r>
              <w:rPr>
                <w:sz w:val="24"/>
              </w:rPr>
              <w:t>40</w:t>
            </w:r>
          </w:p>
        </w:tc>
      </w:tr>
      <w:tr>
        <w:trPr>
          <w:trHeight w:val="412" w:hRule="exact"/>
        </w:trPr>
        <w:tc>
          <w:tcPr>
            <w:tcW w:w="3252" w:type="dxa"/>
            <w:tcBorders>
              <w:top w:val="nil"/>
              <w:left w:val="nil"/>
              <w:right w:val="nil"/>
            </w:tcBorders>
          </w:tcPr>
          <w:p>
            <w:pPr>
              <w:pStyle w:val="TableParagraph"/>
              <w:spacing w:before="52"/>
              <w:ind w:right="945"/>
              <w:jc w:val="right"/>
              <w:rPr>
                <w:sz w:val="24"/>
              </w:rPr>
            </w:pPr>
            <w:r>
              <w:rPr>
                <w:w w:val="95"/>
                <w:sz w:val="24"/>
              </w:rPr>
              <w:t>Femenino</w:t>
            </w:r>
          </w:p>
        </w:tc>
        <w:tc>
          <w:tcPr>
            <w:tcW w:w="2798" w:type="dxa"/>
            <w:tcBorders>
              <w:top w:val="nil"/>
              <w:left w:val="nil"/>
              <w:right w:val="nil"/>
            </w:tcBorders>
          </w:tcPr>
          <w:p>
            <w:pPr>
              <w:pStyle w:val="TableParagraph"/>
              <w:spacing w:before="52"/>
              <w:ind w:left="922" w:right="646"/>
              <w:rPr>
                <w:b/>
                <w:sz w:val="24"/>
              </w:rPr>
            </w:pPr>
            <w:r>
              <w:rPr>
                <w:b/>
                <w:sz w:val="24"/>
              </w:rPr>
              <w:t>18</w:t>
            </w:r>
          </w:p>
        </w:tc>
        <w:tc>
          <w:tcPr>
            <w:tcW w:w="2493" w:type="dxa"/>
            <w:tcBorders>
              <w:top w:val="nil"/>
              <w:left w:val="nil"/>
              <w:right w:val="nil"/>
            </w:tcBorders>
          </w:tcPr>
          <w:p>
            <w:pPr>
              <w:pStyle w:val="TableParagraph"/>
              <w:spacing w:before="52"/>
              <w:ind w:left="648" w:right="653"/>
              <w:rPr>
                <w:b/>
                <w:sz w:val="24"/>
              </w:rPr>
            </w:pPr>
            <w:r>
              <w:rPr>
                <w:b/>
                <w:sz w:val="24"/>
              </w:rPr>
              <w:t>60</w:t>
            </w:r>
          </w:p>
        </w:tc>
      </w:tr>
      <w:tr>
        <w:trPr>
          <w:trHeight w:val="432" w:hRule="exact"/>
        </w:trPr>
        <w:tc>
          <w:tcPr>
            <w:tcW w:w="3252" w:type="dxa"/>
            <w:tcBorders>
              <w:left w:val="nil"/>
              <w:right w:val="nil"/>
            </w:tcBorders>
            <w:shd w:val="clear" w:color="auto" w:fill="99CC00"/>
          </w:tcPr>
          <w:p>
            <w:pPr>
              <w:pStyle w:val="TableParagraph"/>
              <w:spacing w:before="65"/>
              <w:ind w:left="1463" w:right="1175"/>
              <w:rPr>
                <w:b/>
                <w:sz w:val="24"/>
              </w:rPr>
            </w:pPr>
            <w:r>
              <w:rPr>
                <w:b/>
                <w:sz w:val="24"/>
              </w:rPr>
              <w:t>Total</w:t>
            </w:r>
          </w:p>
        </w:tc>
        <w:tc>
          <w:tcPr>
            <w:tcW w:w="2798" w:type="dxa"/>
            <w:tcBorders>
              <w:left w:val="nil"/>
              <w:right w:val="nil"/>
            </w:tcBorders>
            <w:shd w:val="clear" w:color="auto" w:fill="99CC00"/>
          </w:tcPr>
          <w:p>
            <w:pPr>
              <w:pStyle w:val="TableParagraph"/>
              <w:spacing w:before="65"/>
              <w:ind w:left="922" w:right="646"/>
              <w:rPr>
                <w:sz w:val="24"/>
              </w:rPr>
            </w:pPr>
            <w:r>
              <w:rPr>
                <w:sz w:val="24"/>
              </w:rPr>
              <w:t>30</w:t>
            </w:r>
          </w:p>
        </w:tc>
        <w:tc>
          <w:tcPr>
            <w:tcW w:w="2493" w:type="dxa"/>
            <w:tcBorders>
              <w:left w:val="nil"/>
              <w:right w:val="nil"/>
            </w:tcBorders>
            <w:shd w:val="clear" w:color="auto" w:fill="99CC00"/>
          </w:tcPr>
          <w:p>
            <w:pPr>
              <w:pStyle w:val="TableParagraph"/>
              <w:spacing w:before="65"/>
              <w:ind w:left="648" w:right="653"/>
              <w:rPr>
                <w:sz w:val="24"/>
              </w:rPr>
            </w:pPr>
            <w:r>
              <w:rPr>
                <w:sz w:val="24"/>
              </w:rPr>
              <w:t>100</w:t>
            </w:r>
          </w:p>
        </w:tc>
      </w:tr>
    </w:tbl>
    <w:p>
      <w:pPr>
        <w:pStyle w:val="BodyText"/>
        <w:rPr>
          <w:b/>
          <w:sz w:val="20"/>
        </w:rPr>
      </w:pPr>
    </w:p>
    <w:p>
      <w:pPr>
        <w:pStyle w:val="BodyText"/>
        <w:spacing w:before="10"/>
        <w:rPr>
          <w:b/>
          <w:sz w:val="11"/>
        </w:rPr>
      </w:pPr>
      <w:r>
        <w:rPr/>
        <w:pict>
          <v:group style="position:absolute;margin-left:134.595001pt;margin-top:8.785976pt;width:387.25pt;height:182.8pt;mso-position-horizontal-relative:page;mso-position-vertical-relative:paragraph;z-index:1408;mso-wrap-distance-left:0;mso-wrap-distance-right:0" coordorigin="2692,176" coordsize="7745,3656">
            <v:shape style="position:absolute;left:4034;top:1485;width:4613;height:1870" type="#_x0000_t75" stroked="false">
              <v:imagedata r:id="rId43" o:title=""/>
            </v:shape>
            <v:rect style="position:absolute;left:9163;top:3162;width:101;height:101" filled="true" fillcolor="#4f81bc" stroked="false">
              <v:fill type="solid"/>
            </v:rect>
            <v:rect style="position:absolute;left:9163;top:3570;width:101;height:101" filled="true" fillcolor="#c0504d" stroked="false">
              <v:fill type="solid"/>
            </v:rect>
            <v:rect style="position:absolute;left:2699;top:183;width:7730;height:3641" filled="false" stroked="true" strokeweight=".75pt" strokecolor="#858585"/>
            <v:shape style="position:absolute;left:4391;top:491;width:4255;height:430" type="#_x0000_t202" filled="false" stroked="false">
              <v:textbox inset="0,0,0,0">
                <w:txbxContent>
                  <w:p>
                    <w:pPr>
                      <w:spacing w:line="204" w:lineRule="exact" w:before="0"/>
                      <w:ind w:left="0" w:right="0" w:firstLine="0"/>
                      <w:jc w:val="center"/>
                      <w:rPr>
                        <w:b/>
                        <w:sz w:val="20"/>
                      </w:rPr>
                    </w:pPr>
                    <w:r>
                      <w:rPr>
                        <w:b/>
                        <w:sz w:val="20"/>
                      </w:rPr>
                      <w:t>Gráfica No.1</w:t>
                    </w:r>
                  </w:p>
                  <w:p>
                    <w:pPr>
                      <w:spacing w:line="225" w:lineRule="exact" w:before="0"/>
                      <w:ind w:left="-1" w:right="0" w:firstLine="0"/>
                      <w:jc w:val="center"/>
                      <w:rPr>
                        <w:b/>
                        <w:sz w:val="20"/>
                      </w:rPr>
                    </w:pPr>
                    <w:r>
                      <w:rPr>
                        <w:b/>
                        <w:sz w:val="20"/>
                      </w:rPr>
                      <w:t>Género del cuidador informal primario.</w:t>
                    </w:r>
                    <w:r>
                      <w:rPr>
                        <w:b/>
                        <w:spacing w:val="46"/>
                        <w:sz w:val="20"/>
                      </w:rPr>
                      <w:t> </w:t>
                    </w:r>
                    <w:r>
                      <w:rPr>
                        <w:b/>
                        <w:sz w:val="20"/>
                      </w:rPr>
                      <w:t>2014</w:t>
                    </w:r>
                  </w:p>
                </w:txbxContent>
              </v:textbox>
              <w10:wrap type="none"/>
            </v:shape>
            <v:shape style="position:absolute;left:9309;top:3128;width:788;height:593" type="#_x0000_t202" filled="false" stroked="false">
              <v:textbox inset="0,0,0,0">
                <w:txbxContent>
                  <w:p>
                    <w:pPr>
                      <w:spacing w:line="187" w:lineRule="exact" w:before="0"/>
                      <w:ind w:left="0" w:right="-4" w:firstLine="0"/>
                      <w:jc w:val="left"/>
                      <w:rPr>
                        <w:rFonts w:ascii="Calibri"/>
                        <w:b/>
                        <w:sz w:val="18"/>
                      </w:rPr>
                    </w:pPr>
                    <w:r>
                      <w:rPr>
                        <w:rFonts w:ascii="Calibri"/>
                        <w:b/>
                        <w:sz w:val="18"/>
                      </w:rPr>
                      <w:t>Masculino</w:t>
                    </w:r>
                  </w:p>
                  <w:p>
                    <w:pPr>
                      <w:spacing w:line="240" w:lineRule="auto" w:before="4"/>
                      <w:rPr>
                        <w:b/>
                        <w:sz w:val="16"/>
                      </w:rPr>
                    </w:pPr>
                  </w:p>
                  <w:p>
                    <w:pPr>
                      <w:spacing w:line="218" w:lineRule="exact" w:before="0"/>
                      <w:ind w:left="0" w:right="-4" w:firstLine="0"/>
                      <w:jc w:val="left"/>
                      <w:rPr>
                        <w:rFonts w:ascii="Calibri"/>
                        <w:b/>
                        <w:sz w:val="18"/>
                      </w:rPr>
                    </w:pPr>
                    <w:r>
                      <w:rPr>
                        <w:rFonts w:ascii="Calibri"/>
                        <w:b/>
                        <w:sz w:val="18"/>
                      </w:rPr>
                      <w:t>Femenino</w:t>
                    </w:r>
                  </w:p>
                </w:txbxContent>
              </v:textbox>
              <w10:wrap type="none"/>
            </v:shape>
            <w10:wrap type="topAndBottom"/>
          </v:group>
        </w:pict>
      </w:r>
    </w:p>
    <w:p>
      <w:pPr>
        <w:spacing w:before="119"/>
        <w:ind w:left="956" w:right="230" w:firstLine="0"/>
        <w:jc w:val="left"/>
        <w:rPr>
          <w:sz w:val="20"/>
        </w:rPr>
      </w:pPr>
      <w:r>
        <w:rPr>
          <w:sz w:val="20"/>
        </w:rPr>
        <w:t>Fuente: Tabla No. 1</w:t>
      </w:r>
    </w:p>
    <w:p>
      <w:pPr>
        <w:pStyle w:val="BodyText"/>
        <w:rPr>
          <w:sz w:val="20"/>
        </w:rPr>
      </w:pPr>
    </w:p>
    <w:p>
      <w:pPr>
        <w:pStyle w:val="BodyText"/>
        <w:spacing w:line="360" w:lineRule="auto" w:before="172"/>
        <w:ind w:left="625" w:right="193"/>
        <w:jc w:val="both"/>
      </w:pPr>
      <w:r>
        <w:rPr/>
        <w:t>Del total de la muestra de 30 participantes se identificó que el 60%  corresponde a mujeres, lo cual refleja el patrón cultural de la sociedad que designa a la mujer como primera proveedora de cuidados dentro del hogar, si bien la participación del hombre no se caracteriza por asumir en primera instancia el cuidado, se registró una participación del 40%, un total de 12  casos.</w:t>
      </w:r>
    </w:p>
    <w:p>
      <w:pPr>
        <w:spacing w:after="0" w:line="360" w:lineRule="auto"/>
        <w:jc w:val="both"/>
        <w:sectPr>
          <w:pgSz w:w="12250" w:h="15850"/>
          <w:pgMar w:header="748" w:footer="1122" w:top="1260" w:bottom="1320" w:left="1720" w:right="1220"/>
        </w:sectPr>
      </w:pPr>
    </w:p>
    <w:p>
      <w:pPr>
        <w:pStyle w:val="BodyText"/>
        <w:rPr>
          <w:sz w:val="20"/>
        </w:rPr>
      </w:pPr>
      <w:r>
        <w:rPr/>
        <w:pict>
          <v:rect style="position:absolute;margin-left:461.790009pt;margin-top:595.060974pt;width:5.049pt;height:5.049pt;mso-position-horizontal-relative:page;mso-position-vertical-relative:page;z-index:-174544" filled="true" fillcolor="#4f81bc" stroked="false">
            <v:fill type="solid"/>
            <w10:wrap type="none"/>
          </v:rect>
        </w:pict>
      </w:r>
      <w:r>
        <w:rPr/>
        <w:pict>
          <v:rect style="position:absolute;margin-left:461.790009pt;margin-top:621.490967pt;width:5.049pt;height:5.049pt;mso-position-horizontal-relative:page;mso-position-vertical-relative:page;z-index:-174520" filled="true" fillcolor="#c0504d" stroked="false">
            <v:fill type="solid"/>
            <w10:wrap type="none"/>
          </v:rect>
        </w:pict>
      </w:r>
      <w:r>
        <w:rPr/>
        <w:pict>
          <v:rect style="position:absolute;margin-left:461.790009pt;margin-top:647.921021pt;width:5.049pt;height:5.049pt;mso-position-horizontal-relative:page;mso-position-vertical-relative:page;z-index:-174496" filled="true" fillcolor="#9bba58" stroked="false">
            <v:fill type="solid"/>
            <w10:wrap type="none"/>
          </v:rect>
        </w:pict>
      </w:r>
    </w:p>
    <w:p>
      <w:pPr>
        <w:pStyle w:val="BodyText"/>
        <w:rPr>
          <w:sz w:val="20"/>
        </w:rPr>
      </w:pPr>
    </w:p>
    <w:p>
      <w:pPr>
        <w:pStyle w:val="BodyText"/>
        <w:spacing w:before="5"/>
        <w:rPr>
          <w:sz w:val="21"/>
        </w:rPr>
      </w:pPr>
    </w:p>
    <w:p>
      <w:pPr>
        <w:pStyle w:val="Heading2"/>
        <w:spacing w:line="360" w:lineRule="auto"/>
        <w:jc w:val="left"/>
      </w:pPr>
      <w:r>
        <w:rPr>
          <w:b w:val="0"/>
        </w:rPr>
        <w:t>Tabla No. 2. </w:t>
      </w:r>
      <w:r>
        <w:rPr/>
        <w:t>Edad del cuidador informal primario, en un hospital público  de segundo nivel, del Distrito Federal, México. Marzo,</w:t>
      </w:r>
      <w:r>
        <w:rPr>
          <w:spacing w:val="-16"/>
        </w:rPr>
        <w:t> </w:t>
      </w:r>
      <w:r>
        <w:rPr/>
        <w:t>2014.</w:t>
      </w:r>
    </w:p>
    <w:p>
      <w:pPr>
        <w:pStyle w:val="BodyText"/>
        <w:rPr>
          <w:b/>
          <w:sz w:val="20"/>
        </w:rPr>
      </w:pPr>
    </w:p>
    <w:p>
      <w:pPr>
        <w:pStyle w:val="BodyText"/>
        <w:spacing w:before="5" w:after="1"/>
        <w:rPr>
          <w:b/>
          <w:sz w:val="16"/>
        </w:rPr>
      </w:pPr>
    </w:p>
    <w:tbl>
      <w:tblPr>
        <w:tblW w:w="0" w:type="auto"/>
        <w:jc w:val="left"/>
        <w:tblInd w:w="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28"/>
        <w:gridCol w:w="2728"/>
        <w:gridCol w:w="2502"/>
      </w:tblGrid>
      <w:tr>
        <w:trPr>
          <w:trHeight w:val="473" w:hRule="exact"/>
        </w:trPr>
        <w:tc>
          <w:tcPr>
            <w:tcW w:w="3328" w:type="dxa"/>
            <w:tcBorders>
              <w:left w:val="nil"/>
              <w:right w:val="nil"/>
            </w:tcBorders>
            <w:shd w:val="clear" w:color="auto" w:fill="99CC00"/>
          </w:tcPr>
          <w:p>
            <w:pPr>
              <w:pStyle w:val="TableParagraph"/>
              <w:spacing w:line="274" w:lineRule="exact"/>
              <w:ind w:left="1052" w:right="845"/>
              <w:rPr>
                <w:sz w:val="24"/>
              </w:rPr>
            </w:pPr>
            <w:r>
              <w:rPr>
                <w:sz w:val="24"/>
              </w:rPr>
              <w:t>Edad</w:t>
            </w:r>
          </w:p>
        </w:tc>
        <w:tc>
          <w:tcPr>
            <w:tcW w:w="2728" w:type="dxa"/>
            <w:tcBorders>
              <w:left w:val="nil"/>
              <w:right w:val="nil"/>
            </w:tcBorders>
            <w:shd w:val="clear" w:color="auto" w:fill="99CC00"/>
          </w:tcPr>
          <w:p>
            <w:pPr>
              <w:pStyle w:val="TableParagraph"/>
              <w:spacing w:line="274" w:lineRule="exact"/>
              <w:ind w:left="847" w:right="654"/>
              <w:rPr>
                <w:sz w:val="24"/>
              </w:rPr>
            </w:pPr>
            <w:r>
              <w:rPr>
                <w:sz w:val="24"/>
              </w:rPr>
              <w:t>Frecuencia</w:t>
            </w:r>
          </w:p>
        </w:tc>
        <w:tc>
          <w:tcPr>
            <w:tcW w:w="2502" w:type="dxa"/>
            <w:tcBorders>
              <w:left w:val="nil"/>
              <w:right w:val="nil"/>
            </w:tcBorders>
            <w:shd w:val="clear" w:color="auto" w:fill="99CC00"/>
          </w:tcPr>
          <w:p>
            <w:pPr>
              <w:pStyle w:val="TableParagraph"/>
              <w:spacing w:line="274" w:lineRule="exact"/>
              <w:ind w:left="654" w:right="659"/>
              <w:rPr>
                <w:sz w:val="24"/>
              </w:rPr>
            </w:pPr>
            <w:r>
              <w:rPr>
                <w:sz w:val="24"/>
              </w:rPr>
              <w:t>Porcentaje</w:t>
            </w:r>
          </w:p>
        </w:tc>
      </w:tr>
      <w:tr>
        <w:trPr>
          <w:trHeight w:val="385" w:hRule="exact"/>
        </w:trPr>
        <w:tc>
          <w:tcPr>
            <w:tcW w:w="3328" w:type="dxa"/>
            <w:tcBorders>
              <w:left w:val="nil"/>
              <w:bottom w:val="nil"/>
              <w:right w:val="nil"/>
            </w:tcBorders>
          </w:tcPr>
          <w:p>
            <w:pPr>
              <w:pStyle w:val="TableParagraph"/>
              <w:spacing w:line="274" w:lineRule="exact"/>
              <w:ind w:left="1052" w:right="846"/>
              <w:rPr>
                <w:sz w:val="24"/>
              </w:rPr>
            </w:pPr>
            <w:r>
              <w:rPr>
                <w:sz w:val="24"/>
              </w:rPr>
              <w:t>20 a 30 años</w:t>
            </w:r>
          </w:p>
        </w:tc>
        <w:tc>
          <w:tcPr>
            <w:tcW w:w="2728" w:type="dxa"/>
            <w:tcBorders>
              <w:left w:val="nil"/>
              <w:bottom w:val="nil"/>
              <w:right w:val="nil"/>
            </w:tcBorders>
          </w:tcPr>
          <w:p>
            <w:pPr>
              <w:pStyle w:val="TableParagraph"/>
              <w:spacing w:line="274" w:lineRule="exact"/>
              <w:ind w:left="193"/>
              <w:rPr>
                <w:sz w:val="24"/>
              </w:rPr>
            </w:pPr>
            <w:r>
              <w:rPr>
                <w:w w:val="99"/>
                <w:sz w:val="24"/>
              </w:rPr>
              <w:t>3</w:t>
            </w:r>
          </w:p>
        </w:tc>
        <w:tc>
          <w:tcPr>
            <w:tcW w:w="2502" w:type="dxa"/>
            <w:tcBorders>
              <w:left w:val="nil"/>
              <w:bottom w:val="nil"/>
              <w:right w:val="nil"/>
            </w:tcBorders>
          </w:tcPr>
          <w:p>
            <w:pPr>
              <w:pStyle w:val="TableParagraph"/>
              <w:spacing w:line="274" w:lineRule="exact"/>
              <w:ind w:left="653" w:right="659"/>
              <w:rPr>
                <w:sz w:val="24"/>
              </w:rPr>
            </w:pPr>
            <w:r>
              <w:rPr>
                <w:sz w:val="24"/>
              </w:rPr>
              <w:t>10</w:t>
            </w:r>
          </w:p>
        </w:tc>
      </w:tr>
      <w:tr>
        <w:trPr>
          <w:trHeight w:val="463" w:hRule="exact"/>
        </w:trPr>
        <w:tc>
          <w:tcPr>
            <w:tcW w:w="3328" w:type="dxa"/>
            <w:tcBorders>
              <w:top w:val="nil"/>
              <w:left w:val="nil"/>
              <w:bottom w:val="nil"/>
              <w:right w:val="nil"/>
            </w:tcBorders>
          </w:tcPr>
          <w:p>
            <w:pPr>
              <w:pStyle w:val="TableParagraph"/>
              <w:spacing w:before="81"/>
              <w:ind w:left="1052" w:right="846"/>
              <w:rPr>
                <w:sz w:val="24"/>
              </w:rPr>
            </w:pPr>
            <w:r>
              <w:rPr>
                <w:sz w:val="24"/>
              </w:rPr>
              <w:t>31 a 39 años</w:t>
            </w:r>
          </w:p>
        </w:tc>
        <w:tc>
          <w:tcPr>
            <w:tcW w:w="2728" w:type="dxa"/>
            <w:tcBorders>
              <w:top w:val="nil"/>
              <w:left w:val="nil"/>
              <w:bottom w:val="nil"/>
              <w:right w:val="nil"/>
            </w:tcBorders>
          </w:tcPr>
          <w:p>
            <w:pPr>
              <w:pStyle w:val="TableParagraph"/>
              <w:spacing w:before="81"/>
              <w:ind w:left="847" w:right="653"/>
              <w:rPr>
                <w:b/>
                <w:sz w:val="24"/>
              </w:rPr>
            </w:pPr>
            <w:r>
              <w:rPr>
                <w:b/>
                <w:sz w:val="24"/>
              </w:rPr>
              <w:t>20</w:t>
            </w:r>
          </w:p>
        </w:tc>
        <w:tc>
          <w:tcPr>
            <w:tcW w:w="2502" w:type="dxa"/>
            <w:tcBorders>
              <w:top w:val="nil"/>
              <w:left w:val="nil"/>
              <w:bottom w:val="nil"/>
              <w:right w:val="nil"/>
            </w:tcBorders>
          </w:tcPr>
          <w:p>
            <w:pPr>
              <w:pStyle w:val="TableParagraph"/>
              <w:spacing w:before="81"/>
              <w:ind w:left="651" w:right="659"/>
              <w:rPr>
                <w:b/>
                <w:sz w:val="24"/>
              </w:rPr>
            </w:pPr>
            <w:r>
              <w:rPr>
                <w:b/>
                <w:sz w:val="24"/>
              </w:rPr>
              <w:t>66.7</w:t>
            </w:r>
          </w:p>
        </w:tc>
      </w:tr>
      <w:tr>
        <w:trPr>
          <w:trHeight w:val="552" w:hRule="exact"/>
        </w:trPr>
        <w:tc>
          <w:tcPr>
            <w:tcW w:w="3328" w:type="dxa"/>
            <w:tcBorders>
              <w:top w:val="nil"/>
              <w:left w:val="nil"/>
              <w:right w:val="nil"/>
            </w:tcBorders>
          </w:tcPr>
          <w:p>
            <w:pPr>
              <w:pStyle w:val="TableParagraph"/>
              <w:spacing w:before="81"/>
              <w:ind w:left="1052" w:right="846"/>
              <w:rPr>
                <w:sz w:val="24"/>
              </w:rPr>
            </w:pPr>
            <w:r>
              <w:rPr>
                <w:sz w:val="24"/>
              </w:rPr>
              <w:t>40 a 50 años</w:t>
            </w:r>
          </w:p>
        </w:tc>
        <w:tc>
          <w:tcPr>
            <w:tcW w:w="2728" w:type="dxa"/>
            <w:tcBorders>
              <w:top w:val="nil"/>
              <w:left w:val="nil"/>
              <w:right w:val="nil"/>
            </w:tcBorders>
          </w:tcPr>
          <w:p>
            <w:pPr>
              <w:pStyle w:val="TableParagraph"/>
              <w:spacing w:before="81"/>
              <w:ind w:left="193"/>
              <w:rPr>
                <w:sz w:val="24"/>
              </w:rPr>
            </w:pPr>
            <w:r>
              <w:rPr>
                <w:w w:val="99"/>
                <w:sz w:val="24"/>
              </w:rPr>
              <w:t>7</w:t>
            </w:r>
          </w:p>
        </w:tc>
        <w:tc>
          <w:tcPr>
            <w:tcW w:w="2502" w:type="dxa"/>
            <w:tcBorders>
              <w:top w:val="nil"/>
              <w:left w:val="nil"/>
              <w:right w:val="nil"/>
            </w:tcBorders>
          </w:tcPr>
          <w:p>
            <w:pPr>
              <w:pStyle w:val="TableParagraph"/>
              <w:spacing w:before="81"/>
              <w:ind w:left="651" w:right="659"/>
              <w:rPr>
                <w:sz w:val="24"/>
              </w:rPr>
            </w:pPr>
            <w:r>
              <w:rPr>
                <w:sz w:val="24"/>
              </w:rPr>
              <w:t>23.3</w:t>
            </w:r>
          </w:p>
        </w:tc>
      </w:tr>
      <w:tr>
        <w:trPr>
          <w:trHeight w:val="474" w:hRule="exact"/>
        </w:trPr>
        <w:tc>
          <w:tcPr>
            <w:tcW w:w="3328" w:type="dxa"/>
            <w:tcBorders>
              <w:left w:val="nil"/>
              <w:right w:val="nil"/>
            </w:tcBorders>
            <w:shd w:val="clear" w:color="auto" w:fill="99CC00"/>
          </w:tcPr>
          <w:p>
            <w:pPr>
              <w:pStyle w:val="TableParagraph"/>
              <w:spacing w:line="275" w:lineRule="exact"/>
              <w:ind w:left="1049" w:right="846"/>
              <w:rPr>
                <w:b/>
                <w:sz w:val="24"/>
              </w:rPr>
            </w:pPr>
            <w:r>
              <w:rPr>
                <w:b/>
                <w:sz w:val="24"/>
              </w:rPr>
              <w:t>Total</w:t>
            </w:r>
          </w:p>
        </w:tc>
        <w:tc>
          <w:tcPr>
            <w:tcW w:w="2728" w:type="dxa"/>
            <w:tcBorders>
              <w:left w:val="nil"/>
              <w:right w:val="nil"/>
            </w:tcBorders>
            <w:shd w:val="clear" w:color="auto" w:fill="99CC00"/>
          </w:tcPr>
          <w:p>
            <w:pPr>
              <w:pStyle w:val="TableParagraph"/>
              <w:spacing w:line="275" w:lineRule="exact"/>
              <w:ind w:left="847" w:right="653"/>
              <w:rPr>
                <w:sz w:val="24"/>
              </w:rPr>
            </w:pPr>
            <w:r>
              <w:rPr>
                <w:sz w:val="24"/>
              </w:rPr>
              <w:t>30</w:t>
            </w:r>
          </w:p>
        </w:tc>
        <w:tc>
          <w:tcPr>
            <w:tcW w:w="2502" w:type="dxa"/>
            <w:tcBorders>
              <w:left w:val="nil"/>
              <w:right w:val="nil"/>
            </w:tcBorders>
            <w:shd w:val="clear" w:color="auto" w:fill="99CC00"/>
          </w:tcPr>
          <w:p>
            <w:pPr>
              <w:pStyle w:val="TableParagraph"/>
              <w:spacing w:line="275" w:lineRule="exact"/>
              <w:ind w:left="653" w:right="659"/>
              <w:rPr>
                <w:sz w:val="24"/>
              </w:rPr>
            </w:pPr>
            <w:r>
              <w:rPr>
                <w:sz w:val="24"/>
              </w:rPr>
              <w:t>100</w:t>
            </w:r>
          </w:p>
        </w:tc>
      </w:tr>
    </w:tbl>
    <w:p>
      <w:pPr>
        <w:pStyle w:val="BodyText"/>
        <w:rPr>
          <w:b/>
          <w:sz w:val="20"/>
        </w:rPr>
      </w:pPr>
    </w:p>
    <w:p>
      <w:pPr>
        <w:pStyle w:val="BodyText"/>
        <w:spacing w:before="9" w:after="1"/>
        <w:rPr>
          <w:b/>
          <w:sz w:val="14"/>
        </w:rPr>
      </w:pPr>
    </w:p>
    <w:tbl>
      <w:tblPr>
        <w:tblW w:w="0" w:type="auto"/>
        <w:jc w:val="left"/>
        <w:tblInd w:w="5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74"/>
        <w:gridCol w:w="3209"/>
        <w:gridCol w:w="2604"/>
      </w:tblGrid>
      <w:tr>
        <w:trPr>
          <w:trHeight w:val="473" w:hRule="exact"/>
        </w:trPr>
        <w:tc>
          <w:tcPr>
            <w:tcW w:w="8586" w:type="dxa"/>
            <w:gridSpan w:val="3"/>
            <w:tcBorders>
              <w:left w:val="nil"/>
              <w:right w:val="nil"/>
            </w:tcBorders>
          </w:tcPr>
          <w:p>
            <w:pPr>
              <w:pStyle w:val="TableParagraph"/>
              <w:spacing w:line="274" w:lineRule="exact"/>
              <w:ind w:left="2619"/>
              <w:jc w:val="left"/>
              <w:rPr>
                <w:b/>
                <w:sz w:val="24"/>
              </w:rPr>
            </w:pPr>
            <w:r>
              <w:rPr>
                <w:b/>
                <w:sz w:val="24"/>
              </w:rPr>
              <w:t>Medidas de tendencia central</w:t>
            </w:r>
          </w:p>
        </w:tc>
      </w:tr>
      <w:tr>
        <w:trPr>
          <w:trHeight w:val="473" w:hRule="exact"/>
        </w:trPr>
        <w:tc>
          <w:tcPr>
            <w:tcW w:w="2774" w:type="dxa"/>
            <w:tcBorders>
              <w:left w:val="nil"/>
              <w:right w:val="nil"/>
            </w:tcBorders>
            <w:shd w:val="clear" w:color="auto" w:fill="99CC00"/>
          </w:tcPr>
          <w:p>
            <w:pPr>
              <w:pStyle w:val="TableParagraph"/>
              <w:spacing w:line="274" w:lineRule="exact"/>
              <w:ind w:left="950"/>
              <w:jc w:val="left"/>
              <w:rPr>
                <w:b/>
                <w:sz w:val="24"/>
              </w:rPr>
            </w:pPr>
            <w:r>
              <w:rPr>
                <w:b/>
                <w:sz w:val="24"/>
              </w:rPr>
              <w:t>Media</w:t>
            </w:r>
          </w:p>
        </w:tc>
        <w:tc>
          <w:tcPr>
            <w:tcW w:w="3209" w:type="dxa"/>
            <w:tcBorders>
              <w:left w:val="nil"/>
              <w:right w:val="nil"/>
            </w:tcBorders>
            <w:shd w:val="clear" w:color="auto" w:fill="99CC00"/>
          </w:tcPr>
          <w:p>
            <w:pPr>
              <w:pStyle w:val="TableParagraph"/>
              <w:spacing w:line="274" w:lineRule="exact"/>
              <w:ind w:left="1123" w:right="1084"/>
              <w:rPr>
                <w:b/>
                <w:sz w:val="24"/>
              </w:rPr>
            </w:pPr>
            <w:r>
              <w:rPr>
                <w:b/>
                <w:sz w:val="24"/>
              </w:rPr>
              <w:t>Mediana</w:t>
            </w:r>
          </w:p>
        </w:tc>
        <w:tc>
          <w:tcPr>
            <w:tcW w:w="2604" w:type="dxa"/>
            <w:tcBorders>
              <w:left w:val="nil"/>
              <w:right w:val="nil"/>
            </w:tcBorders>
            <w:shd w:val="clear" w:color="auto" w:fill="99CC00"/>
          </w:tcPr>
          <w:p>
            <w:pPr>
              <w:pStyle w:val="TableParagraph"/>
              <w:spacing w:line="274" w:lineRule="exact"/>
              <w:ind w:left="1083" w:right="854"/>
              <w:rPr>
                <w:b/>
                <w:sz w:val="24"/>
              </w:rPr>
            </w:pPr>
            <w:r>
              <w:rPr>
                <w:b/>
                <w:sz w:val="24"/>
              </w:rPr>
              <w:t>Moda</w:t>
            </w:r>
          </w:p>
        </w:tc>
      </w:tr>
      <w:tr>
        <w:trPr>
          <w:trHeight w:val="475" w:hRule="exact"/>
        </w:trPr>
        <w:tc>
          <w:tcPr>
            <w:tcW w:w="2774" w:type="dxa"/>
            <w:tcBorders>
              <w:left w:val="nil"/>
              <w:right w:val="nil"/>
            </w:tcBorders>
          </w:tcPr>
          <w:p>
            <w:pPr>
              <w:pStyle w:val="TableParagraph"/>
              <w:spacing w:line="274" w:lineRule="exact"/>
              <w:ind w:left="988"/>
              <w:jc w:val="left"/>
              <w:rPr>
                <w:sz w:val="24"/>
              </w:rPr>
            </w:pPr>
            <w:r>
              <w:rPr>
                <w:sz w:val="24"/>
              </w:rPr>
              <w:t>37.67</w:t>
            </w:r>
          </w:p>
        </w:tc>
        <w:tc>
          <w:tcPr>
            <w:tcW w:w="3209" w:type="dxa"/>
            <w:tcBorders>
              <w:left w:val="nil"/>
              <w:right w:val="nil"/>
            </w:tcBorders>
          </w:tcPr>
          <w:p>
            <w:pPr>
              <w:pStyle w:val="TableParagraph"/>
              <w:spacing w:line="274" w:lineRule="exact"/>
              <w:ind w:left="1122" w:right="1084"/>
              <w:rPr>
                <w:sz w:val="24"/>
              </w:rPr>
            </w:pPr>
            <w:r>
              <w:rPr>
                <w:sz w:val="24"/>
              </w:rPr>
              <w:t>36</w:t>
            </w:r>
          </w:p>
        </w:tc>
        <w:tc>
          <w:tcPr>
            <w:tcW w:w="2604" w:type="dxa"/>
            <w:tcBorders>
              <w:left w:val="nil"/>
              <w:right w:val="nil"/>
            </w:tcBorders>
          </w:tcPr>
          <w:p>
            <w:pPr>
              <w:pStyle w:val="TableParagraph"/>
              <w:spacing w:line="274" w:lineRule="exact"/>
              <w:ind w:left="1083" w:right="851"/>
              <w:rPr>
                <w:sz w:val="24"/>
              </w:rPr>
            </w:pPr>
            <w:r>
              <w:rPr>
                <w:sz w:val="24"/>
              </w:rPr>
              <w:t>35</w:t>
            </w:r>
          </w:p>
        </w:tc>
      </w:tr>
    </w:tbl>
    <w:p>
      <w:pPr>
        <w:pStyle w:val="BodyText"/>
        <w:rPr>
          <w:b/>
          <w:sz w:val="20"/>
        </w:rPr>
      </w:pPr>
    </w:p>
    <w:p>
      <w:pPr>
        <w:pStyle w:val="BodyText"/>
        <w:spacing w:before="7"/>
        <w:rPr>
          <w:b/>
          <w:sz w:val="14"/>
        </w:rPr>
      </w:pPr>
    </w:p>
    <w:tbl>
      <w:tblPr>
        <w:tblW w:w="0" w:type="auto"/>
        <w:jc w:val="left"/>
        <w:tblInd w:w="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82"/>
        <w:gridCol w:w="4350"/>
      </w:tblGrid>
      <w:tr>
        <w:trPr>
          <w:trHeight w:val="476" w:hRule="exact"/>
        </w:trPr>
        <w:tc>
          <w:tcPr>
            <w:tcW w:w="8531" w:type="dxa"/>
            <w:gridSpan w:val="2"/>
            <w:tcBorders>
              <w:left w:val="nil"/>
              <w:right w:val="nil"/>
            </w:tcBorders>
          </w:tcPr>
          <w:p>
            <w:pPr>
              <w:pStyle w:val="TableParagraph"/>
              <w:spacing w:before="1"/>
              <w:ind w:left="2951" w:right="2952"/>
              <w:rPr>
                <w:b/>
                <w:sz w:val="24"/>
              </w:rPr>
            </w:pPr>
            <w:r>
              <w:rPr>
                <w:b/>
                <w:sz w:val="24"/>
              </w:rPr>
              <w:t>Medidas de dispersión</w:t>
            </w:r>
          </w:p>
        </w:tc>
      </w:tr>
      <w:tr>
        <w:trPr>
          <w:trHeight w:val="473" w:hRule="exact"/>
        </w:trPr>
        <w:tc>
          <w:tcPr>
            <w:tcW w:w="4182" w:type="dxa"/>
            <w:tcBorders>
              <w:left w:val="nil"/>
              <w:right w:val="nil"/>
            </w:tcBorders>
            <w:shd w:val="clear" w:color="auto" w:fill="99CC00"/>
          </w:tcPr>
          <w:p>
            <w:pPr>
              <w:pStyle w:val="TableParagraph"/>
              <w:spacing w:line="274" w:lineRule="exact"/>
              <w:ind w:left="1623" w:right="1678"/>
              <w:rPr>
                <w:b/>
                <w:sz w:val="24"/>
              </w:rPr>
            </w:pPr>
            <w:r>
              <w:rPr>
                <w:b/>
                <w:sz w:val="24"/>
              </w:rPr>
              <w:t>Mínimo</w:t>
            </w:r>
          </w:p>
        </w:tc>
        <w:tc>
          <w:tcPr>
            <w:tcW w:w="4350" w:type="dxa"/>
            <w:tcBorders>
              <w:left w:val="nil"/>
              <w:right w:val="nil"/>
            </w:tcBorders>
            <w:shd w:val="clear" w:color="auto" w:fill="99CC00"/>
          </w:tcPr>
          <w:p>
            <w:pPr>
              <w:pStyle w:val="TableParagraph"/>
              <w:spacing w:line="274" w:lineRule="exact"/>
              <w:ind w:left="1681" w:right="1735"/>
              <w:rPr>
                <w:b/>
                <w:sz w:val="24"/>
              </w:rPr>
            </w:pPr>
            <w:r>
              <w:rPr>
                <w:b/>
                <w:sz w:val="24"/>
              </w:rPr>
              <w:t>Máximo</w:t>
            </w:r>
          </w:p>
        </w:tc>
      </w:tr>
      <w:tr>
        <w:trPr>
          <w:trHeight w:val="475" w:hRule="exact"/>
        </w:trPr>
        <w:tc>
          <w:tcPr>
            <w:tcW w:w="4182" w:type="dxa"/>
            <w:tcBorders>
              <w:left w:val="nil"/>
              <w:right w:val="nil"/>
            </w:tcBorders>
          </w:tcPr>
          <w:p>
            <w:pPr>
              <w:pStyle w:val="TableParagraph"/>
              <w:spacing w:line="274" w:lineRule="exact"/>
              <w:ind w:left="1623" w:right="1678"/>
              <w:rPr>
                <w:sz w:val="24"/>
              </w:rPr>
            </w:pPr>
            <w:r>
              <w:rPr>
                <w:sz w:val="24"/>
              </w:rPr>
              <w:t>20</w:t>
            </w:r>
          </w:p>
        </w:tc>
        <w:tc>
          <w:tcPr>
            <w:tcW w:w="4350" w:type="dxa"/>
            <w:tcBorders>
              <w:left w:val="nil"/>
              <w:right w:val="nil"/>
            </w:tcBorders>
          </w:tcPr>
          <w:p>
            <w:pPr>
              <w:pStyle w:val="TableParagraph"/>
              <w:spacing w:line="274" w:lineRule="exact"/>
              <w:ind w:left="1678" w:right="1735"/>
              <w:rPr>
                <w:sz w:val="24"/>
              </w:rPr>
            </w:pPr>
            <w:r>
              <w:rPr>
                <w:sz w:val="24"/>
              </w:rPr>
              <w:t>50</w:t>
            </w:r>
          </w:p>
        </w:tc>
      </w:tr>
    </w:tbl>
    <w:p>
      <w:pPr>
        <w:pStyle w:val="BodyText"/>
        <w:rPr>
          <w:b/>
          <w:sz w:val="20"/>
        </w:rPr>
      </w:pPr>
    </w:p>
    <w:p>
      <w:pPr>
        <w:pStyle w:val="BodyText"/>
        <w:spacing w:before="6"/>
        <w:rPr>
          <w:b/>
          <w:sz w:val="10"/>
        </w:rPr>
      </w:pPr>
      <w:r>
        <w:rPr/>
        <w:pict>
          <v:group style="position:absolute;margin-left:130.095001pt;margin-top:8.005977pt;width:397.45pt;height:182.1pt;mso-position-horizontal-relative:page;mso-position-vertical-relative:paragraph;z-index:1456;mso-wrap-distance-left:0;mso-wrap-distance-right:0" coordorigin="2602,160" coordsize="7949,3642">
            <v:shape style="position:absolute;left:4188;top:1643;width:4546;height:1855" type="#_x0000_t75" stroked="false">
              <v:imagedata r:id="rId44" o:title=""/>
            </v:shape>
            <v:shape style="position:absolute;left:2609;top:168;width:7934;height:3627" type="#_x0000_t202" filled="false" stroked="true" strokeweight=".75pt" strokecolor="#858585">
              <v:textbox inset="0,0,0,0">
                <w:txbxContent>
                  <w:p>
                    <w:pPr>
                      <w:spacing w:line="240" w:lineRule="auto" w:before="3"/>
                      <w:rPr>
                        <w:b/>
                        <w:sz w:val="25"/>
                      </w:rPr>
                    </w:pPr>
                  </w:p>
                  <w:p>
                    <w:pPr>
                      <w:spacing w:before="0"/>
                      <w:ind w:left="2106" w:right="1794" w:firstLine="0"/>
                      <w:jc w:val="center"/>
                      <w:rPr>
                        <w:b/>
                        <w:sz w:val="20"/>
                      </w:rPr>
                    </w:pPr>
                    <w:r>
                      <w:rPr>
                        <w:b/>
                        <w:sz w:val="20"/>
                      </w:rPr>
                      <w:t>Gráfica No. 2</w:t>
                    </w:r>
                  </w:p>
                  <w:p>
                    <w:pPr>
                      <w:spacing w:before="0"/>
                      <w:ind w:left="2106" w:right="1797" w:firstLine="0"/>
                      <w:jc w:val="center"/>
                      <w:rPr>
                        <w:b/>
                        <w:sz w:val="20"/>
                      </w:rPr>
                    </w:pPr>
                    <w:r>
                      <w:rPr>
                        <w:b/>
                        <w:sz w:val="20"/>
                      </w:rPr>
                      <w:t>Edad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24"/>
                      </w:rPr>
                    </w:pPr>
                  </w:p>
                  <w:p>
                    <w:pPr>
                      <w:spacing w:before="0"/>
                      <w:ind w:left="0" w:right="202" w:firstLine="0"/>
                      <w:jc w:val="right"/>
                      <w:rPr>
                        <w:rFonts w:ascii="Calibri" w:hAnsi="Calibri"/>
                        <w:b/>
                        <w:sz w:val="18"/>
                      </w:rPr>
                    </w:pPr>
                    <w:r>
                      <w:rPr>
                        <w:rFonts w:ascii="Calibri" w:hAnsi="Calibri"/>
                        <w:b/>
                        <w:w w:val="105"/>
                        <w:sz w:val="18"/>
                      </w:rPr>
                      <w:t>20 a 30 años</w:t>
                    </w:r>
                  </w:p>
                  <w:p>
                    <w:pPr>
                      <w:spacing w:line="240" w:lineRule="auto" w:before="10"/>
                      <w:rPr>
                        <w:b/>
                        <w:sz w:val="26"/>
                      </w:rPr>
                    </w:pPr>
                  </w:p>
                  <w:p>
                    <w:pPr>
                      <w:spacing w:before="0"/>
                      <w:ind w:left="0" w:right="202" w:firstLine="0"/>
                      <w:jc w:val="right"/>
                      <w:rPr>
                        <w:rFonts w:ascii="Calibri" w:hAnsi="Calibri"/>
                        <w:b/>
                        <w:sz w:val="18"/>
                      </w:rPr>
                    </w:pPr>
                    <w:r>
                      <w:rPr>
                        <w:rFonts w:ascii="Calibri" w:hAnsi="Calibri"/>
                        <w:b/>
                        <w:w w:val="105"/>
                        <w:sz w:val="18"/>
                      </w:rPr>
                      <w:t>31 a 39 años</w:t>
                    </w:r>
                  </w:p>
                  <w:p>
                    <w:pPr>
                      <w:spacing w:line="240" w:lineRule="auto" w:before="9"/>
                      <w:rPr>
                        <w:b/>
                        <w:sz w:val="26"/>
                      </w:rPr>
                    </w:pPr>
                  </w:p>
                  <w:p>
                    <w:pPr>
                      <w:spacing w:before="0"/>
                      <w:ind w:left="0" w:right="202" w:firstLine="0"/>
                      <w:jc w:val="right"/>
                      <w:rPr>
                        <w:rFonts w:ascii="Calibri" w:hAnsi="Calibri"/>
                        <w:b/>
                        <w:sz w:val="18"/>
                      </w:rPr>
                    </w:pPr>
                    <w:r>
                      <w:rPr>
                        <w:rFonts w:ascii="Calibri" w:hAnsi="Calibri"/>
                        <w:b/>
                        <w:w w:val="105"/>
                        <w:sz w:val="18"/>
                      </w:rPr>
                      <w:t>40 a 50 años</w:t>
                    </w:r>
                  </w:p>
                </w:txbxContent>
              </v:textbox>
              <w10:wrap type="none"/>
            </v:shape>
            <w10:wrap type="topAndBottom"/>
          </v:group>
        </w:pict>
      </w:r>
    </w:p>
    <w:p>
      <w:pPr>
        <w:spacing w:line="225" w:lineRule="exact" w:before="0"/>
        <w:ind w:left="901" w:right="230" w:firstLine="0"/>
        <w:jc w:val="left"/>
        <w:rPr>
          <w:sz w:val="20"/>
        </w:rPr>
      </w:pPr>
      <w:r>
        <w:rPr>
          <w:sz w:val="20"/>
        </w:rPr>
        <w:t>Fuente: Tabla No. 2</w:t>
      </w:r>
    </w:p>
    <w:p>
      <w:pPr>
        <w:spacing w:after="0" w:line="225" w:lineRule="exact"/>
        <w:jc w:val="left"/>
        <w:rPr>
          <w:sz w:val="20"/>
        </w:rPr>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41"/>
        <w:jc w:val="both"/>
      </w:pPr>
      <w:r>
        <w:rPr/>
        <w:t>Uno de los criterios de inclusión para la selección de la muestra, fue la mayoría de edad (18 años), se encontró una edad mínima de 20 años y una edad máxima de 50 años, más detalladamente el rango de edad predominante fue de 31 a 39 años en un 66.7%, el menor rango fue de 20 a 30 años, encontrando un cuidador en etapa de adulto joven, edad media de 37 años, lo anterior sitúa al cuidador en edad productiva, el cual se puede ver repercutido de manera importante en la vida económica y social, antes de impactar en la salud de</w:t>
      </w:r>
      <w:r>
        <w:rPr>
          <w:spacing w:val="-3"/>
        </w:rPr>
        <w:t> </w:t>
      </w:r>
      <w:r>
        <w:rPr/>
        <w:t>éste.</w:t>
      </w:r>
    </w:p>
    <w:p>
      <w:pPr>
        <w:spacing w:after="0" w:line="360" w:lineRule="auto"/>
        <w:jc w:val="both"/>
        <w:sectPr>
          <w:pgSz w:w="12250" w:h="15850"/>
          <w:pgMar w:header="748" w:footer="1122" w:top="1260" w:bottom="1320" w:left="1720" w:right="1280"/>
        </w:sectPr>
      </w:pPr>
    </w:p>
    <w:p>
      <w:pPr>
        <w:pStyle w:val="BodyText"/>
        <w:rPr>
          <w:sz w:val="20"/>
        </w:rPr>
      </w:pPr>
      <w:r>
        <w:rPr/>
        <w:pict>
          <v:rect style="position:absolute;margin-left:475.420013pt;margin-top:418.662201pt;width:5.0378pt;height:5.0378pt;mso-position-horizontal-relative:page;mso-position-vertical-relative:page;z-index:-174424" filled="true" fillcolor="#4f81bc" stroked="false">
            <v:fill type="solid"/>
            <w10:wrap type="none"/>
          </v:rect>
        </w:pict>
      </w:r>
      <w:r>
        <w:rPr/>
        <w:pict>
          <v:rect style="position:absolute;margin-left:475.420013pt;margin-top:447.6922pt;width:5.0378pt;height:5.0378pt;mso-position-horizontal-relative:page;mso-position-vertical-relative:page;z-index:-174400" filled="true" fillcolor="#c0504d" stroked="false">
            <v:fill type="solid"/>
            <w10:wrap type="none"/>
          </v:rect>
        </w:pict>
      </w:r>
    </w:p>
    <w:p>
      <w:pPr>
        <w:pStyle w:val="BodyText"/>
        <w:rPr>
          <w:sz w:val="20"/>
        </w:rPr>
      </w:pPr>
    </w:p>
    <w:p>
      <w:pPr>
        <w:pStyle w:val="BodyText"/>
        <w:spacing w:before="5"/>
        <w:rPr>
          <w:sz w:val="21"/>
        </w:rPr>
      </w:pPr>
    </w:p>
    <w:p>
      <w:pPr>
        <w:pStyle w:val="Heading2"/>
        <w:spacing w:line="360" w:lineRule="auto"/>
        <w:jc w:val="left"/>
      </w:pPr>
      <w:r>
        <w:rPr>
          <w:b w:val="0"/>
        </w:rPr>
        <w:t>Tabla No. 3. </w:t>
      </w:r>
      <w:r>
        <w:rPr/>
        <w:t>Estado civil del cuidador informal primario,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21"/>
        <w:gridCol w:w="2731"/>
        <w:gridCol w:w="2503"/>
      </w:tblGrid>
      <w:tr>
        <w:trPr>
          <w:trHeight w:val="430" w:hRule="exact"/>
        </w:trPr>
        <w:tc>
          <w:tcPr>
            <w:tcW w:w="3321" w:type="dxa"/>
            <w:tcBorders>
              <w:left w:val="nil"/>
              <w:right w:val="nil"/>
            </w:tcBorders>
            <w:shd w:val="clear" w:color="auto" w:fill="99CC00"/>
          </w:tcPr>
          <w:p>
            <w:pPr>
              <w:pStyle w:val="TableParagraph"/>
              <w:spacing w:before="67"/>
              <w:ind w:left="1058" w:right="849"/>
              <w:rPr>
                <w:b/>
                <w:sz w:val="24"/>
              </w:rPr>
            </w:pPr>
            <w:r>
              <w:rPr>
                <w:b/>
                <w:sz w:val="24"/>
              </w:rPr>
              <w:t>Estado Civil</w:t>
            </w:r>
          </w:p>
        </w:tc>
        <w:tc>
          <w:tcPr>
            <w:tcW w:w="2731" w:type="dxa"/>
            <w:tcBorders>
              <w:left w:val="nil"/>
              <w:right w:val="nil"/>
            </w:tcBorders>
            <w:shd w:val="clear" w:color="auto" w:fill="99CC00"/>
          </w:tcPr>
          <w:p>
            <w:pPr>
              <w:pStyle w:val="TableParagraph"/>
              <w:spacing w:before="67"/>
              <w:ind w:left="850" w:right="652"/>
              <w:rPr>
                <w:sz w:val="24"/>
              </w:rPr>
            </w:pPr>
            <w:r>
              <w:rPr>
                <w:sz w:val="24"/>
              </w:rPr>
              <w:t>Frecuencia</w:t>
            </w:r>
          </w:p>
        </w:tc>
        <w:tc>
          <w:tcPr>
            <w:tcW w:w="2503" w:type="dxa"/>
            <w:tcBorders>
              <w:left w:val="nil"/>
              <w:right w:val="nil"/>
            </w:tcBorders>
            <w:shd w:val="clear" w:color="auto" w:fill="99CC00"/>
          </w:tcPr>
          <w:p>
            <w:pPr>
              <w:pStyle w:val="TableParagraph"/>
              <w:spacing w:before="67"/>
              <w:ind w:left="653" w:right="662"/>
              <w:rPr>
                <w:sz w:val="24"/>
              </w:rPr>
            </w:pPr>
            <w:r>
              <w:rPr>
                <w:sz w:val="24"/>
              </w:rPr>
              <w:t>Porcentaje</w:t>
            </w:r>
          </w:p>
        </w:tc>
      </w:tr>
      <w:tr>
        <w:trPr>
          <w:trHeight w:val="433" w:hRule="exact"/>
        </w:trPr>
        <w:tc>
          <w:tcPr>
            <w:tcW w:w="3321" w:type="dxa"/>
            <w:tcBorders>
              <w:left w:val="nil"/>
              <w:bottom w:val="nil"/>
              <w:right w:val="nil"/>
            </w:tcBorders>
          </w:tcPr>
          <w:p>
            <w:pPr>
              <w:pStyle w:val="TableParagraph"/>
              <w:spacing w:before="67"/>
              <w:ind w:left="1058" w:right="847"/>
              <w:rPr>
                <w:sz w:val="24"/>
              </w:rPr>
            </w:pPr>
            <w:r>
              <w:rPr>
                <w:sz w:val="24"/>
              </w:rPr>
              <w:t>Soltero</w:t>
            </w:r>
          </w:p>
        </w:tc>
        <w:tc>
          <w:tcPr>
            <w:tcW w:w="2731" w:type="dxa"/>
            <w:tcBorders>
              <w:left w:val="nil"/>
              <w:bottom w:val="nil"/>
              <w:right w:val="nil"/>
            </w:tcBorders>
          </w:tcPr>
          <w:p>
            <w:pPr>
              <w:pStyle w:val="TableParagraph"/>
              <w:spacing w:before="67"/>
              <w:ind w:left="198"/>
              <w:rPr>
                <w:sz w:val="24"/>
              </w:rPr>
            </w:pPr>
            <w:r>
              <w:rPr>
                <w:w w:val="99"/>
                <w:sz w:val="24"/>
              </w:rPr>
              <w:t>9</w:t>
            </w:r>
          </w:p>
        </w:tc>
        <w:tc>
          <w:tcPr>
            <w:tcW w:w="2503" w:type="dxa"/>
            <w:tcBorders>
              <w:left w:val="nil"/>
              <w:bottom w:val="nil"/>
              <w:right w:val="nil"/>
            </w:tcBorders>
          </w:tcPr>
          <w:p>
            <w:pPr>
              <w:pStyle w:val="TableParagraph"/>
              <w:spacing w:before="67"/>
              <w:ind w:left="653" w:right="658"/>
              <w:rPr>
                <w:sz w:val="24"/>
              </w:rPr>
            </w:pPr>
            <w:r>
              <w:rPr>
                <w:sz w:val="24"/>
              </w:rPr>
              <w:t>30</w:t>
            </w:r>
          </w:p>
        </w:tc>
      </w:tr>
      <w:tr>
        <w:trPr>
          <w:trHeight w:val="420" w:hRule="exact"/>
        </w:trPr>
        <w:tc>
          <w:tcPr>
            <w:tcW w:w="3321" w:type="dxa"/>
            <w:tcBorders>
              <w:top w:val="nil"/>
              <w:left w:val="nil"/>
              <w:bottom w:val="nil"/>
              <w:right w:val="nil"/>
            </w:tcBorders>
          </w:tcPr>
          <w:p>
            <w:pPr>
              <w:pStyle w:val="TableParagraph"/>
              <w:spacing w:before="59"/>
              <w:ind w:left="1058" w:right="847"/>
              <w:rPr>
                <w:b/>
                <w:sz w:val="24"/>
              </w:rPr>
            </w:pPr>
            <w:r>
              <w:rPr>
                <w:b/>
                <w:sz w:val="24"/>
              </w:rPr>
              <w:t>Casado</w:t>
            </w:r>
          </w:p>
        </w:tc>
        <w:tc>
          <w:tcPr>
            <w:tcW w:w="2731" w:type="dxa"/>
            <w:tcBorders>
              <w:top w:val="nil"/>
              <w:left w:val="nil"/>
              <w:bottom w:val="nil"/>
              <w:right w:val="nil"/>
            </w:tcBorders>
          </w:tcPr>
          <w:p>
            <w:pPr>
              <w:pStyle w:val="TableParagraph"/>
              <w:spacing w:before="59"/>
              <w:ind w:left="850" w:right="651"/>
              <w:rPr>
                <w:b/>
                <w:sz w:val="24"/>
              </w:rPr>
            </w:pPr>
            <w:r>
              <w:rPr>
                <w:b/>
                <w:sz w:val="24"/>
              </w:rPr>
              <w:t>14</w:t>
            </w:r>
          </w:p>
        </w:tc>
        <w:tc>
          <w:tcPr>
            <w:tcW w:w="2503" w:type="dxa"/>
            <w:tcBorders>
              <w:top w:val="nil"/>
              <w:left w:val="nil"/>
              <w:bottom w:val="nil"/>
              <w:right w:val="nil"/>
            </w:tcBorders>
          </w:tcPr>
          <w:p>
            <w:pPr>
              <w:pStyle w:val="TableParagraph"/>
              <w:spacing w:before="59"/>
              <w:ind w:left="653" w:right="660"/>
              <w:rPr>
                <w:b/>
                <w:sz w:val="24"/>
              </w:rPr>
            </w:pPr>
            <w:r>
              <w:rPr>
                <w:b/>
                <w:sz w:val="24"/>
              </w:rPr>
              <w:t>46.7</w:t>
            </w:r>
          </w:p>
        </w:tc>
      </w:tr>
      <w:tr>
        <w:trPr>
          <w:trHeight w:val="414" w:hRule="exact"/>
        </w:trPr>
        <w:tc>
          <w:tcPr>
            <w:tcW w:w="3321" w:type="dxa"/>
            <w:tcBorders>
              <w:top w:val="nil"/>
              <w:left w:val="nil"/>
              <w:bottom w:val="nil"/>
              <w:right w:val="nil"/>
            </w:tcBorders>
          </w:tcPr>
          <w:p>
            <w:pPr>
              <w:pStyle w:val="TableParagraph"/>
              <w:spacing w:before="59"/>
              <w:ind w:left="1058" w:right="849"/>
              <w:rPr>
                <w:sz w:val="24"/>
              </w:rPr>
            </w:pPr>
            <w:r>
              <w:rPr>
                <w:sz w:val="24"/>
              </w:rPr>
              <w:t>Unión Libre</w:t>
            </w:r>
          </w:p>
        </w:tc>
        <w:tc>
          <w:tcPr>
            <w:tcW w:w="2731" w:type="dxa"/>
            <w:tcBorders>
              <w:top w:val="nil"/>
              <w:left w:val="nil"/>
              <w:bottom w:val="nil"/>
              <w:right w:val="nil"/>
            </w:tcBorders>
          </w:tcPr>
          <w:p>
            <w:pPr>
              <w:pStyle w:val="TableParagraph"/>
              <w:spacing w:before="59"/>
              <w:ind w:left="198"/>
              <w:rPr>
                <w:sz w:val="24"/>
              </w:rPr>
            </w:pPr>
            <w:r>
              <w:rPr>
                <w:w w:val="99"/>
                <w:sz w:val="24"/>
              </w:rPr>
              <w:t>2</w:t>
            </w:r>
          </w:p>
        </w:tc>
        <w:tc>
          <w:tcPr>
            <w:tcW w:w="2503" w:type="dxa"/>
            <w:tcBorders>
              <w:top w:val="nil"/>
              <w:left w:val="nil"/>
              <w:bottom w:val="nil"/>
              <w:right w:val="nil"/>
            </w:tcBorders>
          </w:tcPr>
          <w:p>
            <w:pPr>
              <w:pStyle w:val="TableParagraph"/>
              <w:spacing w:before="59"/>
              <w:ind w:left="653" w:right="660"/>
              <w:rPr>
                <w:sz w:val="24"/>
              </w:rPr>
            </w:pPr>
            <w:r>
              <w:rPr>
                <w:sz w:val="24"/>
              </w:rPr>
              <w:t>6.6</w:t>
            </w:r>
          </w:p>
        </w:tc>
      </w:tr>
      <w:tr>
        <w:trPr>
          <w:trHeight w:val="401" w:hRule="exact"/>
        </w:trPr>
        <w:tc>
          <w:tcPr>
            <w:tcW w:w="3321" w:type="dxa"/>
            <w:tcBorders>
              <w:top w:val="nil"/>
              <w:left w:val="nil"/>
              <w:right w:val="nil"/>
            </w:tcBorders>
          </w:tcPr>
          <w:p>
            <w:pPr>
              <w:pStyle w:val="TableParagraph"/>
              <w:spacing w:before="53"/>
              <w:ind w:left="1058" w:right="846"/>
              <w:rPr>
                <w:sz w:val="24"/>
              </w:rPr>
            </w:pPr>
            <w:r>
              <w:rPr>
                <w:sz w:val="24"/>
              </w:rPr>
              <w:t>Divorciado</w:t>
            </w:r>
          </w:p>
        </w:tc>
        <w:tc>
          <w:tcPr>
            <w:tcW w:w="2731" w:type="dxa"/>
            <w:tcBorders>
              <w:top w:val="nil"/>
              <w:left w:val="nil"/>
              <w:right w:val="nil"/>
            </w:tcBorders>
          </w:tcPr>
          <w:p>
            <w:pPr>
              <w:pStyle w:val="TableParagraph"/>
              <w:spacing w:before="53"/>
              <w:ind w:left="198"/>
              <w:rPr>
                <w:sz w:val="24"/>
              </w:rPr>
            </w:pPr>
            <w:r>
              <w:rPr>
                <w:w w:val="99"/>
                <w:sz w:val="24"/>
              </w:rPr>
              <w:t>5</w:t>
            </w:r>
          </w:p>
        </w:tc>
        <w:tc>
          <w:tcPr>
            <w:tcW w:w="2503" w:type="dxa"/>
            <w:tcBorders>
              <w:top w:val="nil"/>
              <w:left w:val="nil"/>
              <w:right w:val="nil"/>
            </w:tcBorders>
          </w:tcPr>
          <w:p>
            <w:pPr>
              <w:pStyle w:val="TableParagraph"/>
              <w:spacing w:before="53"/>
              <w:ind w:left="653" w:right="660"/>
              <w:rPr>
                <w:sz w:val="24"/>
              </w:rPr>
            </w:pPr>
            <w:r>
              <w:rPr>
                <w:sz w:val="24"/>
              </w:rPr>
              <w:t>16.7</w:t>
            </w:r>
          </w:p>
        </w:tc>
      </w:tr>
      <w:tr>
        <w:trPr>
          <w:trHeight w:val="430" w:hRule="exact"/>
        </w:trPr>
        <w:tc>
          <w:tcPr>
            <w:tcW w:w="3321" w:type="dxa"/>
            <w:tcBorders>
              <w:left w:val="nil"/>
              <w:right w:val="nil"/>
            </w:tcBorders>
            <w:shd w:val="clear" w:color="auto" w:fill="99CC00"/>
          </w:tcPr>
          <w:p>
            <w:pPr>
              <w:pStyle w:val="TableParagraph"/>
              <w:spacing w:before="67"/>
              <w:ind w:left="1058" w:right="849"/>
              <w:rPr>
                <w:b/>
                <w:sz w:val="24"/>
              </w:rPr>
            </w:pPr>
            <w:r>
              <w:rPr>
                <w:b/>
                <w:sz w:val="24"/>
              </w:rPr>
              <w:t>Total</w:t>
            </w:r>
          </w:p>
        </w:tc>
        <w:tc>
          <w:tcPr>
            <w:tcW w:w="2731" w:type="dxa"/>
            <w:tcBorders>
              <w:left w:val="nil"/>
              <w:right w:val="nil"/>
            </w:tcBorders>
            <w:shd w:val="clear" w:color="auto" w:fill="99CC00"/>
          </w:tcPr>
          <w:p>
            <w:pPr>
              <w:pStyle w:val="TableParagraph"/>
              <w:spacing w:before="67"/>
              <w:ind w:left="850" w:right="651"/>
              <w:rPr>
                <w:sz w:val="24"/>
              </w:rPr>
            </w:pPr>
            <w:r>
              <w:rPr>
                <w:sz w:val="24"/>
              </w:rPr>
              <w:t>30</w:t>
            </w:r>
          </w:p>
        </w:tc>
        <w:tc>
          <w:tcPr>
            <w:tcW w:w="2503" w:type="dxa"/>
            <w:tcBorders>
              <w:left w:val="nil"/>
              <w:right w:val="nil"/>
            </w:tcBorders>
            <w:shd w:val="clear" w:color="auto" w:fill="99CC00"/>
          </w:tcPr>
          <w:p>
            <w:pPr>
              <w:pStyle w:val="TableParagraph"/>
              <w:spacing w:before="67"/>
              <w:ind w:left="653" w:right="658"/>
              <w:rPr>
                <w:sz w:val="24"/>
              </w:rPr>
            </w:pPr>
            <w:r>
              <w:rPr>
                <w:sz w:val="24"/>
              </w:rPr>
              <w:t>100</w:t>
            </w:r>
          </w:p>
        </w:tc>
      </w:tr>
    </w:tbl>
    <w:p>
      <w:pPr>
        <w:pStyle w:val="BodyText"/>
        <w:rPr>
          <w:b/>
          <w:sz w:val="20"/>
        </w:rPr>
      </w:pPr>
    </w:p>
    <w:p>
      <w:pPr>
        <w:pStyle w:val="BodyText"/>
        <w:rPr>
          <w:b/>
          <w:sz w:val="20"/>
        </w:rPr>
      </w:pPr>
    </w:p>
    <w:p>
      <w:pPr>
        <w:pStyle w:val="BodyText"/>
        <w:rPr>
          <w:b/>
          <w:sz w:val="20"/>
        </w:rPr>
      </w:pPr>
    </w:p>
    <w:p>
      <w:pPr>
        <w:pStyle w:val="BodyText"/>
        <w:spacing w:before="1"/>
        <w:rPr>
          <w:b/>
          <w:sz w:val="10"/>
        </w:rPr>
      </w:pPr>
      <w:r>
        <w:rPr/>
        <w:pict>
          <v:group style="position:absolute;margin-left:119.724998pt;margin-top:7.77794pt;width:420.25pt;height:201.85pt;mso-position-horizontal-relative:page;mso-position-vertical-relative:paragraph;z-index:1576;mso-wrap-distance-left:0;mso-wrap-distance-right:0" coordorigin="2394,156" coordsize="8405,4037">
            <v:shape style="position:absolute;left:3912;top:1608;width:4716;height:2057" type="#_x0000_t75" stroked="false">
              <v:imagedata r:id="rId45" o:title=""/>
            </v:shape>
            <v:shape style="position:absolute;left:2402;top:163;width:8390;height:4022" type="#_x0000_t202" filled="false" stroked="true" strokeweight=".75pt" strokecolor="#858585">
              <v:textbox inset="0,0,0,0">
                <w:txbxContent>
                  <w:p>
                    <w:pPr>
                      <w:spacing w:line="240" w:lineRule="auto" w:before="5"/>
                      <w:rPr>
                        <w:b/>
                        <w:sz w:val="22"/>
                      </w:rPr>
                    </w:pPr>
                  </w:p>
                  <w:p>
                    <w:pPr>
                      <w:spacing w:line="229" w:lineRule="exact" w:before="1"/>
                      <w:ind w:left="1995" w:right="1740" w:firstLine="0"/>
                      <w:jc w:val="center"/>
                      <w:rPr>
                        <w:b/>
                        <w:sz w:val="20"/>
                      </w:rPr>
                    </w:pPr>
                    <w:r>
                      <w:rPr>
                        <w:b/>
                        <w:sz w:val="20"/>
                      </w:rPr>
                      <w:t>Gráfica No. 3</w:t>
                    </w:r>
                  </w:p>
                  <w:p>
                    <w:pPr>
                      <w:spacing w:line="229" w:lineRule="exact" w:before="0"/>
                      <w:ind w:left="1995" w:right="1742" w:firstLine="0"/>
                      <w:jc w:val="center"/>
                      <w:rPr>
                        <w:b/>
                        <w:sz w:val="20"/>
                      </w:rPr>
                    </w:pPr>
                    <w:r>
                      <w:rPr>
                        <w:b/>
                        <w:sz w:val="20"/>
                      </w:rPr>
                      <w:t>Estado civil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9"/>
                      <w:rPr>
                        <w:b/>
                        <w:sz w:val="23"/>
                      </w:rPr>
                    </w:pPr>
                  </w:p>
                  <w:p>
                    <w:pPr>
                      <w:spacing w:line="633" w:lineRule="auto" w:before="0"/>
                      <w:ind w:left="7244" w:right="176" w:firstLine="0"/>
                      <w:jc w:val="left"/>
                      <w:rPr>
                        <w:rFonts w:ascii="Calibri" w:hAnsi="Calibri"/>
                        <w:b/>
                        <w:sz w:val="18"/>
                      </w:rPr>
                    </w:pPr>
                    <w:r>
                      <w:rPr>
                        <w:rFonts w:ascii="Calibri" w:hAnsi="Calibri"/>
                        <w:b/>
                        <w:sz w:val="18"/>
                      </w:rPr>
                      <w:t>Soltero Casado Unión Libre Divorciado</w:t>
                    </w:r>
                  </w:p>
                </w:txbxContent>
              </v:textbox>
              <w10:wrap type="none"/>
            </v:shape>
            <w10:wrap type="topAndBottom"/>
          </v:group>
        </w:pict>
      </w:r>
    </w:p>
    <w:p>
      <w:pPr>
        <w:spacing w:before="37"/>
        <w:ind w:left="680" w:right="0" w:firstLine="0"/>
        <w:jc w:val="both"/>
        <w:rPr>
          <w:sz w:val="20"/>
        </w:rPr>
      </w:pPr>
      <w:r>
        <w:rPr>
          <w:sz w:val="20"/>
        </w:rPr>
        <w:t>Fuente: Tabla No. 3</w:t>
      </w:r>
    </w:p>
    <w:p>
      <w:pPr>
        <w:pStyle w:val="BodyText"/>
        <w:rPr>
          <w:sz w:val="20"/>
        </w:rPr>
      </w:pPr>
    </w:p>
    <w:p>
      <w:pPr>
        <w:pStyle w:val="BodyText"/>
        <w:spacing w:before="3"/>
        <w:rPr>
          <w:sz w:val="16"/>
        </w:rPr>
      </w:pPr>
    </w:p>
    <w:p>
      <w:pPr>
        <w:pStyle w:val="BodyText"/>
        <w:spacing w:line="360" w:lineRule="auto"/>
        <w:ind w:left="625" w:right="192"/>
        <w:jc w:val="both"/>
      </w:pPr>
      <w:r>
        <w:rPr/>
        <w:pict>
          <v:rect style="position:absolute;margin-left:475.420013pt;margin-top:-91.361938pt;width:5.0378pt;height:5.0378pt;mso-position-horizontal-relative:page;mso-position-vertical-relative:paragraph;z-index:-174376" filled="true" fillcolor="#9bba58" stroked="false">
            <v:fill type="solid"/>
            <w10:wrap type="none"/>
          </v:rect>
        </w:pict>
      </w:r>
      <w:r>
        <w:rPr/>
        <w:pict>
          <v:rect style="position:absolute;margin-left:475.420013pt;margin-top:-62.331944pt;width:5.0378pt;height:5.0378pt;mso-position-horizontal-relative:page;mso-position-vertical-relative:paragraph;z-index:-174352" filled="true" fillcolor="#8063a1" stroked="false">
            <v:fill type="solid"/>
            <w10:wrap type="none"/>
          </v:rect>
        </w:pict>
      </w:r>
      <w:r>
        <w:rPr/>
        <w:t>El estado civil que reportó mayor concurrencia fue: casado en un 46.7%, en contraste con unión libre con sólo un 6.6%, de la muestra los datos concuerdan con lo reportado por el censo de población y vivienda (2010), el cual ubica al Distrito Federal como la entidad con menor cantidad de población casada en  un 49.7%, mientras que la población soltera representa un 37.5% y sólo el 12.5% está separada o</w:t>
      </w:r>
      <w:r>
        <w:rPr>
          <w:spacing w:val="-10"/>
        </w:rPr>
        <w:t> </w:t>
      </w:r>
      <w:r>
        <w:rPr/>
        <w:t>viuda.</w:t>
      </w:r>
    </w:p>
    <w:p>
      <w:pPr>
        <w:spacing w:after="0" w:line="360" w:lineRule="auto"/>
        <w:jc w:val="both"/>
        <w:sectPr>
          <w:pgSz w:w="12250" w:h="15850"/>
          <w:pgMar w:header="748" w:footer="1122" w:top="1260" w:bottom="1320" w:left="1720" w:right="1220"/>
        </w:sectPr>
      </w:pPr>
    </w:p>
    <w:p>
      <w:pPr>
        <w:pStyle w:val="BodyText"/>
        <w:rPr>
          <w:sz w:val="20"/>
        </w:rPr>
      </w:pPr>
      <w:r>
        <w:rPr/>
        <w:pict>
          <v:rect style="position:absolute;margin-left:463.089996pt;margin-top:408.205688pt;width:5.0243pt;height:5.0243pt;mso-position-horizontal-relative:page;mso-position-vertical-relative:page;z-index:-174280" filled="true" fillcolor="#4f81bc" stroked="false">
            <v:fill type="solid"/>
            <w10:wrap type="none"/>
          </v:rect>
        </w:pict>
      </w:r>
      <w:r>
        <w:rPr/>
        <w:pict>
          <v:rect style="position:absolute;margin-left:463.089996pt;margin-top:428.095703pt;width:5.0243pt;height:5.0243pt;mso-position-horizontal-relative:page;mso-position-vertical-relative:page;z-index:-174256" filled="true" fillcolor="#c0504d" stroked="false">
            <v:fill type="solid"/>
            <w10:wrap type="none"/>
          </v:rect>
        </w:pict>
      </w:r>
      <w:r>
        <w:rPr/>
        <w:pict>
          <v:rect style="position:absolute;margin-left:463.089996pt;margin-top:447.995697pt;width:5.0243pt;height:5.0243pt;mso-position-horizontal-relative:page;mso-position-vertical-relative:page;z-index:-174232" filled="true" fillcolor="#9bba58" stroked="false">
            <v:fill type="solid"/>
            <w10:wrap type="none"/>
          </v:rect>
        </w:pict>
      </w:r>
    </w:p>
    <w:p>
      <w:pPr>
        <w:pStyle w:val="BodyText"/>
        <w:rPr>
          <w:sz w:val="20"/>
        </w:rPr>
      </w:pPr>
    </w:p>
    <w:p>
      <w:pPr>
        <w:pStyle w:val="BodyText"/>
        <w:spacing w:before="5"/>
        <w:rPr>
          <w:sz w:val="21"/>
        </w:rPr>
      </w:pPr>
    </w:p>
    <w:p>
      <w:pPr>
        <w:pStyle w:val="Heading2"/>
        <w:spacing w:line="360" w:lineRule="auto"/>
        <w:jc w:val="left"/>
      </w:pPr>
      <w:r>
        <w:rPr>
          <w:b w:val="0"/>
        </w:rPr>
        <w:t>Tabla No. 4. </w:t>
      </w:r>
      <w:r>
        <w:rPr/>
        <w:t>Escolaridad del cuidador informal primario, en un hospital público de segundo nivel, del Distrito Federal, México. Marzo, 2014</w:t>
      </w:r>
    </w:p>
    <w:p>
      <w:pPr>
        <w:pStyle w:val="BodyText"/>
        <w:rPr>
          <w:b/>
          <w:sz w:val="20"/>
        </w:rPr>
      </w:pPr>
    </w:p>
    <w:p>
      <w:pPr>
        <w:pStyle w:val="BodyText"/>
        <w:spacing w:before="10"/>
        <w:rPr>
          <w:b/>
          <w:sz w:val="11"/>
        </w:rPr>
      </w:pPr>
    </w:p>
    <w:tbl>
      <w:tblPr>
        <w:tblW w:w="0" w:type="auto"/>
        <w:jc w:val="left"/>
        <w:tblInd w:w="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05"/>
        <w:gridCol w:w="2639"/>
        <w:gridCol w:w="2498"/>
      </w:tblGrid>
      <w:tr>
        <w:trPr>
          <w:trHeight w:val="418" w:hRule="exact"/>
        </w:trPr>
        <w:tc>
          <w:tcPr>
            <w:tcW w:w="3405" w:type="dxa"/>
            <w:tcBorders>
              <w:left w:val="nil"/>
              <w:right w:val="nil"/>
            </w:tcBorders>
            <w:shd w:val="clear" w:color="auto" w:fill="99CC00"/>
          </w:tcPr>
          <w:p>
            <w:pPr>
              <w:pStyle w:val="TableParagraph"/>
              <w:spacing w:before="63"/>
              <w:ind w:left="883" w:right="762"/>
              <w:rPr>
                <w:b/>
                <w:sz w:val="24"/>
              </w:rPr>
            </w:pPr>
            <w:r>
              <w:rPr>
                <w:b/>
                <w:sz w:val="24"/>
              </w:rPr>
              <w:t>Escolaridad</w:t>
            </w:r>
          </w:p>
        </w:tc>
        <w:tc>
          <w:tcPr>
            <w:tcW w:w="2639" w:type="dxa"/>
            <w:tcBorders>
              <w:left w:val="nil"/>
              <w:right w:val="nil"/>
            </w:tcBorders>
            <w:shd w:val="clear" w:color="auto" w:fill="99CC00"/>
          </w:tcPr>
          <w:p>
            <w:pPr>
              <w:pStyle w:val="TableParagraph"/>
              <w:spacing w:before="63"/>
              <w:ind w:left="761" w:right="650"/>
              <w:rPr>
                <w:sz w:val="24"/>
              </w:rPr>
            </w:pPr>
            <w:r>
              <w:rPr>
                <w:sz w:val="24"/>
              </w:rPr>
              <w:t>Frecuencia</w:t>
            </w:r>
          </w:p>
        </w:tc>
        <w:tc>
          <w:tcPr>
            <w:tcW w:w="2498" w:type="dxa"/>
            <w:tcBorders>
              <w:left w:val="nil"/>
              <w:right w:val="nil"/>
            </w:tcBorders>
            <w:shd w:val="clear" w:color="auto" w:fill="99CC00"/>
          </w:tcPr>
          <w:p>
            <w:pPr>
              <w:pStyle w:val="TableParagraph"/>
              <w:spacing w:before="63"/>
              <w:ind w:left="650" w:right="659"/>
              <w:rPr>
                <w:sz w:val="24"/>
              </w:rPr>
            </w:pPr>
            <w:r>
              <w:rPr>
                <w:sz w:val="24"/>
              </w:rPr>
              <w:t>Porcentaje</w:t>
            </w:r>
          </w:p>
        </w:tc>
      </w:tr>
      <w:tr>
        <w:trPr>
          <w:trHeight w:val="407" w:hRule="exact"/>
        </w:trPr>
        <w:tc>
          <w:tcPr>
            <w:tcW w:w="3405" w:type="dxa"/>
            <w:tcBorders>
              <w:left w:val="nil"/>
              <w:bottom w:val="nil"/>
              <w:right w:val="nil"/>
            </w:tcBorders>
          </w:tcPr>
          <w:p>
            <w:pPr>
              <w:pStyle w:val="TableParagraph"/>
              <w:spacing w:before="55"/>
              <w:ind w:left="880" w:right="762"/>
              <w:rPr>
                <w:sz w:val="24"/>
              </w:rPr>
            </w:pPr>
            <w:r>
              <w:rPr>
                <w:sz w:val="24"/>
              </w:rPr>
              <w:t>Primaria</w:t>
            </w:r>
          </w:p>
        </w:tc>
        <w:tc>
          <w:tcPr>
            <w:tcW w:w="2639" w:type="dxa"/>
            <w:tcBorders>
              <w:left w:val="nil"/>
              <w:bottom w:val="nil"/>
              <w:right w:val="nil"/>
            </w:tcBorders>
          </w:tcPr>
          <w:p>
            <w:pPr>
              <w:pStyle w:val="TableParagraph"/>
              <w:spacing w:before="55"/>
              <w:ind w:left="107"/>
              <w:rPr>
                <w:sz w:val="24"/>
              </w:rPr>
            </w:pPr>
            <w:r>
              <w:rPr>
                <w:w w:val="99"/>
                <w:sz w:val="24"/>
              </w:rPr>
              <w:t>2</w:t>
            </w:r>
          </w:p>
        </w:tc>
        <w:tc>
          <w:tcPr>
            <w:tcW w:w="2498" w:type="dxa"/>
            <w:tcBorders>
              <w:left w:val="nil"/>
              <w:bottom w:val="nil"/>
              <w:right w:val="nil"/>
            </w:tcBorders>
          </w:tcPr>
          <w:p>
            <w:pPr>
              <w:pStyle w:val="TableParagraph"/>
              <w:spacing w:before="55"/>
              <w:ind w:left="650" w:right="657"/>
              <w:rPr>
                <w:sz w:val="24"/>
              </w:rPr>
            </w:pPr>
            <w:r>
              <w:rPr>
                <w:sz w:val="24"/>
              </w:rPr>
              <w:t>6.7</w:t>
            </w:r>
          </w:p>
        </w:tc>
      </w:tr>
      <w:tr>
        <w:trPr>
          <w:trHeight w:val="396" w:hRule="exact"/>
        </w:trPr>
        <w:tc>
          <w:tcPr>
            <w:tcW w:w="3405" w:type="dxa"/>
            <w:tcBorders>
              <w:top w:val="nil"/>
              <w:left w:val="nil"/>
              <w:bottom w:val="nil"/>
              <w:right w:val="nil"/>
            </w:tcBorders>
          </w:tcPr>
          <w:p>
            <w:pPr>
              <w:pStyle w:val="TableParagraph"/>
              <w:spacing w:before="45"/>
              <w:ind w:left="879" w:right="762"/>
              <w:rPr>
                <w:sz w:val="24"/>
              </w:rPr>
            </w:pPr>
            <w:r>
              <w:rPr>
                <w:sz w:val="24"/>
              </w:rPr>
              <w:t>Secundaria</w:t>
            </w:r>
          </w:p>
        </w:tc>
        <w:tc>
          <w:tcPr>
            <w:tcW w:w="2639" w:type="dxa"/>
            <w:tcBorders>
              <w:top w:val="nil"/>
              <w:left w:val="nil"/>
              <w:bottom w:val="nil"/>
              <w:right w:val="nil"/>
            </w:tcBorders>
          </w:tcPr>
          <w:p>
            <w:pPr>
              <w:pStyle w:val="TableParagraph"/>
              <w:spacing w:before="45"/>
              <w:ind w:left="107"/>
              <w:rPr>
                <w:sz w:val="24"/>
              </w:rPr>
            </w:pPr>
            <w:r>
              <w:rPr>
                <w:w w:val="99"/>
                <w:sz w:val="24"/>
              </w:rPr>
              <w:t>7</w:t>
            </w:r>
          </w:p>
        </w:tc>
        <w:tc>
          <w:tcPr>
            <w:tcW w:w="2498" w:type="dxa"/>
            <w:tcBorders>
              <w:top w:val="nil"/>
              <w:left w:val="nil"/>
              <w:bottom w:val="nil"/>
              <w:right w:val="nil"/>
            </w:tcBorders>
          </w:tcPr>
          <w:p>
            <w:pPr>
              <w:pStyle w:val="TableParagraph"/>
              <w:spacing w:before="45"/>
              <w:ind w:left="650" w:right="657"/>
              <w:rPr>
                <w:sz w:val="24"/>
              </w:rPr>
            </w:pPr>
            <w:r>
              <w:rPr>
                <w:sz w:val="24"/>
              </w:rPr>
              <w:t>23.3</w:t>
            </w:r>
          </w:p>
        </w:tc>
      </w:tr>
      <w:tr>
        <w:trPr>
          <w:trHeight w:val="401" w:hRule="exact"/>
        </w:trPr>
        <w:tc>
          <w:tcPr>
            <w:tcW w:w="3405" w:type="dxa"/>
            <w:tcBorders>
              <w:top w:val="nil"/>
              <w:left w:val="nil"/>
              <w:bottom w:val="nil"/>
              <w:right w:val="nil"/>
            </w:tcBorders>
          </w:tcPr>
          <w:p>
            <w:pPr>
              <w:pStyle w:val="TableParagraph"/>
              <w:spacing w:before="49"/>
              <w:ind w:left="883" w:right="762"/>
              <w:rPr>
                <w:b/>
                <w:sz w:val="24"/>
              </w:rPr>
            </w:pPr>
            <w:r>
              <w:rPr>
                <w:b/>
                <w:sz w:val="24"/>
              </w:rPr>
              <w:t>Medio superior</w:t>
            </w:r>
          </w:p>
        </w:tc>
        <w:tc>
          <w:tcPr>
            <w:tcW w:w="2639" w:type="dxa"/>
            <w:tcBorders>
              <w:top w:val="nil"/>
              <w:left w:val="nil"/>
              <w:bottom w:val="nil"/>
              <w:right w:val="nil"/>
            </w:tcBorders>
          </w:tcPr>
          <w:p>
            <w:pPr>
              <w:pStyle w:val="TableParagraph"/>
              <w:spacing w:before="49"/>
              <w:ind w:left="761" w:right="648"/>
              <w:rPr>
                <w:b/>
                <w:sz w:val="24"/>
              </w:rPr>
            </w:pPr>
            <w:r>
              <w:rPr>
                <w:b/>
                <w:sz w:val="24"/>
              </w:rPr>
              <w:t>13</w:t>
            </w:r>
          </w:p>
        </w:tc>
        <w:tc>
          <w:tcPr>
            <w:tcW w:w="2498" w:type="dxa"/>
            <w:tcBorders>
              <w:top w:val="nil"/>
              <w:left w:val="nil"/>
              <w:bottom w:val="nil"/>
              <w:right w:val="nil"/>
            </w:tcBorders>
          </w:tcPr>
          <w:p>
            <w:pPr>
              <w:pStyle w:val="TableParagraph"/>
              <w:spacing w:before="49"/>
              <w:ind w:left="650" w:right="657"/>
              <w:rPr>
                <w:b/>
                <w:sz w:val="24"/>
              </w:rPr>
            </w:pPr>
            <w:r>
              <w:rPr>
                <w:b/>
                <w:sz w:val="24"/>
              </w:rPr>
              <w:t>43.3</w:t>
            </w:r>
          </w:p>
        </w:tc>
      </w:tr>
      <w:tr>
        <w:trPr>
          <w:trHeight w:val="398" w:hRule="exact"/>
        </w:trPr>
        <w:tc>
          <w:tcPr>
            <w:tcW w:w="3405" w:type="dxa"/>
            <w:tcBorders>
              <w:top w:val="nil"/>
              <w:left w:val="nil"/>
              <w:bottom w:val="nil"/>
              <w:right w:val="nil"/>
            </w:tcBorders>
          </w:tcPr>
          <w:p>
            <w:pPr>
              <w:pStyle w:val="TableParagraph"/>
              <w:spacing w:before="50"/>
              <w:ind w:left="883" w:right="762"/>
              <w:rPr>
                <w:sz w:val="24"/>
              </w:rPr>
            </w:pPr>
            <w:r>
              <w:rPr>
                <w:sz w:val="24"/>
              </w:rPr>
              <w:t>Licenciatura</w:t>
            </w:r>
          </w:p>
        </w:tc>
        <w:tc>
          <w:tcPr>
            <w:tcW w:w="2639" w:type="dxa"/>
            <w:tcBorders>
              <w:top w:val="nil"/>
              <w:left w:val="nil"/>
              <w:bottom w:val="nil"/>
              <w:right w:val="nil"/>
            </w:tcBorders>
          </w:tcPr>
          <w:p>
            <w:pPr>
              <w:pStyle w:val="TableParagraph"/>
              <w:spacing w:before="50"/>
              <w:ind w:left="107"/>
              <w:rPr>
                <w:sz w:val="24"/>
              </w:rPr>
            </w:pPr>
            <w:r>
              <w:rPr>
                <w:w w:val="99"/>
                <w:sz w:val="24"/>
              </w:rPr>
              <w:t>6</w:t>
            </w:r>
          </w:p>
        </w:tc>
        <w:tc>
          <w:tcPr>
            <w:tcW w:w="2498" w:type="dxa"/>
            <w:tcBorders>
              <w:top w:val="nil"/>
              <w:left w:val="nil"/>
              <w:bottom w:val="nil"/>
              <w:right w:val="nil"/>
            </w:tcBorders>
          </w:tcPr>
          <w:p>
            <w:pPr>
              <w:pStyle w:val="TableParagraph"/>
              <w:spacing w:before="50"/>
              <w:ind w:left="650" w:right="655"/>
              <w:rPr>
                <w:sz w:val="24"/>
              </w:rPr>
            </w:pPr>
            <w:r>
              <w:rPr>
                <w:sz w:val="24"/>
              </w:rPr>
              <w:t>20</w:t>
            </w:r>
          </w:p>
        </w:tc>
      </w:tr>
      <w:tr>
        <w:trPr>
          <w:trHeight w:val="389" w:hRule="exact"/>
        </w:trPr>
        <w:tc>
          <w:tcPr>
            <w:tcW w:w="3405" w:type="dxa"/>
            <w:tcBorders>
              <w:top w:val="nil"/>
              <w:left w:val="nil"/>
              <w:right w:val="nil"/>
            </w:tcBorders>
          </w:tcPr>
          <w:p>
            <w:pPr>
              <w:pStyle w:val="TableParagraph"/>
              <w:spacing w:before="46"/>
              <w:ind w:left="880" w:right="762"/>
              <w:rPr>
                <w:sz w:val="24"/>
              </w:rPr>
            </w:pPr>
            <w:r>
              <w:rPr>
                <w:sz w:val="24"/>
              </w:rPr>
              <w:t>Posgrado</w:t>
            </w:r>
          </w:p>
        </w:tc>
        <w:tc>
          <w:tcPr>
            <w:tcW w:w="2639" w:type="dxa"/>
            <w:tcBorders>
              <w:top w:val="nil"/>
              <w:left w:val="nil"/>
              <w:right w:val="nil"/>
            </w:tcBorders>
          </w:tcPr>
          <w:p>
            <w:pPr>
              <w:pStyle w:val="TableParagraph"/>
              <w:spacing w:before="46"/>
              <w:ind w:left="107"/>
              <w:rPr>
                <w:sz w:val="24"/>
              </w:rPr>
            </w:pPr>
            <w:r>
              <w:rPr>
                <w:w w:val="99"/>
                <w:sz w:val="24"/>
              </w:rPr>
              <w:t>2</w:t>
            </w:r>
          </w:p>
        </w:tc>
        <w:tc>
          <w:tcPr>
            <w:tcW w:w="2498" w:type="dxa"/>
            <w:tcBorders>
              <w:top w:val="nil"/>
              <w:left w:val="nil"/>
              <w:right w:val="nil"/>
            </w:tcBorders>
          </w:tcPr>
          <w:p>
            <w:pPr>
              <w:pStyle w:val="TableParagraph"/>
              <w:spacing w:before="46"/>
              <w:ind w:left="650" w:right="657"/>
              <w:rPr>
                <w:sz w:val="24"/>
              </w:rPr>
            </w:pPr>
            <w:r>
              <w:rPr>
                <w:sz w:val="24"/>
              </w:rPr>
              <w:t>6.7</w:t>
            </w:r>
          </w:p>
        </w:tc>
      </w:tr>
      <w:tr>
        <w:trPr>
          <w:trHeight w:val="418" w:hRule="exact"/>
        </w:trPr>
        <w:tc>
          <w:tcPr>
            <w:tcW w:w="3405" w:type="dxa"/>
            <w:tcBorders>
              <w:left w:val="nil"/>
              <w:right w:val="nil"/>
            </w:tcBorders>
            <w:shd w:val="clear" w:color="auto" w:fill="99CC00"/>
          </w:tcPr>
          <w:p>
            <w:pPr>
              <w:pStyle w:val="TableParagraph"/>
              <w:spacing w:before="63"/>
              <w:ind w:left="882" w:right="762"/>
              <w:rPr>
                <w:b/>
                <w:sz w:val="24"/>
              </w:rPr>
            </w:pPr>
            <w:r>
              <w:rPr>
                <w:b/>
                <w:sz w:val="24"/>
              </w:rPr>
              <w:t>Total</w:t>
            </w:r>
          </w:p>
        </w:tc>
        <w:tc>
          <w:tcPr>
            <w:tcW w:w="2639" w:type="dxa"/>
            <w:tcBorders>
              <w:left w:val="nil"/>
              <w:right w:val="nil"/>
            </w:tcBorders>
            <w:shd w:val="clear" w:color="auto" w:fill="99CC00"/>
          </w:tcPr>
          <w:p>
            <w:pPr>
              <w:pStyle w:val="TableParagraph"/>
              <w:spacing w:before="63"/>
              <w:ind w:left="761" w:right="648"/>
              <w:rPr>
                <w:sz w:val="24"/>
              </w:rPr>
            </w:pPr>
            <w:r>
              <w:rPr>
                <w:sz w:val="24"/>
              </w:rPr>
              <w:t>30</w:t>
            </w:r>
          </w:p>
        </w:tc>
        <w:tc>
          <w:tcPr>
            <w:tcW w:w="2498" w:type="dxa"/>
            <w:tcBorders>
              <w:left w:val="nil"/>
              <w:right w:val="nil"/>
            </w:tcBorders>
            <w:shd w:val="clear" w:color="auto" w:fill="99CC00"/>
          </w:tcPr>
          <w:p>
            <w:pPr>
              <w:pStyle w:val="TableParagraph"/>
              <w:spacing w:before="63"/>
              <w:ind w:left="650" w:right="655"/>
              <w:rPr>
                <w:sz w:val="24"/>
              </w:rPr>
            </w:pPr>
            <w:r>
              <w:rPr>
                <w:sz w:val="24"/>
              </w:rPr>
              <w:t>100</w:t>
            </w:r>
          </w:p>
        </w:tc>
      </w:tr>
    </w:tbl>
    <w:p>
      <w:pPr>
        <w:pStyle w:val="BodyText"/>
        <w:rPr>
          <w:b/>
          <w:sz w:val="20"/>
        </w:rPr>
      </w:pPr>
    </w:p>
    <w:p>
      <w:pPr>
        <w:pStyle w:val="BodyText"/>
        <w:spacing w:before="1"/>
        <w:rPr>
          <w:b/>
          <w:sz w:val="28"/>
        </w:rPr>
      </w:pPr>
      <w:r>
        <w:rPr/>
        <w:pict>
          <v:group style="position:absolute;margin-left:124.275002pt;margin-top:18.105976pt;width:413.05pt;height:191.8pt;mso-position-horizontal-relative:page;mso-position-vertical-relative:paragraph;z-index:1720;mso-wrap-distance-left:0;mso-wrap-distance-right:0" coordorigin="2486,362" coordsize="8261,3836">
            <v:shape style="position:absolute;left:3818;top:1773;width:4529;height:1867" type="#_x0000_t75" stroked="false">
              <v:imagedata r:id="rId47" o:title=""/>
            </v:shape>
            <v:shape style="position:absolute;left:2493;top:370;width:8246;height:3821" type="#_x0000_t202" filled="false" stroked="true" strokeweight=".75pt" strokecolor="#858585">
              <v:textbox inset="0,0,0,0">
                <w:txbxContent>
                  <w:p>
                    <w:pPr>
                      <w:spacing w:line="240" w:lineRule="auto" w:before="5"/>
                      <w:rPr>
                        <w:b/>
                        <w:sz w:val="18"/>
                      </w:rPr>
                    </w:pPr>
                  </w:p>
                  <w:p>
                    <w:pPr>
                      <w:spacing w:line="229" w:lineRule="exact" w:before="0"/>
                      <w:ind w:left="489" w:right="1259" w:firstLine="0"/>
                      <w:jc w:val="center"/>
                      <w:rPr>
                        <w:b/>
                        <w:sz w:val="20"/>
                      </w:rPr>
                    </w:pPr>
                    <w:r>
                      <w:rPr>
                        <w:b/>
                        <w:sz w:val="20"/>
                      </w:rPr>
                      <w:t>Gráfica No. 4</w:t>
                    </w:r>
                  </w:p>
                  <w:p>
                    <w:pPr>
                      <w:spacing w:line="229" w:lineRule="exact" w:before="0"/>
                      <w:ind w:left="487" w:right="1259" w:firstLine="0"/>
                      <w:jc w:val="center"/>
                      <w:rPr>
                        <w:b/>
                        <w:sz w:val="20"/>
                      </w:rPr>
                    </w:pPr>
                    <w:r>
                      <w:rPr>
                        <w:b/>
                        <w:sz w:val="20"/>
                      </w:rPr>
                      <w:t>Escolaridad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434" w:lineRule="auto" w:before="119"/>
                      <w:ind w:left="6906" w:right="16" w:firstLine="0"/>
                      <w:jc w:val="left"/>
                      <w:rPr>
                        <w:rFonts w:ascii="Calibri"/>
                        <w:b/>
                        <w:sz w:val="18"/>
                      </w:rPr>
                    </w:pPr>
                    <w:r>
                      <w:rPr>
                        <w:rFonts w:ascii="Calibri"/>
                        <w:b/>
                        <w:sz w:val="18"/>
                      </w:rPr>
                      <w:t>Primaria Secundaria</w:t>
                    </w:r>
                  </w:p>
                  <w:p>
                    <w:pPr>
                      <w:spacing w:before="0"/>
                      <w:ind w:left="6906" w:right="16" w:firstLine="0"/>
                      <w:jc w:val="left"/>
                      <w:rPr>
                        <w:rFonts w:ascii="Calibri"/>
                        <w:b/>
                        <w:sz w:val="18"/>
                      </w:rPr>
                    </w:pPr>
                    <w:r>
                      <w:rPr>
                        <w:rFonts w:ascii="Calibri"/>
                        <w:b/>
                        <w:sz w:val="18"/>
                      </w:rPr>
                      <w:t>Medio</w:t>
                    </w:r>
                  </w:p>
                  <w:p>
                    <w:pPr>
                      <w:spacing w:line="192" w:lineRule="auto" w:before="37"/>
                      <w:ind w:left="6906" w:right="16" w:firstLine="0"/>
                      <w:jc w:val="left"/>
                      <w:rPr>
                        <w:rFonts w:ascii="Calibri"/>
                        <w:b/>
                        <w:sz w:val="18"/>
                      </w:rPr>
                    </w:pPr>
                    <w:r>
                      <w:rPr>
                        <w:rFonts w:ascii="Calibri"/>
                        <w:b/>
                        <w:sz w:val="18"/>
                      </w:rPr>
                      <w:t>superior Licenciatura</w:t>
                    </w:r>
                  </w:p>
                  <w:p>
                    <w:pPr>
                      <w:spacing w:line="240" w:lineRule="auto" w:before="3"/>
                      <w:rPr>
                        <w:b/>
                        <w:sz w:val="16"/>
                      </w:rPr>
                    </w:pPr>
                  </w:p>
                  <w:p>
                    <w:pPr>
                      <w:spacing w:before="0"/>
                      <w:ind w:left="0" w:right="615" w:firstLine="0"/>
                      <w:jc w:val="right"/>
                      <w:rPr>
                        <w:rFonts w:ascii="Calibri"/>
                        <w:b/>
                        <w:sz w:val="18"/>
                      </w:rPr>
                    </w:pPr>
                    <w:r>
                      <w:rPr>
                        <w:rFonts w:ascii="Calibri"/>
                        <w:b/>
                        <w:sz w:val="18"/>
                      </w:rPr>
                      <w:t>Posgrado</w:t>
                    </w:r>
                  </w:p>
                </w:txbxContent>
              </v:textbox>
              <w10:wrap type="none"/>
            </v:shape>
            <w10:wrap type="topAndBottom"/>
          </v:group>
        </w:pict>
      </w:r>
    </w:p>
    <w:p>
      <w:pPr>
        <w:spacing w:before="74"/>
        <w:ind w:left="790" w:right="230" w:firstLine="0"/>
        <w:jc w:val="left"/>
        <w:rPr>
          <w:sz w:val="20"/>
        </w:rPr>
      </w:pPr>
      <w:r>
        <w:rPr>
          <w:sz w:val="20"/>
        </w:rPr>
        <w:t>Fuente: Tabla No. 4</w:t>
      </w:r>
    </w:p>
    <w:p>
      <w:pPr>
        <w:pStyle w:val="BodyText"/>
        <w:rPr>
          <w:sz w:val="20"/>
        </w:rPr>
      </w:pPr>
    </w:p>
    <w:p>
      <w:pPr>
        <w:pStyle w:val="BodyText"/>
        <w:spacing w:before="3"/>
        <w:rPr>
          <w:sz w:val="16"/>
        </w:rPr>
      </w:pPr>
    </w:p>
    <w:p>
      <w:pPr>
        <w:pStyle w:val="BodyText"/>
        <w:spacing w:line="360" w:lineRule="auto"/>
        <w:ind w:left="625" w:right="230"/>
        <w:jc w:val="both"/>
      </w:pPr>
      <w:r>
        <w:rPr/>
        <w:pict>
          <v:rect style="position:absolute;margin-left:463.089996pt;margin-top:-91.558441pt;width:5.0243pt;height:5.0243pt;mso-position-horizontal-relative:page;mso-position-vertical-relative:paragraph;z-index:-174208" filled="true" fillcolor="#8063a1" stroked="false">
            <v:fill type="solid"/>
            <w10:wrap type="none"/>
          </v:rect>
        </w:pict>
      </w:r>
      <w:r>
        <w:rPr/>
        <w:pict>
          <v:rect style="position:absolute;margin-left:463.089996pt;margin-top:-71.65844pt;width:5.0243pt;height:5.0243pt;mso-position-horizontal-relative:page;mso-position-vertical-relative:paragraph;z-index:-174184" filled="true" fillcolor="#4aacc5" stroked="false">
            <v:fill type="solid"/>
            <w10:wrap type="none"/>
          </v:rect>
        </w:pict>
      </w:r>
      <w:r>
        <w:rPr/>
        <w:t>La escolaridad de mayor concurrencia fue el nivel medio superior concluido con un 43.3% de los cuidadores, el nivel medio superior concluido es equivalente a 12 años de estudio, de acuerdo con el grado promedio de escolaridad nacional (2010), la escolaridad promedio del mexicano es de 8.6 años, equivalente a segundo a tercer año de secundaria; sin embargo, se encontró un cuidador informal primario con una escolaridad superior a la media nacional, mientras que los datos de menor afluencia son primaria y posgrado con un 6.7%</w:t>
      </w:r>
      <w:r>
        <w:rPr>
          <w:spacing w:val="-10"/>
        </w:rPr>
        <w:t> </w:t>
      </w:r>
      <w:r>
        <w:rPr/>
        <w:t>respectivamente.</w:t>
      </w:r>
    </w:p>
    <w:p>
      <w:pPr>
        <w:spacing w:after="0" w:line="360" w:lineRule="auto"/>
        <w:jc w:val="both"/>
        <w:sectPr>
          <w:footerReference w:type="default" r:id="rId46"/>
          <w:pgSz w:w="12250" w:h="15850"/>
          <w:pgMar w:footer="1122" w:header="748" w:top="1260" w:bottom="1320" w:left="1720" w:right="1220"/>
        </w:sectPr>
      </w:pPr>
    </w:p>
    <w:p>
      <w:pPr>
        <w:pStyle w:val="BodyText"/>
        <w:rPr>
          <w:sz w:val="20"/>
        </w:rPr>
      </w:pPr>
      <w:r>
        <w:rPr/>
        <w:pict>
          <v:rect style="position:absolute;margin-left:482.170013pt;margin-top:399.559784pt;width:5.0602pt;height:5.0602pt;mso-position-horizontal-relative:page;mso-position-vertical-relative:page;z-index:-174112" filled="true" fillcolor="#4f81bc" stroked="false">
            <v:fill type="solid"/>
            <w10:wrap type="none"/>
          </v:rect>
        </w:pict>
      </w:r>
      <w:r>
        <w:rPr/>
        <w:pict>
          <v:rect style="position:absolute;margin-left:482.170013pt;margin-top:416.309784pt;width:5.0602pt;height:5.0602pt;mso-position-horizontal-relative:page;mso-position-vertical-relative:page;z-index:-174088" filled="true" fillcolor="#c0504d" stroked="false">
            <v:fill type="solid"/>
            <w10:wrap type="none"/>
          </v:rect>
        </w:pict>
      </w:r>
    </w:p>
    <w:p>
      <w:pPr>
        <w:pStyle w:val="BodyText"/>
        <w:rPr>
          <w:sz w:val="20"/>
        </w:rPr>
      </w:pPr>
    </w:p>
    <w:p>
      <w:pPr>
        <w:pStyle w:val="BodyText"/>
        <w:spacing w:before="5"/>
        <w:rPr>
          <w:sz w:val="21"/>
        </w:rPr>
      </w:pPr>
    </w:p>
    <w:p>
      <w:pPr>
        <w:pStyle w:val="Heading2"/>
        <w:spacing w:line="360" w:lineRule="auto"/>
        <w:jc w:val="left"/>
      </w:pPr>
      <w:r>
        <w:rPr>
          <w:b w:val="0"/>
        </w:rPr>
        <w:t>Tabla No. 5. </w:t>
      </w:r>
      <w:r>
        <w:rPr/>
        <w:t>Religión del cuidador informal primario, en un hospital público de segundo nivel, del Distrito Federal, México. Marzo,</w:t>
      </w:r>
      <w:r>
        <w:rPr>
          <w:spacing w:val="-23"/>
        </w:rPr>
        <w:t> </w:t>
      </w:r>
      <w:r>
        <w:rPr/>
        <w:t>2014</w:t>
      </w:r>
    </w:p>
    <w:p>
      <w:pPr>
        <w:pStyle w:val="BodyText"/>
        <w:rPr>
          <w:b/>
          <w:sz w:val="20"/>
        </w:rPr>
      </w:pPr>
    </w:p>
    <w:p>
      <w:pPr>
        <w:pStyle w:val="BodyText"/>
        <w:spacing w:before="10"/>
        <w:rPr>
          <w:b/>
          <w:sz w:val="11"/>
        </w:rPr>
      </w:pPr>
    </w:p>
    <w:tbl>
      <w:tblPr>
        <w:tblW w:w="0" w:type="auto"/>
        <w:jc w:val="left"/>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05"/>
        <w:gridCol w:w="2779"/>
        <w:gridCol w:w="2514"/>
      </w:tblGrid>
      <w:tr>
        <w:trPr>
          <w:trHeight w:val="425" w:hRule="exact"/>
        </w:trPr>
        <w:tc>
          <w:tcPr>
            <w:tcW w:w="3305" w:type="dxa"/>
            <w:tcBorders>
              <w:left w:val="nil"/>
              <w:right w:val="nil"/>
            </w:tcBorders>
            <w:shd w:val="clear" w:color="auto" w:fill="99CC00"/>
          </w:tcPr>
          <w:p>
            <w:pPr>
              <w:pStyle w:val="TableParagraph"/>
              <w:spacing w:before="65"/>
              <w:ind w:left="1132" w:right="884"/>
              <w:rPr>
                <w:b/>
                <w:sz w:val="24"/>
              </w:rPr>
            </w:pPr>
            <w:r>
              <w:rPr>
                <w:b/>
                <w:sz w:val="24"/>
              </w:rPr>
              <w:t>Religión</w:t>
            </w:r>
          </w:p>
        </w:tc>
        <w:tc>
          <w:tcPr>
            <w:tcW w:w="2779" w:type="dxa"/>
            <w:tcBorders>
              <w:left w:val="nil"/>
              <w:right w:val="nil"/>
            </w:tcBorders>
            <w:shd w:val="clear" w:color="auto" w:fill="99CC00"/>
          </w:tcPr>
          <w:p>
            <w:pPr>
              <w:pStyle w:val="TableParagraph"/>
              <w:spacing w:before="65"/>
              <w:ind w:left="893" w:right="659"/>
              <w:rPr>
                <w:sz w:val="24"/>
              </w:rPr>
            </w:pPr>
            <w:r>
              <w:rPr>
                <w:sz w:val="24"/>
              </w:rPr>
              <w:t>Frecuencia</w:t>
            </w:r>
          </w:p>
        </w:tc>
        <w:tc>
          <w:tcPr>
            <w:tcW w:w="2514" w:type="dxa"/>
            <w:tcBorders>
              <w:left w:val="nil"/>
              <w:right w:val="nil"/>
            </w:tcBorders>
            <w:shd w:val="clear" w:color="auto" w:fill="99CC00"/>
          </w:tcPr>
          <w:p>
            <w:pPr>
              <w:pStyle w:val="TableParagraph"/>
              <w:spacing w:before="65"/>
              <w:ind w:left="659" w:right="667"/>
              <w:rPr>
                <w:sz w:val="24"/>
              </w:rPr>
            </w:pPr>
            <w:r>
              <w:rPr>
                <w:sz w:val="24"/>
              </w:rPr>
              <w:t>Porcentaje</w:t>
            </w:r>
          </w:p>
        </w:tc>
      </w:tr>
      <w:tr>
        <w:trPr>
          <w:trHeight w:val="424" w:hRule="exact"/>
        </w:trPr>
        <w:tc>
          <w:tcPr>
            <w:tcW w:w="3305" w:type="dxa"/>
            <w:tcBorders>
              <w:left w:val="nil"/>
              <w:bottom w:val="nil"/>
              <w:right w:val="nil"/>
            </w:tcBorders>
          </w:tcPr>
          <w:p>
            <w:pPr>
              <w:pStyle w:val="TableParagraph"/>
              <w:spacing w:before="65"/>
              <w:ind w:left="1132" w:right="887"/>
              <w:rPr>
                <w:b/>
                <w:sz w:val="24"/>
              </w:rPr>
            </w:pPr>
            <w:r>
              <w:rPr>
                <w:b/>
                <w:sz w:val="24"/>
              </w:rPr>
              <w:t>Católica</w:t>
            </w:r>
          </w:p>
        </w:tc>
        <w:tc>
          <w:tcPr>
            <w:tcW w:w="2779" w:type="dxa"/>
            <w:tcBorders>
              <w:left w:val="nil"/>
              <w:bottom w:val="nil"/>
              <w:right w:val="nil"/>
            </w:tcBorders>
          </w:tcPr>
          <w:p>
            <w:pPr>
              <w:pStyle w:val="TableParagraph"/>
              <w:spacing w:before="65"/>
              <w:ind w:left="893" w:right="657"/>
              <w:rPr>
                <w:b/>
                <w:sz w:val="24"/>
              </w:rPr>
            </w:pPr>
            <w:r>
              <w:rPr>
                <w:b/>
                <w:sz w:val="24"/>
              </w:rPr>
              <w:t>25</w:t>
            </w:r>
          </w:p>
        </w:tc>
        <w:tc>
          <w:tcPr>
            <w:tcW w:w="2514" w:type="dxa"/>
            <w:tcBorders>
              <w:left w:val="nil"/>
              <w:bottom w:val="nil"/>
              <w:right w:val="nil"/>
            </w:tcBorders>
          </w:tcPr>
          <w:p>
            <w:pPr>
              <w:pStyle w:val="TableParagraph"/>
              <w:spacing w:before="65"/>
              <w:ind w:left="659" w:right="665"/>
              <w:rPr>
                <w:b/>
                <w:sz w:val="24"/>
              </w:rPr>
            </w:pPr>
            <w:r>
              <w:rPr>
                <w:b/>
                <w:sz w:val="24"/>
              </w:rPr>
              <w:t>83.3</w:t>
            </w:r>
          </w:p>
        </w:tc>
      </w:tr>
      <w:tr>
        <w:trPr>
          <w:trHeight w:val="401" w:hRule="exact"/>
        </w:trPr>
        <w:tc>
          <w:tcPr>
            <w:tcW w:w="3305" w:type="dxa"/>
            <w:tcBorders>
              <w:top w:val="nil"/>
              <w:left w:val="nil"/>
              <w:bottom w:val="nil"/>
              <w:right w:val="nil"/>
            </w:tcBorders>
          </w:tcPr>
          <w:p>
            <w:pPr>
              <w:pStyle w:val="TableParagraph"/>
              <w:spacing w:before="52"/>
              <w:ind w:left="1132" w:right="891"/>
              <w:rPr>
                <w:sz w:val="24"/>
              </w:rPr>
            </w:pPr>
            <w:r>
              <w:rPr>
                <w:sz w:val="24"/>
              </w:rPr>
              <w:t>Evangelista</w:t>
            </w:r>
          </w:p>
        </w:tc>
        <w:tc>
          <w:tcPr>
            <w:tcW w:w="2779" w:type="dxa"/>
            <w:tcBorders>
              <w:top w:val="nil"/>
              <w:left w:val="nil"/>
              <w:bottom w:val="nil"/>
              <w:right w:val="nil"/>
            </w:tcBorders>
          </w:tcPr>
          <w:p>
            <w:pPr>
              <w:pStyle w:val="TableParagraph"/>
              <w:spacing w:before="52"/>
              <w:ind w:left="230"/>
              <w:rPr>
                <w:sz w:val="24"/>
              </w:rPr>
            </w:pPr>
            <w:r>
              <w:rPr>
                <w:w w:val="99"/>
                <w:sz w:val="24"/>
              </w:rPr>
              <w:t>3</w:t>
            </w:r>
          </w:p>
        </w:tc>
        <w:tc>
          <w:tcPr>
            <w:tcW w:w="2514" w:type="dxa"/>
            <w:tcBorders>
              <w:top w:val="nil"/>
              <w:left w:val="nil"/>
              <w:bottom w:val="nil"/>
              <w:right w:val="nil"/>
            </w:tcBorders>
          </w:tcPr>
          <w:p>
            <w:pPr>
              <w:pStyle w:val="TableParagraph"/>
              <w:spacing w:before="52"/>
              <w:ind w:left="659" w:right="663"/>
              <w:rPr>
                <w:sz w:val="24"/>
              </w:rPr>
            </w:pPr>
            <w:r>
              <w:rPr>
                <w:sz w:val="24"/>
              </w:rPr>
              <w:t>10</w:t>
            </w:r>
          </w:p>
        </w:tc>
      </w:tr>
      <w:tr>
        <w:trPr>
          <w:trHeight w:val="393" w:hRule="exact"/>
        </w:trPr>
        <w:tc>
          <w:tcPr>
            <w:tcW w:w="3305" w:type="dxa"/>
            <w:tcBorders>
              <w:top w:val="nil"/>
              <w:left w:val="nil"/>
              <w:right w:val="nil"/>
            </w:tcBorders>
          </w:tcPr>
          <w:p>
            <w:pPr>
              <w:pStyle w:val="TableParagraph"/>
              <w:spacing w:before="47"/>
              <w:ind w:left="1132" w:right="887"/>
              <w:rPr>
                <w:sz w:val="24"/>
              </w:rPr>
            </w:pPr>
            <w:r>
              <w:rPr>
                <w:sz w:val="24"/>
              </w:rPr>
              <w:t>Otros</w:t>
            </w:r>
          </w:p>
        </w:tc>
        <w:tc>
          <w:tcPr>
            <w:tcW w:w="2779" w:type="dxa"/>
            <w:tcBorders>
              <w:top w:val="nil"/>
              <w:left w:val="nil"/>
              <w:right w:val="nil"/>
            </w:tcBorders>
          </w:tcPr>
          <w:p>
            <w:pPr>
              <w:pStyle w:val="TableParagraph"/>
              <w:spacing w:before="47"/>
              <w:ind w:left="230"/>
              <w:rPr>
                <w:sz w:val="24"/>
              </w:rPr>
            </w:pPr>
            <w:r>
              <w:rPr>
                <w:w w:val="99"/>
                <w:sz w:val="24"/>
              </w:rPr>
              <w:t>2</w:t>
            </w:r>
          </w:p>
        </w:tc>
        <w:tc>
          <w:tcPr>
            <w:tcW w:w="2514" w:type="dxa"/>
            <w:tcBorders>
              <w:top w:val="nil"/>
              <w:left w:val="nil"/>
              <w:right w:val="nil"/>
            </w:tcBorders>
          </w:tcPr>
          <w:p>
            <w:pPr>
              <w:pStyle w:val="TableParagraph"/>
              <w:spacing w:before="47"/>
              <w:ind w:left="659" w:right="664"/>
              <w:rPr>
                <w:sz w:val="24"/>
              </w:rPr>
            </w:pPr>
            <w:r>
              <w:rPr>
                <w:sz w:val="24"/>
              </w:rPr>
              <w:t>6.7</w:t>
            </w:r>
          </w:p>
        </w:tc>
      </w:tr>
      <w:tr>
        <w:trPr>
          <w:trHeight w:val="425" w:hRule="exact"/>
        </w:trPr>
        <w:tc>
          <w:tcPr>
            <w:tcW w:w="3305" w:type="dxa"/>
            <w:tcBorders>
              <w:left w:val="nil"/>
              <w:right w:val="nil"/>
            </w:tcBorders>
            <w:shd w:val="clear" w:color="auto" w:fill="99CC00"/>
          </w:tcPr>
          <w:p>
            <w:pPr>
              <w:pStyle w:val="TableParagraph"/>
              <w:spacing w:before="65"/>
              <w:ind w:left="1132" w:right="888"/>
              <w:rPr>
                <w:b/>
                <w:sz w:val="24"/>
              </w:rPr>
            </w:pPr>
            <w:r>
              <w:rPr>
                <w:b/>
                <w:sz w:val="24"/>
              </w:rPr>
              <w:t>Total</w:t>
            </w:r>
          </w:p>
        </w:tc>
        <w:tc>
          <w:tcPr>
            <w:tcW w:w="2779" w:type="dxa"/>
            <w:tcBorders>
              <w:left w:val="nil"/>
              <w:right w:val="nil"/>
            </w:tcBorders>
            <w:shd w:val="clear" w:color="auto" w:fill="99CC00"/>
          </w:tcPr>
          <w:p>
            <w:pPr>
              <w:pStyle w:val="TableParagraph"/>
              <w:spacing w:before="65"/>
              <w:ind w:left="893" w:right="657"/>
              <w:rPr>
                <w:sz w:val="24"/>
              </w:rPr>
            </w:pPr>
            <w:r>
              <w:rPr>
                <w:sz w:val="24"/>
              </w:rPr>
              <w:t>30</w:t>
            </w:r>
          </w:p>
        </w:tc>
        <w:tc>
          <w:tcPr>
            <w:tcW w:w="2514" w:type="dxa"/>
            <w:tcBorders>
              <w:left w:val="nil"/>
              <w:right w:val="nil"/>
            </w:tcBorders>
            <w:shd w:val="clear" w:color="auto" w:fill="99CC00"/>
          </w:tcPr>
          <w:p>
            <w:pPr>
              <w:pStyle w:val="TableParagraph"/>
              <w:spacing w:before="65"/>
              <w:ind w:left="659" w:right="663"/>
              <w:rPr>
                <w:sz w:val="24"/>
              </w:rPr>
            </w:pPr>
            <w:r>
              <w:rPr>
                <w:sz w:val="24"/>
              </w:rPr>
              <w:t>100</w:t>
            </w:r>
          </w:p>
        </w:tc>
      </w:tr>
    </w:tbl>
    <w:p>
      <w:pPr>
        <w:pStyle w:val="BodyText"/>
        <w:rPr>
          <w:b/>
          <w:sz w:val="20"/>
        </w:rPr>
      </w:pPr>
    </w:p>
    <w:p>
      <w:pPr>
        <w:pStyle w:val="BodyText"/>
        <w:spacing w:before="8"/>
        <w:rPr>
          <w:b/>
          <w:sz w:val="23"/>
        </w:rPr>
      </w:pPr>
      <w:r>
        <w:rPr/>
        <w:pict>
          <v:group style="position:absolute;margin-left:124.224998pt;margin-top:15.585977pt;width:415.45pt;height:197.05pt;mso-position-horizontal-relative:page;mso-position-vertical-relative:paragraph;z-index:1888;mso-wrap-distance-left:0;mso-wrap-distance-right:0" coordorigin="2484,312" coordsize="8309,3941">
            <v:shape style="position:absolute;left:3257;top:1463;width:6166;height:2501" type="#_x0000_t75" stroked="false">
              <v:imagedata r:id="rId49" o:title=""/>
            </v:shape>
            <v:shape style="position:absolute;left:2492;top:319;width:8294;height:3926" type="#_x0000_t202" filled="false" stroked="true" strokeweight=".75pt" strokecolor="#858585">
              <v:textbox inset="0,0,0,0">
                <w:txbxContent>
                  <w:p>
                    <w:pPr>
                      <w:spacing w:line="240" w:lineRule="auto" w:before="4"/>
                      <w:rPr>
                        <w:b/>
                        <w:sz w:val="18"/>
                      </w:rPr>
                    </w:pPr>
                  </w:p>
                  <w:p>
                    <w:pPr>
                      <w:spacing w:before="0"/>
                      <w:ind w:left="2126" w:right="1836" w:firstLine="0"/>
                      <w:jc w:val="center"/>
                      <w:rPr>
                        <w:b/>
                        <w:sz w:val="20"/>
                      </w:rPr>
                    </w:pPr>
                    <w:r>
                      <w:rPr>
                        <w:b/>
                        <w:sz w:val="20"/>
                      </w:rPr>
                      <w:t>Gráfica No. 5</w:t>
                    </w:r>
                  </w:p>
                  <w:p>
                    <w:pPr>
                      <w:spacing w:before="0"/>
                      <w:ind w:left="2126" w:right="1837" w:firstLine="0"/>
                      <w:jc w:val="center"/>
                      <w:rPr>
                        <w:b/>
                        <w:sz w:val="20"/>
                      </w:rPr>
                    </w:pPr>
                    <w:r>
                      <w:rPr>
                        <w:b/>
                        <w:sz w:val="20"/>
                      </w:rPr>
                      <w:t>Religión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6"/>
                      <w:rPr>
                        <w:b/>
                        <w:sz w:val="25"/>
                      </w:rPr>
                    </w:pPr>
                  </w:p>
                  <w:p>
                    <w:pPr>
                      <w:spacing w:line="367" w:lineRule="auto" w:before="0"/>
                      <w:ind w:left="7290" w:right="0" w:firstLine="0"/>
                      <w:jc w:val="left"/>
                      <w:rPr>
                        <w:rFonts w:ascii="Calibri"/>
                        <w:b/>
                        <w:sz w:val="18"/>
                      </w:rPr>
                    </w:pPr>
                    <w:r>
                      <w:rPr>
                        <w:rFonts w:ascii="Calibri"/>
                        <w:b/>
                        <w:w w:val="105"/>
                        <w:sz w:val="18"/>
                      </w:rPr>
                      <w:t>Catolica </w:t>
                    </w:r>
                    <w:r>
                      <w:rPr>
                        <w:rFonts w:ascii="Calibri"/>
                        <w:b/>
                        <w:sz w:val="18"/>
                      </w:rPr>
                      <w:t>Evangelista </w:t>
                    </w:r>
                    <w:r>
                      <w:rPr>
                        <w:rFonts w:ascii="Calibri"/>
                        <w:b/>
                        <w:w w:val="105"/>
                        <w:sz w:val="18"/>
                      </w:rPr>
                      <w:t>Otros</w:t>
                    </w:r>
                  </w:p>
                </w:txbxContent>
              </v:textbox>
              <w10:wrap type="none"/>
            </v:shape>
            <w10:wrap type="topAndBottom"/>
          </v:group>
        </w:pict>
      </w:r>
    </w:p>
    <w:p>
      <w:pPr>
        <w:spacing w:before="34"/>
        <w:ind w:left="735" w:right="230" w:firstLine="0"/>
        <w:jc w:val="left"/>
        <w:rPr>
          <w:sz w:val="20"/>
        </w:rPr>
      </w:pPr>
      <w:r>
        <w:rPr>
          <w:sz w:val="20"/>
        </w:rPr>
        <w:t>Fuente: Tabla No. 5</w:t>
      </w:r>
    </w:p>
    <w:p>
      <w:pPr>
        <w:pStyle w:val="BodyText"/>
        <w:rPr>
          <w:sz w:val="20"/>
        </w:rPr>
      </w:pPr>
    </w:p>
    <w:p>
      <w:pPr>
        <w:pStyle w:val="BodyText"/>
        <w:spacing w:before="2"/>
        <w:rPr>
          <w:sz w:val="16"/>
        </w:rPr>
      </w:pPr>
    </w:p>
    <w:p>
      <w:pPr>
        <w:pStyle w:val="BodyText"/>
        <w:spacing w:line="360" w:lineRule="auto"/>
        <w:ind w:left="625" w:right="232"/>
        <w:jc w:val="both"/>
      </w:pPr>
      <w:r>
        <w:rPr/>
        <w:pict>
          <v:rect style="position:absolute;margin-left:482.170013pt;margin-top:-89.15435pt;width:5.0602pt;height:5.0602pt;mso-position-horizontal-relative:page;mso-position-vertical-relative:paragraph;z-index:-174064" filled="true" fillcolor="#9bba58" stroked="false">
            <v:fill type="solid"/>
            <w10:wrap type="none"/>
          </v:rect>
        </w:pict>
      </w:r>
      <w:r>
        <w:rPr/>
        <w:t>El credo religioso de mayor frecuencia en los cuidadores informales primarios fué la religion católica en un 83.3%, si bien la pluralidad religiosa en México se ha diversificado en los últimos 20 años, acorde con el censo de poblacion y vivienda en 2010, el 83% de la población profesa la religión católica, mientras que las religiones pentecostales, evangélicas y cristianas corresponde al 17% restante, en los resultados obtenidos la relgión evangélica reportó un 10% y otras religiones el 6.7% restante.</w:t>
      </w:r>
    </w:p>
    <w:p>
      <w:pPr>
        <w:spacing w:after="0" w:line="360" w:lineRule="auto"/>
        <w:jc w:val="both"/>
        <w:sectPr>
          <w:footerReference w:type="default" r:id="rId48"/>
          <w:pgSz w:w="12250" w:h="15850"/>
          <w:pgMar w:footer="1122" w:header="748" w:top="1260" w:bottom="1320" w:left="1720" w:right="1220"/>
          <w:pgNumType w:start="51"/>
        </w:sectPr>
      </w:pPr>
    </w:p>
    <w:p>
      <w:pPr>
        <w:pStyle w:val="BodyText"/>
        <w:rPr>
          <w:sz w:val="20"/>
        </w:rPr>
      </w:pPr>
      <w:r>
        <w:rPr/>
        <w:pict>
          <v:rect style="position:absolute;margin-left:459.200012pt;margin-top:574.041016pt;width:5.049pt;height:5.049pt;mso-position-horizontal-relative:page;mso-position-vertical-relative:page;z-index:-173992" filled="true" fillcolor="#4f81bc" stroked="false">
            <v:fill type="solid"/>
            <w10:wrap type="none"/>
          </v:rect>
        </w:pict>
      </w:r>
      <w:r>
        <w:rPr/>
        <w:pict>
          <v:rect style="position:absolute;margin-left:459.200012pt;margin-top:599.770996pt;width:5.049pt;height:5.049pt;mso-position-horizontal-relative:page;mso-position-vertical-relative:page;z-index:-173968" filled="true" fillcolor="#c0504d" stroked="false">
            <v:fill type="solid"/>
            <w10:wrap type="none"/>
          </v:rect>
        </w:pict>
      </w:r>
      <w:r>
        <w:rPr/>
        <w:pict>
          <v:rect style="position:absolute;margin-left:459.200012pt;margin-top:625.510986pt;width:5.049pt;height:5.049pt;mso-position-horizontal-relative:page;mso-position-vertical-relative:page;z-index:-173944" filled="true" fillcolor="#9bba58" stroked="false">
            <v:fill type="solid"/>
            <w10:wrap type="none"/>
          </v:rect>
        </w:pict>
      </w:r>
    </w:p>
    <w:p>
      <w:pPr>
        <w:pStyle w:val="BodyText"/>
        <w:rPr>
          <w:sz w:val="20"/>
        </w:rPr>
      </w:pPr>
    </w:p>
    <w:p>
      <w:pPr>
        <w:pStyle w:val="BodyText"/>
        <w:spacing w:before="5"/>
        <w:rPr>
          <w:sz w:val="21"/>
        </w:rPr>
      </w:pPr>
    </w:p>
    <w:p>
      <w:pPr>
        <w:pStyle w:val="Heading2"/>
        <w:spacing w:line="360" w:lineRule="auto"/>
        <w:ind w:right="196"/>
      </w:pPr>
      <w:r>
        <w:rPr>
          <w:b w:val="0"/>
        </w:rPr>
        <w:t>Tabla No. 6</w:t>
      </w:r>
      <w:r>
        <w:rPr/>
        <w:t>. Número de integrantes con los que habita el cuidador  informal primario, en un hospital público de segundo nivel, del Distrito Federal, México. Marzo,</w:t>
      </w:r>
      <w:r>
        <w:rPr>
          <w:spacing w:val="-7"/>
        </w:rPr>
        <w:t> </w:t>
      </w:r>
      <w:r>
        <w:rPr/>
        <w:t>2014</w:t>
      </w:r>
    </w:p>
    <w:p>
      <w:pPr>
        <w:pStyle w:val="BodyText"/>
        <w:rPr>
          <w:b/>
          <w:sz w:val="20"/>
        </w:rPr>
      </w:pPr>
    </w:p>
    <w:p>
      <w:pPr>
        <w:pStyle w:val="BodyText"/>
        <w:spacing w:before="5" w:after="1"/>
        <w:rPr>
          <w:b/>
          <w:sz w:val="16"/>
        </w:rPr>
      </w:pPr>
    </w:p>
    <w:tbl>
      <w:tblPr>
        <w:tblW w:w="0" w:type="auto"/>
        <w:jc w:val="left"/>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02"/>
        <w:gridCol w:w="2399"/>
        <w:gridCol w:w="1995"/>
      </w:tblGrid>
      <w:tr>
        <w:trPr>
          <w:trHeight w:val="432" w:hRule="exact"/>
        </w:trPr>
        <w:tc>
          <w:tcPr>
            <w:tcW w:w="4202" w:type="dxa"/>
            <w:tcBorders>
              <w:left w:val="nil"/>
              <w:right w:val="nil"/>
            </w:tcBorders>
            <w:shd w:val="clear" w:color="auto" w:fill="99CC00"/>
          </w:tcPr>
          <w:p>
            <w:pPr>
              <w:pStyle w:val="TableParagraph"/>
              <w:spacing w:before="70"/>
              <w:ind w:right="863"/>
              <w:jc w:val="right"/>
              <w:rPr>
                <w:b/>
                <w:sz w:val="24"/>
              </w:rPr>
            </w:pPr>
            <w:r>
              <w:rPr>
                <w:b/>
                <w:sz w:val="24"/>
              </w:rPr>
              <w:t>No. de integrantes</w:t>
            </w:r>
          </w:p>
        </w:tc>
        <w:tc>
          <w:tcPr>
            <w:tcW w:w="2399" w:type="dxa"/>
            <w:tcBorders>
              <w:left w:val="nil"/>
              <w:right w:val="nil"/>
            </w:tcBorders>
            <w:shd w:val="clear" w:color="auto" w:fill="99CC00"/>
          </w:tcPr>
          <w:p>
            <w:pPr>
              <w:pStyle w:val="TableParagraph"/>
              <w:spacing w:before="70"/>
              <w:ind w:left="771" w:right="399"/>
              <w:rPr>
                <w:sz w:val="24"/>
              </w:rPr>
            </w:pPr>
            <w:r>
              <w:rPr>
                <w:sz w:val="24"/>
              </w:rPr>
              <w:t>Frecuencia</w:t>
            </w:r>
          </w:p>
        </w:tc>
        <w:tc>
          <w:tcPr>
            <w:tcW w:w="1995" w:type="dxa"/>
            <w:tcBorders>
              <w:left w:val="nil"/>
              <w:right w:val="nil"/>
            </w:tcBorders>
            <w:shd w:val="clear" w:color="auto" w:fill="99CC00"/>
          </w:tcPr>
          <w:p>
            <w:pPr>
              <w:pStyle w:val="TableParagraph"/>
              <w:spacing w:before="70"/>
              <w:ind w:left="400" w:right="408"/>
              <w:rPr>
                <w:sz w:val="24"/>
              </w:rPr>
            </w:pPr>
            <w:r>
              <w:rPr>
                <w:sz w:val="24"/>
              </w:rPr>
              <w:t>Porcentaje</w:t>
            </w:r>
          </w:p>
        </w:tc>
      </w:tr>
      <w:tr>
        <w:trPr>
          <w:trHeight w:val="420" w:hRule="exact"/>
        </w:trPr>
        <w:tc>
          <w:tcPr>
            <w:tcW w:w="4202" w:type="dxa"/>
            <w:tcBorders>
              <w:left w:val="nil"/>
              <w:bottom w:val="nil"/>
              <w:right w:val="nil"/>
            </w:tcBorders>
          </w:tcPr>
          <w:p>
            <w:pPr>
              <w:pStyle w:val="TableParagraph"/>
              <w:spacing w:before="58"/>
              <w:ind w:left="1397"/>
              <w:jc w:val="left"/>
              <w:rPr>
                <w:sz w:val="24"/>
              </w:rPr>
            </w:pPr>
            <w:r>
              <w:rPr>
                <w:sz w:val="24"/>
              </w:rPr>
              <w:t>2 a 3 integrantes</w:t>
            </w:r>
          </w:p>
        </w:tc>
        <w:tc>
          <w:tcPr>
            <w:tcW w:w="2399" w:type="dxa"/>
            <w:tcBorders>
              <w:left w:val="nil"/>
              <w:bottom w:val="nil"/>
              <w:right w:val="nil"/>
            </w:tcBorders>
          </w:tcPr>
          <w:p>
            <w:pPr>
              <w:pStyle w:val="TableParagraph"/>
              <w:spacing w:before="58"/>
              <w:ind w:left="372"/>
              <w:rPr>
                <w:sz w:val="24"/>
              </w:rPr>
            </w:pPr>
            <w:r>
              <w:rPr>
                <w:w w:val="99"/>
                <w:sz w:val="24"/>
              </w:rPr>
              <w:t>4</w:t>
            </w:r>
          </w:p>
        </w:tc>
        <w:tc>
          <w:tcPr>
            <w:tcW w:w="1995" w:type="dxa"/>
            <w:tcBorders>
              <w:left w:val="nil"/>
              <w:bottom w:val="nil"/>
              <w:right w:val="nil"/>
            </w:tcBorders>
          </w:tcPr>
          <w:p>
            <w:pPr>
              <w:pStyle w:val="TableParagraph"/>
              <w:spacing w:before="58"/>
              <w:ind w:left="398" w:right="408"/>
              <w:rPr>
                <w:sz w:val="24"/>
              </w:rPr>
            </w:pPr>
            <w:r>
              <w:rPr>
                <w:sz w:val="24"/>
              </w:rPr>
              <w:t>13.3</w:t>
            </w:r>
          </w:p>
        </w:tc>
      </w:tr>
      <w:tr>
        <w:trPr>
          <w:trHeight w:val="412" w:hRule="exact"/>
        </w:trPr>
        <w:tc>
          <w:tcPr>
            <w:tcW w:w="4202" w:type="dxa"/>
            <w:tcBorders>
              <w:top w:val="nil"/>
              <w:left w:val="nil"/>
              <w:bottom w:val="nil"/>
              <w:right w:val="nil"/>
            </w:tcBorders>
          </w:tcPr>
          <w:p>
            <w:pPr>
              <w:pStyle w:val="TableParagraph"/>
              <w:spacing w:before="56"/>
              <w:ind w:left="1397"/>
              <w:jc w:val="left"/>
              <w:rPr>
                <w:sz w:val="24"/>
              </w:rPr>
            </w:pPr>
            <w:r>
              <w:rPr>
                <w:sz w:val="24"/>
              </w:rPr>
              <w:t>4 a 5 integrantes</w:t>
            </w:r>
          </w:p>
        </w:tc>
        <w:tc>
          <w:tcPr>
            <w:tcW w:w="2399" w:type="dxa"/>
            <w:tcBorders>
              <w:top w:val="nil"/>
              <w:left w:val="nil"/>
              <w:bottom w:val="nil"/>
              <w:right w:val="nil"/>
            </w:tcBorders>
          </w:tcPr>
          <w:p>
            <w:pPr>
              <w:pStyle w:val="TableParagraph"/>
              <w:spacing w:before="56"/>
              <w:ind w:left="771" w:right="398"/>
              <w:rPr>
                <w:b/>
                <w:sz w:val="24"/>
              </w:rPr>
            </w:pPr>
            <w:r>
              <w:rPr>
                <w:b/>
                <w:sz w:val="24"/>
              </w:rPr>
              <w:t>16</w:t>
            </w:r>
          </w:p>
        </w:tc>
        <w:tc>
          <w:tcPr>
            <w:tcW w:w="1995" w:type="dxa"/>
            <w:tcBorders>
              <w:top w:val="nil"/>
              <w:left w:val="nil"/>
              <w:bottom w:val="nil"/>
              <w:right w:val="nil"/>
            </w:tcBorders>
          </w:tcPr>
          <w:p>
            <w:pPr>
              <w:pStyle w:val="TableParagraph"/>
              <w:spacing w:before="56"/>
              <w:ind w:left="398" w:right="408"/>
              <w:rPr>
                <w:b/>
                <w:sz w:val="24"/>
              </w:rPr>
            </w:pPr>
            <w:r>
              <w:rPr>
                <w:b/>
                <w:sz w:val="24"/>
              </w:rPr>
              <w:t>53.3</w:t>
            </w:r>
          </w:p>
        </w:tc>
      </w:tr>
      <w:tr>
        <w:trPr>
          <w:trHeight w:val="402" w:hRule="exact"/>
        </w:trPr>
        <w:tc>
          <w:tcPr>
            <w:tcW w:w="4202" w:type="dxa"/>
            <w:tcBorders>
              <w:top w:val="nil"/>
              <w:left w:val="nil"/>
              <w:right w:val="nil"/>
            </w:tcBorders>
          </w:tcPr>
          <w:p>
            <w:pPr>
              <w:pStyle w:val="TableParagraph"/>
              <w:spacing w:before="54"/>
              <w:ind w:right="789"/>
              <w:jc w:val="right"/>
              <w:rPr>
                <w:sz w:val="24"/>
              </w:rPr>
            </w:pPr>
            <w:r>
              <w:rPr>
                <w:sz w:val="24"/>
              </w:rPr>
              <w:t>Más de 6 integrantes</w:t>
            </w:r>
          </w:p>
        </w:tc>
        <w:tc>
          <w:tcPr>
            <w:tcW w:w="2399" w:type="dxa"/>
            <w:tcBorders>
              <w:top w:val="nil"/>
              <w:left w:val="nil"/>
              <w:right w:val="nil"/>
            </w:tcBorders>
          </w:tcPr>
          <w:p>
            <w:pPr>
              <w:pStyle w:val="TableParagraph"/>
              <w:spacing w:before="54"/>
              <w:ind w:left="771" w:right="398"/>
              <w:rPr>
                <w:sz w:val="24"/>
              </w:rPr>
            </w:pPr>
            <w:r>
              <w:rPr>
                <w:sz w:val="24"/>
              </w:rPr>
              <w:t>10</w:t>
            </w:r>
          </w:p>
        </w:tc>
        <w:tc>
          <w:tcPr>
            <w:tcW w:w="1995" w:type="dxa"/>
            <w:tcBorders>
              <w:top w:val="nil"/>
              <w:left w:val="nil"/>
              <w:right w:val="nil"/>
            </w:tcBorders>
          </w:tcPr>
          <w:p>
            <w:pPr>
              <w:pStyle w:val="TableParagraph"/>
              <w:spacing w:before="54"/>
              <w:ind w:left="398" w:right="408"/>
              <w:rPr>
                <w:sz w:val="24"/>
              </w:rPr>
            </w:pPr>
            <w:r>
              <w:rPr>
                <w:sz w:val="24"/>
              </w:rPr>
              <w:t>33.4</w:t>
            </w:r>
          </w:p>
        </w:tc>
      </w:tr>
      <w:tr>
        <w:trPr>
          <w:trHeight w:val="432" w:hRule="exact"/>
        </w:trPr>
        <w:tc>
          <w:tcPr>
            <w:tcW w:w="4202" w:type="dxa"/>
            <w:tcBorders>
              <w:left w:val="nil"/>
              <w:right w:val="nil"/>
            </w:tcBorders>
            <w:shd w:val="clear" w:color="auto" w:fill="99CC00"/>
          </w:tcPr>
          <w:p>
            <w:pPr>
              <w:pStyle w:val="TableParagraph"/>
              <w:spacing w:before="70"/>
              <w:ind w:left="1984" w:right="1604"/>
              <w:rPr>
                <w:b/>
                <w:sz w:val="24"/>
              </w:rPr>
            </w:pPr>
            <w:r>
              <w:rPr>
                <w:b/>
                <w:sz w:val="24"/>
              </w:rPr>
              <w:t>Total</w:t>
            </w:r>
          </w:p>
        </w:tc>
        <w:tc>
          <w:tcPr>
            <w:tcW w:w="2399" w:type="dxa"/>
            <w:tcBorders>
              <w:left w:val="nil"/>
              <w:right w:val="nil"/>
            </w:tcBorders>
            <w:shd w:val="clear" w:color="auto" w:fill="99CC00"/>
          </w:tcPr>
          <w:p>
            <w:pPr>
              <w:pStyle w:val="TableParagraph"/>
              <w:spacing w:before="70"/>
              <w:ind w:left="771" w:right="398"/>
              <w:rPr>
                <w:sz w:val="24"/>
              </w:rPr>
            </w:pPr>
            <w:r>
              <w:rPr>
                <w:sz w:val="24"/>
              </w:rPr>
              <w:t>30</w:t>
            </w:r>
          </w:p>
        </w:tc>
        <w:tc>
          <w:tcPr>
            <w:tcW w:w="1995" w:type="dxa"/>
            <w:tcBorders>
              <w:left w:val="nil"/>
              <w:right w:val="nil"/>
            </w:tcBorders>
            <w:shd w:val="clear" w:color="auto" w:fill="99CC00"/>
          </w:tcPr>
          <w:p>
            <w:pPr>
              <w:pStyle w:val="TableParagraph"/>
              <w:spacing w:before="70"/>
              <w:ind w:left="398" w:right="408"/>
              <w:rPr>
                <w:sz w:val="24"/>
              </w:rPr>
            </w:pPr>
            <w:r>
              <w:rPr>
                <w:sz w:val="24"/>
              </w:rPr>
              <w:t>100</w:t>
            </w:r>
          </w:p>
        </w:tc>
      </w:tr>
    </w:tbl>
    <w:p>
      <w:pPr>
        <w:pStyle w:val="BodyText"/>
        <w:rPr>
          <w:b/>
        </w:rPr>
      </w:pPr>
    </w:p>
    <w:tbl>
      <w:tblPr>
        <w:tblW w:w="0" w:type="auto"/>
        <w:jc w:val="left"/>
        <w:tblInd w:w="5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7"/>
        <w:gridCol w:w="2657"/>
        <w:gridCol w:w="2770"/>
      </w:tblGrid>
      <w:tr>
        <w:trPr>
          <w:trHeight w:val="433" w:hRule="exact"/>
        </w:trPr>
        <w:tc>
          <w:tcPr>
            <w:tcW w:w="8584" w:type="dxa"/>
            <w:gridSpan w:val="3"/>
            <w:tcBorders>
              <w:left w:val="nil"/>
              <w:right w:val="nil"/>
            </w:tcBorders>
          </w:tcPr>
          <w:p>
            <w:pPr>
              <w:pStyle w:val="TableParagraph"/>
              <w:spacing w:before="70"/>
              <w:ind w:left="2619"/>
              <w:jc w:val="left"/>
              <w:rPr>
                <w:b/>
                <w:sz w:val="24"/>
              </w:rPr>
            </w:pPr>
            <w:r>
              <w:rPr>
                <w:b/>
                <w:sz w:val="24"/>
              </w:rPr>
              <w:t>Medidas de tendencia central</w:t>
            </w:r>
          </w:p>
        </w:tc>
      </w:tr>
      <w:tr>
        <w:trPr>
          <w:trHeight w:val="431" w:hRule="exact"/>
        </w:trPr>
        <w:tc>
          <w:tcPr>
            <w:tcW w:w="3157" w:type="dxa"/>
            <w:tcBorders>
              <w:left w:val="nil"/>
              <w:right w:val="nil"/>
            </w:tcBorders>
            <w:shd w:val="clear" w:color="auto" w:fill="99CC00"/>
          </w:tcPr>
          <w:p>
            <w:pPr>
              <w:pStyle w:val="TableParagraph"/>
              <w:spacing w:before="69"/>
              <w:ind w:left="1061" w:right="1375"/>
              <w:rPr>
                <w:b/>
                <w:sz w:val="24"/>
              </w:rPr>
            </w:pPr>
            <w:r>
              <w:rPr>
                <w:b/>
                <w:sz w:val="24"/>
              </w:rPr>
              <w:t>Media</w:t>
            </w:r>
          </w:p>
        </w:tc>
        <w:tc>
          <w:tcPr>
            <w:tcW w:w="2657" w:type="dxa"/>
            <w:tcBorders>
              <w:left w:val="nil"/>
              <w:right w:val="nil"/>
            </w:tcBorders>
            <w:shd w:val="clear" w:color="auto" w:fill="99CC00"/>
          </w:tcPr>
          <w:p>
            <w:pPr>
              <w:pStyle w:val="TableParagraph"/>
              <w:spacing w:before="69"/>
              <w:ind w:left="637" w:right="1019"/>
              <w:rPr>
                <w:b/>
                <w:sz w:val="24"/>
              </w:rPr>
            </w:pPr>
            <w:r>
              <w:rPr>
                <w:b/>
                <w:sz w:val="24"/>
              </w:rPr>
              <w:t>Mediana</w:t>
            </w:r>
          </w:p>
        </w:tc>
        <w:tc>
          <w:tcPr>
            <w:tcW w:w="2770" w:type="dxa"/>
            <w:tcBorders>
              <w:left w:val="nil"/>
              <w:right w:val="nil"/>
            </w:tcBorders>
            <w:shd w:val="clear" w:color="auto" w:fill="99CC00"/>
          </w:tcPr>
          <w:p>
            <w:pPr>
              <w:pStyle w:val="TableParagraph"/>
              <w:spacing w:before="69"/>
              <w:ind w:left="1020" w:right="1082"/>
              <w:rPr>
                <w:b/>
                <w:sz w:val="24"/>
              </w:rPr>
            </w:pPr>
            <w:r>
              <w:rPr>
                <w:b/>
                <w:sz w:val="24"/>
              </w:rPr>
              <w:t>Moda</w:t>
            </w:r>
          </w:p>
        </w:tc>
      </w:tr>
      <w:tr>
        <w:trPr>
          <w:trHeight w:val="415" w:hRule="exact"/>
        </w:trPr>
        <w:tc>
          <w:tcPr>
            <w:tcW w:w="3157" w:type="dxa"/>
            <w:tcBorders>
              <w:left w:val="nil"/>
              <w:right w:val="nil"/>
            </w:tcBorders>
          </w:tcPr>
          <w:p>
            <w:pPr>
              <w:pStyle w:val="TableParagraph"/>
              <w:spacing w:before="60"/>
              <w:ind w:left="1061" w:right="1375"/>
              <w:rPr>
                <w:sz w:val="24"/>
              </w:rPr>
            </w:pPr>
            <w:r>
              <w:rPr>
                <w:sz w:val="24"/>
              </w:rPr>
              <w:t>4.8</w:t>
            </w:r>
          </w:p>
        </w:tc>
        <w:tc>
          <w:tcPr>
            <w:tcW w:w="2657" w:type="dxa"/>
            <w:tcBorders>
              <w:left w:val="nil"/>
              <w:right w:val="nil"/>
            </w:tcBorders>
          </w:tcPr>
          <w:p>
            <w:pPr>
              <w:pStyle w:val="TableParagraph"/>
              <w:spacing w:before="60"/>
              <w:ind w:right="384"/>
              <w:rPr>
                <w:sz w:val="24"/>
              </w:rPr>
            </w:pPr>
            <w:r>
              <w:rPr>
                <w:w w:val="99"/>
                <w:sz w:val="24"/>
              </w:rPr>
              <w:t>5</w:t>
            </w:r>
          </w:p>
        </w:tc>
        <w:tc>
          <w:tcPr>
            <w:tcW w:w="2770" w:type="dxa"/>
            <w:tcBorders>
              <w:left w:val="nil"/>
              <w:right w:val="nil"/>
            </w:tcBorders>
          </w:tcPr>
          <w:p>
            <w:pPr>
              <w:pStyle w:val="TableParagraph"/>
              <w:spacing w:before="60"/>
              <w:ind w:right="65"/>
              <w:rPr>
                <w:sz w:val="24"/>
              </w:rPr>
            </w:pPr>
            <w:r>
              <w:rPr>
                <w:w w:val="99"/>
                <w:sz w:val="24"/>
              </w:rPr>
              <w:t>4</w:t>
            </w:r>
          </w:p>
        </w:tc>
      </w:tr>
      <w:tr>
        <w:trPr>
          <w:trHeight w:val="413" w:hRule="exact"/>
        </w:trPr>
        <w:tc>
          <w:tcPr>
            <w:tcW w:w="3157" w:type="dxa"/>
            <w:tcBorders>
              <w:left w:val="nil"/>
              <w:right w:val="nil"/>
            </w:tcBorders>
          </w:tcPr>
          <w:p>
            <w:pPr/>
          </w:p>
        </w:tc>
        <w:tc>
          <w:tcPr>
            <w:tcW w:w="2657" w:type="dxa"/>
            <w:tcBorders>
              <w:left w:val="nil"/>
              <w:right w:val="nil"/>
            </w:tcBorders>
          </w:tcPr>
          <w:p>
            <w:pPr/>
          </w:p>
        </w:tc>
        <w:tc>
          <w:tcPr>
            <w:tcW w:w="2770" w:type="dxa"/>
            <w:tcBorders>
              <w:left w:val="nil"/>
              <w:right w:val="nil"/>
            </w:tcBorders>
          </w:tcPr>
          <w:p>
            <w:pPr/>
          </w:p>
        </w:tc>
      </w:tr>
      <w:tr>
        <w:trPr>
          <w:trHeight w:val="434" w:hRule="exact"/>
        </w:trPr>
        <w:tc>
          <w:tcPr>
            <w:tcW w:w="8584" w:type="dxa"/>
            <w:gridSpan w:val="3"/>
            <w:tcBorders>
              <w:left w:val="nil"/>
              <w:right w:val="nil"/>
            </w:tcBorders>
          </w:tcPr>
          <w:p>
            <w:pPr>
              <w:pStyle w:val="TableParagraph"/>
              <w:spacing w:before="70"/>
              <w:ind w:left="2979" w:right="2976"/>
              <w:rPr>
                <w:b/>
                <w:sz w:val="24"/>
              </w:rPr>
            </w:pPr>
            <w:r>
              <w:rPr>
                <w:b/>
                <w:sz w:val="24"/>
              </w:rPr>
              <w:t>Medidas de dispersión</w:t>
            </w:r>
          </w:p>
        </w:tc>
      </w:tr>
      <w:tr>
        <w:trPr>
          <w:trHeight w:val="431" w:hRule="exact"/>
        </w:trPr>
        <w:tc>
          <w:tcPr>
            <w:tcW w:w="3157" w:type="dxa"/>
            <w:tcBorders>
              <w:left w:val="nil"/>
              <w:right w:val="nil"/>
            </w:tcBorders>
            <w:shd w:val="clear" w:color="auto" w:fill="99CC00"/>
          </w:tcPr>
          <w:p>
            <w:pPr>
              <w:pStyle w:val="TableParagraph"/>
              <w:spacing w:before="69"/>
              <w:ind w:left="1661"/>
              <w:jc w:val="left"/>
              <w:rPr>
                <w:b/>
                <w:sz w:val="24"/>
              </w:rPr>
            </w:pPr>
            <w:r>
              <w:rPr>
                <w:b/>
                <w:sz w:val="24"/>
              </w:rPr>
              <w:t>Mínimo</w:t>
            </w:r>
          </w:p>
        </w:tc>
        <w:tc>
          <w:tcPr>
            <w:tcW w:w="2657" w:type="dxa"/>
            <w:tcBorders>
              <w:left w:val="nil"/>
              <w:right w:val="nil"/>
            </w:tcBorders>
            <w:shd w:val="clear" w:color="auto" w:fill="99CC00"/>
          </w:tcPr>
          <w:p>
            <w:pPr/>
          </w:p>
        </w:tc>
        <w:tc>
          <w:tcPr>
            <w:tcW w:w="2770" w:type="dxa"/>
            <w:tcBorders>
              <w:left w:val="nil"/>
              <w:right w:val="nil"/>
            </w:tcBorders>
            <w:shd w:val="clear" w:color="auto" w:fill="99CC00"/>
          </w:tcPr>
          <w:p>
            <w:pPr>
              <w:pStyle w:val="TableParagraph"/>
              <w:spacing w:before="69"/>
              <w:ind w:left="110"/>
              <w:jc w:val="left"/>
              <w:rPr>
                <w:b/>
                <w:sz w:val="24"/>
              </w:rPr>
            </w:pPr>
            <w:r>
              <w:rPr>
                <w:b/>
                <w:sz w:val="24"/>
              </w:rPr>
              <w:t>Máximo</w:t>
            </w:r>
          </w:p>
        </w:tc>
      </w:tr>
      <w:tr>
        <w:trPr>
          <w:trHeight w:val="415" w:hRule="exact"/>
        </w:trPr>
        <w:tc>
          <w:tcPr>
            <w:tcW w:w="3157" w:type="dxa"/>
            <w:tcBorders>
              <w:left w:val="nil"/>
              <w:right w:val="nil"/>
            </w:tcBorders>
          </w:tcPr>
          <w:p>
            <w:pPr>
              <w:pStyle w:val="TableParagraph"/>
              <w:spacing w:before="60"/>
              <w:ind w:left="2014"/>
              <w:jc w:val="left"/>
              <w:rPr>
                <w:sz w:val="24"/>
              </w:rPr>
            </w:pPr>
            <w:r>
              <w:rPr>
                <w:w w:val="99"/>
                <w:sz w:val="24"/>
              </w:rPr>
              <w:t>3</w:t>
            </w:r>
          </w:p>
        </w:tc>
        <w:tc>
          <w:tcPr>
            <w:tcW w:w="2657" w:type="dxa"/>
            <w:tcBorders>
              <w:left w:val="nil"/>
              <w:right w:val="nil"/>
            </w:tcBorders>
          </w:tcPr>
          <w:p>
            <w:pPr/>
          </w:p>
        </w:tc>
        <w:tc>
          <w:tcPr>
            <w:tcW w:w="2770" w:type="dxa"/>
            <w:tcBorders>
              <w:left w:val="nil"/>
              <w:right w:val="nil"/>
            </w:tcBorders>
          </w:tcPr>
          <w:p>
            <w:pPr>
              <w:pStyle w:val="TableParagraph"/>
              <w:spacing w:before="60"/>
              <w:ind w:left="490"/>
              <w:jc w:val="left"/>
              <w:rPr>
                <w:sz w:val="24"/>
              </w:rPr>
            </w:pPr>
            <w:r>
              <w:rPr>
                <w:w w:val="99"/>
                <w:sz w:val="24"/>
              </w:rPr>
              <w:t>7</w:t>
            </w:r>
          </w:p>
        </w:tc>
      </w:tr>
    </w:tbl>
    <w:p>
      <w:pPr>
        <w:pStyle w:val="BodyText"/>
        <w:spacing w:before="8"/>
        <w:rPr>
          <w:b/>
        </w:rPr>
      </w:pPr>
      <w:r>
        <w:rPr/>
        <w:pict>
          <v:group style="position:absolute;margin-left:125.675003pt;margin-top:16.155001pt;width:414.5pt;height:187.45pt;mso-position-horizontal-relative:page;mso-position-vertical-relative:paragraph;z-index:2008;mso-wrap-distance-left:0;mso-wrap-distance-right:0" coordorigin="2514,323" coordsize="8290,3749">
            <v:shape style="position:absolute;left:3269;top:1607;width:5340;height:2177" type="#_x0000_t75" stroked="false">
              <v:imagedata r:id="rId50" o:title=""/>
            </v:shape>
            <v:shape style="position:absolute;left:2521;top:331;width:8275;height:3734" type="#_x0000_t202" filled="false" stroked="true" strokeweight=".75pt" strokecolor="#858585">
              <v:textbox inset="0,0,0,0">
                <w:txbxContent>
                  <w:p>
                    <w:pPr>
                      <w:spacing w:before="165"/>
                      <w:ind w:left="1260" w:right="1048" w:firstLine="0"/>
                      <w:jc w:val="center"/>
                      <w:rPr>
                        <w:b/>
                        <w:sz w:val="20"/>
                      </w:rPr>
                    </w:pPr>
                    <w:r>
                      <w:rPr>
                        <w:b/>
                        <w:sz w:val="20"/>
                      </w:rPr>
                      <w:t>Gráfica No. 6</w:t>
                    </w:r>
                  </w:p>
                  <w:p>
                    <w:pPr>
                      <w:spacing w:before="0"/>
                      <w:ind w:left="1260" w:right="1051" w:firstLine="0"/>
                      <w:jc w:val="center"/>
                      <w:rPr>
                        <w:b/>
                        <w:sz w:val="20"/>
                      </w:rPr>
                    </w:pPr>
                    <w:r>
                      <w:rPr>
                        <w:b/>
                        <w:sz w:val="20"/>
                      </w:rPr>
                      <w:t>Número de integrantes con los que habita 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6"/>
                      <w:rPr>
                        <w:b/>
                        <w:sz w:val="25"/>
                      </w:rPr>
                    </w:pPr>
                  </w:p>
                  <w:p>
                    <w:pPr>
                      <w:spacing w:before="0"/>
                      <w:ind w:left="0" w:right="183" w:firstLine="0"/>
                      <w:jc w:val="right"/>
                      <w:rPr>
                        <w:rFonts w:ascii="Calibri"/>
                        <w:b/>
                        <w:sz w:val="18"/>
                      </w:rPr>
                    </w:pPr>
                    <w:r>
                      <w:rPr>
                        <w:rFonts w:ascii="Calibri"/>
                        <w:b/>
                        <w:w w:val="105"/>
                        <w:sz w:val="18"/>
                      </w:rPr>
                      <w:t>2 a 3 integrantes</w:t>
                    </w:r>
                  </w:p>
                  <w:p>
                    <w:pPr>
                      <w:spacing w:line="240" w:lineRule="auto" w:before="7"/>
                      <w:rPr>
                        <w:b/>
                        <w:sz w:val="25"/>
                      </w:rPr>
                    </w:pPr>
                  </w:p>
                  <w:p>
                    <w:pPr>
                      <w:spacing w:before="0"/>
                      <w:ind w:left="0" w:right="183" w:firstLine="0"/>
                      <w:jc w:val="right"/>
                      <w:rPr>
                        <w:rFonts w:ascii="Calibri"/>
                        <w:b/>
                        <w:sz w:val="18"/>
                      </w:rPr>
                    </w:pPr>
                    <w:r>
                      <w:rPr>
                        <w:rFonts w:ascii="Calibri"/>
                        <w:b/>
                        <w:w w:val="105"/>
                        <w:sz w:val="18"/>
                      </w:rPr>
                      <w:t>4 a 5 integrantes</w:t>
                    </w:r>
                  </w:p>
                  <w:p>
                    <w:pPr>
                      <w:spacing w:line="240" w:lineRule="auto" w:before="7"/>
                      <w:rPr>
                        <w:b/>
                        <w:sz w:val="25"/>
                      </w:rPr>
                    </w:pPr>
                  </w:p>
                  <w:p>
                    <w:pPr>
                      <w:spacing w:line="247" w:lineRule="auto" w:before="0"/>
                      <w:ind w:left="6801" w:right="0" w:firstLine="0"/>
                      <w:jc w:val="left"/>
                      <w:rPr>
                        <w:rFonts w:ascii="Calibri" w:hAnsi="Calibri"/>
                        <w:b/>
                        <w:sz w:val="18"/>
                      </w:rPr>
                    </w:pPr>
                    <w:r>
                      <w:rPr>
                        <w:rFonts w:ascii="Calibri" w:hAnsi="Calibri"/>
                        <w:b/>
                        <w:w w:val="105"/>
                        <w:sz w:val="18"/>
                      </w:rPr>
                      <w:t>Más de 6 </w:t>
                    </w:r>
                    <w:r>
                      <w:rPr>
                        <w:rFonts w:ascii="Calibri" w:hAnsi="Calibri"/>
                        <w:b/>
                        <w:sz w:val="18"/>
                      </w:rPr>
                      <w:t>integrantes</w:t>
                    </w:r>
                  </w:p>
                </w:txbxContent>
              </v:textbox>
              <w10:wrap type="none"/>
            </v:shape>
            <w10:wrap type="topAndBottom"/>
          </v:group>
        </w:pict>
      </w:r>
    </w:p>
    <w:p>
      <w:pPr>
        <w:spacing w:before="36"/>
        <w:ind w:left="790" w:right="230" w:firstLine="0"/>
        <w:jc w:val="left"/>
        <w:rPr>
          <w:sz w:val="20"/>
        </w:rPr>
      </w:pPr>
      <w:r>
        <w:rPr>
          <w:sz w:val="20"/>
        </w:rPr>
        <w:t>Fuente: Tabla No. 6</w:t>
      </w:r>
    </w:p>
    <w:p>
      <w:pPr>
        <w:spacing w:after="0"/>
        <w:jc w:val="left"/>
        <w:rPr>
          <w:sz w:val="20"/>
        </w:rPr>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2"/>
        <w:jc w:val="both"/>
      </w:pPr>
      <w:r>
        <w:rPr/>
        <w:t>En cuanto al número de integrates con los que habita el cuidador informal primario, el 53.3% reportó habitar con un promedio de 4 a 5 integrantes, y sólo el 13.3% habita por lo menos 3 habiantes y máximo con 7 personas más, lo anterior refleja lo referido por el INEGI en las “estadísticas a propósito del dia de la familia mexicana” en 2013 los hogares mexicanos se componen en promedio con 4.5 integrantes.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2"/>
        <w:spacing w:line="360" w:lineRule="auto"/>
        <w:jc w:val="left"/>
      </w:pPr>
      <w:r>
        <w:rPr>
          <w:b w:val="0"/>
        </w:rPr>
        <w:t>Tabla No. 7. </w:t>
      </w:r>
      <w:r>
        <w:rPr/>
        <w:t>Ocupación del cuidador informal primario,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47"/>
        <w:gridCol w:w="2690"/>
        <w:gridCol w:w="2493"/>
      </w:tblGrid>
      <w:tr>
        <w:trPr>
          <w:trHeight w:val="432" w:hRule="exact"/>
        </w:trPr>
        <w:tc>
          <w:tcPr>
            <w:tcW w:w="3347" w:type="dxa"/>
            <w:tcBorders>
              <w:left w:val="nil"/>
              <w:right w:val="nil"/>
            </w:tcBorders>
            <w:shd w:val="clear" w:color="auto" w:fill="99CC00"/>
          </w:tcPr>
          <w:p>
            <w:pPr>
              <w:pStyle w:val="TableParagraph"/>
              <w:spacing w:before="67"/>
              <w:ind w:left="985" w:right="810"/>
              <w:rPr>
                <w:b/>
                <w:sz w:val="24"/>
              </w:rPr>
            </w:pPr>
            <w:r>
              <w:rPr>
                <w:b/>
                <w:sz w:val="24"/>
              </w:rPr>
              <w:t>Ocupación</w:t>
            </w:r>
          </w:p>
        </w:tc>
        <w:tc>
          <w:tcPr>
            <w:tcW w:w="2690" w:type="dxa"/>
            <w:tcBorders>
              <w:left w:val="nil"/>
              <w:right w:val="nil"/>
            </w:tcBorders>
            <w:shd w:val="clear" w:color="auto" w:fill="99CC00"/>
          </w:tcPr>
          <w:p>
            <w:pPr>
              <w:pStyle w:val="TableParagraph"/>
              <w:spacing w:before="67"/>
              <w:ind w:left="815" w:right="648"/>
              <w:rPr>
                <w:sz w:val="24"/>
              </w:rPr>
            </w:pPr>
            <w:r>
              <w:rPr>
                <w:sz w:val="24"/>
              </w:rPr>
              <w:t>Frecuencia</w:t>
            </w:r>
          </w:p>
        </w:tc>
        <w:tc>
          <w:tcPr>
            <w:tcW w:w="2493" w:type="dxa"/>
            <w:tcBorders>
              <w:left w:val="nil"/>
              <w:right w:val="nil"/>
            </w:tcBorders>
            <w:shd w:val="clear" w:color="auto" w:fill="99CC00"/>
          </w:tcPr>
          <w:p>
            <w:pPr>
              <w:pStyle w:val="TableParagraph"/>
              <w:spacing w:before="67"/>
              <w:ind w:left="648" w:right="657"/>
              <w:rPr>
                <w:sz w:val="24"/>
              </w:rPr>
            </w:pPr>
            <w:r>
              <w:rPr>
                <w:sz w:val="24"/>
              </w:rPr>
              <w:t>Porcentaje</w:t>
            </w:r>
          </w:p>
        </w:tc>
      </w:tr>
      <w:tr>
        <w:trPr>
          <w:trHeight w:val="415" w:hRule="exact"/>
        </w:trPr>
        <w:tc>
          <w:tcPr>
            <w:tcW w:w="3347" w:type="dxa"/>
            <w:tcBorders>
              <w:left w:val="nil"/>
              <w:bottom w:val="nil"/>
              <w:right w:val="nil"/>
            </w:tcBorders>
          </w:tcPr>
          <w:p>
            <w:pPr>
              <w:pStyle w:val="TableParagraph"/>
              <w:spacing w:before="58"/>
              <w:ind w:left="985" w:right="814"/>
              <w:rPr>
                <w:sz w:val="24"/>
              </w:rPr>
            </w:pPr>
            <w:r>
              <w:rPr>
                <w:sz w:val="24"/>
              </w:rPr>
              <w:t>Sin ocupación</w:t>
            </w:r>
          </w:p>
        </w:tc>
        <w:tc>
          <w:tcPr>
            <w:tcW w:w="2690" w:type="dxa"/>
            <w:tcBorders>
              <w:left w:val="nil"/>
              <w:bottom w:val="nil"/>
              <w:right w:val="nil"/>
            </w:tcBorders>
          </w:tcPr>
          <w:p>
            <w:pPr>
              <w:pStyle w:val="TableParagraph"/>
              <w:spacing w:before="58"/>
              <w:ind w:left="163"/>
              <w:rPr>
                <w:sz w:val="24"/>
              </w:rPr>
            </w:pPr>
            <w:r>
              <w:rPr>
                <w:w w:val="99"/>
                <w:sz w:val="24"/>
              </w:rPr>
              <w:t>2</w:t>
            </w:r>
          </w:p>
        </w:tc>
        <w:tc>
          <w:tcPr>
            <w:tcW w:w="2493" w:type="dxa"/>
            <w:tcBorders>
              <w:left w:val="nil"/>
              <w:bottom w:val="nil"/>
              <w:right w:val="nil"/>
            </w:tcBorders>
          </w:tcPr>
          <w:p>
            <w:pPr>
              <w:pStyle w:val="TableParagraph"/>
              <w:spacing w:before="58"/>
              <w:ind w:left="648" w:right="655"/>
              <w:rPr>
                <w:sz w:val="24"/>
              </w:rPr>
            </w:pPr>
            <w:r>
              <w:rPr>
                <w:sz w:val="24"/>
              </w:rPr>
              <w:t>6.7</w:t>
            </w:r>
          </w:p>
        </w:tc>
      </w:tr>
      <w:tr>
        <w:trPr>
          <w:trHeight w:val="408" w:hRule="exact"/>
        </w:trPr>
        <w:tc>
          <w:tcPr>
            <w:tcW w:w="3347" w:type="dxa"/>
            <w:tcBorders>
              <w:top w:val="nil"/>
              <w:left w:val="nil"/>
              <w:bottom w:val="nil"/>
              <w:right w:val="nil"/>
            </w:tcBorders>
          </w:tcPr>
          <w:p>
            <w:pPr>
              <w:pStyle w:val="TableParagraph"/>
              <w:spacing w:before="51"/>
              <w:ind w:left="985" w:right="813"/>
              <w:rPr>
                <w:sz w:val="24"/>
              </w:rPr>
            </w:pPr>
            <w:r>
              <w:rPr>
                <w:sz w:val="24"/>
              </w:rPr>
              <w:t>Hogar</w:t>
            </w:r>
          </w:p>
        </w:tc>
        <w:tc>
          <w:tcPr>
            <w:tcW w:w="2690" w:type="dxa"/>
            <w:tcBorders>
              <w:top w:val="nil"/>
              <w:left w:val="nil"/>
              <w:bottom w:val="nil"/>
              <w:right w:val="nil"/>
            </w:tcBorders>
          </w:tcPr>
          <w:p>
            <w:pPr>
              <w:pStyle w:val="TableParagraph"/>
              <w:spacing w:before="51"/>
              <w:ind w:left="163"/>
              <w:rPr>
                <w:sz w:val="24"/>
              </w:rPr>
            </w:pPr>
            <w:r>
              <w:rPr>
                <w:w w:val="99"/>
                <w:sz w:val="24"/>
              </w:rPr>
              <w:t>4</w:t>
            </w:r>
          </w:p>
        </w:tc>
        <w:tc>
          <w:tcPr>
            <w:tcW w:w="2493" w:type="dxa"/>
            <w:tcBorders>
              <w:top w:val="nil"/>
              <w:left w:val="nil"/>
              <w:bottom w:val="nil"/>
              <w:right w:val="nil"/>
            </w:tcBorders>
          </w:tcPr>
          <w:p>
            <w:pPr>
              <w:pStyle w:val="TableParagraph"/>
              <w:spacing w:before="51"/>
              <w:ind w:left="648" w:right="655"/>
              <w:rPr>
                <w:sz w:val="24"/>
              </w:rPr>
            </w:pPr>
            <w:r>
              <w:rPr>
                <w:sz w:val="24"/>
              </w:rPr>
              <w:t>13.3</w:t>
            </w:r>
          </w:p>
        </w:tc>
      </w:tr>
      <w:tr>
        <w:trPr>
          <w:trHeight w:val="413" w:hRule="exact"/>
        </w:trPr>
        <w:tc>
          <w:tcPr>
            <w:tcW w:w="3347" w:type="dxa"/>
            <w:tcBorders>
              <w:top w:val="nil"/>
              <w:left w:val="nil"/>
              <w:bottom w:val="nil"/>
              <w:right w:val="nil"/>
            </w:tcBorders>
          </w:tcPr>
          <w:p>
            <w:pPr>
              <w:pStyle w:val="TableParagraph"/>
              <w:spacing w:before="56"/>
              <w:ind w:left="985" w:right="809"/>
              <w:rPr>
                <w:b/>
                <w:sz w:val="24"/>
              </w:rPr>
            </w:pPr>
            <w:r>
              <w:rPr>
                <w:b/>
                <w:sz w:val="24"/>
              </w:rPr>
              <w:t>Oficio</w:t>
            </w:r>
          </w:p>
        </w:tc>
        <w:tc>
          <w:tcPr>
            <w:tcW w:w="2690" w:type="dxa"/>
            <w:tcBorders>
              <w:top w:val="nil"/>
              <w:left w:val="nil"/>
              <w:bottom w:val="nil"/>
              <w:right w:val="nil"/>
            </w:tcBorders>
          </w:tcPr>
          <w:p>
            <w:pPr>
              <w:pStyle w:val="TableParagraph"/>
              <w:spacing w:before="56"/>
              <w:ind w:left="815" w:right="647"/>
              <w:rPr>
                <w:b/>
                <w:sz w:val="24"/>
              </w:rPr>
            </w:pPr>
            <w:r>
              <w:rPr>
                <w:b/>
                <w:sz w:val="24"/>
              </w:rPr>
              <w:t>14</w:t>
            </w:r>
          </w:p>
        </w:tc>
        <w:tc>
          <w:tcPr>
            <w:tcW w:w="2493" w:type="dxa"/>
            <w:tcBorders>
              <w:top w:val="nil"/>
              <w:left w:val="nil"/>
              <w:bottom w:val="nil"/>
              <w:right w:val="nil"/>
            </w:tcBorders>
          </w:tcPr>
          <w:p>
            <w:pPr>
              <w:pStyle w:val="TableParagraph"/>
              <w:spacing w:before="56"/>
              <w:ind w:left="648" w:right="655"/>
              <w:rPr>
                <w:b/>
                <w:sz w:val="24"/>
              </w:rPr>
            </w:pPr>
            <w:r>
              <w:rPr>
                <w:b/>
                <w:sz w:val="24"/>
              </w:rPr>
              <w:t>46.7</w:t>
            </w:r>
          </w:p>
        </w:tc>
      </w:tr>
      <w:tr>
        <w:trPr>
          <w:trHeight w:val="403" w:hRule="exact"/>
        </w:trPr>
        <w:tc>
          <w:tcPr>
            <w:tcW w:w="3347" w:type="dxa"/>
            <w:tcBorders>
              <w:top w:val="nil"/>
              <w:left w:val="nil"/>
              <w:right w:val="nil"/>
            </w:tcBorders>
          </w:tcPr>
          <w:p>
            <w:pPr>
              <w:pStyle w:val="TableParagraph"/>
              <w:spacing w:before="55"/>
              <w:ind w:left="985" w:right="814"/>
              <w:rPr>
                <w:sz w:val="24"/>
              </w:rPr>
            </w:pPr>
            <w:r>
              <w:rPr>
                <w:sz w:val="24"/>
              </w:rPr>
              <w:t>Profesión</w:t>
            </w:r>
          </w:p>
        </w:tc>
        <w:tc>
          <w:tcPr>
            <w:tcW w:w="2690" w:type="dxa"/>
            <w:tcBorders>
              <w:top w:val="nil"/>
              <w:left w:val="nil"/>
              <w:right w:val="nil"/>
            </w:tcBorders>
          </w:tcPr>
          <w:p>
            <w:pPr>
              <w:pStyle w:val="TableParagraph"/>
              <w:spacing w:before="55"/>
              <w:ind w:left="815" w:right="647"/>
              <w:rPr>
                <w:sz w:val="24"/>
              </w:rPr>
            </w:pPr>
            <w:r>
              <w:rPr>
                <w:sz w:val="24"/>
              </w:rPr>
              <w:t>10</w:t>
            </w:r>
          </w:p>
        </w:tc>
        <w:tc>
          <w:tcPr>
            <w:tcW w:w="2493" w:type="dxa"/>
            <w:tcBorders>
              <w:top w:val="nil"/>
              <w:left w:val="nil"/>
              <w:right w:val="nil"/>
            </w:tcBorders>
          </w:tcPr>
          <w:p>
            <w:pPr>
              <w:pStyle w:val="TableParagraph"/>
              <w:spacing w:before="55"/>
              <w:ind w:left="648" w:right="655"/>
              <w:rPr>
                <w:sz w:val="24"/>
              </w:rPr>
            </w:pPr>
            <w:r>
              <w:rPr>
                <w:sz w:val="24"/>
              </w:rPr>
              <w:t>33.3</w:t>
            </w:r>
          </w:p>
        </w:tc>
      </w:tr>
      <w:tr>
        <w:trPr>
          <w:trHeight w:val="432" w:hRule="exact"/>
        </w:trPr>
        <w:tc>
          <w:tcPr>
            <w:tcW w:w="3347" w:type="dxa"/>
            <w:tcBorders>
              <w:left w:val="nil"/>
              <w:right w:val="nil"/>
            </w:tcBorders>
            <w:shd w:val="clear" w:color="auto" w:fill="99CC00"/>
          </w:tcPr>
          <w:p>
            <w:pPr>
              <w:pStyle w:val="TableParagraph"/>
              <w:spacing w:before="70"/>
              <w:ind w:left="985" w:right="812"/>
              <w:rPr>
                <w:b/>
                <w:sz w:val="24"/>
              </w:rPr>
            </w:pPr>
            <w:r>
              <w:rPr>
                <w:b/>
                <w:sz w:val="24"/>
              </w:rPr>
              <w:t>Total</w:t>
            </w:r>
          </w:p>
        </w:tc>
        <w:tc>
          <w:tcPr>
            <w:tcW w:w="2690" w:type="dxa"/>
            <w:tcBorders>
              <w:left w:val="nil"/>
              <w:right w:val="nil"/>
            </w:tcBorders>
            <w:shd w:val="clear" w:color="auto" w:fill="99CC00"/>
          </w:tcPr>
          <w:p>
            <w:pPr>
              <w:pStyle w:val="TableParagraph"/>
              <w:spacing w:before="70"/>
              <w:ind w:left="815" w:right="647"/>
              <w:rPr>
                <w:sz w:val="24"/>
              </w:rPr>
            </w:pPr>
            <w:r>
              <w:rPr>
                <w:sz w:val="24"/>
              </w:rPr>
              <w:t>30</w:t>
            </w:r>
          </w:p>
        </w:tc>
        <w:tc>
          <w:tcPr>
            <w:tcW w:w="2493" w:type="dxa"/>
            <w:tcBorders>
              <w:left w:val="nil"/>
              <w:right w:val="nil"/>
            </w:tcBorders>
            <w:shd w:val="clear" w:color="auto" w:fill="99CC00"/>
          </w:tcPr>
          <w:p>
            <w:pPr>
              <w:pStyle w:val="TableParagraph"/>
              <w:spacing w:before="70"/>
              <w:ind w:left="648" w:right="653"/>
              <w:rPr>
                <w:sz w:val="24"/>
              </w:rPr>
            </w:pPr>
            <w:r>
              <w:rPr>
                <w:sz w:val="24"/>
              </w:rPr>
              <w:t>100</w:t>
            </w:r>
          </w:p>
        </w:tc>
      </w:tr>
    </w:tbl>
    <w:p>
      <w:pPr>
        <w:pStyle w:val="BodyText"/>
        <w:rPr>
          <w:b/>
          <w:sz w:val="20"/>
        </w:rPr>
      </w:pPr>
    </w:p>
    <w:p>
      <w:pPr>
        <w:pStyle w:val="BodyText"/>
        <w:spacing w:before="9"/>
        <w:rPr>
          <w:b/>
          <w:sz w:val="29"/>
        </w:rPr>
      </w:pPr>
      <w:r>
        <w:rPr/>
        <w:pict>
          <v:group style="position:absolute;margin-left:127.775002pt;margin-top:19.075977pt;width:408.25pt;height:190.85pt;mso-position-horizontal-relative:page;mso-position-vertical-relative:paragraph;z-index:2128;mso-wrap-distance-left:0;mso-wrap-distance-right:0" coordorigin="2556,382" coordsize="8165,3817">
            <v:shape style="position:absolute;left:3312;top:1475;width:5842;height:2402" type="#_x0000_t75" stroked="false">
              <v:imagedata r:id="rId51" o:title=""/>
            </v:shape>
            <v:rect style="position:absolute;left:9218;top:2636;width:101;height:101" filled="true" fillcolor="#4f81bc" stroked="false">
              <v:fill type="solid"/>
            </v:rect>
            <v:rect style="position:absolute;left:9218;top:2940;width:101;height:101" filled="true" fillcolor="#c0504d" stroked="false">
              <v:fill type="solid"/>
            </v:rect>
            <v:rect style="position:absolute;left:9218;top:3243;width:101;height:101" filled="true" fillcolor="#9bba58" stroked="false">
              <v:fill type="solid"/>
            </v:rect>
            <v:rect style="position:absolute;left:9218;top:3547;width:101;height:101" filled="true" fillcolor="#8063a1" stroked="false">
              <v:fill type="solid"/>
            </v:rect>
            <v:shape style="position:absolute;left:2563;top:389;width:8150;height:3802" type="#_x0000_t202" filled="false" stroked="true" strokeweight=".75pt" strokecolor="#858585">
              <v:textbox inset="0,0,0,0">
                <w:txbxContent>
                  <w:p>
                    <w:pPr>
                      <w:spacing w:line="240" w:lineRule="auto" w:before="5"/>
                      <w:rPr>
                        <w:b/>
                        <w:sz w:val="18"/>
                      </w:rPr>
                    </w:pPr>
                  </w:p>
                  <w:p>
                    <w:pPr>
                      <w:spacing w:before="0"/>
                      <w:ind w:left="2021" w:right="1551" w:firstLine="0"/>
                      <w:jc w:val="center"/>
                      <w:rPr>
                        <w:b/>
                        <w:sz w:val="20"/>
                      </w:rPr>
                    </w:pPr>
                    <w:r>
                      <w:rPr>
                        <w:b/>
                        <w:sz w:val="20"/>
                      </w:rPr>
                      <w:t>Gráfica No. 7</w:t>
                    </w:r>
                  </w:p>
                  <w:p>
                    <w:pPr>
                      <w:spacing w:before="0"/>
                      <w:ind w:left="2021" w:right="1553" w:firstLine="0"/>
                      <w:jc w:val="center"/>
                      <w:rPr>
                        <w:b/>
                        <w:sz w:val="20"/>
                      </w:rPr>
                    </w:pPr>
                    <w:r>
                      <w:rPr>
                        <w:b/>
                        <w:sz w:val="20"/>
                      </w:rPr>
                      <w:t>Ocupación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331" w:lineRule="auto" w:before="120"/>
                      <w:ind w:left="6793" w:right="202" w:firstLine="0"/>
                      <w:jc w:val="left"/>
                      <w:rPr>
                        <w:rFonts w:ascii="Calibri" w:hAnsi="Calibri"/>
                        <w:b/>
                        <w:sz w:val="18"/>
                      </w:rPr>
                    </w:pPr>
                    <w:r>
                      <w:rPr>
                        <w:rFonts w:ascii="Calibri" w:hAnsi="Calibri"/>
                        <w:b/>
                        <w:w w:val="105"/>
                        <w:sz w:val="18"/>
                      </w:rPr>
                      <w:t>Sin ocupación Hogar</w:t>
                    </w:r>
                  </w:p>
                  <w:p>
                    <w:pPr>
                      <w:spacing w:line="331" w:lineRule="auto" w:before="0"/>
                      <w:ind w:left="6793" w:right="202" w:firstLine="0"/>
                      <w:jc w:val="left"/>
                      <w:rPr>
                        <w:rFonts w:ascii="Calibri" w:hAnsi="Calibri"/>
                        <w:b/>
                        <w:sz w:val="18"/>
                      </w:rPr>
                    </w:pPr>
                    <w:r>
                      <w:rPr>
                        <w:rFonts w:ascii="Calibri" w:hAnsi="Calibri"/>
                        <w:b/>
                        <w:w w:val="105"/>
                        <w:sz w:val="18"/>
                      </w:rPr>
                      <w:t>Oficio </w:t>
                    </w:r>
                    <w:r>
                      <w:rPr>
                        <w:rFonts w:ascii="Calibri" w:hAnsi="Calibri"/>
                        <w:b/>
                        <w:sz w:val="18"/>
                      </w:rPr>
                      <w:t>Profesión</w:t>
                    </w:r>
                  </w:p>
                </w:txbxContent>
              </v:textbox>
              <w10:wrap type="none"/>
            </v:shape>
            <w10:wrap type="topAndBottom"/>
          </v:group>
        </w:pict>
      </w:r>
    </w:p>
    <w:p>
      <w:pPr>
        <w:spacing w:before="83"/>
        <w:ind w:left="901" w:right="230" w:firstLine="0"/>
        <w:jc w:val="left"/>
        <w:rPr>
          <w:sz w:val="20"/>
        </w:rPr>
      </w:pPr>
      <w:r>
        <w:rPr>
          <w:sz w:val="20"/>
        </w:rPr>
        <w:t>Fuente: Tabla No. 7</w:t>
      </w:r>
    </w:p>
    <w:p>
      <w:pPr>
        <w:pStyle w:val="BodyText"/>
        <w:rPr>
          <w:sz w:val="20"/>
        </w:rPr>
      </w:pPr>
    </w:p>
    <w:p>
      <w:pPr>
        <w:pStyle w:val="BodyText"/>
        <w:rPr>
          <w:sz w:val="16"/>
        </w:rPr>
      </w:pPr>
    </w:p>
    <w:p>
      <w:pPr>
        <w:pStyle w:val="BodyText"/>
        <w:spacing w:line="360" w:lineRule="auto"/>
        <w:ind w:left="625" w:right="228"/>
        <w:jc w:val="both"/>
      </w:pPr>
      <w:r>
        <w:rPr/>
        <w:t>En torno a la ocupación, el 46.7% reportó, ejercer algún oficio como principal actividad y fuente de ingresos, obrero y comerciante fuerón los oficios más reportados, mientras que el 33.3% ejerce alguna porfesión, de acuerdo con la “encuesta nacional de ocupacion y empleo (2014), el 58.1% de los mayores de</w:t>
      </w:r>
    </w:p>
    <w:p>
      <w:pPr>
        <w:pStyle w:val="BodyText"/>
        <w:spacing w:line="360" w:lineRule="auto" w:before="2"/>
        <w:ind w:left="625" w:right="233"/>
        <w:jc w:val="both"/>
      </w:pPr>
      <w:r>
        <w:rPr/>
        <w:t>14 años se encuentra económicamente activos (independientemente de la actividad que realiza), mientras que el 4.65% de la población económicamente activa no se encuentra desempeñando alguna actividad remunerada, de los datos encontrados  el 6.7% manifestó  no  estar  ocupado  en  alguna actividad</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219"/>
      </w:pPr>
      <w:r>
        <w:rPr/>
        <w:t>remunerada, en tanto el 13.3% se dedica a actividades del hogar de manera  no</w:t>
      </w:r>
      <w:r>
        <w:rPr>
          <w:spacing w:val="-6"/>
        </w:rPr>
        <w:t> </w:t>
      </w:r>
      <w:r>
        <w:rPr/>
        <w:t>remunerada.</w:t>
      </w:r>
    </w:p>
    <w:p>
      <w:pPr>
        <w:spacing w:after="0" w:line="360" w:lineRule="auto"/>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2"/>
        <w:spacing w:line="360" w:lineRule="auto"/>
        <w:ind w:right="195"/>
      </w:pPr>
      <w:r>
        <w:rPr>
          <w:b w:val="0"/>
        </w:rPr>
        <w:t>Tabla No. 8</w:t>
      </w:r>
      <w:r>
        <w:rPr/>
        <w:t>. Tipo de Vivienda en la que habita el cuidador informal primario,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4"/>
        <w:gridCol w:w="2802"/>
        <w:gridCol w:w="2478"/>
      </w:tblGrid>
      <w:tr>
        <w:trPr>
          <w:trHeight w:val="420" w:hRule="exact"/>
        </w:trPr>
        <w:tc>
          <w:tcPr>
            <w:tcW w:w="3194" w:type="dxa"/>
            <w:tcBorders>
              <w:left w:val="nil"/>
              <w:right w:val="nil"/>
            </w:tcBorders>
            <w:shd w:val="clear" w:color="auto" w:fill="99CC00"/>
          </w:tcPr>
          <w:p>
            <w:pPr>
              <w:pStyle w:val="TableParagraph"/>
              <w:spacing w:before="63"/>
              <w:ind w:right="950"/>
              <w:jc w:val="right"/>
              <w:rPr>
                <w:b/>
                <w:sz w:val="24"/>
              </w:rPr>
            </w:pPr>
            <w:r>
              <w:rPr>
                <w:b/>
                <w:sz w:val="24"/>
              </w:rPr>
              <w:t>Vivienda</w:t>
            </w:r>
          </w:p>
        </w:tc>
        <w:tc>
          <w:tcPr>
            <w:tcW w:w="2802" w:type="dxa"/>
            <w:tcBorders>
              <w:left w:val="nil"/>
              <w:right w:val="nil"/>
            </w:tcBorders>
            <w:shd w:val="clear" w:color="auto" w:fill="99CC00"/>
          </w:tcPr>
          <w:p>
            <w:pPr>
              <w:pStyle w:val="TableParagraph"/>
              <w:spacing w:before="63"/>
              <w:ind w:left="933" w:right="642"/>
              <w:rPr>
                <w:sz w:val="24"/>
              </w:rPr>
            </w:pPr>
            <w:r>
              <w:rPr>
                <w:sz w:val="24"/>
              </w:rPr>
              <w:t>Frecuencia</w:t>
            </w:r>
          </w:p>
        </w:tc>
        <w:tc>
          <w:tcPr>
            <w:tcW w:w="2478" w:type="dxa"/>
            <w:tcBorders>
              <w:left w:val="nil"/>
              <w:right w:val="nil"/>
            </w:tcBorders>
            <w:shd w:val="clear" w:color="auto" w:fill="99CC00"/>
          </w:tcPr>
          <w:p>
            <w:pPr>
              <w:pStyle w:val="TableParagraph"/>
              <w:spacing w:before="63"/>
              <w:ind w:left="642" w:right="647"/>
              <w:rPr>
                <w:sz w:val="24"/>
              </w:rPr>
            </w:pPr>
            <w:r>
              <w:rPr>
                <w:sz w:val="24"/>
              </w:rPr>
              <w:t>Porcentaje</w:t>
            </w:r>
          </w:p>
        </w:tc>
      </w:tr>
      <w:tr>
        <w:trPr>
          <w:trHeight w:val="419" w:hRule="exact"/>
        </w:trPr>
        <w:tc>
          <w:tcPr>
            <w:tcW w:w="3194" w:type="dxa"/>
            <w:tcBorders>
              <w:left w:val="nil"/>
              <w:bottom w:val="nil"/>
              <w:right w:val="nil"/>
            </w:tcBorders>
          </w:tcPr>
          <w:p>
            <w:pPr>
              <w:pStyle w:val="TableParagraph"/>
              <w:spacing w:before="63"/>
              <w:ind w:right="1068"/>
              <w:jc w:val="right"/>
              <w:rPr>
                <w:b/>
                <w:sz w:val="24"/>
              </w:rPr>
            </w:pPr>
            <w:r>
              <w:rPr>
                <w:b/>
                <w:w w:val="95"/>
                <w:sz w:val="24"/>
              </w:rPr>
              <w:t>Propia</w:t>
            </w:r>
          </w:p>
        </w:tc>
        <w:tc>
          <w:tcPr>
            <w:tcW w:w="2802" w:type="dxa"/>
            <w:tcBorders>
              <w:left w:val="nil"/>
              <w:bottom w:val="nil"/>
              <w:right w:val="nil"/>
            </w:tcBorders>
          </w:tcPr>
          <w:p>
            <w:pPr>
              <w:pStyle w:val="TableParagraph"/>
              <w:spacing w:before="63"/>
              <w:ind w:left="933" w:right="641"/>
              <w:rPr>
                <w:b/>
                <w:sz w:val="24"/>
              </w:rPr>
            </w:pPr>
            <w:r>
              <w:rPr>
                <w:b/>
                <w:sz w:val="24"/>
              </w:rPr>
              <w:t>25</w:t>
            </w:r>
          </w:p>
        </w:tc>
        <w:tc>
          <w:tcPr>
            <w:tcW w:w="2478" w:type="dxa"/>
            <w:tcBorders>
              <w:left w:val="nil"/>
              <w:bottom w:val="nil"/>
              <w:right w:val="nil"/>
            </w:tcBorders>
          </w:tcPr>
          <w:p>
            <w:pPr>
              <w:pStyle w:val="TableParagraph"/>
              <w:spacing w:before="63"/>
              <w:ind w:left="639" w:right="647"/>
              <w:rPr>
                <w:b/>
                <w:sz w:val="24"/>
              </w:rPr>
            </w:pPr>
            <w:r>
              <w:rPr>
                <w:b/>
                <w:sz w:val="24"/>
              </w:rPr>
              <w:t>83.3</w:t>
            </w:r>
          </w:p>
        </w:tc>
      </w:tr>
      <w:tr>
        <w:trPr>
          <w:trHeight w:val="390" w:hRule="exact"/>
        </w:trPr>
        <w:tc>
          <w:tcPr>
            <w:tcW w:w="3194" w:type="dxa"/>
            <w:tcBorders>
              <w:top w:val="nil"/>
              <w:left w:val="nil"/>
              <w:right w:val="nil"/>
            </w:tcBorders>
          </w:tcPr>
          <w:p>
            <w:pPr>
              <w:pStyle w:val="TableParagraph"/>
              <w:spacing w:before="50"/>
              <w:ind w:right="989"/>
              <w:jc w:val="right"/>
              <w:rPr>
                <w:sz w:val="24"/>
              </w:rPr>
            </w:pPr>
            <w:r>
              <w:rPr>
                <w:w w:val="95"/>
                <w:sz w:val="24"/>
              </w:rPr>
              <w:t>Rentada</w:t>
            </w:r>
          </w:p>
        </w:tc>
        <w:tc>
          <w:tcPr>
            <w:tcW w:w="2802" w:type="dxa"/>
            <w:tcBorders>
              <w:top w:val="nil"/>
              <w:left w:val="nil"/>
              <w:right w:val="nil"/>
            </w:tcBorders>
          </w:tcPr>
          <w:p>
            <w:pPr>
              <w:pStyle w:val="TableParagraph"/>
              <w:spacing w:before="50"/>
              <w:ind w:left="291"/>
              <w:rPr>
                <w:sz w:val="24"/>
              </w:rPr>
            </w:pPr>
            <w:r>
              <w:rPr>
                <w:w w:val="99"/>
                <w:sz w:val="24"/>
              </w:rPr>
              <w:t>5</w:t>
            </w:r>
          </w:p>
        </w:tc>
        <w:tc>
          <w:tcPr>
            <w:tcW w:w="2478" w:type="dxa"/>
            <w:tcBorders>
              <w:top w:val="nil"/>
              <w:left w:val="nil"/>
              <w:right w:val="nil"/>
            </w:tcBorders>
          </w:tcPr>
          <w:p>
            <w:pPr>
              <w:pStyle w:val="TableParagraph"/>
              <w:spacing w:before="50"/>
              <w:ind w:left="639" w:right="647"/>
              <w:rPr>
                <w:sz w:val="24"/>
              </w:rPr>
            </w:pPr>
            <w:r>
              <w:rPr>
                <w:sz w:val="24"/>
              </w:rPr>
              <w:t>16.7</w:t>
            </w:r>
          </w:p>
        </w:tc>
      </w:tr>
      <w:tr>
        <w:trPr>
          <w:trHeight w:val="420" w:hRule="exact"/>
        </w:trPr>
        <w:tc>
          <w:tcPr>
            <w:tcW w:w="3194" w:type="dxa"/>
            <w:tcBorders>
              <w:left w:val="nil"/>
              <w:right w:val="nil"/>
            </w:tcBorders>
            <w:shd w:val="clear" w:color="auto" w:fill="99CC00"/>
          </w:tcPr>
          <w:p>
            <w:pPr>
              <w:pStyle w:val="TableParagraph"/>
              <w:spacing w:before="63"/>
              <w:ind w:left="1441" w:right="1138"/>
              <w:rPr>
                <w:b/>
                <w:sz w:val="24"/>
              </w:rPr>
            </w:pPr>
            <w:r>
              <w:rPr>
                <w:b/>
                <w:sz w:val="24"/>
              </w:rPr>
              <w:t>Total</w:t>
            </w:r>
          </w:p>
        </w:tc>
        <w:tc>
          <w:tcPr>
            <w:tcW w:w="2802" w:type="dxa"/>
            <w:tcBorders>
              <w:left w:val="nil"/>
              <w:right w:val="nil"/>
            </w:tcBorders>
            <w:shd w:val="clear" w:color="auto" w:fill="99CC00"/>
          </w:tcPr>
          <w:p>
            <w:pPr>
              <w:pStyle w:val="TableParagraph"/>
              <w:spacing w:before="63"/>
              <w:ind w:left="933" w:right="641"/>
              <w:rPr>
                <w:sz w:val="24"/>
              </w:rPr>
            </w:pPr>
            <w:r>
              <w:rPr>
                <w:sz w:val="24"/>
              </w:rPr>
              <w:t>30</w:t>
            </w:r>
          </w:p>
        </w:tc>
        <w:tc>
          <w:tcPr>
            <w:tcW w:w="2478" w:type="dxa"/>
            <w:tcBorders>
              <w:left w:val="nil"/>
              <w:right w:val="nil"/>
            </w:tcBorders>
            <w:shd w:val="clear" w:color="auto" w:fill="99CC00"/>
          </w:tcPr>
          <w:p>
            <w:pPr>
              <w:pStyle w:val="TableParagraph"/>
              <w:spacing w:before="63"/>
              <w:ind w:left="641" w:right="647"/>
              <w:rPr>
                <w:sz w:val="24"/>
              </w:rPr>
            </w:pPr>
            <w:r>
              <w:rPr>
                <w:sz w:val="24"/>
              </w:rPr>
              <w:t>100</w:t>
            </w:r>
          </w:p>
        </w:tc>
      </w:tr>
    </w:tbl>
    <w:p>
      <w:pPr>
        <w:pStyle w:val="BodyText"/>
        <w:rPr>
          <w:b/>
          <w:sz w:val="20"/>
        </w:rPr>
      </w:pPr>
    </w:p>
    <w:p>
      <w:pPr>
        <w:pStyle w:val="BodyText"/>
        <w:spacing w:before="1"/>
        <w:rPr>
          <w:b/>
          <w:sz w:val="26"/>
        </w:rPr>
      </w:pPr>
      <w:r>
        <w:rPr/>
        <w:pict>
          <v:group style="position:absolute;margin-left:131.074997pt;margin-top:16.955986pt;width:404.9pt;height:191.3pt;mso-position-horizontal-relative:page;mso-position-vertical-relative:paragraph;z-index:2176;mso-wrap-distance-left:0;mso-wrap-distance-right:0" coordorigin="2621,339" coordsize="8098,3826">
            <v:shape style="position:absolute;left:3470;top:1384;width:6065;height:2474" type="#_x0000_t75" stroked="false">
              <v:imagedata r:id="rId52" o:title=""/>
            </v:shape>
            <v:rect style="position:absolute;left:9592;top:2997;width:101;height:101" filled="true" fillcolor="#4f81bc" stroked="false">
              <v:fill type="solid"/>
            </v:rect>
            <v:rect style="position:absolute;left:9592;top:3611;width:101;height:101" filled="true" fillcolor="#c0504d" stroked="false">
              <v:fill type="solid"/>
            </v:rect>
            <v:shape style="position:absolute;left:2629;top:347;width:8083;height:3811" type="#_x0000_t202" filled="false" stroked="true" strokeweight=".75pt" strokecolor="#858585">
              <v:textbox inset="0,0,0,0">
                <w:txbxContent>
                  <w:p>
                    <w:pPr>
                      <w:spacing w:line="240" w:lineRule="auto" w:before="2"/>
                      <w:rPr>
                        <w:b/>
                        <w:sz w:val="21"/>
                      </w:rPr>
                    </w:pPr>
                  </w:p>
                  <w:p>
                    <w:pPr>
                      <w:spacing w:before="0"/>
                      <w:ind w:left="2013" w:right="1653" w:firstLine="0"/>
                      <w:jc w:val="center"/>
                      <w:rPr>
                        <w:b/>
                        <w:sz w:val="20"/>
                      </w:rPr>
                    </w:pPr>
                    <w:r>
                      <w:rPr>
                        <w:b/>
                        <w:sz w:val="20"/>
                      </w:rPr>
                      <w:t>Gráfica No. 8</w:t>
                    </w:r>
                  </w:p>
                  <w:p>
                    <w:pPr>
                      <w:spacing w:before="0"/>
                      <w:ind w:left="2066" w:right="1653" w:firstLine="0"/>
                      <w:jc w:val="center"/>
                      <w:rPr>
                        <w:b/>
                        <w:sz w:val="20"/>
                      </w:rPr>
                    </w:pPr>
                    <w:r>
                      <w:rPr>
                        <w:b/>
                        <w:sz w:val="20"/>
                      </w:rPr>
                      <w:t>Vivienda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9"/>
                      <w:rPr>
                        <w:b/>
                        <w:sz w:val="22"/>
                      </w:rPr>
                    </w:pPr>
                  </w:p>
                  <w:p>
                    <w:pPr>
                      <w:spacing w:line="669" w:lineRule="auto" w:before="0"/>
                      <w:ind w:left="7101" w:right="0" w:firstLine="0"/>
                      <w:jc w:val="left"/>
                      <w:rPr>
                        <w:rFonts w:ascii="Calibri"/>
                        <w:b/>
                        <w:sz w:val="18"/>
                      </w:rPr>
                    </w:pPr>
                    <w:r>
                      <w:rPr>
                        <w:rFonts w:ascii="Calibri"/>
                        <w:b/>
                        <w:w w:val="105"/>
                        <w:sz w:val="18"/>
                      </w:rPr>
                      <w:t>Propia </w:t>
                    </w:r>
                    <w:r>
                      <w:rPr>
                        <w:rFonts w:ascii="Calibri"/>
                        <w:b/>
                        <w:sz w:val="18"/>
                      </w:rPr>
                      <w:t>Rentada</w:t>
                    </w:r>
                  </w:p>
                </w:txbxContent>
              </v:textbox>
              <w10:wrap type="none"/>
            </v:shape>
            <w10:wrap type="topAndBottom"/>
          </v:group>
        </w:pict>
      </w:r>
    </w:p>
    <w:p>
      <w:pPr>
        <w:spacing w:line="174" w:lineRule="exact" w:before="0"/>
        <w:ind w:left="901" w:right="230" w:firstLine="0"/>
        <w:jc w:val="left"/>
        <w:rPr>
          <w:sz w:val="20"/>
        </w:rPr>
      </w:pPr>
      <w:r>
        <w:rPr>
          <w:sz w:val="20"/>
        </w:rPr>
        <w:t>Fuente: Tabla No. 8</w:t>
      </w:r>
    </w:p>
    <w:p>
      <w:pPr>
        <w:pStyle w:val="BodyText"/>
        <w:rPr>
          <w:sz w:val="20"/>
        </w:rPr>
      </w:pPr>
    </w:p>
    <w:p>
      <w:pPr>
        <w:pStyle w:val="BodyText"/>
        <w:rPr>
          <w:sz w:val="16"/>
        </w:rPr>
      </w:pPr>
    </w:p>
    <w:p>
      <w:pPr>
        <w:pStyle w:val="BodyText"/>
        <w:spacing w:line="360" w:lineRule="auto"/>
        <w:ind w:left="625" w:right="228"/>
        <w:jc w:val="both"/>
      </w:pPr>
      <w:r>
        <w:rPr/>
        <w:t>En cuanto al tipo de vivienda en la que habitan los cuidadores, se observó que el 83.3% de los cuidadores informales primarios habitan una vivienda propia, lo que propicia cierta estabilidad en cuanto al lugar de residencia y al pago por el derecho a habitar la vivienda, en tanto el 16.7% restante habita una vivienda rentada, acorde con las “estadísticas a proposito del dia de la familia mexicana” 2013, aproximadamente 8 de cada 10 hogares residen en vivienda propiedad de algún integrante del hogar, mientras 13.3% habita en alguna vivienda</w:t>
      </w:r>
      <w:r>
        <w:rPr>
          <w:spacing w:val="-5"/>
        </w:rPr>
        <w:t> </w:t>
      </w:r>
      <w:r>
        <w:rPr/>
        <w:t>rentada.</w:t>
      </w:r>
    </w:p>
    <w:p>
      <w:pPr>
        <w:spacing w:after="0" w:line="360" w:lineRule="auto"/>
        <w:jc w:val="both"/>
        <w:sectPr>
          <w:pgSz w:w="12250" w:h="15850"/>
          <w:pgMar w:header="748" w:footer="1122" w:top="1260" w:bottom="1320" w:left="1720" w:right="1220"/>
        </w:sectPr>
      </w:pPr>
    </w:p>
    <w:p>
      <w:pPr>
        <w:pStyle w:val="BodyText"/>
        <w:rPr>
          <w:sz w:val="20"/>
        </w:rPr>
      </w:pPr>
      <w:r>
        <w:rPr/>
        <w:pict>
          <v:rect style="position:absolute;margin-left:414.119995pt;margin-top:576.380981pt;width:5.049pt;height:5.049pt;mso-position-horizontal-relative:page;mso-position-vertical-relative:page;z-index:-173776" filled="true" fillcolor="#4f81bc" stroked="false">
            <v:fill type="solid"/>
            <w10:wrap type="none"/>
          </v:rect>
        </w:pict>
      </w:r>
      <w:r>
        <w:rPr/>
        <w:pict>
          <v:rect style="position:absolute;margin-left:414.119995pt;margin-top:600.950989pt;width:5.049pt;height:5.049pt;mso-position-horizontal-relative:page;mso-position-vertical-relative:page;z-index:-173752" filled="true" fillcolor="#c0504d" stroked="false">
            <v:fill type="solid"/>
            <w10:wrap type="none"/>
          </v:rect>
        </w:pict>
      </w:r>
      <w:r>
        <w:rPr/>
        <w:pict>
          <v:rect style="position:absolute;margin-left:414.119995pt;margin-top:625.510986pt;width:5.049pt;height:5.049pt;mso-position-horizontal-relative:page;mso-position-vertical-relative:page;z-index:-173728" filled="true" fillcolor="#9bba58" stroked="false">
            <v:fill type="solid"/>
            <w10:wrap type="none"/>
          </v:rect>
        </w:pict>
      </w:r>
      <w:r>
        <w:rPr/>
        <w:pict>
          <v:rect style="position:absolute;margin-left:414.119995pt;margin-top:650.070984pt;width:5.049pt;height:5.049pt;mso-position-horizontal-relative:page;mso-position-vertical-relative:page;z-index:-173704" filled="true" fillcolor="#8063a1" stroked="false">
            <v:fill type="solid"/>
            <w10:wrap type="none"/>
          </v:rect>
        </w:pict>
      </w:r>
      <w:r>
        <w:rPr/>
        <w:pict>
          <v:rect style="position:absolute;margin-left:414.119995pt;margin-top:674.630981pt;width:5.049pt;height:5.049pt;mso-position-horizontal-relative:page;mso-position-vertical-relative:page;z-index:-173680" filled="true" fillcolor="#4aacc5" stroked="false">
            <v:fill type="solid"/>
            <w10:wrap type="none"/>
          </v:rect>
        </w:pict>
      </w:r>
    </w:p>
    <w:p>
      <w:pPr>
        <w:pStyle w:val="BodyText"/>
        <w:rPr>
          <w:sz w:val="20"/>
        </w:rPr>
      </w:pPr>
    </w:p>
    <w:p>
      <w:pPr>
        <w:pStyle w:val="BodyText"/>
        <w:spacing w:before="5"/>
        <w:rPr>
          <w:sz w:val="21"/>
        </w:rPr>
      </w:pPr>
    </w:p>
    <w:p>
      <w:pPr>
        <w:pStyle w:val="Heading2"/>
        <w:spacing w:line="360" w:lineRule="auto"/>
        <w:ind w:right="196"/>
      </w:pPr>
      <w:r>
        <w:rPr>
          <w:b w:val="0"/>
        </w:rPr>
        <w:t>Tabla No. 9. </w:t>
      </w:r>
      <w:r>
        <w:rPr/>
        <w:t>Ingreso mensual del cuidador informal primario,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5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37"/>
        <w:gridCol w:w="2206"/>
        <w:gridCol w:w="2009"/>
      </w:tblGrid>
      <w:tr>
        <w:trPr>
          <w:trHeight w:val="461" w:hRule="exact"/>
        </w:trPr>
        <w:tc>
          <w:tcPr>
            <w:tcW w:w="4437" w:type="dxa"/>
            <w:tcBorders>
              <w:left w:val="nil"/>
              <w:right w:val="nil"/>
            </w:tcBorders>
            <w:shd w:val="clear" w:color="auto" w:fill="99CC00"/>
          </w:tcPr>
          <w:p>
            <w:pPr>
              <w:pStyle w:val="TableParagraph"/>
              <w:spacing w:before="84"/>
              <w:ind w:left="1351"/>
              <w:jc w:val="left"/>
              <w:rPr>
                <w:b/>
                <w:sz w:val="24"/>
              </w:rPr>
            </w:pPr>
            <w:r>
              <w:rPr>
                <w:b/>
                <w:sz w:val="24"/>
              </w:rPr>
              <w:t>Ingreso mensual</w:t>
            </w:r>
          </w:p>
        </w:tc>
        <w:tc>
          <w:tcPr>
            <w:tcW w:w="2206" w:type="dxa"/>
            <w:tcBorders>
              <w:left w:val="nil"/>
              <w:right w:val="nil"/>
            </w:tcBorders>
            <w:shd w:val="clear" w:color="auto" w:fill="99CC00"/>
          </w:tcPr>
          <w:p>
            <w:pPr>
              <w:pStyle w:val="TableParagraph"/>
              <w:spacing w:before="84"/>
              <w:ind w:left="572" w:right="405"/>
              <w:rPr>
                <w:sz w:val="24"/>
              </w:rPr>
            </w:pPr>
            <w:r>
              <w:rPr>
                <w:sz w:val="24"/>
              </w:rPr>
              <w:t>Frecuencia</w:t>
            </w:r>
          </w:p>
        </w:tc>
        <w:tc>
          <w:tcPr>
            <w:tcW w:w="2009" w:type="dxa"/>
            <w:tcBorders>
              <w:left w:val="nil"/>
              <w:right w:val="nil"/>
            </w:tcBorders>
            <w:shd w:val="clear" w:color="auto" w:fill="99CC00"/>
          </w:tcPr>
          <w:p>
            <w:pPr>
              <w:pStyle w:val="TableParagraph"/>
              <w:spacing w:before="84"/>
              <w:ind w:left="406" w:right="415"/>
              <w:rPr>
                <w:sz w:val="24"/>
              </w:rPr>
            </w:pPr>
            <w:r>
              <w:rPr>
                <w:sz w:val="24"/>
              </w:rPr>
              <w:t>Porcentaje</w:t>
            </w:r>
          </w:p>
        </w:tc>
      </w:tr>
      <w:tr>
        <w:trPr>
          <w:trHeight w:val="442" w:hRule="exact"/>
        </w:trPr>
        <w:tc>
          <w:tcPr>
            <w:tcW w:w="4437" w:type="dxa"/>
            <w:tcBorders>
              <w:left w:val="nil"/>
              <w:bottom w:val="nil"/>
              <w:right w:val="nil"/>
            </w:tcBorders>
          </w:tcPr>
          <w:p>
            <w:pPr>
              <w:pStyle w:val="TableParagraph"/>
              <w:spacing w:before="72"/>
              <w:ind w:left="863"/>
              <w:jc w:val="left"/>
              <w:rPr>
                <w:sz w:val="24"/>
              </w:rPr>
            </w:pPr>
            <w:r>
              <w:rPr>
                <w:sz w:val="24"/>
              </w:rPr>
              <w:t>Menos de 1 salario mínimo</w:t>
            </w:r>
          </w:p>
        </w:tc>
        <w:tc>
          <w:tcPr>
            <w:tcW w:w="2206" w:type="dxa"/>
            <w:tcBorders>
              <w:left w:val="nil"/>
              <w:bottom w:val="nil"/>
              <w:right w:val="nil"/>
            </w:tcBorders>
          </w:tcPr>
          <w:p>
            <w:pPr>
              <w:pStyle w:val="TableParagraph"/>
              <w:spacing w:before="72"/>
              <w:ind w:left="163"/>
              <w:rPr>
                <w:sz w:val="24"/>
              </w:rPr>
            </w:pPr>
            <w:r>
              <w:rPr>
                <w:w w:val="99"/>
                <w:sz w:val="24"/>
              </w:rPr>
              <w:t>2</w:t>
            </w:r>
          </w:p>
        </w:tc>
        <w:tc>
          <w:tcPr>
            <w:tcW w:w="2009" w:type="dxa"/>
            <w:tcBorders>
              <w:left w:val="nil"/>
              <w:bottom w:val="nil"/>
              <w:right w:val="nil"/>
            </w:tcBorders>
          </w:tcPr>
          <w:p>
            <w:pPr>
              <w:pStyle w:val="TableParagraph"/>
              <w:spacing w:before="72"/>
              <w:ind w:left="406" w:right="413"/>
              <w:rPr>
                <w:sz w:val="24"/>
              </w:rPr>
            </w:pPr>
            <w:r>
              <w:rPr>
                <w:sz w:val="24"/>
              </w:rPr>
              <w:t>6.7</w:t>
            </w:r>
          </w:p>
        </w:tc>
      </w:tr>
      <w:tr>
        <w:trPr>
          <w:trHeight w:val="429" w:hRule="exact"/>
        </w:trPr>
        <w:tc>
          <w:tcPr>
            <w:tcW w:w="4437" w:type="dxa"/>
            <w:tcBorders>
              <w:top w:val="nil"/>
              <w:left w:val="nil"/>
              <w:bottom w:val="nil"/>
              <w:right w:val="nil"/>
            </w:tcBorders>
          </w:tcPr>
          <w:p>
            <w:pPr>
              <w:pStyle w:val="TableParagraph"/>
              <w:spacing w:before="63"/>
              <w:ind w:left="823"/>
              <w:jc w:val="left"/>
              <w:rPr>
                <w:sz w:val="24"/>
              </w:rPr>
            </w:pPr>
            <w:r>
              <w:rPr>
                <w:sz w:val="24"/>
              </w:rPr>
              <w:t>Entre 1 a 2 Salarios mínimo</w:t>
            </w:r>
          </w:p>
        </w:tc>
        <w:tc>
          <w:tcPr>
            <w:tcW w:w="2206" w:type="dxa"/>
            <w:tcBorders>
              <w:top w:val="nil"/>
              <w:left w:val="nil"/>
              <w:bottom w:val="nil"/>
              <w:right w:val="nil"/>
            </w:tcBorders>
          </w:tcPr>
          <w:p>
            <w:pPr>
              <w:pStyle w:val="TableParagraph"/>
              <w:spacing w:before="63"/>
              <w:ind w:left="572" w:right="403"/>
              <w:rPr>
                <w:b/>
                <w:sz w:val="24"/>
              </w:rPr>
            </w:pPr>
            <w:r>
              <w:rPr>
                <w:b/>
                <w:sz w:val="24"/>
              </w:rPr>
              <w:t>12</w:t>
            </w:r>
          </w:p>
        </w:tc>
        <w:tc>
          <w:tcPr>
            <w:tcW w:w="2009" w:type="dxa"/>
            <w:tcBorders>
              <w:top w:val="nil"/>
              <w:left w:val="nil"/>
              <w:bottom w:val="nil"/>
              <w:right w:val="nil"/>
            </w:tcBorders>
          </w:tcPr>
          <w:p>
            <w:pPr>
              <w:pStyle w:val="TableParagraph"/>
              <w:spacing w:before="63"/>
              <w:ind w:left="406" w:right="411"/>
              <w:rPr>
                <w:b/>
                <w:sz w:val="24"/>
              </w:rPr>
            </w:pPr>
            <w:r>
              <w:rPr>
                <w:b/>
                <w:sz w:val="24"/>
              </w:rPr>
              <w:t>40</w:t>
            </w:r>
          </w:p>
        </w:tc>
      </w:tr>
      <w:tr>
        <w:trPr>
          <w:trHeight w:val="428" w:hRule="exact"/>
        </w:trPr>
        <w:tc>
          <w:tcPr>
            <w:tcW w:w="4437" w:type="dxa"/>
            <w:tcBorders>
              <w:top w:val="nil"/>
              <w:left w:val="nil"/>
              <w:bottom w:val="nil"/>
              <w:right w:val="nil"/>
            </w:tcBorders>
          </w:tcPr>
          <w:p>
            <w:pPr>
              <w:pStyle w:val="TableParagraph"/>
              <w:spacing w:before="64"/>
              <w:ind w:left="763"/>
              <w:jc w:val="left"/>
              <w:rPr>
                <w:sz w:val="24"/>
              </w:rPr>
            </w:pPr>
            <w:r>
              <w:rPr>
                <w:sz w:val="24"/>
              </w:rPr>
              <w:t>Entre 2 a 3 Salarios mínimos</w:t>
            </w:r>
          </w:p>
        </w:tc>
        <w:tc>
          <w:tcPr>
            <w:tcW w:w="2206" w:type="dxa"/>
            <w:tcBorders>
              <w:top w:val="nil"/>
              <w:left w:val="nil"/>
              <w:bottom w:val="nil"/>
              <w:right w:val="nil"/>
            </w:tcBorders>
          </w:tcPr>
          <w:p>
            <w:pPr>
              <w:pStyle w:val="TableParagraph"/>
              <w:spacing w:before="64"/>
              <w:ind w:left="163"/>
              <w:rPr>
                <w:sz w:val="24"/>
              </w:rPr>
            </w:pPr>
            <w:r>
              <w:rPr>
                <w:w w:val="99"/>
                <w:sz w:val="24"/>
              </w:rPr>
              <w:t>9</w:t>
            </w:r>
          </w:p>
        </w:tc>
        <w:tc>
          <w:tcPr>
            <w:tcW w:w="2009" w:type="dxa"/>
            <w:tcBorders>
              <w:top w:val="nil"/>
              <w:left w:val="nil"/>
              <w:bottom w:val="nil"/>
              <w:right w:val="nil"/>
            </w:tcBorders>
          </w:tcPr>
          <w:p>
            <w:pPr>
              <w:pStyle w:val="TableParagraph"/>
              <w:spacing w:before="64"/>
              <w:ind w:left="406" w:right="411"/>
              <w:rPr>
                <w:sz w:val="24"/>
              </w:rPr>
            </w:pPr>
            <w:r>
              <w:rPr>
                <w:sz w:val="24"/>
              </w:rPr>
              <w:t>30</w:t>
            </w:r>
          </w:p>
        </w:tc>
      </w:tr>
      <w:tr>
        <w:trPr>
          <w:trHeight w:val="427" w:hRule="exact"/>
        </w:trPr>
        <w:tc>
          <w:tcPr>
            <w:tcW w:w="4437" w:type="dxa"/>
            <w:tcBorders>
              <w:top w:val="nil"/>
              <w:left w:val="nil"/>
              <w:bottom w:val="nil"/>
              <w:right w:val="nil"/>
            </w:tcBorders>
          </w:tcPr>
          <w:p>
            <w:pPr>
              <w:pStyle w:val="TableParagraph"/>
              <w:spacing w:before="63"/>
              <w:ind w:left="782"/>
              <w:jc w:val="left"/>
              <w:rPr>
                <w:sz w:val="24"/>
              </w:rPr>
            </w:pPr>
            <w:r>
              <w:rPr>
                <w:sz w:val="24"/>
              </w:rPr>
              <w:t>Entre 3 a 4 salarios mínimos</w:t>
            </w:r>
          </w:p>
        </w:tc>
        <w:tc>
          <w:tcPr>
            <w:tcW w:w="2206" w:type="dxa"/>
            <w:tcBorders>
              <w:top w:val="nil"/>
              <w:left w:val="nil"/>
              <w:bottom w:val="nil"/>
              <w:right w:val="nil"/>
            </w:tcBorders>
          </w:tcPr>
          <w:p>
            <w:pPr>
              <w:pStyle w:val="TableParagraph"/>
              <w:spacing w:before="63"/>
              <w:ind w:left="163"/>
              <w:rPr>
                <w:sz w:val="24"/>
              </w:rPr>
            </w:pPr>
            <w:r>
              <w:rPr>
                <w:w w:val="99"/>
                <w:sz w:val="24"/>
              </w:rPr>
              <w:t>4</w:t>
            </w:r>
          </w:p>
        </w:tc>
        <w:tc>
          <w:tcPr>
            <w:tcW w:w="2009" w:type="dxa"/>
            <w:tcBorders>
              <w:top w:val="nil"/>
              <w:left w:val="nil"/>
              <w:bottom w:val="nil"/>
              <w:right w:val="nil"/>
            </w:tcBorders>
          </w:tcPr>
          <w:p>
            <w:pPr>
              <w:pStyle w:val="TableParagraph"/>
              <w:spacing w:before="63"/>
              <w:ind w:left="406" w:right="413"/>
              <w:rPr>
                <w:sz w:val="24"/>
              </w:rPr>
            </w:pPr>
            <w:r>
              <w:rPr>
                <w:sz w:val="24"/>
              </w:rPr>
              <w:t>13.3</w:t>
            </w:r>
          </w:p>
        </w:tc>
      </w:tr>
      <w:tr>
        <w:trPr>
          <w:trHeight w:val="425" w:hRule="exact"/>
        </w:trPr>
        <w:tc>
          <w:tcPr>
            <w:tcW w:w="4437" w:type="dxa"/>
            <w:tcBorders>
              <w:top w:val="nil"/>
              <w:left w:val="nil"/>
              <w:right w:val="nil"/>
            </w:tcBorders>
          </w:tcPr>
          <w:p>
            <w:pPr>
              <w:pStyle w:val="TableParagraph"/>
              <w:spacing w:before="63"/>
              <w:ind w:left="878"/>
              <w:jc w:val="left"/>
              <w:rPr>
                <w:sz w:val="24"/>
              </w:rPr>
            </w:pPr>
            <w:r>
              <w:rPr>
                <w:sz w:val="24"/>
              </w:rPr>
              <w:t>Más de 4 salarios mínimos</w:t>
            </w:r>
          </w:p>
        </w:tc>
        <w:tc>
          <w:tcPr>
            <w:tcW w:w="2206" w:type="dxa"/>
            <w:tcBorders>
              <w:top w:val="nil"/>
              <w:left w:val="nil"/>
              <w:right w:val="nil"/>
            </w:tcBorders>
          </w:tcPr>
          <w:p>
            <w:pPr>
              <w:pStyle w:val="TableParagraph"/>
              <w:spacing w:before="63"/>
              <w:ind w:left="163"/>
              <w:rPr>
                <w:sz w:val="24"/>
              </w:rPr>
            </w:pPr>
            <w:r>
              <w:rPr>
                <w:w w:val="99"/>
                <w:sz w:val="24"/>
              </w:rPr>
              <w:t>3</w:t>
            </w:r>
          </w:p>
        </w:tc>
        <w:tc>
          <w:tcPr>
            <w:tcW w:w="2009" w:type="dxa"/>
            <w:tcBorders>
              <w:top w:val="nil"/>
              <w:left w:val="nil"/>
              <w:right w:val="nil"/>
            </w:tcBorders>
          </w:tcPr>
          <w:p>
            <w:pPr>
              <w:pStyle w:val="TableParagraph"/>
              <w:spacing w:before="63"/>
              <w:ind w:left="406" w:right="411"/>
              <w:rPr>
                <w:sz w:val="24"/>
              </w:rPr>
            </w:pPr>
            <w:r>
              <w:rPr>
                <w:sz w:val="24"/>
              </w:rPr>
              <w:t>10</w:t>
            </w:r>
          </w:p>
        </w:tc>
      </w:tr>
      <w:tr>
        <w:trPr>
          <w:trHeight w:val="461" w:hRule="exact"/>
        </w:trPr>
        <w:tc>
          <w:tcPr>
            <w:tcW w:w="4437" w:type="dxa"/>
            <w:tcBorders>
              <w:left w:val="nil"/>
              <w:right w:val="nil"/>
            </w:tcBorders>
            <w:shd w:val="clear" w:color="auto" w:fill="99CC00"/>
          </w:tcPr>
          <w:p>
            <w:pPr>
              <w:pStyle w:val="TableParagraph"/>
              <w:spacing w:before="84"/>
              <w:ind w:left="1998" w:right="1824"/>
              <w:rPr>
                <w:b/>
                <w:sz w:val="24"/>
              </w:rPr>
            </w:pPr>
            <w:r>
              <w:rPr>
                <w:b/>
                <w:sz w:val="24"/>
              </w:rPr>
              <w:t>Total</w:t>
            </w:r>
          </w:p>
        </w:tc>
        <w:tc>
          <w:tcPr>
            <w:tcW w:w="2206" w:type="dxa"/>
            <w:tcBorders>
              <w:left w:val="nil"/>
              <w:right w:val="nil"/>
            </w:tcBorders>
            <w:shd w:val="clear" w:color="auto" w:fill="99CC00"/>
          </w:tcPr>
          <w:p>
            <w:pPr>
              <w:pStyle w:val="TableParagraph"/>
              <w:spacing w:before="84"/>
              <w:ind w:left="572" w:right="403"/>
              <w:rPr>
                <w:sz w:val="24"/>
              </w:rPr>
            </w:pPr>
            <w:r>
              <w:rPr>
                <w:sz w:val="24"/>
              </w:rPr>
              <w:t>30</w:t>
            </w:r>
          </w:p>
        </w:tc>
        <w:tc>
          <w:tcPr>
            <w:tcW w:w="2009" w:type="dxa"/>
            <w:tcBorders>
              <w:left w:val="nil"/>
              <w:right w:val="nil"/>
            </w:tcBorders>
            <w:shd w:val="clear" w:color="auto" w:fill="99CC00"/>
          </w:tcPr>
          <w:p>
            <w:pPr>
              <w:pStyle w:val="TableParagraph"/>
              <w:spacing w:before="84"/>
              <w:ind w:left="406" w:right="411"/>
              <w:rPr>
                <w:sz w:val="24"/>
              </w:rPr>
            </w:pPr>
            <w:r>
              <w:rPr>
                <w:sz w:val="24"/>
              </w:rPr>
              <w:t>100</w:t>
            </w:r>
          </w:p>
        </w:tc>
      </w:tr>
    </w:tbl>
    <w:p>
      <w:pPr>
        <w:pStyle w:val="BodyText"/>
        <w:rPr>
          <w:b/>
        </w:rPr>
      </w:pPr>
    </w:p>
    <w:tbl>
      <w:tblPr>
        <w:tblW w:w="0" w:type="auto"/>
        <w:jc w:val="left"/>
        <w:tblInd w:w="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2"/>
        <w:gridCol w:w="2921"/>
        <w:gridCol w:w="2880"/>
      </w:tblGrid>
      <w:tr>
        <w:trPr>
          <w:trHeight w:val="430" w:hRule="exact"/>
        </w:trPr>
        <w:tc>
          <w:tcPr>
            <w:tcW w:w="8682" w:type="dxa"/>
            <w:gridSpan w:val="3"/>
            <w:tcBorders>
              <w:left w:val="nil"/>
              <w:right w:val="nil"/>
            </w:tcBorders>
          </w:tcPr>
          <w:p>
            <w:pPr>
              <w:pStyle w:val="TableParagraph"/>
              <w:spacing w:before="67"/>
              <w:ind w:left="2667"/>
              <w:jc w:val="left"/>
              <w:rPr>
                <w:b/>
                <w:sz w:val="24"/>
              </w:rPr>
            </w:pPr>
            <w:r>
              <w:rPr>
                <w:b/>
                <w:sz w:val="24"/>
              </w:rPr>
              <w:t>Medidas de tendencia central</w:t>
            </w:r>
          </w:p>
        </w:tc>
      </w:tr>
      <w:tr>
        <w:trPr>
          <w:trHeight w:val="427" w:hRule="exact"/>
        </w:trPr>
        <w:tc>
          <w:tcPr>
            <w:tcW w:w="2882" w:type="dxa"/>
            <w:tcBorders>
              <w:left w:val="nil"/>
              <w:right w:val="nil"/>
            </w:tcBorders>
            <w:shd w:val="clear" w:color="auto" w:fill="99CC00"/>
          </w:tcPr>
          <w:p>
            <w:pPr>
              <w:pStyle w:val="TableParagraph"/>
              <w:spacing w:before="65"/>
              <w:ind w:left="948" w:right="958"/>
              <w:rPr>
                <w:b/>
                <w:sz w:val="24"/>
              </w:rPr>
            </w:pPr>
            <w:r>
              <w:rPr>
                <w:b/>
                <w:sz w:val="24"/>
              </w:rPr>
              <w:t>Media</w:t>
            </w:r>
          </w:p>
        </w:tc>
        <w:tc>
          <w:tcPr>
            <w:tcW w:w="2921" w:type="dxa"/>
            <w:tcBorders>
              <w:left w:val="nil"/>
              <w:right w:val="nil"/>
            </w:tcBorders>
            <w:shd w:val="clear" w:color="auto" w:fill="99CC00"/>
          </w:tcPr>
          <w:p>
            <w:pPr>
              <w:pStyle w:val="TableParagraph"/>
              <w:spacing w:before="65"/>
              <w:ind w:left="960" w:right="959"/>
              <w:rPr>
                <w:b/>
                <w:sz w:val="24"/>
              </w:rPr>
            </w:pPr>
            <w:r>
              <w:rPr>
                <w:b/>
                <w:sz w:val="24"/>
              </w:rPr>
              <w:t>Mediana</w:t>
            </w:r>
          </w:p>
        </w:tc>
        <w:tc>
          <w:tcPr>
            <w:tcW w:w="2880" w:type="dxa"/>
            <w:tcBorders>
              <w:left w:val="nil"/>
              <w:right w:val="nil"/>
            </w:tcBorders>
            <w:shd w:val="clear" w:color="auto" w:fill="99CC00"/>
          </w:tcPr>
          <w:p>
            <w:pPr>
              <w:pStyle w:val="TableParagraph"/>
              <w:spacing w:before="65"/>
              <w:ind w:left="957" w:right="946"/>
              <w:rPr>
                <w:b/>
                <w:sz w:val="24"/>
              </w:rPr>
            </w:pPr>
            <w:r>
              <w:rPr>
                <w:b/>
                <w:sz w:val="24"/>
              </w:rPr>
              <w:t>Moda</w:t>
            </w:r>
          </w:p>
        </w:tc>
      </w:tr>
      <w:tr>
        <w:trPr>
          <w:trHeight w:val="408" w:hRule="exact"/>
        </w:trPr>
        <w:tc>
          <w:tcPr>
            <w:tcW w:w="2882" w:type="dxa"/>
            <w:tcBorders>
              <w:left w:val="nil"/>
              <w:right w:val="nil"/>
            </w:tcBorders>
          </w:tcPr>
          <w:p>
            <w:pPr>
              <w:pStyle w:val="TableParagraph"/>
              <w:spacing w:before="56"/>
              <w:ind w:left="948" w:right="959"/>
              <w:rPr>
                <w:sz w:val="24"/>
              </w:rPr>
            </w:pPr>
            <w:r>
              <w:rPr>
                <w:sz w:val="24"/>
              </w:rPr>
              <w:t>4.750.00</w:t>
            </w:r>
          </w:p>
        </w:tc>
        <w:tc>
          <w:tcPr>
            <w:tcW w:w="2921" w:type="dxa"/>
            <w:tcBorders>
              <w:left w:val="nil"/>
              <w:right w:val="nil"/>
            </w:tcBorders>
          </w:tcPr>
          <w:p>
            <w:pPr>
              <w:pStyle w:val="TableParagraph"/>
              <w:spacing w:before="56"/>
              <w:ind w:left="960" w:right="957"/>
              <w:rPr>
                <w:sz w:val="24"/>
              </w:rPr>
            </w:pPr>
            <w:r>
              <w:rPr>
                <w:sz w:val="24"/>
              </w:rPr>
              <w:t>4.250.00</w:t>
            </w:r>
          </w:p>
        </w:tc>
        <w:tc>
          <w:tcPr>
            <w:tcW w:w="2880" w:type="dxa"/>
            <w:tcBorders>
              <w:left w:val="nil"/>
              <w:right w:val="nil"/>
            </w:tcBorders>
          </w:tcPr>
          <w:p>
            <w:pPr>
              <w:pStyle w:val="TableParagraph"/>
              <w:spacing w:before="56"/>
              <w:ind w:left="958" w:right="946"/>
              <w:rPr>
                <w:sz w:val="24"/>
              </w:rPr>
            </w:pPr>
            <w:r>
              <w:rPr>
                <w:sz w:val="24"/>
              </w:rPr>
              <w:t>5.000.00</w:t>
            </w:r>
          </w:p>
        </w:tc>
      </w:tr>
    </w:tbl>
    <w:p>
      <w:pPr>
        <w:pStyle w:val="BodyText"/>
        <w:rPr>
          <w:b/>
        </w:rPr>
      </w:pPr>
    </w:p>
    <w:tbl>
      <w:tblPr>
        <w:tblW w:w="0" w:type="auto"/>
        <w:jc w:val="left"/>
        <w:tblInd w:w="5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32"/>
        <w:gridCol w:w="4334"/>
      </w:tblGrid>
      <w:tr>
        <w:trPr>
          <w:trHeight w:val="437" w:hRule="exact"/>
        </w:trPr>
        <w:tc>
          <w:tcPr>
            <w:tcW w:w="8666" w:type="dxa"/>
            <w:gridSpan w:val="2"/>
            <w:tcBorders>
              <w:left w:val="nil"/>
              <w:right w:val="nil"/>
            </w:tcBorders>
          </w:tcPr>
          <w:p>
            <w:pPr>
              <w:pStyle w:val="TableParagraph"/>
              <w:spacing w:before="70"/>
              <w:ind w:left="3018" w:right="3019"/>
              <w:rPr>
                <w:b/>
                <w:sz w:val="24"/>
              </w:rPr>
            </w:pPr>
            <w:r>
              <w:rPr>
                <w:b/>
                <w:sz w:val="24"/>
              </w:rPr>
              <w:t>Medidas de dispersión</w:t>
            </w:r>
          </w:p>
        </w:tc>
      </w:tr>
      <w:tr>
        <w:trPr>
          <w:trHeight w:val="437" w:hRule="exact"/>
        </w:trPr>
        <w:tc>
          <w:tcPr>
            <w:tcW w:w="4332" w:type="dxa"/>
            <w:tcBorders>
              <w:left w:val="nil"/>
              <w:right w:val="nil"/>
            </w:tcBorders>
            <w:shd w:val="clear" w:color="auto" w:fill="99CC00"/>
          </w:tcPr>
          <w:p>
            <w:pPr>
              <w:pStyle w:val="TableParagraph"/>
              <w:spacing w:before="70"/>
              <w:ind w:left="1745"/>
              <w:jc w:val="left"/>
              <w:rPr>
                <w:b/>
                <w:sz w:val="24"/>
              </w:rPr>
            </w:pPr>
            <w:r>
              <w:rPr>
                <w:b/>
                <w:sz w:val="24"/>
              </w:rPr>
              <w:t>Mínimo</w:t>
            </w:r>
          </w:p>
        </w:tc>
        <w:tc>
          <w:tcPr>
            <w:tcW w:w="4334" w:type="dxa"/>
            <w:tcBorders>
              <w:left w:val="nil"/>
              <w:right w:val="nil"/>
            </w:tcBorders>
            <w:shd w:val="clear" w:color="auto" w:fill="99CC00"/>
          </w:tcPr>
          <w:p>
            <w:pPr>
              <w:pStyle w:val="TableParagraph"/>
              <w:spacing w:before="70"/>
              <w:ind w:left="1679" w:right="1679"/>
              <w:rPr>
                <w:b/>
                <w:sz w:val="24"/>
              </w:rPr>
            </w:pPr>
            <w:r>
              <w:rPr>
                <w:b/>
                <w:sz w:val="24"/>
              </w:rPr>
              <w:t>Máximo</w:t>
            </w:r>
          </w:p>
        </w:tc>
      </w:tr>
      <w:tr>
        <w:trPr>
          <w:trHeight w:val="418" w:hRule="exact"/>
        </w:trPr>
        <w:tc>
          <w:tcPr>
            <w:tcW w:w="4332" w:type="dxa"/>
            <w:tcBorders>
              <w:left w:val="nil"/>
              <w:right w:val="nil"/>
            </w:tcBorders>
          </w:tcPr>
          <w:p>
            <w:pPr>
              <w:pStyle w:val="TableParagraph"/>
              <w:spacing w:before="60"/>
              <w:ind w:left="1697"/>
              <w:jc w:val="left"/>
              <w:rPr>
                <w:sz w:val="24"/>
              </w:rPr>
            </w:pPr>
            <w:r>
              <w:rPr>
                <w:sz w:val="24"/>
              </w:rPr>
              <w:t>1.800.00</w:t>
            </w:r>
          </w:p>
        </w:tc>
        <w:tc>
          <w:tcPr>
            <w:tcW w:w="4334" w:type="dxa"/>
            <w:tcBorders>
              <w:left w:val="nil"/>
              <w:right w:val="nil"/>
            </w:tcBorders>
          </w:tcPr>
          <w:p>
            <w:pPr>
              <w:pStyle w:val="TableParagraph"/>
              <w:spacing w:before="60"/>
              <w:ind w:left="1680" w:right="1679"/>
              <w:rPr>
                <w:sz w:val="24"/>
              </w:rPr>
            </w:pPr>
            <w:r>
              <w:rPr>
                <w:sz w:val="24"/>
              </w:rPr>
              <w:t>9.000.00</w:t>
            </w:r>
          </w:p>
        </w:tc>
      </w:tr>
    </w:tbl>
    <w:p>
      <w:pPr>
        <w:pStyle w:val="BodyText"/>
        <w:spacing w:before="3"/>
        <w:rPr>
          <w:b/>
          <w:sz w:val="26"/>
        </w:rPr>
      </w:pPr>
      <w:r>
        <w:rPr/>
        <w:pict>
          <v:group style="position:absolute;margin-left:127.125pt;margin-top:17.065001pt;width:403.5pt;height:188.9pt;mso-position-horizontal-relative:page;mso-position-vertical-relative:paragraph;z-index:2224;mso-wrap-distance-left:0;mso-wrap-distance-right:0" coordorigin="2543,341" coordsize="8070,3778">
            <v:shape style="position:absolute;left:3300;top:1686;width:4579;height:1860" type="#_x0000_t75" stroked="false">
              <v:imagedata r:id="rId53" o:title=""/>
            </v:shape>
            <v:shape style="position:absolute;left:2550;top:349;width:8055;height:3763" type="#_x0000_t202" filled="false" stroked="true" strokeweight=".75pt" strokecolor="#858585">
              <v:textbox inset="0,0,0,0">
                <w:txbxContent>
                  <w:p>
                    <w:pPr>
                      <w:spacing w:before="118"/>
                      <w:ind w:left="1706" w:right="1215" w:firstLine="0"/>
                      <w:jc w:val="center"/>
                      <w:rPr>
                        <w:b/>
                        <w:sz w:val="20"/>
                      </w:rPr>
                    </w:pPr>
                    <w:r>
                      <w:rPr>
                        <w:b/>
                        <w:sz w:val="20"/>
                      </w:rPr>
                      <w:t>Gráfica No. 9</w:t>
                    </w:r>
                  </w:p>
                  <w:p>
                    <w:pPr>
                      <w:spacing w:before="0"/>
                      <w:ind w:left="1706" w:right="1218" w:firstLine="0"/>
                      <w:jc w:val="center"/>
                      <w:rPr>
                        <w:b/>
                        <w:sz w:val="20"/>
                      </w:rPr>
                    </w:pPr>
                    <w:r>
                      <w:rPr>
                        <w:b/>
                        <w:sz w:val="20"/>
                      </w:rPr>
                      <w:t>Ingreso mensual del cuidador informal primario. 2014</w:t>
                    </w:r>
                  </w:p>
                  <w:p>
                    <w:pPr>
                      <w:spacing w:line="240" w:lineRule="auto" w:before="0"/>
                      <w:rPr>
                        <w:b/>
                        <w:sz w:val="20"/>
                      </w:rPr>
                    </w:pPr>
                  </w:p>
                  <w:p>
                    <w:pPr>
                      <w:spacing w:line="240" w:lineRule="auto" w:before="0"/>
                      <w:rPr>
                        <w:b/>
                        <w:sz w:val="20"/>
                      </w:rPr>
                    </w:pPr>
                  </w:p>
                  <w:p>
                    <w:pPr>
                      <w:spacing w:line="240" w:lineRule="auto" w:before="8"/>
                      <w:rPr>
                        <w:b/>
                        <w:sz w:val="18"/>
                      </w:rPr>
                    </w:pPr>
                  </w:p>
                  <w:p>
                    <w:pPr>
                      <w:spacing w:line="247" w:lineRule="auto" w:before="0"/>
                      <w:ind w:left="5870" w:right="118" w:firstLine="0"/>
                      <w:jc w:val="left"/>
                      <w:rPr>
                        <w:rFonts w:ascii="Calibri" w:hAnsi="Calibri"/>
                        <w:b/>
                        <w:sz w:val="18"/>
                      </w:rPr>
                    </w:pPr>
                    <w:r>
                      <w:rPr>
                        <w:rFonts w:ascii="Calibri" w:hAnsi="Calibri"/>
                        <w:b/>
                        <w:w w:val="105"/>
                        <w:sz w:val="18"/>
                      </w:rPr>
                      <w:t>Menos de 1 salario mínimo</w:t>
                    </w:r>
                  </w:p>
                  <w:p>
                    <w:pPr>
                      <w:spacing w:line="247" w:lineRule="auto" w:before="39"/>
                      <w:ind w:left="5870" w:right="118" w:firstLine="0"/>
                      <w:jc w:val="left"/>
                      <w:rPr>
                        <w:rFonts w:ascii="Calibri" w:hAnsi="Calibri"/>
                        <w:b/>
                        <w:sz w:val="18"/>
                      </w:rPr>
                    </w:pPr>
                    <w:r>
                      <w:rPr>
                        <w:rFonts w:ascii="Calibri" w:hAnsi="Calibri"/>
                        <w:b/>
                        <w:w w:val="105"/>
                        <w:sz w:val="18"/>
                      </w:rPr>
                      <w:t>Entre 1 a 2 Salarios mínimos</w:t>
                    </w:r>
                  </w:p>
                  <w:p>
                    <w:pPr>
                      <w:spacing w:line="247" w:lineRule="auto" w:before="39"/>
                      <w:ind w:left="5870" w:right="118" w:firstLine="0"/>
                      <w:jc w:val="left"/>
                      <w:rPr>
                        <w:rFonts w:ascii="Calibri" w:hAnsi="Calibri"/>
                        <w:b/>
                        <w:sz w:val="18"/>
                      </w:rPr>
                    </w:pPr>
                    <w:r>
                      <w:rPr>
                        <w:rFonts w:ascii="Calibri" w:hAnsi="Calibri"/>
                        <w:b/>
                        <w:w w:val="105"/>
                        <w:sz w:val="18"/>
                      </w:rPr>
                      <w:t>Entre 2 a 3 Salarios mínimos</w:t>
                    </w:r>
                  </w:p>
                  <w:p>
                    <w:pPr>
                      <w:spacing w:line="247" w:lineRule="auto" w:before="39"/>
                      <w:ind w:left="5870" w:right="118" w:firstLine="0"/>
                      <w:jc w:val="left"/>
                      <w:rPr>
                        <w:rFonts w:ascii="Calibri" w:hAnsi="Calibri"/>
                        <w:b/>
                        <w:sz w:val="18"/>
                      </w:rPr>
                    </w:pPr>
                    <w:r>
                      <w:rPr>
                        <w:rFonts w:ascii="Calibri" w:hAnsi="Calibri"/>
                        <w:b/>
                        <w:w w:val="105"/>
                        <w:sz w:val="18"/>
                      </w:rPr>
                      <w:t>Entre 3 a 4 salarios mínimos</w:t>
                    </w:r>
                  </w:p>
                  <w:p>
                    <w:pPr>
                      <w:spacing w:before="39"/>
                      <w:ind w:left="0" w:right="150" w:firstLine="0"/>
                      <w:jc w:val="right"/>
                      <w:rPr>
                        <w:rFonts w:ascii="Calibri" w:hAnsi="Calibri"/>
                        <w:b/>
                        <w:sz w:val="18"/>
                      </w:rPr>
                    </w:pPr>
                    <w:r>
                      <w:rPr>
                        <w:rFonts w:ascii="Calibri" w:hAnsi="Calibri"/>
                        <w:b/>
                        <w:w w:val="105"/>
                        <w:sz w:val="18"/>
                      </w:rPr>
                      <w:t>Más de 4 salarios mínimos</w:t>
                    </w:r>
                  </w:p>
                </w:txbxContent>
              </v:textbox>
              <w10:wrap type="none"/>
            </v:shape>
            <w10:wrap type="topAndBottom"/>
          </v:group>
        </w:pict>
      </w:r>
    </w:p>
    <w:p>
      <w:pPr>
        <w:spacing w:line="219" w:lineRule="exact" w:before="0"/>
        <w:ind w:left="846" w:right="230" w:firstLine="0"/>
        <w:jc w:val="left"/>
        <w:rPr>
          <w:sz w:val="20"/>
        </w:rPr>
      </w:pPr>
      <w:r>
        <w:rPr>
          <w:sz w:val="20"/>
        </w:rPr>
        <w:t>Fuente: Tabla No. 9</w:t>
      </w:r>
    </w:p>
    <w:p>
      <w:pPr>
        <w:spacing w:after="0" w:line="219" w:lineRule="exact"/>
        <w:jc w:val="left"/>
        <w:rPr>
          <w:sz w:val="20"/>
        </w:rPr>
        <w:sectPr>
          <w:pgSz w:w="12250" w:h="15850"/>
          <w:pgMar w:header="748" w:footer="1122" w:top="1260" w:bottom="1320" w:left="1720" w:right="1220"/>
        </w:sect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1"/>
        <w:jc w:val="both"/>
      </w:pPr>
      <w:r>
        <w:rPr/>
        <w:t>Para categorizar el ingreso mensual promedio que percibe el cuidador informal primario se tomó de referencia el salario mínimo vigente en el año 2013, área geográfica A de acuerdo a la Ley Federal del Trabajo, equivalente a $62.33 pesos, en base a lo anterior se obtuvo un ingreso de 1 a 2 salarios mínimos  por parte del 40% de la muestra, mientras que el 10% reportó una percepción mensual de más de 4 salarios mínimos, así mismo se hallo un ingreso medio de $4,750.00 pesos mensuales, siendo el menor ingreso encontrado $1,800.00 pesos y un máximo de $9,000.00</w:t>
      </w:r>
      <w:r>
        <w:rPr>
          <w:spacing w:val="-13"/>
        </w:rPr>
        <w:t> </w:t>
      </w:r>
      <w:r>
        <w:rPr/>
        <w:t>pesos.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Heading2"/>
        <w:ind w:right="0"/>
      </w:pPr>
      <w:r>
        <w:rPr/>
        <w:t>Descripción de datos los adultos mayores hospitalizados.</w:t>
      </w:r>
    </w:p>
    <w:p>
      <w:pPr>
        <w:pStyle w:val="BodyText"/>
        <w:rPr>
          <w:b/>
        </w:rPr>
      </w:pPr>
    </w:p>
    <w:p>
      <w:pPr>
        <w:pStyle w:val="BodyText"/>
        <w:rPr>
          <w:b/>
        </w:rPr>
      </w:pPr>
    </w:p>
    <w:p>
      <w:pPr>
        <w:spacing w:line="360" w:lineRule="auto" w:before="0"/>
        <w:ind w:left="625" w:right="196" w:firstLine="0"/>
        <w:jc w:val="both"/>
        <w:rPr>
          <w:b/>
          <w:sz w:val="24"/>
        </w:rPr>
      </w:pPr>
      <w:r>
        <w:rPr>
          <w:sz w:val="24"/>
        </w:rPr>
        <w:t>Tabla No. 10, </w:t>
      </w:r>
      <w:r>
        <w:rPr>
          <w:b/>
          <w:sz w:val="24"/>
        </w:rPr>
        <w:t>Género de los adultos mayores hospitalizados,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0"/>
        <w:gridCol w:w="2796"/>
        <w:gridCol w:w="2493"/>
      </w:tblGrid>
      <w:tr>
        <w:trPr>
          <w:trHeight w:val="445" w:hRule="exact"/>
        </w:trPr>
        <w:tc>
          <w:tcPr>
            <w:tcW w:w="3240" w:type="dxa"/>
            <w:tcBorders>
              <w:left w:val="nil"/>
              <w:right w:val="nil"/>
            </w:tcBorders>
            <w:shd w:val="clear" w:color="auto" w:fill="99CC00"/>
          </w:tcPr>
          <w:p>
            <w:pPr>
              <w:pStyle w:val="TableParagraph"/>
              <w:spacing w:before="75"/>
              <w:ind w:left="1199" w:right="917"/>
              <w:rPr>
                <w:b/>
                <w:sz w:val="24"/>
              </w:rPr>
            </w:pPr>
            <w:r>
              <w:rPr>
                <w:b/>
                <w:sz w:val="24"/>
              </w:rPr>
              <w:t>Género</w:t>
            </w:r>
          </w:p>
        </w:tc>
        <w:tc>
          <w:tcPr>
            <w:tcW w:w="2796" w:type="dxa"/>
            <w:tcBorders>
              <w:left w:val="nil"/>
              <w:right w:val="nil"/>
            </w:tcBorders>
            <w:shd w:val="clear" w:color="auto" w:fill="99CC00"/>
          </w:tcPr>
          <w:p>
            <w:pPr>
              <w:pStyle w:val="TableParagraph"/>
              <w:spacing w:before="75"/>
              <w:ind w:left="920" w:right="648"/>
              <w:rPr>
                <w:sz w:val="24"/>
              </w:rPr>
            </w:pPr>
            <w:r>
              <w:rPr>
                <w:sz w:val="24"/>
              </w:rPr>
              <w:t>Frecuencia</w:t>
            </w:r>
          </w:p>
        </w:tc>
        <w:tc>
          <w:tcPr>
            <w:tcW w:w="2493" w:type="dxa"/>
            <w:tcBorders>
              <w:left w:val="nil"/>
              <w:right w:val="nil"/>
            </w:tcBorders>
            <w:shd w:val="clear" w:color="auto" w:fill="99CC00"/>
          </w:tcPr>
          <w:p>
            <w:pPr>
              <w:pStyle w:val="TableParagraph"/>
              <w:spacing w:before="75"/>
              <w:ind w:left="648" w:right="657"/>
              <w:rPr>
                <w:sz w:val="24"/>
              </w:rPr>
            </w:pPr>
            <w:r>
              <w:rPr>
                <w:sz w:val="24"/>
              </w:rPr>
              <w:t>Porcentaje</w:t>
            </w:r>
          </w:p>
        </w:tc>
      </w:tr>
      <w:tr>
        <w:trPr>
          <w:trHeight w:val="432" w:hRule="exact"/>
        </w:trPr>
        <w:tc>
          <w:tcPr>
            <w:tcW w:w="3240" w:type="dxa"/>
            <w:tcBorders>
              <w:left w:val="nil"/>
              <w:bottom w:val="nil"/>
              <w:right w:val="nil"/>
            </w:tcBorders>
          </w:tcPr>
          <w:p>
            <w:pPr>
              <w:pStyle w:val="TableParagraph"/>
              <w:spacing w:before="65"/>
              <w:ind w:left="1199" w:right="920"/>
              <w:rPr>
                <w:sz w:val="24"/>
              </w:rPr>
            </w:pPr>
            <w:r>
              <w:rPr>
                <w:sz w:val="24"/>
              </w:rPr>
              <w:t>Masculino</w:t>
            </w:r>
          </w:p>
        </w:tc>
        <w:tc>
          <w:tcPr>
            <w:tcW w:w="2796" w:type="dxa"/>
            <w:tcBorders>
              <w:left w:val="nil"/>
              <w:bottom w:val="nil"/>
              <w:right w:val="nil"/>
            </w:tcBorders>
          </w:tcPr>
          <w:p>
            <w:pPr>
              <w:pStyle w:val="TableParagraph"/>
              <w:spacing w:before="65"/>
              <w:ind w:left="920" w:right="646"/>
              <w:rPr>
                <w:sz w:val="24"/>
              </w:rPr>
            </w:pPr>
            <w:r>
              <w:rPr>
                <w:sz w:val="24"/>
              </w:rPr>
              <w:t>10</w:t>
            </w:r>
          </w:p>
        </w:tc>
        <w:tc>
          <w:tcPr>
            <w:tcW w:w="2493" w:type="dxa"/>
            <w:tcBorders>
              <w:left w:val="nil"/>
              <w:bottom w:val="nil"/>
              <w:right w:val="nil"/>
            </w:tcBorders>
          </w:tcPr>
          <w:p>
            <w:pPr>
              <w:pStyle w:val="TableParagraph"/>
              <w:spacing w:before="65"/>
              <w:ind w:left="648" w:right="655"/>
              <w:rPr>
                <w:sz w:val="24"/>
              </w:rPr>
            </w:pPr>
            <w:r>
              <w:rPr>
                <w:sz w:val="24"/>
              </w:rPr>
              <w:t>33.3</w:t>
            </w:r>
          </w:p>
        </w:tc>
      </w:tr>
      <w:tr>
        <w:trPr>
          <w:trHeight w:val="425" w:hRule="exact"/>
        </w:trPr>
        <w:tc>
          <w:tcPr>
            <w:tcW w:w="3240" w:type="dxa"/>
            <w:tcBorders>
              <w:top w:val="nil"/>
              <w:left w:val="nil"/>
              <w:right w:val="nil"/>
            </w:tcBorders>
          </w:tcPr>
          <w:p>
            <w:pPr>
              <w:pStyle w:val="TableParagraph"/>
              <w:spacing w:before="60"/>
              <w:ind w:left="1196" w:right="920"/>
              <w:rPr>
                <w:sz w:val="24"/>
              </w:rPr>
            </w:pPr>
            <w:r>
              <w:rPr>
                <w:sz w:val="24"/>
              </w:rPr>
              <w:t>Femenino</w:t>
            </w:r>
          </w:p>
        </w:tc>
        <w:tc>
          <w:tcPr>
            <w:tcW w:w="2796" w:type="dxa"/>
            <w:tcBorders>
              <w:top w:val="nil"/>
              <w:left w:val="nil"/>
              <w:right w:val="nil"/>
            </w:tcBorders>
          </w:tcPr>
          <w:p>
            <w:pPr>
              <w:pStyle w:val="TableParagraph"/>
              <w:spacing w:before="60"/>
              <w:ind w:left="920" w:right="646"/>
              <w:rPr>
                <w:b/>
                <w:sz w:val="24"/>
              </w:rPr>
            </w:pPr>
            <w:r>
              <w:rPr>
                <w:b/>
                <w:sz w:val="24"/>
              </w:rPr>
              <w:t>20</w:t>
            </w:r>
          </w:p>
        </w:tc>
        <w:tc>
          <w:tcPr>
            <w:tcW w:w="2493" w:type="dxa"/>
            <w:tcBorders>
              <w:top w:val="nil"/>
              <w:left w:val="nil"/>
              <w:right w:val="nil"/>
            </w:tcBorders>
          </w:tcPr>
          <w:p>
            <w:pPr>
              <w:pStyle w:val="TableParagraph"/>
              <w:spacing w:before="60"/>
              <w:ind w:left="648" w:right="655"/>
              <w:rPr>
                <w:b/>
                <w:sz w:val="24"/>
              </w:rPr>
            </w:pPr>
            <w:r>
              <w:rPr>
                <w:b/>
                <w:sz w:val="24"/>
              </w:rPr>
              <w:t>66.7</w:t>
            </w:r>
          </w:p>
        </w:tc>
      </w:tr>
      <w:tr>
        <w:trPr>
          <w:trHeight w:val="444" w:hRule="exact"/>
        </w:trPr>
        <w:tc>
          <w:tcPr>
            <w:tcW w:w="3240" w:type="dxa"/>
            <w:tcBorders>
              <w:left w:val="nil"/>
              <w:right w:val="nil"/>
            </w:tcBorders>
            <w:shd w:val="clear" w:color="auto" w:fill="99CC00"/>
          </w:tcPr>
          <w:p>
            <w:pPr>
              <w:pStyle w:val="TableParagraph"/>
              <w:spacing w:before="75"/>
              <w:ind w:left="1196" w:right="920"/>
              <w:rPr>
                <w:b/>
                <w:sz w:val="24"/>
              </w:rPr>
            </w:pPr>
            <w:r>
              <w:rPr>
                <w:b/>
                <w:sz w:val="24"/>
              </w:rPr>
              <w:t>Total</w:t>
            </w:r>
          </w:p>
        </w:tc>
        <w:tc>
          <w:tcPr>
            <w:tcW w:w="2796" w:type="dxa"/>
            <w:tcBorders>
              <w:left w:val="nil"/>
              <w:right w:val="nil"/>
            </w:tcBorders>
            <w:shd w:val="clear" w:color="auto" w:fill="99CC00"/>
          </w:tcPr>
          <w:p>
            <w:pPr>
              <w:pStyle w:val="TableParagraph"/>
              <w:spacing w:before="75"/>
              <w:ind w:left="920" w:right="646"/>
              <w:rPr>
                <w:sz w:val="24"/>
              </w:rPr>
            </w:pPr>
            <w:r>
              <w:rPr>
                <w:sz w:val="24"/>
              </w:rPr>
              <w:t>30</w:t>
            </w:r>
          </w:p>
        </w:tc>
        <w:tc>
          <w:tcPr>
            <w:tcW w:w="2493" w:type="dxa"/>
            <w:tcBorders>
              <w:left w:val="nil"/>
              <w:right w:val="nil"/>
            </w:tcBorders>
            <w:shd w:val="clear" w:color="auto" w:fill="99CC00"/>
          </w:tcPr>
          <w:p>
            <w:pPr>
              <w:pStyle w:val="TableParagraph"/>
              <w:spacing w:before="75"/>
              <w:ind w:left="648" w:right="653"/>
              <w:rPr>
                <w:sz w:val="24"/>
              </w:rPr>
            </w:pPr>
            <w:r>
              <w:rPr>
                <w:sz w:val="24"/>
              </w:rPr>
              <w:t>100</w:t>
            </w:r>
          </w:p>
        </w:tc>
      </w:tr>
    </w:tbl>
    <w:p>
      <w:pPr>
        <w:pStyle w:val="BodyText"/>
        <w:rPr>
          <w:b/>
          <w:sz w:val="20"/>
        </w:rPr>
      </w:pPr>
    </w:p>
    <w:p>
      <w:pPr>
        <w:pStyle w:val="BodyText"/>
        <w:spacing w:before="5"/>
        <w:rPr>
          <w:b/>
          <w:sz w:val="28"/>
        </w:rPr>
      </w:pPr>
      <w:r>
        <w:rPr/>
        <w:pict>
          <v:group style="position:absolute;margin-left:131.175003pt;margin-top:18.305977pt;width:403.45pt;height:191.3pt;mso-position-horizontal-relative:page;mso-position-vertical-relative:paragraph;z-index:2392;mso-wrap-distance-left:0;mso-wrap-distance-right:0" coordorigin="2624,366" coordsize="8069,3826">
            <v:shape style="position:absolute;left:3242;top:1408;width:6113;height:2479" type="#_x0000_t75" stroked="false">
              <v:imagedata r:id="rId54" o:title=""/>
            </v:shape>
            <v:shape style="position:absolute;left:2631;top:374;width:8054;height:3811" type="#_x0000_t202" filled="false" stroked="true" strokeweight=".75pt" strokecolor="#858585">
              <v:textbox inset="0,0,0,0">
                <w:txbxContent>
                  <w:p>
                    <w:pPr>
                      <w:spacing w:before="101"/>
                      <w:ind w:left="2149" w:right="881" w:firstLine="0"/>
                      <w:jc w:val="center"/>
                      <w:rPr>
                        <w:b/>
                        <w:sz w:val="20"/>
                      </w:rPr>
                    </w:pPr>
                    <w:r>
                      <w:rPr>
                        <w:b/>
                        <w:sz w:val="20"/>
                      </w:rPr>
                      <w:t>Gráfica No. 10</w:t>
                    </w:r>
                  </w:p>
                  <w:p>
                    <w:pPr>
                      <w:spacing w:before="0"/>
                      <w:ind w:left="2149" w:right="885" w:firstLine="0"/>
                      <w:jc w:val="center"/>
                      <w:rPr>
                        <w:b/>
                        <w:sz w:val="20"/>
                      </w:rPr>
                    </w:pPr>
                    <w:r>
                      <w:rPr>
                        <w:b/>
                        <w:sz w:val="20"/>
                      </w:rPr>
                      <w:t>Género de los adultos mayores hospitalizados.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7"/>
                      <w:rPr>
                        <w:b/>
                        <w:sz w:val="26"/>
                      </w:rPr>
                    </w:pPr>
                  </w:p>
                  <w:p>
                    <w:pPr>
                      <w:spacing w:line="616" w:lineRule="auto" w:before="0"/>
                      <w:ind w:left="6283" w:right="274" w:firstLine="0"/>
                      <w:jc w:val="right"/>
                      <w:rPr>
                        <w:rFonts w:ascii="Calibri"/>
                        <w:b/>
                        <w:sz w:val="18"/>
                      </w:rPr>
                    </w:pPr>
                    <w:r>
                      <w:rPr>
                        <w:rFonts w:ascii="Calibri"/>
                        <w:b/>
                        <w:sz w:val="18"/>
                      </w:rPr>
                      <w:t>Masculino Femenino</w:t>
                    </w:r>
                  </w:p>
                </w:txbxContent>
              </v:textbox>
              <w10:wrap type="none"/>
            </v:shape>
            <w10:wrap type="topAndBottom"/>
          </v:group>
        </w:pict>
      </w:r>
    </w:p>
    <w:p>
      <w:pPr>
        <w:spacing w:before="101"/>
        <w:ind w:left="901" w:right="230" w:firstLine="0"/>
        <w:jc w:val="left"/>
        <w:rPr>
          <w:sz w:val="20"/>
        </w:rPr>
      </w:pPr>
      <w:r>
        <w:rPr>
          <w:sz w:val="20"/>
        </w:rPr>
        <w:t>Fuente: Tabla No. 10</w:t>
      </w:r>
    </w:p>
    <w:p>
      <w:pPr>
        <w:pStyle w:val="BodyText"/>
        <w:rPr>
          <w:sz w:val="20"/>
        </w:rPr>
      </w:pPr>
    </w:p>
    <w:p>
      <w:pPr>
        <w:pStyle w:val="BodyText"/>
        <w:rPr>
          <w:sz w:val="16"/>
        </w:rPr>
      </w:pPr>
    </w:p>
    <w:p>
      <w:pPr>
        <w:pStyle w:val="BodyText"/>
        <w:spacing w:line="360" w:lineRule="auto"/>
        <w:ind w:left="625" w:right="128"/>
        <w:jc w:val="both"/>
      </w:pPr>
      <w:r>
        <w:rPr/>
        <w:pict>
          <v:rect style="position:absolute;margin-left:473.369995pt;margin-top:-102.053139pt;width:5.049pt;height:5.049pt;mso-position-horizontal-relative:page;mso-position-vertical-relative:paragraph;z-index:-173608" filled="true" fillcolor="#4f81bc" stroked="false">
            <v:fill type="solid"/>
            <w10:wrap type="none"/>
          </v:rect>
        </w:pict>
      </w:r>
      <w:r>
        <w:rPr/>
        <w:pict>
          <v:rect style="position:absolute;margin-left:473.369995pt;margin-top:-73.823143pt;width:5.049pt;height:5.049pt;mso-position-horizontal-relative:page;mso-position-vertical-relative:paragraph;z-index:-173584" filled="true" fillcolor="#c0504d" stroked="false">
            <v:fill type="solid"/>
            <w10:wrap type="none"/>
          </v:rect>
        </w:pict>
      </w:r>
      <w:r>
        <w:rPr/>
        <w:t>Del total de pacientes a quienes los cuidadores asisten, se destaca la presencia del género femenino en un 66.7% y el 33.3% perteneciente al género  masculino, de acuerdo con el Instituto de Geriatria, entre la población mayor </w:t>
      </w:r>
      <w:r>
        <w:rPr>
          <w:spacing w:val="10"/>
        </w:rPr>
        <w:t> </w:t>
      </w:r>
      <w:r>
        <w:rPr/>
        <w:t>de</w:t>
      </w:r>
    </w:p>
    <w:p>
      <w:pPr>
        <w:pStyle w:val="BodyText"/>
        <w:spacing w:line="360" w:lineRule="auto" w:before="2"/>
        <w:ind w:left="625" w:right="125"/>
        <w:jc w:val="both"/>
      </w:pPr>
      <w:r>
        <w:rPr/>
        <w:t>60 años, existe una relación de 87 hombres por cada 100 mujeres, lo que justifica la disparidad de los datos; así mismo, a partir de los 40 años existe una tendencia creciente para el uso de los servicios hospitalarios, el sector  </w:t>
      </w:r>
      <w:r>
        <w:rPr>
          <w:spacing w:val="63"/>
        </w:rPr>
        <w:t> </w:t>
      </w:r>
      <w:r>
        <w:rPr/>
        <w:t>público</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pPr>
      <w:r>
        <w:rPr/>
        <w:t>atiende al 80% de demanda de hospitalización, el 20% restante es atendido por instituciones privadas.</w:t>
      </w:r>
    </w:p>
    <w:p>
      <w:pPr>
        <w:spacing w:after="0" w:line="360" w:lineRule="auto"/>
        <w:sectPr>
          <w:footerReference w:type="default" r:id="rId55"/>
          <w:pgSz w:w="12250" w:h="15850"/>
          <w:pgMar w:footer="1122" w:header="748" w:top="1260" w:bottom="1320" w:left="1720" w:right="1240"/>
        </w:sectPr>
      </w:pPr>
    </w:p>
    <w:p>
      <w:pPr>
        <w:pStyle w:val="BodyText"/>
        <w:rPr>
          <w:sz w:val="20"/>
        </w:rPr>
      </w:pPr>
    </w:p>
    <w:p>
      <w:pPr>
        <w:pStyle w:val="BodyText"/>
        <w:rPr>
          <w:sz w:val="20"/>
        </w:rPr>
      </w:pPr>
    </w:p>
    <w:p>
      <w:pPr>
        <w:pStyle w:val="BodyText"/>
        <w:spacing w:before="5"/>
        <w:rPr>
          <w:sz w:val="21"/>
        </w:rPr>
      </w:pPr>
    </w:p>
    <w:p>
      <w:pPr>
        <w:pStyle w:val="Heading2"/>
        <w:spacing w:line="360" w:lineRule="auto"/>
        <w:jc w:val="left"/>
      </w:pPr>
      <w:r>
        <w:rPr>
          <w:b w:val="0"/>
        </w:rPr>
        <w:t>Tabla No. 11. </w:t>
      </w:r>
      <w:r>
        <w:rPr/>
        <w:t>Edad de los adultos mayores hospitalizados,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1"/>
        <w:gridCol w:w="2634"/>
        <w:gridCol w:w="2490"/>
      </w:tblGrid>
      <w:tr>
        <w:trPr>
          <w:trHeight w:val="446" w:hRule="exact"/>
        </w:trPr>
        <w:tc>
          <w:tcPr>
            <w:tcW w:w="3391" w:type="dxa"/>
            <w:tcBorders>
              <w:left w:val="nil"/>
              <w:right w:val="nil"/>
            </w:tcBorders>
            <w:shd w:val="clear" w:color="auto" w:fill="99CC00"/>
          </w:tcPr>
          <w:p>
            <w:pPr>
              <w:pStyle w:val="TableParagraph"/>
              <w:spacing w:before="75"/>
              <w:ind w:left="880" w:right="760"/>
              <w:rPr>
                <w:b/>
                <w:sz w:val="24"/>
              </w:rPr>
            </w:pPr>
            <w:r>
              <w:rPr>
                <w:b/>
                <w:sz w:val="24"/>
              </w:rPr>
              <w:t>Edad</w:t>
            </w:r>
          </w:p>
        </w:tc>
        <w:tc>
          <w:tcPr>
            <w:tcW w:w="2634" w:type="dxa"/>
            <w:tcBorders>
              <w:left w:val="nil"/>
              <w:right w:val="nil"/>
            </w:tcBorders>
            <w:shd w:val="clear" w:color="auto" w:fill="99CC00"/>
          </w:tcPr>
          <w:p>
            <w:pPr>
              <w:pStyle w:val="TableParagraph"/>
              <w:spacing w:before="75"/>
              <w:ind w:left="759" w:right="646"/>
              <w:rPr>
                <w:sz w:val="24"/>
              </w:rPr>
            </w:pPr>
            <w:r>
              <w:rPr>
                <w:sz w:val="24"/>
              </w:rPr>
              <w:t>Frecuencia</w:t>
            </w:r>
          </w:p>
        </w:tc>
        <w:tc>
          <w:tcPr>
            <w:tcW w:w="2490" w:type="dxa"/>
            <w:tcBorders>
              <w:left w:val="nil"/>
              <w:right w:val="nil"/>
            </w:tcBorders>
            <w:shd w:val="clear" w:color="auto" w:fill="99CC00"/>
          </w:tcPr>
          <w:p>
            <w:pPr>
              <w:pStyle w:val="TableParagraph"/>
              <w:spacing w:before="75"/>
              <w:ind w:left="647" w:right="655"/>
              <w:rPr>
                <w:sz w:val="24"/>
              </w:rPr>
            </w:pPr>
            <w:r>
              <w:rPr>
                <w:sz w:val="24"/>
              </w:rPr>
              <w:t>Porcentaje</w:t>
            </w:r>
          </w:p>
        </w:tc>
      </w:tr>
      <w:tr>
        <w:trPr>
          <w:trHeight w:val="445" w:hRule="exact"/>
        </w:trPr>
        <w:tc>
          <w:tcPr>
            <w:tcW w:w="3391" w:type="dxa"/>
            <w:tcBorders>
              <w:left w:val="nil"/>
              <w:bottom w:val="nil"/>
              <w:right w:val="nil"/>
            </w:tcBorders>
          </w:tcPr>
          <w:p>
            <w:pPr>
              <w:pStyle w:val="TableParagraph"/>
              <w:spacing w:before="77"/>
              <w:ind w:left="883" w:right="759"/>
              <w:rPr>
                <w:sz w:val="24"/>
              </w:rPr>
            </w:pPr>
            <w:r>
              <w:rPr>
                <w:sz w:val="24"/>
              </w:rPr>
              <w:t>60 a 65 años</w:t>
            </w:r>
          </w:p>
        </w:tc>
        <w:tc>
          <w:tcPr>
            <w:tcW w:w="2634" w:type="dxa"/>
            <w:tcBorders>
              <w:left w:val="nil"/>
              <w:bottom w:val="nil"/>
              <w:right w:val="nil"/>
            </w:tcBorders>
          </w:tcPr>
          <w:p>
            <w:pPr>
              <w:pStyle w:val="TableParagraph"/>
              <w:spacing w:before="77"/>
              <w:ind w:left="759" w:right="645"/>
              <w:rPr>
                <w:b/>
                <w:sz w:val="24"/>
              </w:rPr>
            </w:pPr>
            <w:r>
              <w:rPr>
                <w:b/>
                <w:sz w:val="24"/>
              </w:rPr>
              <w:t>10</w:t>
            </w:r>
          </w:p>
        </w:tc>
        <w:tc>
          <w:tcPr>
            <w:tcW w:w="2490" w:type="dxa"/>
            <w:tcBorders>
              <w:left w:val="nil"/>
              <w:bottom w:val="nil"/>
              <w:right w:val="nil"/>
            </w:tcBorders>
          </w:tcPr>
          <w:p>
            <w:pPr>
              <w:pStyle w:val="TableParagraph"/>
              <w:spacing w:before="77"/>
              <w:ind w:left="647" w:right="653"/>
              <w:rPr>
                <w:b/>
                <w:sz w:val="24"/>
              </w:rPr>
            </w:pPr>
            <w:r>
              <w:rPr>
                <w:b/>
                <w:sz w:val="24"/>
              </w:rPr>
              <w:t>30.4</w:t>
            </w:r>
          </w:p>
        </w:tc>
      </w:tr>
      <w:tr>
        <w:trPr>
          <w:trHeight w:val="425" w:hRule="exact"/>
        </w:trPr>
        <w:tc>
          <w:tcPr>
            <w:tcW w:w="3391" w:type="dxa"/>
            <w:tcBorders>
              <w:top w:val="nil"/>
              <w:left w:val="nil"/>
              <w:bottom w:val="nil"/>
              <w:right w:val="nil"/>
            </w:tcBorders>
          </w:tcPr>
          <w:p>
            <w:pPr>
              <w:pStyle w:val="TableParagraph"/>
              <w:spacing w:before="61"/>
              <w:ind w:left="883" w:right="759"/>
              <w:rPr>
                <w:sz w:val="24"/>
              </w:rPr>
            </w:pPr>
            <w:r>
              <w:rPr>
                <w:sz w:val="24"/>
              </w:rPr>
              <w:t>66 a 70 años</w:t>
            </w:r>
          </w:p>
        </w:tc>
        <w:tc>
          <w:tcPr>
            <w:tcW w:w="2634" w:type="dxa"/>
            <w:tcBorders>
              <w:top w:val="nil"/>
              <w:left w:val="nil"/>
              <w:bottom w:val="nil"/>
              <w:right w:val="nil"/>
            </w:tcBorders>
          </w:tcPr>
          <w:p>
            <w:pPr>
              <w:pStyle w:val="TableParagraph"/>
              <w:spacing w:before="61"/>
              <w:ind w:left="108"/>
              <w:rPr>
                <w:sz w:val="24"/>
              </w:rPr>
            </w:pPr>
            <w:r>
              <w:rPr>
                <w:w w:val="99"/>
                <w:sz w:val="24"/>
              </w:rPr>
              <w:t>4</w:t>
            </w:r>
          </w:p>
        </w:tc>
        <w:tc>
          <w:tcPr>
            <w:tcW w:w="2490" w:type="dxa"/>
            <w:tcBorders>
              <w:top w:val="nil"/>
              <w:left w:val="nil"/>
              <w:bottom w:val="nil"/>
              <w:right w:val="nil"/>
            </w:tcBorders>
          </w:tcPr>
          <w:p>
            <w:pPr>
              <w:pStyle w:val="TableParagraph"/>
              <w:spacing w:before="61"/>
              <w:ind w:left="647" w:right="653"/>
              <w:rPr>
                <w:sz w:val="24"/>
              </w:rPr>
            </w:pPr>
            <w:r>
              <w:rPr>
                <w:sz w:val="24"/>
              </w:rPr>
              <w:t>12.1</w:t>
            </w:r>
          </w:p>
        </w:tc>
      </w:tr>
      <w:tr>
        <w:trPr>
          <w:trHeight w:val="425" w:hRule="exact"/>
        </w:trPr>
        <w:tc>
          <w:tcPr>
            <w:tcW w:w="3391" w:type="dxa"/>
            <w:tcBorders>
              <w:top w:val="nil"/>
              <w:left w:val="nil"/>
              <w:bottom w:val="nil"/>
              <w:right w:val="nil"/>
            </w:tcBorders>
          </w:tcPr>
          <w:p>
            <w:pPr>
              <w:pStyle w:val="TableParagraph"/>
              <w:spacing w:before="62"/>
              <w:ind w:left="883" w:right="759"/>
              <w:rPr>
                <w:sz w:val="24"/>
              </w:rPr>
            </w:pPr>
            <w:r>
              <w:rPr>
                <w:sz w:val="24"/>
              </w:rPr>
              <w:t>71 a 75 años</w:t>
            </w:r>
          </w:p>
        </w:tc>
        <w:tc>
          <w:tcPr>
            <w:tcW w:w="2634" w:type="dxa"/>
            <w:tcBorders>
              <w:top w:val="nil"/>
              <w:left w:val="nil"/>
              <w:bottom w:val="nil"/>
              <w:right w:val="nil"/>
            </w:tcBorders>
          </w:tcPr>
          <w:p>
            <w:pPr>
              <w:pStyle w:val="TableParagraph"/>
              <w:spacing w:before="62"/>
              <w:ind w:left="108"/>
              <w:rPr>
                <w:sz w:val="24"/>
              </w:rPr>
            </w:pPr>
            <w:r>
              <w:rPr>
                <w:w w:val="99"/>
                <w:sz w:val="24"/>
              </w:rPr>
              <w:t>7</w:t>
            </w:r>
          </w:p>
        </w:tc>
        <w:tc>
          <w:tcPr>
            <w:tcW w:w="2490" w:type="dxa"/>
            <w:tcBorders>
              <w:top w:val="nil"/>
              <w:left w:val="nil"/>
              <w:bottom w:val="nil"/>
              <w:right w:val="nil"/>
            </w:tcBorders>
          </w:tcPr>
          <w:p>
            <w:pPr>
              <w:pStyle w:val="TableParagraph"/>
              <w:spacing w:before="62"/>
              <w:ind w:left="647" w:right="653"/>
              <w:rPr>
                <w:sz w:val="24"/>
              </w:rPr>
            </w:pPr>
            <w:r>
              <w:rPr>
                <w:sz w:val="24"/>
              </w:rPr>
              <w:t>21.2</w:t>
            </w:r>
          </w:p>
        </w:tc>
      </w:tr>
      <w:tr>
        <w:trPr>
          <w:trHeight w:val="426" w:hRule="exact"/>
        </w:trPr>
        <w:tc>
          <w:tcPr>
            <w:tcW w:w="3391" w:type="dxa"/>
            <w:tcBorders>
              <w:top w:val="nil"/>
              <w:left w:val="nil"/>
              <w:bottom w:val="nil"/>
              <w:right w:val="nil"/>
            </w:tcBorders>
          </w:tcPr>
          <w:p>
            <w:pPr>
              <w:pStyle w:val="TableParagraph"/>
              <w:spacing w:before="61"/>
              <w:ind w:left="883" w:right="759"/>
              <w:rPr>
                <w:sz w:val="24"/>
              </w:rPr>
            </w:pPr>
            <w:r>
              <w:rPr>
                <w:sz w:val="24"/>
              </w:rPr>
              <w:t>76 a 80 años</w:t>
            </w:r>
          </w:p>
        </w:tc>
        <w:tc>
          <w:tcPr>
            <w:tcW w:w="2634" w:type="dxa"/>
            <w:tcBorders>
              <w:top w:val="nil"/>
              <w:left w:val="nil"/>
              <w:bottom w:val="nil"/>
              <w:right w:val="nil"/>
            </w:tcBorders>
          </w:tcPr>
          <w:p>
            <w:pPr>
              <w:pStyle w:val="TableParagraph"/>
              <w:spacing w:before="61"/>
              <w:ind w:left="108"/>
              <w:rPr>
                <w:sz w:val="24"/>
              </w:rPr>
            </w:pPr>
            <w:r>
              <w:rPr>
                <w:w w:val="99"/>
                <w:sz w:val="24"/>
              </w:rPr>
              <w:t>5</w:t>
            </w:r>
          </w:p>
        </w:tc>
        <w:tc>
          <w:tcPr>
            <w:tcW w:w="2490" w:type="dxa"/>
            <w:tcBorders>
              <w:top w:val="nil"/>
              <w:left w:val="nil"/>
              <w:bottom w:val="nil"/>
              <w:right w:val="nil"/>
            </w:tcBorders>
          </w:tcPr>
          <w:p>
            <w:pPr>
              <w:pStyle w:val="TableParagraph"/>
              <w:spacing w:before="61"/>
              <w:ind w:left="647" w:right="653"/>
              <w:rPr>
                <w:sz w:val="24"/>
              </w:rPr>
            </w:pPr>
            <w:r>
              <w:rPr>
                <w:sz w:val="24"/>
              </w:rPr>
              <w:t>15.2</w:t>
            </w:r>
          </w:p>
        </w:tc>
      </w:tr>
      <w:tr>
        <w:trPr>
          <w:trHeight w:val="427" w:hRule="exact"/>
        </w:trPr>
        <w:tc>
          <w:tcPr>
            <w:tcW w:w="3391" w:type="dxa"/>
            <w:tcBorders>
              <w:top w:val="nil"/>
              <w:left w:val="nil"/>
              <w:right w:val="nil"/>
            </w:tcBorders>
          </w:tcPr>
          <w:p>
            <w:pPr>
              <w:pStyle w:val="TableParagraph"/>
              <w:spacing w:before="63"/>
              <w:ind w:left="883" w:right="760"/>
              <w:rPr>
                <w:sz w:val="24"/>
              </w:rPr>
            </w:pPr>
            <w:r>
              <w:rPr>
                <w:sz w:val="24"/>
              </w:rPr>
              <w:t>Más de 80 años</w:t>
            </w:r>
          </w:p>
        </w:tc>
        <w:tc>
          <w:tcPr>
            <w:tcW w:w="2634" w:type="dxa"/>
            <w:tcBorders>
              <w:top w:val="nil"/>
              <w:left w:val="nil"/>
              <w:right w:val="nil"/>
            </w:tcBorders>
          </w:tcPr>
          <w:p>
            <w:pPr>
              <w:pStyle w:val="TableParagraph"/>
              <w:spacing w:before="63"/>
              <w:ind w:left="108"/>
              <w:rPr>
                <w:sz w:val="24"/>
              </w:rPr>
            </w:pPr>
            <w:r>
              <w:rPr>
                <w:w w:val="99"/>
                <w:sz w:val="24"/>
              </w:rPr>
              <w:t>4</w:t>
            </w:r>
          </w:p>
        </w:tc>
        <w:tc>
          <w:tcPr>
            <w:tcW w:w="2490" w:type="dxa"/>
            <w:tcBorders>
              <w:top w:val="nil"/>
              <w:left w:val="nil"/>
              <w:right w:val="nil"/>
            </w:tcBorders>
          </w:tcPr>
          <w:p>
            <w:pPr>
              <w:pStyle w:val="TableParagraph"/>
              <w:spacing w:before="63"/>
              <w:ind w:left="647" w:right="653"/>
              <w:rPr>
                <w:sz w:val="24"/>
              </w:rPr>
            </w:pPr>
            <w:r>
              <w:rPr>
                <w:sz w:val="24"/>
              </w:rPr>
              <w:t>12.1</w:t>
            </w:r>
          </w:p>
        </w:tc>
      </w:tr>
      <w:tr>
        <w:trPr>
          <w:trHeight w:val="448" w:hRule="exact"/>
        </w:trPr>
        <w:tc>
          <w:tcPr>
            <w:tcW w:w="3391" w:type="dxa"/>
            <w:tcBorders>
              <w:left w:val="nil"/>
              <w:right w:val="nil"/>
            </w:tcBorders>
            <w:shd w:val="clear" w:color="auto" w:fill="99CC00"/>
          </w:tcPr>
          <w:p>
            <w:pPr>
              <w:pStyle w:val="TableParagraph"/>
              <w:spacing w:before="77"/>
              <w:ind w:left="880" w:right="760"/>
              <w:rPr>
                <w:b/>
                <w:sz w:val="24"/>
              </w:rPr>
            </w:pPr>
            <w:r>
              <w:rPr>
                <w:b/>
                <w:sz w:val="24"/>
              </w:rPr>
              <w:t>Total</w:t>
            </w:r>
          </w:p>
        </w:tc>
        <w:tc>
          <w:tcPr>
            <w:tcW w:w="2634" w:type="dxa"/>
            <w:tcBorders>
              <w:left w:val="nil"/>
              <w:right w:val="nil"/>
            </w:tcBorders>
            <w:shd w:val="clear" w:color="auto" w:fill="99CC00"/>
          </w:tcPr>
          <w:p>
            <w:pPr>
              <w:pStyle w:val="TableParagraph"/>
              <w:spacing w:before="77"/>
              <w:ind w:left="759" w:right="645"/>
              <w:rPr>
                <w:sz w:val="24"/>
              </w:rPr>
            </w:pPr>
            <w:r>
              <w:rPr>
                <w:sz w:val="24"/>
              </w:rPr>
              <w:t>30</w:t>
            </w:r>
          </w:p>
        </w:tc>
        <w:tc>
          <w:tcPr>
            <w:tcW w:w="2490" w:type="dxa"/>
            <w:tcBorders>
              <w:left w:val="nil"/>
              <w:right w:val="nil"/>
            </w:tcBorders>
            <w:shd w:val="clear" w:color="auto" w:fill="99CC00"/>
          </w:tcPr>
          <w:p>
            <w:pPr>
              <w:pStyle w:val="TableParagraph"/>
              <w:spacing w:before="77"/>
              <w:ind w:left="647" w:right="651"/>
              <w:rPr>
                <w:sz w:val="24"/>
              </w:rPr>
            </w:pPr>
            <w:r>
              <w:rPr>
                <w:sz w:val="24"/>
              </w:rPr>
              <w:t>100</w:t>
            </w:r>
          </w:p>
        </w:tc>
      </w:tr>
    </w:tbl>
    <w:p>
      <w:pPr>
        <w:pStyle w:val="BodyText"/>
        <w:spacing w:before="1"/>
        <w:rPr>
          <w:b/>
        </w:rPr>
      </w:pPr>
    </w:p>
    <w:tbl>
      <w:tblPr>
        <w:tblW w:w="0" w:type="auto"/>
        <w:jc w:val="left"/>
        <w:tblInd w:w="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1"/>
        <w:gridCol w:w="3191"/>
        <w:gridCol w:w="2589"/>
      </w:tblGrid>
      <w:tr>
        <w:trPr>
          <w:trHeight w:val="445" w:hRule="exact"/>
        </w:trPr>
        <w:tc>
          <w:tcPr>
            <w:tcW w:w="8531" w:type="dxa"/>
            <w:gridSpan w:val="3"/>
            <w:tcBorders>
              <w:left w:val="nil"/>
              <w:right w:val="nil"/>
            </w:tcBorders>
          </w:tcPr>
          <w:p>
            <w:pPr>
              <w:pStyle w:val="TableParagraph"/>
              <w:spacing w:before="75"/>
              <w:ind w:left="2590"/>
              <w:jc w:val="left"/>
              <w:rPr>
                <w:b/>
                <w:sz w:val="24"/>
              </w:rPr>
            </w:pPr>
            <w:r>
              <w:rPr>
                <w:b/>
                <w:sz w:val="24"/>
              </w:rPr>
              <w:t>Medidas de tendencia central</w:t>
            </w:r>
          </w:p>
        </w:tc>
      </w:tr>
      <w:tr>
        <w:trPr>
          <w:trHeight w:val="426" w:hRule="exact"/>
        </w:trPr>
        <w:tc>
          <w:tcPr>
            <w:tcW w:w="2751" w:type="dxa"/>
            <w:tcBorders>
              <w:left w:val="nil"/>
              <w:right w:val="nil"/>
            </w:tcBorders>
            <w:shd w:val="clear" w:color="auto" w:fill="99CC00"/>
          </w:tcPr>
          <w:p>
            <w:pPr>
              <w:pStyle w:val="TableParagraph"/>
              <w:spacing w:before="66"/>
              <w:ind w:left="938"/>
              <w:jc w:val="left"/>
              <w:rPr>
                <w:b/>
                <w:sz w:val="24"/>
              </w:rPr>
            </w:pPr>
            <w:r>
              <w:rPr>
                <w:b/>
                <w:sz w:val="24"/>
              </w:rPr>
              <w:t>Media</w:t>
            </w:r>
          </w:p>
        </w:tc>
        <w:tc>
          <w:tcPr>
            <w:tcW w:w="3191" w:type="dxa"/>
            <w:tcBorders>
              <w:left w:val="nil"/>
              <w:right w:val="nil"/>
            </w:tcBorders>
            <w:shd w:val="clear" w:color="auto" w:fill="99CC00"/>
          </w:tcPr>
          <w:p>
            <w:pPr>
              <w:pStyle w:val="TableParagraph"/>
              <w:spacing w:before="66"/>
              <w:ind w:left="1113" w:right="1077"/>
              <w:rPr>
                <w:b/>
                <w:sz w:val="24"/>
              </w:rPr>
            </w:pPr>
            <w:r>
              <w:rPr>
                <w:b/>
                <w:sz w:val="24"/>
              </w:rPr>
              <w:t>Mediana</w:t>
            </w:r>
          </w:p>
        </w:tc>
        <w:tc>
          <w:tcPr>
            <w:tcW w:w="2589" w:type="dxa"/>
            <w:tcBorders>
              <w:left w:val="nil"/>
              <w:right w:val="nil"/>
            </w:tcBorders>
            <w:shd w:val="clear" w:color="auto" w:fill="99CC00"/>
          </w:tcPr>
          <w:p>
            <w:pPr>
              <w:pStyle w:val="TableParagraph"/>
              <w:spacing w:before="66"/>
              <w:ind w:left="1075" w:right="846"/>
              <w:rPr>
                <w:b/>
                <w:sz w:val="24"/>
              </w:rPr>
            </w:pPr>
            <w:r>
              <w:rPr>
                <w:b/>
                <w:sz w:val="24"/>
              </w:rPr>
              <w:t>Moda</w:t>
            </w:r>
          </w:p>
        </w:tc>
      </w:tr>
      <w:tr>
        <w:trPr>
          <w:trHeight w:val="446" w:hRule="exact"/>
        </w:trPr>
        <w:tc>
          <w:tcPr>
            <w:tcW w:w="2751" w:type="dxa"/>
            <w:tcBorders>
              <w:left w:val="nil"/>
              <w:right w:val="nil"/>
            </w:tcBorders>
          </w:tcPr>
          <w:p>
            <w:pPr>
              <w:pStyle w:val="TableParagraph"/>
              <w:spacing w:before="75"/>
              <w:ind w:left="976"/>
              <w:jc w:val="left"/>
              <w:rPr>
                <w:sz w:val="24"/>
              </w:rPr>
            </w:pPr>
            <w:r>
              <w:rPr>
                <w:sz w:val="24"/>
              </w:rPr>
              <w:t>71.27</w:t>
            </w:r>
          </w:p>
        </w:tc>
        <w:tc>
          <w:tcPr>
            <w:tcW w:w="3191" w:type="dxa"/>
            <w:tcBorders>
              <w:left w:val="nil"/>
              <w:right w:val="nil"/>
            </w:tcBorders>
          </w:tcPr>
          <w:p>
            <w:pPr>
              <w:pStyle w:val="TableParagraph"/>
              <w:spacing w:before="75"/>
              <w:ind w:left="1113" w:right="1074"/>
              <w:rPr>
                <w:sz w:val="24"/>
              </w:rPr>
            </w:pPr>
            <w:r>
              <w:rPr>
                <w:sz w:val="24"/>
              </w:rPr>
              <w:t>71</w:t>
            </w:r>
          </w:p>
        </w:tc>
        <w:tc>
          <w:tcPr>
            <w:tcW w:w="2589" w:type="dxa"/>
            <w:tcBorders>
              <w:left w:val="nil"/>
              <w:right w:val="nil"/>
            </w:tcBorders>
          </w:tcPr>
          <w:p>
            <w:pPr>
              <w:pStyle w:val="TableParagraph"/>
              <w:spacing w:before="75"/>
              <w:ind w:left="1075" w:right="843"/>
              <w:rPr>
                <w:sz w:val="24"/>
              </w:rPr>
            </w:pPr>
            <w:r>
              <w:rPr>
                <w:sz w:val="24"/>
              </w:rPr>
              <w:t>75</w:t>
            </w:r>
          </w:p>
        </w:tc>
      </w:tr>
    </w:tbl>
    <w:p>
      <w:pPr>
        <w:pStyle w:val="BodyText"/>
        <w:rPr>
          <w:b/>
        </w:r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76"/>
        <w:gridCol w:w="4339"/>
      </w:tblGrid>
      <w:tr>
        <w:trPr>
          <w:trHeight w:val="478" w:hRule="exact"/>
        </w:trPr>
        <w:tc>
          <w:tcPr>
            <w:tcW w:w="8514" w:type="dxa"/>
            <w:gridSpan w:val="2"/>
            <w:tcBorders>
              <w:left w:val="nil"/>
              <w:right w:val="nil"/>
            </w:tcBorders>
          </w:tcPr>
          <w:p>
            <w:pPr>
              <w:pStyle w:val="TableParagraph"/>
              <w:spacing w:before="91"/>
              <w:ind w:left="2943" w:right="2944"/>
              <w:rPr>
                <w:b/>
                <w:sz w:val="24"/>
              </w:rPr>
            </w:pPr>
            <w:r>
              <w:rPr>
                <w:b/>
                <w:sz w:val="24"/>
              </w:rPr>
              <w:t>Medidas de dispersión</w:t>
            </w:r>
          </w:p>
        </w:tc>
      </w:tr>
      <w:tr>
        <w:trPr>
          <w:trHeight w:val="456" w:hRule="exact"/>
        </w:trPr>
        <w:tc>
          <w:tcPr>
            <w:tcW w:w="4176" w:type="dxa"/>
            <w:tcBorders>
              <w:left w:val="nil"/>
              <w:right w:val="nil"/>
            </w:tcBorders>
            <w:shd w:val="clear" w:color="auto" w:fill="99CC00"/>
          </w:tcPr>
          <w:p>
            <w:pPr>
              <w:pStyle w:val="TableParagraph"/>
              <w:spacing w:before="79"/>
              <w:ind w:left="1620" w:right="1674"/>
              <w:rPr>
                <w:b/>
                <w:sz w:val="24"/>
              </w:rPr>
            </w:pPr>
            <w:r>
              <w:rPr>
                <w:b/>
                <w:sz w:val="24"/>
              </w:rPr>
              <w:t>Mínimo</w:t>
            </w:r>
          </w:p>
        </w:tc>
        <w:tc>
          <w:tcPr>
            <w:tcW w:w="4339" w:type="dxa"/>
            <w:tcBorders>
              <w:left w:val="nil"/>
              <w:right w:val="nil"/>
            </w:tcBorders>
            <w:shd w:val="clear" w:color="auto" w:fill="99CC00"/>
          </w:tcPr>
          <w:p>
            <w:pPr>
              <w:pStyle w:val="TableParagraph"/>
              <w:spacing w:before="79"/>
              <w:ind w:left="1677" w:right="1727"/>
              <w:rPr>
                <w:b/>
                <w:sz w:val="24"/>
              </w:rPr>
            </w:pPr>
            <w:r>
              <w:rPr>
                <w:b/>
                <w:sz w:val="24"/>
              </w:rPr>
              <w:t>Máximo</w:t>
            </w:r>
          </w:p>
        </w:tc>
      </w:tr>
      <w:tr>
        <w:trPr>
          <w:trHeight w:val="478" w:hRule="exact"/>
        </w:trPr>
        <w:tc>
          <w:tcPr>
            <w:tcW w:w="4176" w:type="dxa"/>
            <w:tcBorders>
              <w:left w:val="nil"/>
              <w:right w:val="nil"/>
            </w:tcBorders>
          </w:tcPr>
          <w:p>
            <w:pPr>
              <w:pStyle w:val="TableParagraph"/>
              <w:spacing w:before="91"/>
              <w:ind w:left="1620" w:right="1669"/>
              <w:rPr>
                <w:sz w:val="24"/>
              </w:rPr>
            </w:pPr>
            <w:r>
              <w:rPr>
                <w:sz w:val="24"/>
              </w:rPr>
              <w:t>60</w:t>
            </w:r>
          </w:p>
        </w:tc>
        <w:tc>
          <w:tcPr>
            <w:tcW w:w="4339" w:type="dxa"/>
            <w:tcBorders>
              <w:left w:val="nil"/>
              <w:right w:val="nil"/>
            </w:tcBorders>
          </w:tcPr>
          <w:p>
            <w:pPr>
              <w:pStyle w:val="TableParagraph"/>
              <w:spacing w:before="91"/>
              <w:ind w:left="1675" w:right="1727"/>
              <w:rPr>
                <w:sz w:val="24"/>
              </w:rPr>
            </w:pPr>
            <w:r>
              <w:rPr>
                <w:sz w:val="24"/>
              </w:rPr>
              <w:t>87</w:t>
            </w:r>
          </w:p>
        </w:tc>
      </w:tr>
    </w:tbl>
    <w:p>
      <w:pPr>
        <w:pStyle w:val="BodyText"/>
        <w:rPr>
          <w:b/>
          <w:sz w:val="20"/>
        </w:rPr>
      </w:pPr>
    </w:p>
    <w:p>
      <w:pPr>
        <w:pStyle w:val="BodyText"/>
        <w:rPr>
          <w:b/>
          <w:sz w:val="22"/>
        </w:rPr>
      </w:pPr>
      <w:r>
        <w:rPr/>
        <w:pict>
          <v:group style="position:absolute;margin-left:125.724998pt;margin-top:14.605976pt;width:413.05pt;height:182.2pt;mso-position-horizontal-relative:page;mso-position-vertical-relative:paragraph;z-index:2488;mso-wrap-distance-left:0;mso-wrap-distance-right:0" coordorigin="2514,292" coordsize="8261,3644">
            <v:shape style="position:absolute;left:3679;top:1482;width:5719;height:2352" type="#_x0000_t75" stroked="false">
              <v:imagedata r:id="rId57" o:title=""/>
            </v:shape>
            <v:rect style="position:absolute;left:9386;top:1448;width:101;height:101" filled="true" fillcolor="#4f81bc" stroked="false">
              <v:fill type="solid"/>
            </v:rect>
            <v:rect style="position:absolute;left:9386;top:1953;width:101;height:101" filled="true" fillcolor="#c0504d" stroked="false">
              <v:fill type="solid"/>
            </v:rect>
            <v:rect style="position:absolute;left:9386;top:2458;width:101;height:101" filled="true" fillcolor="#9bba58" stroked="false">
              <v:fill type="solid"/>
            </v:rect>
            <v:rect style="position:absolute;left:9386;top:2963;width:101;height:101" filled="true" fillcolor="#8063a1" stroked="false">
              <v:fill type="solid"/>
            </v:rect>
            <v:rect style="position:absolute;left:9386;top:3468;width:101;height:101" filled="true" fillcolor="#4aacc5" stroked="false">
              <v:fill type="solid"/>
            </v:rect>
            <v:shape style="position:absolute;left:2522;top:300;width:8246;height:3629" type="#_x0000_t202" filled="false" stroked="true" strokeweight=".75pt" strokecolor="#858585">
              <v:textbox inset="0,0,0,0">
                <w:txbxContent>
                  <w:p>
                    <w:pPr>
                      <w:spacing w:line="240" w:lineRule="auto" w:before="0"/>
                      <w:rPr>
                        <w:b/>
                        <w:sz w:val="24"/>
                      </w:rPr>
                    </w:pPr>
                  </w:p>
                  <w:p>
                    <w:pPr>
                      <w:spacing w:line="229" w:lineRule="exact" w:before="0"/>
                      <w:ind w:left="1399" w:right="476" w:firstLine="0"/>
                      <w:jc w:val="center"/>
                      <w:rPr>
                        <w:b/>
                        <w:sz w:val="20"/>
                      </w:rPr>
                    </w:pPr>
                    <w:r>
                      <w:rPr>
                        <w:b/>
                        <w:sz w:val="20"/>
                      </w:rPr>
                      <w:t>Gráfica No. 11</w:t>
                    </w:r>
                  </w:p>
                  <w:p>
                    <w:pPr>
                      <w:spacing w:line="229" w:lineRule="exact" w:before="0"/>
                      <w:ind w:left="1399" w:right="480" w:firstLine="0"/>
                      <w:jc w:val="center"/>
                      <w:rPr>
                        <w:b/>
                        <w:sz w:val="20"/>
                      </w:rPr>
                    </w:pPr>
                    <w:r>
                      <w:rPr>
                        <w:b/>
                        <w:sz w:val="20"/>
                      </w:rPr>
                      <w:t>Edad de los adultos mayores hospitalizados. 2014</w:t>
                    </w:r>
                  </w:p>
                  <w:p>
                    <w:pPr>
                      <w:spacing w:line="240" w:lineRule="auto" w:before="7"/>
                      <w:rPr>
                        <w:b/>
                        <w:sz w:val="29"/>
                      </w:rPr>
                    </w:pPr>
                  </w:p>
                  <w:p>
                    <w:pPr>
                      <w:spacing w:before="0"/>
                      <w:ind w:left="0" w:right="281" w:firstLine="0"/>
                      <w:jc w:val="right"/>
                      <w:rPr>
                        <w:rFonts w:ascii="Calibri" w:hAnsi="Calibri"/>
                        <w:b/>
                        <w:sz w:val="18"/>
                      </w:rPr>
                    </w:pPr>
                    <w:r>
                      <w:rPr>
                        <w:rFonts w:ascii="Calibri" w:hAnsi="Calibri"/>
                        <w:b/>
                        <w:sz w:val="18"/>
                      </w:rPr>
                      <w:t>60 a 65 años</w:t>
                    </w:r>
                  </w:p>
                  <w:p>
                    <w:pPr>
                      <w:spacing w:line="240" w:lineRule="auto" w:before="9"/>
                      <w:rPr>
                        <w:b/>
                        <w:sz w:val="24"/>
                      </w:rPr>
                    </w:pPr>
                  </w:p>
                  <w:p>
                    <w:pPr>
                      <w:spacing w:before="0"/>
                      <w:ind w:left="0" w:right="281" w:firstLine="0"/>
                      <w:jc w:val="right"/>
                      <w:rPr>
                        <w:rFonts w:ascii="Calibri" w:hAnsi="Calibri"/>
                        <w:b/>
                        <w:sz w:val="18"/>
                      </w:rPr>
                    </w:pPr>
                    <w:r>
                      <w:rPr>
                        <w:rFonts w:ascii="Calibri" w:hAnsi="Calibri"/>
                        <w:b/>
                        <w:sz w:val="18"/>
                      </w:rPr>
                      <w:t>66 a 70 años</w:t>
                    </w:r>
                  </w:p>
                  <w:p>
                    <w:pPr>
                      <w:spacing w:line="240" w:lineRule="auto" w:before="9"/>
                      <w:rPr>
                        <w:b/>
                        <w:sz w:val="24"/>
                      </w:rPr>
                    </w:pPr>
                  </w:p>
                  <w:p>
                    <w:pPr>
                      <w:spacing w:before="0"/>
                      <w:ind w:left="0" w:right="281" w:firstLine="0"/>
                      <w:jc w:val="right"/>
                      <w:rPr>
                        <w:rFonts w:ascii="Calibri" w:hAnsi="Calibri"/>
                        <w:b/>
                        <w:sz w:val="18"/>
                      </w:rPr>
                    </w:pPr>
                    <w:r>
                      <w:rPr>
                        <w:rFonts w:ascii="Calibri" w:hAnsi="Calibri"/>
                        <w:b/>
                        <w:sz w:val="18"/>
                      </w:rPr>
                      <w:t>71 a 75 años</w:t>
                    </w:r>
                  </w:p>
                  <w:p>
                    <w:pPr>
                      <w:spacing w:line="240" w:lineRule="auto" w:before="9"/>
                      <w:rPr>
                        <w:b/>
                        <w:sz w:val="24"/>
                      </w:rPr>
                    </w:pPr>
                  </w:p>
                  <w:p>
                    <w:pPr>
                      <w:spacing w:line="552" w:lineRule="auto" w:before="0"/>
                      <w:ind w:left="7002" w:right="16" w:firstLine="0"/>
                      <w:jc w:val="left"/>
                      <w:rPr>
                        <w:rFonts w:ascii="Calibri" w:hAnsi="Calibri"/>
                        <w:b/>
                        <w:sz w:val="18"/>
                      </w:rPr>
                    </w:pPr>
                    <w:r>
                      <w:rPr>
                        <w:rFonts w:ascii="Calibri" w:hAnsi="Calibri"/>
                        <w:b/>
                        <w:sz w:val="18"/>
                      </w:rPr>
                      <w:t>76 a 80 años Más de 80 años</w:t>
                    </w:r>
                  </w:p>
                </w:txbxContent>
              </v:textbox>
              <w10:wrap type="none"/>
            </v:shape>
            <w10:wrap type="topAndBottom"/>
          </v:group>
        </w:pict>
      </w:r>
    </w:p>
    <w:p>
      <w:pPr>
        <w:spacing w:before="82"/>
        <w:ind w:left="790" w:right="230" w:firstLine="0"/>
        <w:jc w:val="left"/>
        <w:rPr>
          <w:sz w:val="20"/>
        </w:rPr>
      </w:pPr>
      <w:r>
        <w:rPr>
          <w:sz w:val="20"/>
        </w:rPr>
        <w:t>Fuente: Tabla No. 11</w:t>
      </w:r>
    </w:p>
    <w:p>
      <w:pPr>
        <w:spacing w:after="0"/>
        <w:jc w:val="left"/>
        <w:rPr>
          <w:sz w:val="20"/>
        </w:rPr>
        <w:sectPr>
          <w:footerReference w:type="default" r:id="rId56"/>
          <w:pgSz w:w="12250" w:h="15850"/>
          <w:pgMar w:footer="1122" w:header="748" w:top="1260" w:bottom="1320" w:left="1720" w:right="1220"/>
          <w:pgNumType w:start="61"/>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98"/>
        <w:jc w:val="both"/>
      </w:pPr>
      <w:r>
        <w:rPr/>
        <w:t>De acuerdo a los criterios de inclusión en base a la edad de los pacientes hospitalizados, se observó una mayoría del grupo de edad de 60 a 65 años en un 30.4%, contrastado con un 12.1% de edad superior a los 80 años, se obtuvo una edad media de 71 años y un rango mínimo de edad de 60 años y una edad máxima de 87 años, lo anterior, concuerda con los cambios actuales en la dinámica poblacional en México, de acuerdo con el INEGI (2010), el grupo mayor a 60 años es de 10.1 millones personas, lo que representa el 9% de la población total y se estima que entre el año 2000 a 2050 la población de adultos mayores será del 28%, Anderson (1995) “propone que los factores que más asociados a la utilización de servicios de hospitalización son los demográficos (edad, sexo y etnia principalmente)”. (Anderson. 1995, citado en Martínez y Garmedia, 2008)</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5"/>
        <w:rPr>
          <w:sz w:val="21"/>
        </w:rPr>
      </w:pPr>
    </w:p>
    <w:p>
      <w:pPr>
        <w:pStyle w:val="Heading2"/>
        <w:spacing w:line="360" w:lineRule="auto"/>
        <w:ind w:right="198"/>
      </w:pPr>
      <w:r>
        <w:rPr>
          <w:b w:val="0"/>
        </w:rPr>
        <w:t>Tabla No. 12. </w:t>
      </w:r>
      <w:r>
        <w:rPr/>
        <w:t>Días de estancia de los adultos mayores hospitalizados,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21"/>
        <w:gridCol w:w="2582"/>
        <w:gridCol w:w="2480"/>
      </w:tblGrid>
      <w:tr>
        <w:trPr>
          <w:trHeight w:val="374" w:hRule="exact"/>
        </w:trPr>
        <w:tc>
          <w:tcPr>
            <w:tcW w:w="3421" w:type="dxa"/>
            <w:tcBorders>
              <w:left w:val="nil"/>
              <w:right w:val="nil"/>
            </w:tcBorders>
            <w:shd w:val="clear" w:color="auto" w:fill="99CC00"/>
          </w:tcPr>
          <w:p>
            <w:pPr>
              <w:pStyle w:val="TableParagraph"/>
              <w:spacing w:before="41"/>
              <w:ind w:left="788" w:right="711"/>
              <w:rPr>
                <w:b/>
                <w:sz w:val="24"/>
              </w:rPr>
            </w:pPr>
            <w:r>
              <w:rPr>
                <w:b/>
                <w:sz w:val="24"/>
              </w:rPr>
              <w:t>Días de estancia</w:t>
            </w:r>
          </w:p>
        </w:tc>
        <w:tc>
          <w:tcPr>
            <w:tcW w:w="2582" w:type="dxa"/>
            <w:tcBorders>
              <w:left w:val="nil"/>
              <w:right w:val="nil"/>
            </w:tcBorders>
            <w:shd w:val="clear" w:color="auto" w:fill="99CC00"/>
          </w:tcPr>
          <w:p>
            <w:pPr>
              <w:pStyle w:val="TableParagraph"/>
              <w:spacing w:before="41"/>
              <w:ind w:left="712" w:right="642"/>
              <w:rPr>
                <w:sz w:val="24"/>
              </w:rPr>
            </w:pPr>
            <w:r>
              <w:rPr>
                <w:sz w:val="24"/>
              </w:rPr>
              <w:t>Frecuencia</w:t>
            </w:r>
          </w:p>
        </w:tc>
        <w:tc>
          <w:tcPr>
            <w:tcW w:w="2480" w:type="dxa"/>
            <w:tcBorders>
              <w:left w:val="nil"/>
              <w:right w:val="nil"/>
            </w:tcBorders>
            <w:shd w:val="clear" w:color="auto" w:fill="99CC00"/>
          </w:tcPr>
          <w:p>
            <w:pPr>
              <w:pStyle w:val="TableParagraph"/>
              <w:spacing w:before="41"/>
              <w:ind w:left="642" w:right="650"/>
              <w:rPr>
                <w:sz w:val="24"/>
              </w:rPr>
            </w:pPr>
            <w:r>
              <w:rPr>
                <w:sz w:val="24"/>
              </w:rPr>
              <w:t>Porcentaje</w:t>
            </w:r>
          </w:p>
        </w:tc>
      </w:tr>
      <w:tr>
        <w:trPr>
          <w:trHeight w:val="382" w:hRule="exact"/>
        </w:trPr>
        <w:tc>
          <w:tcPr>
            <w:tcW w:w="3421" w:type="dxa"/>
            <w:tcBorders>
              <w:left w:val="nil"/>
              <w:bottom w:val="nil"/>
              <w:right w:val="nil"/>
            </w:tcBorders>
          </w:tcPr>
          <w:p>
            <w:pPr>
              <w:pStyle w:val="TableParagraph"/>
              <w:spacing w:before="39"/>
              <w:ind w:left="788" w:right="708"/>
              <w:rPr>
                <w:sz w:val="24"/>
              </w:rPr>
            </w:pPr>
            <w:r>
              <w:rPr>
                <w:sz w:val="24"/>
              </w:rPr>
              <w:t>5 días</w:t>
            </w:r>
          </w:p>
        </w:tc>
        <w:tc>
          <w:tcPr>
            <w:tcW w:w="2582" w:type="dxa"/>
            <w:tcBorders>
              <w:left w:val="nil"/>
              <w:bottom w:val="nil"/>
              <w:right w:val="nil"/>
            </w:tcBorders>
          </w:tcPr>
          <w:p>
            <w:pPr>
              <w:pStyle w:val="TableParagraph"/>
              <w:spacing w:before="39"/>
              <w:ind w:left="70"/>
              <w:rPr>
                <w:sz w:val="24"/>
              </w:rPr>
            </w:pPr>
            <w:r>
              <w:rPr>
                <w:w w:val="99"/>
                <w:sz w:val="24"/>
              </w:rPr>
              <w:t>6</w:t>
            </w:r>
          </w:p>
        </w:tc>
        <w:tc>
          <w:tcPr>
            <w:tcW w:w="2480" w:type="dxa"/>
            <w:tcBorders>
              <w:left w:val="nil"/>
              <w:bottom w:val="nil"/>
              <w:right w:val="nil"/>
            </w:tcBorders>
          </w:tcPr>
          <w:p>
            <w:pPr>
              <w:pStyle w:val="TableParagraph"/>
              <w:spacing w:before="39"/>
              <w:ind w:left="640" w:right="650"/>
              <w:rPr>
                <w:sz w:val="24"/>
              </w:rPr>
            </w:pPr>
            <w:r>
              <w:rPr>
                <w:sz w:val="24"/>
              </w:rPr>
              <w:t>20</w:t>
            </w:r>
          </w:p>
        </w:tc>
      </w:tr>
      <w:tr>
        <w:trPr>
          <w:trHeight w:val="375" w:hRule="exact"/>
        </w:trPr>
        <w:tc>
          <w:tcPr>
            <w:tcW w:w="3421" w:type="dxa"/>
            <w:tcBorders>
              <w:top w:val="nil"/>
              <w:left w:val="nil"/>
              <w:bottom w:val="nil"/>
              <w:right w:val="nil"/>
            </w:tcBorders>
          </w:tcPr>
          <w:p>
            <w:pPr>
              <w:pStyle w:val="TableParagraph"/>
              <w:spacing w:before="36"/>
              <w:ind w:left="788" w:right="708"/>
              <w:rPr>
                <w:sz w:val="24"/>
              </w:rPr>
            </w:pPr>
            <w:r>
              <w:rPr>
                <w:sz w:val="24"/>
              </w:rPr>
              <w:t>6 días</w:t>
            </w:r>
          </w:p>
        </w:tc>
        <w:tc>
          <w:tcPr>
            <w:tcW w:w="2582" w:type="dxa"/>
            <w:tcBorders>
              <w:top w:val="nil"/>
              <w:left w:val="nil"/>
              <w:bottom w:val="nil"/>
              <w:right w:val="nil"/>
            </w:tcBorders>
          </w:tcPr>
          <w:p>
            <w:pPr>
              <w:pStyle w:val="TableParagraph"/>
              <w:spacing w:before="36"/>
              <w:ind w:left="70"/>
              <w:rPr>
                <w:b/>
                <w:sz w:val="24"/>
              </w:rPr>
            </w:pPr>
            <w:r>
              <w:rPr>
                <w:b/>
                <w:w w:val="99"/>
                <w:sz w:val="24"/>
              </w:rPr>
              <w:t>7</w:t>
            </w:r>
          </w:p>
        </w:tc>
        <w:tc>
          <w:tcPr>
            <w:tcW w:w="2480" w:type="dxa"/>
            <w:tcBorders>
              <w:top w:val="nil"/>
              <w:left w:val="nil"/>
              <w:bottom w:val="nil"/>
              <w:right w:val="nil"/>
            </w:tcBorders>
          </w:tcPr>
          <w:p>
            <w:pPr>
              <w:pStyle w:val="TableParagraph"/>
              <w:spacing w:before="36"/>
              <w:ind w:left="640" w:right="650"/>
              <w:rPr>
                <w:b/>
                <w:sz w:val="24"/>
              </w:rPr>
            </w:pPr>
            <w:r>
              <w:rPr>
                <w:b/>
                <w:sz w:val="24"/>
              </w:rPr>
              <w:t>23.4</w:t>
            </w:r>
          </w:p>
        </w:tc>
      </w:tr>
      <w:tr>
        <w:trPr>
          <w:trHeight w:val="365" w:hRule="exact"/>
        </w:trPr>
        <w:tc>
          <w:tcPr>
            <w:tcW w:w="3421" w:type="dxa"/>
            <w:tcBorders>
              <w:top w:val="nil"/>
              <w:left w:val="nil"/>
              <w:bottom w:val="nil"/>
              <w:right w:val="nil"/>
            </w:tcBorders>
          </w:tcPr>
          <w:p>
            <w:pPr>
              <w:pStyle w:val="TableParagraph"/>
              <w:spacing w:before="37"/>
              <w:ind w:left="788" w:right="708"/>
              <w:rPr>
                <w:sz w:val="24"/>
              </w:rPr>
            </w:pPr>
            <w:r>
              <w:rPr>
                <w:sz w:val="24"/>
              </w:rPr>
              <w:t>7 días</w:t>
            </w:r>
          </w:p>
        </w:tc>
        <w:tc>
          <w:tcPr>
            <w:tcW w:w="2582" w:type="dxa"/>
            <w:tcBorders>
              <w:top w:val="nil"/>
              <w:left w:val="nil"/>
              <w:bottom w:val="nil"/>
              <w:right w:val="nil"/>
            </w:tcBorders>
          </w:tcPr>
          <w:p>
            <w:pPr>
              <w:pStyle w:val="TableParagraph"/>
              <w:spacing w:before="37"/>
              <w:ind w:left="70"/>
              <w:rPr>
                <w:b/>
                <w:sz w:val="24"/>
              </w:rPr>
            </w:pPr>
            <w:r>
              <w:rPr>
                <w:b/>
                <w:w w:val="99"/>
                <w:sz w:val="24"/>
              </w:rPr>
              <w:t>7</w:t>
            </w:r>
          </w:p>
        </w:tc>
        <w:tc>
          <w:tcPr>
            <w:tcW w:w="2480" w:type="dxa"/>
            <w:tcBorders>
              <w:top w:val="nil"/>
              <w:left w:val="nil"/>
              <w:bottom w:val="nil"/>
              <w:right w:val="nil"/>
            </w:tcBorders>
          </w:tcPr>
          <w:p>
            <w:pPr>
              <w:pStyle w:val="TableParagraph"/>
              <w:spacing w:before="37"/>
              <w:ind w:left="640" w:right="650"/>
              <w:rPr>
                <w:b/>
                <w:sz w:val="24"/>
              </w:rPr>
            </w:pPr>
            <w:r>
              <w:rPr>
                <w:b/>
                <w:sz w:val="24"/>
              </w:rPr>
              <w:t>23.4</w:t>
            </w:r>
          </w:p>
        </w:tc>
      </w:tr>
      <w:tr>
        <w:trPr>
          <w:trHeight w:val="359" w:hRule="exact"/>
        </w:trPr>
        <w:tc>
          <w:tcPr>
            <w:tcW w:w="3421" w:type="dxa"/>
            <w:tcBorders>
              <w:top w:val="nil"/>
              <w:left w:val="nil"/>
              <w:bottom w:val="nil"/>
              <w:right w:val="nil"/>
            </w:tcBorders>
          </w:tcPr>
          <w:p>
            <w:pPr>
              <w:pStyle w:val="TableParagraph"/>
              <w:spacing w:before="27"/>
              <w:ind w:left="788" w:right="708"/>
              <w:rPr>
                <w:sz w:val="24"/>
              </w:rPr>
            </w:pPr>
            <w:r>
              <w:rPr>
                <w:sz w:val="24"/>
              </w:rPr>
              <w:t>8 días</w:t>
            </w:r>
          </w:p>
        </w:tc>
        <w:tc>
          <w:tcPr>
            <w:tcW w:w="2582" w:type="dxa"/>
            <w:tcBorders>
              <w:top w:val="nil"/>
              <w:left w:val="nil"/>
              <w:bottom w:val="nil"/>
              <w:right w:val="nil"/>
            </w:tcBorders>
          </w:tcPr>
          <w:p>
            <w:pPr>
              <w:pStyle w:val="TableParagraph"/>
              <w:spacing w:before="27"/>
              <w:ind w:left="70"/>
              <w:rPr>
                <w:sz w:val="24"/>
              </w:rPr>
            </w:pPr>
            <w:r>
              <w:rPr>
                <w:w w:val="99"/>
                <w:sz w:val="24"/>
              </w:rPr>
              <w:t>4</w:t>
            </w:r>
          </w:p>
        </w:tc>
        <w:tc>
          <w:tcPr>
            <w:tcW w:w="2480" w:type="dxa"/>
            <w:tcBorders>
              <w:top w:val="nil"/>
              <w:left w:val="nil"/>
              <w:bottom w:val="nil"/>
              <w:right w:val="nil"/>
            </w:tcBorders>
          </w:tcPr>
          <w:p>
            <w:pPr>
              <w:pStyle w:val="TableParagraph"/>
              <w:spacing w:before="27"/>
              <w:ind w:left="640" w:right="650"/>
              <w:rPr>
                <w:sz w:val="24"/>
              </w:rPr>
            </w:pPr>
            <w:r>
              <w:rPr>
                <w:sz w:val="24"/>
              </w:rPr>
              <w:t>13.3</w:t>
            </w:r>
          </w:p>
        </w:tc>
      </w:tr>
      <w:tr>
        <w:trPr>
          <w:trHeight w:val="368" w:hRule="exact"/>
        </w:trPr>
        <w:tc>
          <w:tcPr>
            <w:tcW w:w="3421" w:type="dxa"/>
            <w:tcBorders>
              <w:top w:val="nil"/>
              <w:left w:val="nil"/>
              <w:bottom w:val="nil"/>
              <w:right w:val="nil"/>
            </w:tcBorders>
          </w:tcPr>
          <w:p>
            <w:pPr>
              <w:pStyle w:val="TableParagraph"/>
              <w:spacing w:before="30"/>
              <w:ind w:left="788" w:right="708"/>
              <w:rPr>
                <w:sz w:val="24"/>
              </w:rPr>
            </w:pPr>
            <w:r>
              <w:rPr>
                <w:sz w:val="24"/>
              </w:rPr>
              <w:t>9 días</w:t>
            </w:r>
          </w:p>
        </w:tc>
        <w:tc>
          <w:tcPr>
            <w:tcW w:w="2582" w:type="dxa"/>
            <w:tcBorders>
              <w:top w:val="nil"/>
              <w:left w:val="nil"/>
              <w:bottom w:val="nil"/>
              <w:right w:val="nil"/>
            </w:tcBorders>
          </w:tcPr>
          <w:p>
            <w:pPr>
              <w:pStyle w:val="TableParagraph"/>
              <w:spacing w:before="30"/>
              <w:ind w:left="70"/>
              <w:rPr>
                <w:sz w:val="24"/>
              </w:rPr>
            </w:pPr>
            <w:r>
              <w:rPr>
                <w:w w:val="99"/>
                <w:sz w:val="24"/>
              </w:rPr>
              <w:t>1</w:t>
            </w:r>
          </w:p>
        </w:tc>
        <w:tc>
          <w:tcPr>
            <w:tcW w:w="2480" w:type="dxa"/>
            <w:tcBorders>
              <w:top w:val="nil"/>
              <w:left w:val="nil"/>
              <w:bottom w:val="nil"/>
              <w:right w:val="nil"/>
            </w:tcBorders>
          </w:tcPr>
          <w:p>
            <w:pPr>
              <w:pStyle w:val="TableParagraph"/>
              <w:spacing w:before="30"/>
              <w:ind w:left="640" w:right="650"/>
              <w:rPr>
                <w:sz w:val="24"/>
              </w:rPr>
            </w:pPr>
            <w:r>
              <w:rPr>
                <w:sz w:val="24"/>
              </w:rPr>
              <w:t>3.3</w:t>
            </w:r>
          </w:p>
        </w:tc>
      </w:tr>
      <w:tr>
        <w:trPr>
          <w:trHeight w:val="365" w:hRule="exact"/>
        </w:trPr>
        <w:tc>
          <w:tcPr>
            <w:tcW w:w="3421" w:type="dxa"/>
            <w:tcBorders>
              <w:top w:val="nil"/>
              <w:left w:val="nil"/>
              <w:bottom w:val="nil"/>
              <w:right w:val="nil"/>
            </w:tcBorders>
          </w:tcPr>
          <w:p>
            <w:pPr>
              <w:pStyle w:val="TableParagraph"/>
              <w:spacing w:before="36"/>
              <w:ind w:left="788" w:right="708"/>
              <w:rPr>
                <w:sz w:val="24"/>
              </w:rPr>
            </w:pPr>
            <w:r>
              <w:rPr>
                <w:sz w:val="24"/>
              </w:rPr>
              <w:t>10 días</w:t>
            </w:r>
          </w:p>
        </w:tc>
        <w:tc>
          <w:tcPr>
            <w:tcW w:w="2582" w:type="dxa"/>
            <w:tcBorders>
              <w:top w:val="nil"/>
              <w:left w:val="nil"/>
              <w:bottom w:val="nil"/>
              <w:right w:val="nil"/>
            </w:tcBorders>
          </w:tcPr>
          <w:p>
            <w:pPr>
              <w:pStyle w:val="TableParagraph"/>
              <w:spacing w:before="36"/>
              <w:ind w:left="70"/>
              <w:rPr>
                <w:sz w:val="24"/>
              </w:rPr>
            </w:pPr>
            <w:r>
              <w:rPr>
                <w:w w:val="99"/>
                <w:sz w:val="24"/>
              </w:rPr>
              <w:t>4</w:t>
            </w:r>
          </w:p>
        </w:tc>
        <w:tc>
          <w:tcPr>
            <w:tcW w:w="2480" w:type="dxa"/>
            <w:tcBorders>
              <w:top w:val="nil"/>
              <w:left w:val="nil"/>
              <w:bottom w:val="nil"/>
              <w:right w:val="nil"/>
            </w:tcBorders>
          </w:tcPr>
          <w:p>
            <w:pPr>
              <w:pStyle w:val="TableParagraph"/>
              <w:spacing w:before="36"/>
              <w:ind w:left="640" w:right="650"/>
              <w:rPr>
                <w:sz w:val="24"/>
              </w:rPr>
            </w:pPr>
            <w:r>
              <w:rPr>
                <w:sz w:val="24"/>
              </w:rPr>
              <w:t>13.3</w:t>
            </w:r>
          </w:p>
        </w:tc>
      </w:tr>
      <w:tr>
        <w:trPr>
          <w:trHeight w:val="348" w:hRule="exact"/>
        </w:trPr>
        <w:tc>
          <w:tcPr>
            <w:tcW w:w="3421" w:type="dxa"/>
            <w:tcBorders>
              <w:top w:val="nil"/>
              <w:left w:val="nil"/>
              <w:right w:val="nil"/>
            </w:tcBorders>
          </w:tcPr>
          <w:p>
            <w:pPr>
              <w:pStyle w:val="TableParagraph"/>
              <w:spacing w:before="27"/>
              <w:ind w:left="787" w:right="711"/>
              <w:rPr>
                <w:sz w:val="24"/>
              </w:rPr>
            </w:pPr>
            <w:r>
              <w:rPr>
                <w:sz w:val="24"/>
              </w:rPr>
              <w:t>Más de 10 días</w:t>
            </w:r>
          </w:p>
        </w:tc>
        <w:tc>
          <w:tcPr>
            <w:tcW w:w="2582" w:type="dxa"/>
            <w:tcBorders>
              <w:top w:val="nil"/>
              <w:left w:val="nil"/>
              <w:right w:val="nil"/>
            </w:tcBorders>
          </w:tcPr>
          <w:p>
            <w:pPr>
              <w:pStyle w:val="TableParagraph"/>
              <w:spacing w:before="27"/>
              <w:ind w:left="70"/>
              <w:rPr>
                <w:sz w:val="24"/>
              </w:rPr>
            </w:pPr>
            <w:r>
              <w:rPr>
                <w:w w:val="99"/>
                <w:sz w:val="24"/>
              </w:rPr>
              <w:t>1</w:t>
            </w:r>
          </w:p>
        </w:tc>
        <w:tc>
          <w:tcPr>
            <w:tcW w:w="2480" w:type="dxa"/>
            <w:tcBorders>
              <w:top w:val="nil"/>
              <w:left w:val="nil"/>
              <w:right w:val="nil"/>
            </w:tcBorders>
          </w:tcPr>
          <w:p>
            <w:pPr>
              <w:pStyle w:val="TableParagraph"/>
              <w:spacing w:before="27"/>
              <w:ind w:left="640" w:right="650"/>
              <w:rPr>
                <w:sz w:val="24"/>
              </w:rPr>
            </w:pPr>
            <w:r>
              <w:rPr>
                <w:sz w:val="24"/>
              </w:rPr>
              <w:t>3.3</w:t>
            </w:r>
          </w:p>
        </w:tc>
      </w:tr>
      <w:tr>
        <w:trPr>
          <w:trHeight w:val="373" w:hRule="exact"/>
        </w:trPr>
        <w:tc>
          <w:tcPr>
            <w:tcW w:w="3421" w:type="dxa"/>
            <w:tcBorders>
              <w:left w:val="nil"/>
              <w:right w:val="nil"/>
            </w:tcBorders>
            <w:shd w:val="clear" w:color="auto" w:fill="99CC00"/>
          </w:tcPr>
          <w:p>
            <w:pPr>
              <w:pStyle w:val="TableParagraph"/>
              <w:spacing w:before="39"/>
              <w:ind w:left="786" w:right="711"/>
              <w:rPr>
                <w:b/>
                <w:sz w:val="24"/>
              </w:rPr>
            </w:pPr>
            <w:r>
              <w:rPr>
                <w:b/>
                <w:sz w:val="24"/>
              </w:rPr>
              <w:t>Total</w:t>
            </w:r>
          </w:p>
        </w:tc>
        <w:tc>
          <w:tcPr>
            <w:tcW w:w="2582" w:type="dxa"/>
            <w:tcBorders>
              <w:left w:val="nil"/>
              <w:right w:val="nil"/>
            </w:tcBorders>
            <w:shd w:val="clear" w:color="auto" w:fill="99CC00"/>
          </w:tcPr>
          <w:p>
            <w:pPr>
              <w:pStyle w:val="TableParagraph"/>
              <w:spacing w:before="39"/>
              <w:ind w:left="712" w:right="641"/>
              <w:rPr>
                <w:sz w:val="24"/>
              </w:rPr>
            </w:pPr>
            <w:r>
              <w:rPr>
                <w:sz w:val="24"/>
              </w:rPr>
              <w:t>30</w:t>
            </w:r>
          </w:p>
        </w:tc>
        <w:tc>
          <w:tcPr>
            <w:tcW w:w="2480" w:type="dxa"/>
            <w:tcBorders>
              <w:left w:val="nil"/>
              <w:right w:val="nil"/>
            </w:tcBorders>
            <w:shd w:val="clear" w:color="auto" w:fill="99CC00"/>
          </w:tcPr>
          <w:p>
            <w:pPr>
              <w:pStyle w:val="TableParagraph"/>
              <w:spacing w:before="39"/>
              <w:ind w:left="640" w:right="650"/>
              <w:rPr>
                <w:sz w:val="24"/>
              </w:rPr>
            </w:pPr>
            <w:r>
              <w:rPr>
                <w:sz w:val="24"/>
              </w:rPr>
              <w:t>100</w:t>
            </w:r>
          </w:p>
        </w:tc>
      </w:tr>
    </w:tbl>
    <w:p>
      <w:pPr>
        <w:pStyle w:val="BodyText"/>
        <w:spacing w:before="1"/>
        <w:rPr>
          <w:b/>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47"/>
        <w:gridCol w:w="3180"/>
        <w:gridCol w:w="2581"/>
      </w:tblGrid>
      <w:tr>
        <w:trPr>
          <w:trHeight w:val="410" w:hRule="exact"/>
        </w:trPr>
        <w:tc>
          <w:tcPr>
            <w:tcW w:w="8507" w:type="dxa"/>
            <w:gridSpan w:val="3"/>
            <w:tcBorders>
              <w:left w:val="nil"/>
              <w:right w:val="nil"/>
            </w:tcBorders>
          </w:tcPr>
          <w:p>
            <w:pPr>
              <w:pStyle w:val="TableParagraph"/>
              <w:spacing w:before="58"/>
              <w:ind w:left="2580"/>
              <w:jc w:val="left"/>
              <w:rPr>
                <w:b/>
                <w:sz w:val="24"/>
              </w:rPr>
            </w:pPr>
            <w:r>
              <w:rPr>
                <w:b/>
                <w:sz w:val="24"/>
              </w:rPr>
              <w:t>Medidas de tendencia central</w:t>
            </w:r>
          </w:p>
        </w:tc>
      </w:tr>
      <w:tr>
        <w:trPr>
          <w:trHeight w:val="394" w:hRule="exact"/>
        </w:trPr>
        <w:tc>
          <w:tcPr>
            <w:tcW w:w="2747" w:type="dxa"/>
            <w:tcBorders>
              <w:left w:val="nil"/>
              <w:right w:val="nil"/>
            </w:tcBorders>
            <w:shd w:val="clear" w:color="auto" w:fill="99CC00"/>
          </w:tcPr>
          <w:p>
            <w:pPr>
              <w:pStyle w:val="TableParagraph"/>
              <w:spacing w:before="51"/>
              <w:ind w:left="919" w:right="1106"/>
              <w:rPr>
                <w:b/>
                <w:sz w:val="24"/>
              </w:rPr>
            </w:pPr>
            <w:r>
              <w:rPr>
                <w:b/>
                <w:sz w:val="24"/>
              </w:rPr>
              <w:t>Media</w:t>
            </w:r>
          </w:p>
        </w:tc>
        <w:tc>
          <w:tcPr>
            <w:tcW w:w="3180" w:type="dxa"/>
            <w:tcBorders>
              <w:left w:val="nil"/>
              <w:right w:val="nil"/>
            </w:tcBorders>
            <w:shd w:val="clear" w:color="auto" w:fill="99CC00"/>
          </w:tcPr>
          <w:p>
            <w:pPr>
              <w:pStyle w:val="TableParagraph"/>
              <w:spacing w:before="51"/>
              <w:ind w:left="1108" w:right="1071"/>
              <w:rPr>
                <w:b/>
                <w:sz w:val="24"/>
              </w:rPr>
            </w:pPr>
            <w:r>
              <w:rPr>
                <w:b/>
                <w:sz w:val="24"/>
              </w:rPr>
              <w:t>Mediana</w:t>
            </w:r>
          </w:p>
        </w:tc>
        <w:tc>
          <w:tcPr>
            <w:tcW w:w="2581" w:type="dxa"/>
            <w:tcBorders>
              <w:left w:val="nil"/>
              <w:right w:val="nil"/>
            </w:tcBorders>
            <w:shd w:val="clear" w:color="auto" w:fill="99CC00"/>
          </w:tcPr>
          <w:p>
            <w:pPr>
              <w:pStyle w:val="TableParagraph"/>
              <w:spacing w:before="51"/>
              <w:ind w:left="1070" w:right="844"/>
              <w:rPr>
                <w:b/>
                <w:sz w:val="24"/>
              </w:rPr>
            </w:pPr>
            <w:r>
              <w:rPr>
                <w:b/>
                <w:sz w:val="24"/>
              </w:rPr>
              <w:t>Moda</w:t>
            </w:r>
          </w:p>
        </w:tc>
      </w:tr>
      <w:tr>
        <w:trPr>
          <w:trHeight w:val="374" w:hRule="exact"/>
        </w:trPr>
        <w:tc>
          <w:tcPr>
            <w:tcW w:w="2747" w:type="dxa"/>
            <w:tcBorders>
              <w:left w:val="nil"/>
              <w:right w:val="nil"/>
            </w:tcBorders>
          </w:tcPr>
          <w:p>
            <w:pPr>
              <w:pStyle w:val="TableParagraph"/>
              <w:spacing w:before="39"/>
              <w:ind w:left="919" w:right="1106"/>
              <w:rPr>
                <w:sz w:val="24"/>
              </w:rPr>
            </w:pPr>
            <w:r>
              <w:rPr>
                <w:sz w:val="24"/>
              </w:rPr>
              <w:t>7.23</w:t>
            </w:r>
          </w:p>
        </w:tc>
        <w:tc>
          <w:tcPr>
            <w:tcW w:w="3180" w:type="dxa"/>
            <w:tcBorders>
              <w:left w:val="nil"/>
              <w:right w:val="nil"/>
            </w:tcBorders>
          </w:tcPr>
          <w:p>
            <w:pPr>
              <w:pStyle w:val="TableParagraph"/>
              <w:spacing w:before="39"/>
              <w:ind w:left="35"/>
              <w:rPr>
                <w:sz w:val="24"/>
              </w:rPr>
            </w:pPr>
            <w:r>
              <w:rPr>
                <w:w w:val="99"/>
                <w:sz w:val="24"/>
              </w:rPr>
              <w:t>7</w:t>
            </w:r>
          </w:p>
        </w:tc>
        <w:tc>
          <w:tcPr>
            <w:tcW w:w="2581" w:type="dxa"/>
            <w:tcBorders>
              <w:left w:val="nil"/>
              <w:right w:val="nil"/>
            </w:tcBorders>
          </w:tcPr>
          <w:p>
            <w:pPr>
              <w:pStyle w:val="TableParagraph"/>
              <w:spacing w:before="39"/>
              <w:ind w:left="227"/>
              <w:rPr>
                <w:sz w:val="24"/>
              </w:rPr>
            </w:pPr>
            <w:r>
              <w:rPr>
                <w:w w:val="99"/>
                <w:sz w:val="24"/>
              </w:rPr>
              <w:t>6</w:t>
            </w:r>
          </w:p>
        </w:tc>
      </w:tr>
    </w:tbl>
    <w:p>
      <w:pPr>
        <w:pStyle w:val="BodyText"/>
        <w:rPr>
          <w:b/>
        </w:r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76"/>
        <w:gridCol w:w="4339"/>
      </w:tblGrid>
      <w:tr>
        <w:trPr>
          <w:trHeight w:val="420" w:hRule="exact"/>
        </w:trPr>
        <w:tc>
          <w:tcPr>
            <w:tcW w:w="8514" w:type="dxa"/>
            <w:gridSpan w:val="2"/>
            <w:tcBorders>
              <w:left w:val="nil"/>
              <w:bottom w:val="thickThinMediumGap" w:sz="10" w:space="0" w:color="99CC00"/>
              <w:right w:val="nil"/>
            </w:tcBorders>
          </w:tcPr>
          <w:p>
            <w:pPr>
              <w:pStyle w:val="TableParagraph"/>
              <w:spacing w:before="41"/>
              <w:ind w:left="2943" w:right="2944"/>
              <w:rPr>
                <w:b/>
                <w:sz w:val="24"/>
              </w:rPr>
            </w:pPr>
            <w:r>
              <w:rPr>
                <w:b/>
                <w:sz w:val="24"/>
              </w:rPr>
              <w:t>Medidas de dispersión</w:t>
            </w:r>
          </w:p>
        </w:tc>
      </w:tr>
      <w:tr>
        <w:trPr>
          <w:trHeight w:val="319" w:hRule="exact"/>
        </w:trPr>
        <w:tc>
          <w:tcPr>
            <w:tcW w:w="4176" w:type="dxa"/>
            <w:tcBorders>
              <w:left w:val="nil"/>
              <w:right w:val="nil"/>
            </w:tcBorders>
            <w:shd w:val="clear" w:color="auto" w:fill="99CC00"/>
          </w:tcPr>
          <w:p>
            <w:pPr>
              <w:pStyle w:val="TableParagraph"/>
              <w:spacing w:line="267" w:lineRule="exact"/>
              <w:ind w:left="1620" w:right="1674"/>
              <w:rPr>
                <w:b/>
                <w:sz w:val="24"/>
              </w:rPr>
            </w:pPr>
            <w:r>
              <w:rPr>
                <w:b/>
                <w:sz w:val="24"/>
              </w:rPr>
              <w:t>Mínimo</w:t>
            </w:r>
          </w:p>
        </w:tc>
        <w:tc>
          <w:tcPr>
            <w:tcW w:w="4339" w:type="dxa"/>
            <w:tcBorders>
              <w:left w:val="nil"/>
              <w:right w:val="nil"/>
            </w:tcBorders>
            <w:shd w:val="clear" w:color="auto" w:fill="99CC00"/>
          </w:tcPr>
          <w:p>
            <w:pPr>
              <w:pStyle w:val="TableParagraph"/>
              <w:spacing w:line="267" w:lineRule="exact"/>
              <w:ind w:left="1677" w:right="1727"/>
              <w:rPr>
                <w:b/>
                <w:sz w:val="24"/>
              </w:rPr>
            </w:pPr>
            <w:r>
              <w:rPr>
                <w:b/>
                <w:sz w:val="24"/>
              </w:rPr>
              <w:t>Máximo</w:t>
            </w:r>
          </w:p>
        </w:tc>
      </w:tr>
      <w:tr>
        <w:trPr>
          <w:trHeight w:val="346" w:hRule="exact"/>
        </w:trPr>
        <w:tc>
          <w:tcPr>
            <w:tcW w:w="4176" w:type="dxa"/>
            <w:tcBorders>
              <w:left w:val="nil"/>
              <w:right w:val="nil"/>
            </w:tcBorders>
          </w:tcPr>
          <w:p>
            <w:pPr>
              <w:pStyle w:val="TableParagraph"/>
              <w:spacing w:before="27"/>
              <w:ind w:right="54"/>
              <w:rPr>
                <w:sz w:val="24"/>
              </w:rPr>
            </w:pPr>
            <w:r>
              <w:rPr>
                <w:w w:val="99"/>
                <w:sz w:val="24"/>
              </w:rPr>
              <w:t>5</w:t>
            </w:r>
          </w:p>
        </w:tc>
        <w:tc>
          <w:tcPr>
            <w:tcW w:w="4339" w:type="dxa"/>
            <w:tcBorders>
              <w:left w:val="nil"/>
              <w:right w:val="nil"/>
            </w:tcBorders>
          </w:tcPr>
          <w:p>
            <w:pPr>
              <w:pStyle w:val="TableParagraph"/>
              <w:spacing w:before="27"/>
              <w:ind w:left="1675" w:right="1727"/>
              <w:rPr>
                <w:sz w:val="24"/>
              </w:rPr>
            </w:pPr>
            <w:r>
              <w:rPr>
                <w:sz w:val="24"/>
              </w:rPr>
              <w:t>15</w:t>
            </w:r>
          </w:p>
        </w:tc>
      </w:tr>
    </w:tbl>
    <w:p>
      <w:pPr>
        <w:pStyle w:val="BodyText"/>
        <w:rPr>
          <w:b/>
          <w:sz w:val="20"/>
        </w:rPr>
      </w:pPr>
    </w:p>
    <w:p>
      <w:pPr>
        <w:pStyle w:val="BodyText"/>
        <w:spacing w:before="4"/>
        <w:rPr>
          <w:b/>
          <w:sz w:val="11"/>
        </w:rPr>
      </w:pPr>
      <w:r>
        <w:rPr/>
        <w:pict>
          <v:group style="position:absolute;margin-left:133.425003pt;margin-top:8.473976pt;width:396.05pt;height:184.1pt;mso-position-horizontal-relative:page;mso-position-vertical-relative:paragraph;z-index:2584;mso-wrap-distance-left:0;mso-wrap-distance-right:0" coordorigin="2669,169" coordsize="7921,3682">
            <v:shape style="position:absolute;left:3307;top:1261;width:5683;height:2251" type="#_x0000_t75" stroked="false">
              <v:imagedata r:id="rId58" o:title=""/>
            </v:shape>
            <v:rect style="position:absolute;left:9422;top:382;width:110;height:110" filled="true" fillcolor="#4571a7" stroked="false">
              <v:fill type="solid"/>
            </v:rect>
            <v:rect style="position:absolute;left:9422;top:841;width:110;height:110" filled="true" fillcolor="#aa4643" stroked="false">
              <v:fill type="solid"/>
            </v:rect>
            <v:rect style="position:absolute;left:9422;top:1300;width:110;height:110" filled="true" fillcolor="#88a44e" stroked="false">
              <v:fill type="solid"/>
            </v:rect>
            <v:rect style="position:absolute;left:9422;top:1759;width:110;height:110" filled="true" fillcolor="#70578f" stroked="false">
              <v:fill type="solid"/>
            </v:rect>
            <v:rect style="position:absolute;left:9422;top:2218;width:110;height:110" filled="true" fillcolor="#4197ae" stroked="false">
              <v:fill type="solid"/>
            </v:rect>
            <v:rect style="position:absolute;left:9422;top:2678;width:110;height:110" filled="true" fillcolor="#db843c" stroked="false">
              <v:fill type="solid"/>
            </v:rect>
            <v:rect style="position:absolute;left:9422;top:3137;width:110;height:110" filled="true" fillcolor="#92a9cf" stroked="false">
              <v:fill type="solid"/>
            </v:rect>
            <v:rect style="position:absolute;left:2676;top:177;width:7906;height:3667" filled="false" stroked="true" strokeweight=".75pt" strokecolor="#858585"/>
            <v:shape style="position:absolute;left:3776;top:400;width:5570;height:430" type="#_x0000_t202" filled="false" stroked="false">
              <v:textbox inset="0,0,0,0">
                <w:txbxContent>
                  <w:p>
                    <w:pPr>
                      <w:spacing w:line="204" w:lineRule="exact" w:before="0"/>
                      <w:ind w:left="0" w:right="0" w:firstLine="0"/>
                      <w:jc w:val="center"/>
                      <w:rPr>
                        <w:b/>
                        <w:sz w:val="20"/>
                      </w:rPr>
                    </w:pPr>
                    <w:r>
                      <w:rPr>
                        <w:b/>
                        <w:sz w:val="20"/>
                      </w:rPr>
                      <w:t>Gráfica No. 12</w:t>
                    </w:r>
                  </w:p>
                  <w:p>
                    <w:pPr>
                      <w:spacing w:line="225" w:lineRule="exact" w:before="0"/>
                      <w:ind w:left="0" w:right="0" w:firstLine="0"/>
                      <w:jc w:val="center"/>
                      <w:rPr>
                        <w:b/>
                        <w:sz w:val="20"/>
                      </w:rPr>
                    </w:pPr>
                    <w:r>
                      <w:rPr>
                        <w:b/>
                        <w:sz w:val="20"/>
                      </w:rPr>
                      <w:t>Días de estancia hospitalaria de los adultos mayores.</w:t>
                    </w:r>
                    <w:r>
                      <w:rPr>
                        <w:b/>
                        <w:spacing w:val="-26"/>
                        <w:sz w:val="20"/>
                      </w:rPr>
                      <w:t> </w:t>
                    </w:r>
                    <w:r>
                      <w:rPr>
                        <w:b/>
                        <w:sz w:val="20"/>
                      </w:rPr>
                      <w:t>2014</w:t>
                    </w:r>
                  </w:p>
                </w:txbxContent>
              </v:textbox>
              <w10:wrap type="none"/>
            </v:shape>
            <v:shape style="position:absolute;left:9581;top:345;width:472;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5 días</w:t>
                    </w:r>
                  </w:p>
                </w:txbxContent>
              </v:textbox>
              <w10:wrap type="none"/>
            </v:shape>
            <v:shape style="position:absolute;left:9581;top:805;width:843;height:2741" type="#_x0000_t202" filled="false" stroked="false">
              <v:textbox inset="0,0,0,0">
                <w:txbxContent>
                  <w:p>
                    <w:pPr>
                      <w:numPr>
                        <w:ilvl w:val="0"/>
                        <w:numId w:val="5"/>
                      </w:numPr>
                      <w:tabs>
                        <w:tab w:pos="146" w:val="left" w:leader="none"/>
                      </w:tabs>
                      <w:spacing w:line="203" w:lineRule="exact" w:before="0"/>
                      <w:ind w:left="146" w:right="0" w:hanging="146"/>
                      <w:jc w:val="left"/>
                      <w:rPr>
                        <w:rFonts w:ascii="Calibri" w:hAnsi="Calibri"/>
                        <w:sz w:val="20"/>
                      </w:rPr>
                    </w:pPr>
                    <w:r>
                      <w:rPr>
                        <w:rFonts w:ascii="Calibri" w:hAnsi="Calibri"/>
                        <w:sz w:val="20"/>
                      </w:rPr>
                      <w:t>días</w:t>
                    </w:r>
                  </w:p>
                  <w:p>
                    <w:pPr>
                      <w:spacing w:line="240" w:lineRule="auto" w:before="7"/>
                      <w:rPr>
                        <w:b/>
                        <w:sz w:val="18"/>
                      </w:rPr>
                    </w:pPr>
                  </w:p>
                  <w:p>
                    <w:pPr>
                      <w:numPr>
                        <w:ilvl w:val="0"/>
                        <w:numId w:val="5"/>
                      </w:numPr>
                      <w:tabs>
                        <w:tab w:pos="146" w:val="left" w:leader="none"/>
                      </w:tabs>
                      <w:spacing w:before="0"/>
                      <w:ind w:left="146" w:right="0" w:hanging="146"/>
                      <w:jc w:val="left"/>
                      <w:rPr>
                        <w:rFonts w:ascii="Calibri" w:hAnsi="Calibri"/>
                        <w:sz w:val="20"/>
                      </w:rPr>
                    </w:pPr>
                    <w:r>
                      <w:rPr>
                        <w:rFonts w:ascii="Calibri" w:hAnsi="Calibri"/>
                        <w:sz w:val="20"/>
                      </w:rPr>
                      <w:t>días</w:t>
                    </w:r>
                  </w:p>
                  <w:p>
                    <w:pPr>
                      <w:spacing w:line="240" w:lineRule="auto" w:before="8"/>
                      <w:rPr>
                        <w:b/>
                        <w:sz w:val="18"/>
                      </w:rPr>
                    </w:pPr>
                  </w:p>
                  <w:p>
                    <w:pPr>
                      <w:numPr>
                        <w:ilvl w:val="0"/>
                        <w:numId w:val="5"/>
                      </w:numPr>
                      <w:tabs>
                        <w:tab w:pos="146" w:val="left" w:leader="none"/>
                      </w:tabs>
                      <w:spacing w:before="0"/>
                      <w:ind w:left="146" w:right="0" w:hanging="146"/>
                      <w:jc w:val="left"/>
                      <w:rPr>
                        <w:rFonts w:ascii="Calibri" w:hAnsi="Calibri"/>
                        <w:sz w:val="20"/>
                      </w:rPr>
                    </w:pPr>
                    <w:r>
                      <w:rPr>
                        <w:rFonts w:ascii="Calibri" w:hAnsi="Calibri"/>
                        <w:sz w:val="20"/>
                      </w:rPr>
                      <w:t>días</w:t>
                    </w:r>
                  </w:p>
                  <w:p>
                    <w:pPr>
                      <w:spacing w:line="240" w:lineRule="auto" w:before="8"/>
                      <w:rPr>
                        <w:b/>
                        <w:sz w:val="18"/>
                      </w:rPr>
                    </w:pPr>
                  </w:p>
                  <w:p>
                    <w:pPr>
                      <w:numPr>
                        <w:ilvl w:val="0"/>
                        <w:numId w:val="5"/>
                      </w:numPr>
                      <w:tabs>
                        <w:tab w:pos="146" w:val="left" w:leader="none"/>
                      </w:tabs>
                      <w:spacing w:before="0"/>
                      <w:ind w:left="146" w:right="0" w:hanging="146"/>
                      <w:jc w:val="left"/>
                      <w:rPr>
                        <w:rFonts w:ascii="Calibri" w:hAnsi="Calibri"/>
                        <w:sz w:val="20"/>
                      </w:rPr>
                    </w:pPr>
                    <w:r>
                      <w:rPr>
                        <w:rFonts w:ascii="Calibri" w:hAnsi="Calibri"/>
                        <w:sz w:val="20"/>
                      </w:rPr>
                      <w:t>días</w:t>
                    </w:r>
                  </w:p>
                  <w:p>
                    <w:pPr>
                      <w:spacing w:line="240" w:lineRule="auto" w:before="8"/>
                      <w:rPr>
                        <w:b/>
                        <w:sz w:val="18"/>
                      </w:rPr>
                    </w:pPr>
                  </w:p>
                  <w:p>
                    <w:pPr>
                      <w:numPr>
                        <w:ilvl w:val="0"/>
                        <w:numId w:val="5"/>
                      </w:numPr>
                      <w:tabs>
                        <w:tab w:pos="247" w:val="left" w:leader="none"/>
                      </w:tabs>
                      <w:spacing w:before="0"/>
                      <w:ind w:left="247" w:right="0" w:hanging="247"/>
                      <w:jc w:val="left"/>
                      <w:rPr>
                        <w:rFonts w:ascii="Calibri" w:hAnsi="Calibri"/>
                        <w:sz w:val="20"/>
                      </w:rPr>
                    </w:pPr>
                    <w:r>
                      <w:rPr>
                        <w:rFonts w:ascii="Calibri" w:hAnsi="Calibri"/>
                        <w:sz w:val="20"/>
                      </w:rPr>
                      <w:t>días</w:t>
                    </w:r>
                  </w:p>
                  <w:p>
                    <w:pPr>
                      <w:spacing w:line="240" w:lineRule="auto" w:before="7"/>
                      <w:rPr>
                        <w:b/>
                        <w:sz w:val="18"/>
                      </w:rPr>
                    </w:pPr>
                  </w:p>
                  <w:p>
                    <w:pPr>
                      <w:spacing w:before="0"/>
                      <w:ind w:left="0" w:right="-20" w:firstLine="0"/>
                      <w:jc w:val="left"/>
                      <w:rPr>
                        <w:rFonts w:ascii="Calibri" w:hAnsi="Calibri"/>
                        <w:sz w:val="20"/>
                      </w:rPr>
                    </w:pPr>
                    <w:r>
                      <w:rPr>
                        <w:rFonts w:ascii="Calibri" w:hAnsi="Calibri"/>
                        <w:sz w:val="20"/>
                      </w:rPr>
                      <w:t>Más de 10 días</w:t>
                    </w:r>
                  </w:p>
                </w:txbxContent>
              </v:textbox>
              <w10:wrap type="none"/>
            </v:shape>
            <w10:wrap type="topAndBottom"/>
          </v:group>
        </w:pict>
      </w:r>
    </w:p>
    <w:p>
      <w:pPr>
        <w:spacing w:before="27"/>
        <w:ind w:left="930" w:right="230" w:firstLine="0"/>
        <w:jc w:val="left"/>
        <w:rPr>
          <w:sz w:val="20"/>
        </w:rPr>
      </w:pPr>
      <w:r>
        <w:rPr>
          <w:sz w:val="20"/>
        </w:rPr>
        <w:t>Fuente: Tabla No. 12</w:t>
      </w:r>
    </w:p>
    <w:p>
      <w:pPr>
        <w:spacing w:after="0"/>
        <w:jc w:val="left"/>
        <w:rPr>
          <w:sz w:val="20"/>
        </w:rPr>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99"/>
        <w:jc w:val="both"/>
      </w:pPr>
      <w:r>
        <w:rPr/>
        <w:t>En la tabla número 12 se observa que el tiempo máximo de estancia de los pacientes fue de 6 y 7 días en un 23.4% respectivamente, con una estancia media de 7 días, lo cual contrasta con lo descrito por el observatorio del desempeño hospitalario (2011), que enuncia, un promedio de estancia hospitalaria de seis días, dicha cifra, se puede elevar a ocho en caso de hombres y disminuye a 5 en mujeres. A su vez se encontró que los pacientes con una estancia de 9 y más de 10 días, representan un 3.3% cada uno, con un rango mínimo de 5 días acorde a los criterios de inclusión y una estancia máxima de 15 días de hospitalización; en tanto el Instituto de Geriatría en 2010 reporta que un 7.3% de la población mayor a 60 años fue hospitalizada 1.7 veces al año, con una estancia promedio de 8.3 días por padecimientos  crónicos o</w:t>
      </w:r>
      <w:r>
        <w:rPr>
          <w:spacing w:val="-5"/>
        </w:rPr>
        <w:t> </w:t>
      </w:r>
      <w:r>
        <w:rPr/>
        <w:t>cirugía.</w:t>
      </w:r>
    </w:p>
    <w:p>
      <w:pPr>
        <w:spacing w:after="0" w:line="360" w:lineRule="auto"/>
        <w:jc w:val="both"/>
        <w:sectPr>
          <w:pgSz w:w="12250" w:h="15850"/>
          <w:pgMar w:header="748" w:footer="1122" w:top="1260" w:bottom="1320" w:left="1720" w:right="1240"/>
        </w:sectPr>
      </w:pPr>
    </w:p>
    <w:p>
      <w:pPr>
        <w:pStyle w:val="BodyText"/>
        <w:rPr>
          <w:sz w:val="20"/>
        </w:rPr>
      </w:pPr>
      <w:r>
        <w:rPr/>
        <w:pict>
          <v:rect style="position:absolute;margin-left:409.350006pt;margin-top:417.966492pt;width:5.0535pt;height:5.0535pt;mso-position-horizontal-relative:page;mso-position-vertical-relative:page;z-index:-173368" filled="true" fillcolor="#4571a7" stroked="false">
            <v:fill type="solid"/>
            <w10:wrap type="none"/>
          </v:rect>
        </w:pict>
      </w:r>
      <w:r>
        <w:rPr/>
        <w:pict>
          <v:rect style="position:absolute;margin-left:409.350006pt;margin-top:437.686493pt;width:5.0535pt;height:5.0535pt;mso-position-horizontal-relative:page;mso-position-vertical-relative:page;z-index:-173344" filled="true" fillcolor="#aa4643" stroked="false">
            <v:fill type="solid"/>
            <w10:wrap type="none"/>
          </v:rect>
        </w:pict>
      </w:r>
      <w:r>
        <w:rPr/>
        <w:pict>
          <v:rect style="position:absolute;margin-left:409.350006pt;margin-top:457.406494pt;width:5.0535pt;height:5.0535pt;mso-position-horizontal-relative:page;mso-position-vertical-relative:page;z-index:-173320" filled="true" fillcolor="#88a44e" stroked="false">
            <v:fill type="solid"/>
            <w10:wrap type="none"/>
          </v:rect>
        </w:pict>
      </w:r>
    </w:p>
    <w:p>
      <w:pPr>
        <w:pStyle w:val="BodyText"/>
        <w:rPr>
          <w:sz w:val="20"/>
        </w:rPr>
      </w:pPr>
    </w:p>
    <w:p>
      <w:pPr>
        <w:pStyle w:val="BodyText"/>
        <w:spacing w:before="5"/>
        <w:rPr>
          <w:sz w:val="21"/>
        </w:rPr>
      </w:pPr>
    </w:p>
    <w:p>
      <w:pPr>
        <w:pStyle w:val="Heading2"/>
        <w:spacing w:line="360" w:lineRule="auto"/>
        <w:ind w:right="200"/>
      </w:pPr>
      <w:r>
        <w:rPr>
          <w:b w:val="0"/>
        </w:rPr>
        <w:t>Tabla No. 13. </w:t>
      </w:r>
      <w:r>
        <w:rPr/>
        <w:t>Diagnósticos médicos encontrados en los adultos mayores hospitalizados,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6"/>
        <w:gridCol w:w="2100"/>
        <w:gridCol w:w="1899"/>
      </w:tblGrid>
      <w:tr>
        <w:trPr>
          <w:trHeight w:val="432" w:hRule="exact"/>
        </w:trPr>
        <w:tc>
          <w:tcPr>
            <w:tcW w:w="4546" w:type="dxa"/>
            <w:tcBorders>
              <w:left w:val="nil"/>
              <w:right w:val="nil"/>
            </w:tcBorders>
            <w:shd w:val="clear" w:color="auto" w:fill="99CC00"/>
          </w:tcPr>
          <w:p>
            <w:pPr>
              <w:pStyle w:val="TableParagraph"/>
              <w:spacing w:before="70"/>
              <w:ind w:left="702" w:right="519"/>
              <w:rPr>
                <w:b/>
                <w:sz w:val="24"/>
              </w:rPr>
            </w:pPr>
            <w:r>
              <w:rPr>
                <w:b/>
                <w:sz w:val="24"/>
              </w:rPr>
              <w:t>Diagnóstico médico</w:t>
            </w:r>
          </w:p>
        </w:tc>
        <w:tc>
          <w:tcPr>
            <w:tcW w:w="2100" w:type="dxa"/>
            <w:tcBorders>
              <w:left w:val="nil"/>
              <w:right w:val="nil"/>
            </w:tcBorders>
            <w:shd w:val="clear" w:color="auto" w:fill="99CC00"/>
          </w:tcPr>
          <w:p>
            <w:pPr>
              <w:pStyle w:val="TableParagraph"/>
              <w:spacing w:before="70"/>
              <w:ind w:left="520" w:right="351"/>
              <w:rPr>
                <w:sz w:val="24"/>
              </w:rPr>
            </w:pPr>
            <w:r>
              <w:rPr>
                <w:sz w:val="24"/>
              </w:rPr>
              <w:t>Frecuencia</w:t>
            </w:r>
          </w:p>
        </w:tc>
        <w:tc>
          <w:tcPr>
            <w:tcW w:w="1899" w:type="dxa"/>
            <w:tcBorders>
              <w:left w:val="nil"/>
              <w:right w:val="nil"/>
            </w:tcBorders>
            <w:shd w:val="clear" w:color="auto" w:fill="99CC00"/>
          </w:tcPr>
          <w:p>
            <w:pPr>
              <w:pStyle w:val="TableParagraph"/>
              <w:spacing w:before="70"/>
              <w:ind w:left="352" w:right="360"/>
              <w:rPr>
                <w:sz w:val="24"/>
              </w:rPr>
            </w:pPr>
            <w:r>
              <w:rPr>
                <w:sz w:val="24"/>
              </w:rPr>
              <w:t>Porcentaje</w:t>
            </w:r>
          </w:p>
        </w:tc>
      </w:tr>
      <w:tr>
        <w:trPr>
          <w:trHeight w:val="412" w:hRule="exact"/>
        </w:trPr>
        <w:tc>
          <w:tcPr>
            <w:tcW w:w="4546" w:type="dxa"/>
            <w:tcBorders>
              <w:left w:val="nil"/>
              <w:bottom w:val="nil"/>
              <w:right w:val="nil"/>
            </w:tcBorders>
          </w:tcPr>
          <w:p>
            <w:pPr>
              <w:pStyle w:val="TableParagraph"/>
              <w:spacing w:before="60"/>
              <w:ind w:left="702" w:right="519"/>
              <w:rPr>
                <w:b/>
                <w:sz w:val="24"/>
              </w:rPr>
            </w:pPr>
            <w:r>
              <w:rPr>
                <w:b/>
                <w:sz w:val="24"/>
              </w:rPr>
              <w:t>Insuficiencia renal crónica</w:t>
            </w:r>
          </w:p>
        </w:tc>
        <w:tc>
          <w:tcPr>
            <w:tcW w:w="2100" w:type="dxa"/>
            <w:tcBorders>
              <w:left w:val="nil"/>
              <w:bottom w:val="nil"/>
              <w:right w:val="nil"/>
            </w:tcBorders>
          </w:tcPr>
          <w:p>
            <w:pPr>
              <w:pStyle w:val="TableParagraph"/>
              <w:spacing w:before="60"/>
              <w:ind w:left="520" w:right="349"/>
              <w:rPr>
                <w:b/>
                <w:sz w:val="24"/>
              </w:rPr>
            </w:pPr>
            <w:r>
              <w:rPr>
                <w:b/>
                <w:sz w:val="24"/>
              </w:rPr>
              <w:t>12</w:t>
            </w:r>
          </w:p>
        </w:tc>
        <w:tc>
          <w:tcPr>
            <w:tcW w:w="1899" w:type="dxa"/>
            <w:tcBorders>
              <w:left w:val="nil"/>
              <w:bottom w:val="nil"/>
              <w:right w:val="nil"/>
            </w:tcBorders>
          </w:tcPr>
          <w:p>
            <w:pPr>
              <w:pStyle w:val="TableParagraph"/>
              <w:spacing w:before="60"/>
              <w:ind w:left="352" w:right="356"/>
              <w:rPr>
                <w:b/>
                <w:sz w:val="24"/>
              </w:rPr>
            </w:pPr>
            <w:r>
              <w:rPr>
                <w:b/>
                <w:sz w:val="24"/>
              </w:rPr>
              <w:t>40</w:t>
            </w:r>
          </w:p>
        </w:tc>
      </w:tr>
      <w:tr>
        <w:trPr>
          <w:trHeight w:val="393" w:hRule="exact"/>
        </w:trPr>
        <w:tc>
          <w:tcPr>
            <w:tcW w:w="4546" w:type="dxa"/>
            <w:tcBorders>
              <w:top w:val="nil"/>
              <w:left w:val="nil"/>
              <w:bottom w:val="nil"/>
              <w:right w:val="nil"/>
            </w:tcBorders>
          </w:tcPr>
          <w:p>
            <w:pPr>
              <w:pStyle w:val="TableParagraph"/>
              <w:spacing w:before="45"/>
              <w:ind w:left="698" w:right="521"/>
              <w:rPr>
                <w:sz w:val="24"/>
              </w:rPr>
            </w:pPr>
            <w:r>
              <w:rPr>
                <w:sz w:val="24"/>
              </w:rPr>
              <w:t>Evento vascular cerebral</w:t>
            </w:r>
          </w:p>
        </w:tc>
        <w:tc>
          <w:tcPr>
            <w:tcW w:w="2100" w:type="dxa"/>
            <w:tcBorders>
              <w:top w:val="nil"/>
              <w:left w:val="nil"/>
              <w:bottom w:val="nil"/>
              <w:right w:val="nil"/>
            </w:tcBorders>
          </w:tcPr>
          <w:p>
            <w:pPr>
              <w:pStyle w:val="TableParagraph"/>
              <w:spacing w:before="45"/>
              <w:ind w:left="170"/>
              <w:rPr>
                <w:sz w:val="24"/>
              </w:rPr>
            </w:pPr>
            <w:r>
              <w:rPr>
                <w:w w:val="99"/>
                <w:sz w:val="24"/>
              </w:rPr>
              <w:t>6</w:t>
            </w:r>
          </w:p>
        </w:tc>
        <w:tc>
          <w:tcPr>
            <w:tcW w:w="1899" w:type="dxa"/>
            <w:tcBorders>
              <w:top w:val="nil"/>
              <w:left w:val="nil"/>
              <w:bottom w:val="nil"/>
              <w:right w:val="nil"/>
            </w:tcBorders>
          </w:tcPr>
          <w:p>
            <w:pPr>
              <w:pStyle w:val="TableParagraph"/>
              <w:spacing w:before="45"/>
              <w:ind w:left="352" w:right="356"/>
              <w:rPr>
                <w:sz w:val="24"/>
              </w:rPr>
            </w:pPr>
            <w:r>
              <w:rPr>
                <w:sz w:val="24"/>
              </w:rPr>
              <w:t>20</w:t>
            </w:r>
          </w:p>
        </w:tc>
      </w:tr>
      <w:tr>
        <w:trPr>
          <w:trHeight w:val="398" w:hRule="exact"/>
        </w:trPr>
        <w:tc>
          <w:tcPr>
            <w:tcW w:w="4546" w:type="dxa"/>
            <w:tcBorders>
              <w:top w:val="nil"/>
              <w:left w:val="nil"/>
              <w:bottom w:val="nil"/>
              <w:right w:val="nil"/>
            </w:tcBorders>
          </w:tcPr>
          <w:p>
            <w:pPr>
              <w:pStyle w:val="TableParagraph"/>
              <w:spacing w:before="46"/>
              <w:ind w:left="702" w:right="517"/>
              <w:rPr>
                <w:sz w:val="24"/>
              </w:rPr>
            </w:pPr>
            <w:r>
              <w:rPr>
                <w:sz w:val="24"/>
              </w:rPr>
              <w:t>Sepsis</w:t>
            </w:r>
          </w:p>
        </w:tc>
        <w:tc>
          <w:tcPr>
            <w:tcW w:w="2100" w:type="dxa"/>
            <w:tcBorders>
              <w:top w:val="nil"/>
              <w:left w:val="nil"/>
              <w:bottom w:val="nil"/>
              <w:right w:val="nil"/>
            </w:tcBorders>
          </w:tcPr>
          <w:p>
            <w:pPr>
              <w:pStyle w:val="TableParagraph"/>
              <w:spacing w:before="46"/>
              <w:ind w:left="170"/>
              <w:rPr>
                <w:sz w:val="24"/>
              </w:rPr>
            </w:pPr>
            <w:r>
              <w:rPr>
                <w:w w:val="99"/>
                <w:sz w:val="24"/>
              </w:rPr>
              <w:t>2</w:t>
            </w:r>
          </w:p>
        </w:tc>
        <w:tc>
          <w:tcPr>
            <w:tcW w:w="1899" w:type="dxa"/>
            <w:tcBorders>
              <w:top w:val="nil"/>
              <w:left w:val="nil"/>
              <w:bottom w:val="nil"/>
              <w:right w:val="nil"/>
            </w:tcBorders>
          </w:tcPr>
          <w:p>
            <w:pPr>
              <w:pStyle w:val="TableParagraph"/>
              <w:spacing w:before="46"/>
              <w:ind w:left="352" w:right="357"/>
              <w:rPr>
                <w:sz w:val="24"/>
              </w:rPr>
            </w:pPr>
            <w:r>
              <w:rPr>
                <w:sz w:val="24"/>
              </w:rPr>
              <w:t>6.7</w:t>
            </w:r>
          </w:p>
        </w:tc>
      </w:tr>
      <w:tr>
        <w:trPr>
          <w:trHeight w:val="398" w:hRule="exact"/>
        </w:trPr>
        <w:tc>
          <w:tcPr>
            <w:tcW w:w="4546" w:type="dxa"/>
            <w:tcBorders>
              <w:top w:val="nil"/>
              <w:left w:val="nil"/>
              <w:bottom w:val="nil"/>
              <w:right w:val="nil"/>
            </w:tcBorders>
          </w:tcPr>
          <w:p>
            <w:pPr>
              <w:pStyle w:val="TableParagraph"/>
              <w:spacing w:before="51"/>
              <w:ind w:left="702" w:right="521"/>
              <w:rPr>
                <w:sz w:val="24"/>
              </w:rPr>
            </w:pPr>
            <w:r>
              <w:rPr>
                <w:sz w:val="24"/>
              </w:rPr>
              <w:t>Diabetes y sus complicaciones</w:t>
            </w:r>
          </w:p>
        </w:tc>
        <w:tc>
          <w:tcPr>
            <w:tcW w:w="2100" w:type="dxa"/>
            <w:tcBorders>
              <w:top w:val="nil"/>
              <w:left w:val="nil"/>
              <w:bottom w:val="nil"/>
              <w:right w:val="nil"/>
            </w:tcBorders>
          </w:tcPr>
          <w:p>
            <w:pPr>
              <w:pStyle w:val="TableParagraph"/>
              <w:spacing w:before="51"/>
              <w:ind w:left="170"/>
              <w:rPr>
                <w:sz w:val="24"/>
              </w:rPr>
            </w:pPr>
            <w:r>
              <w:rPr>
                <w:w w:val="99"/>
                <w:sz w:val="24"/>
              </w:rPr>
              <w:t>8</w:t>
            </w:r>
          </w:p>
        </w:tc>
        <w:tc>
          <w:tcPr>
            <w:tcW w:w="1899" w:type="dxa"/>
            <w:tcBorders>
              <w:top w:val="nil"/>
              <w:left w:val="nil"/>
              <w:bottom w:val="nil"/>
              <w:right w:val="nil"/>
            </w:tcBorders>
          </w:tcPr>
          <w:p>
            <w:pPr>
              <w:pStyle w:val="TableParagraph"/>
              <w:spacing w:before="51"/>
              <w:ind w:left="352" w:right="358"/>
              <w:rPr>
                <w:sz w:val="24"/>
              </w:rPr>
            </w:pPr>
            <w:r>
              <w:rPr>
                <w:sz w:val="24"/>
              </w:rPr>
              <w:t>26.7</w:t>
            </w:r>
          </w:p>
        </w:tc>
      </w:tr>
      <w:tr>
        <w:trPr>
          <w:trHeight w:val="388" w:hRule="exact"/>
        </w:trPr>
        <w:tc>
          <w:tcPr>
            <w:tcW w:w="4546" w:type="dxa"/>
            <w:tcBorders>
              <w:top w:val="nil"/>
              <w:left w:val="nil"/>
              <w:bottom w:val="nil"/>
              <w:right w:val="nil"/>
            </w:tcBorders>
          </w:tcPr>
          <w:p>
            <w:pPr>
              <w:pStyle w:val="TableParagraph"/>
              <w:spacing w:before="46"/>
              <w:ind w:left="702" w:right="521"/>
              <w:rPr>
                <w:sz w:val="24"/>
              </w:rPr>
            </w:pPr>
            <w:r>
              <w:rPr>
                <w:sz w:val="24"/>
              </w:rPr>
              <w:t>Hipertensión</w:t>
            </w:r>
          </w:p>
        </w:tc>
        <w:tc>
          <w:tcPr>
            <w:tcW w:w="2100" w:type="dxa"/>
            <w:tcBorders>
              <w:top w:val="nil"/>
              <w:left w:val="nil"/>
              <w:bottom w:val="nil"/>
              <w:right w:val="nil"/>
            </w:tcBorders>
          </w:tcPr>
          <w:p>
            <w:pPr>
              <w:pStyle w:val="TableParagraph"/>
              <w:spacing w:before="46"/>
              <w:ind w:left="170"/>
              <w:rPr>
                <w:sz w:val="24"/>
              </w:rPr>
            </w:pPr>
            <w:r>
              <w:rPr>
                <w:w w:val="99"/>
                <w:sz w:val="24"/>
              </w:rPr>
              <w:t>1</w:t>
            </w:r>
          </w:p>
        </w:tc>
        <w:tc>
          <w:tcPr>
            <w:tcW w:w="1899" w:type="dxa"/>
            <w:tcBorders>
              <w:top w:val="nil"/>
              <w:left w:val="nil"/>
              <w:bottom w:val="nil"/>
              <w:right w:val="nil"/>
            </w:tcBorders>
          </w:tcPr>
          <w:p>
            <w:pPr>
              <w:pStyle w:val="TableParagraph"/>
              <w:spacing w:before="46"/>
              <w:ind w:left="352" w:right="357"/>
              <w:rPr>
                <w:sz w:val="24"/>
              </w:rPr>
            </w:pPr>
            <w:r>
              <w:rPr>
                <w:sz w:val="24"/>
              </w:rPr>
              <w:t>3.3</w:t>
            </w:r>
          </w:p>
        </w:tc>
      </w:tr>
      <w:tr>
        <w:trPr>
          <w:trHeight w:val="380" w:hRule="exact"/>
        </w:trPr>
        <w:tc>
          <w:tcPr>
            <w:tcW w:w="4546" w:type="dxa"/>
            <w:tcBorders>
              <w:top w:val="nil"/>
              <w:left w:val="nil"/>
              <w:right w:val="nil"/>
            </w:tcBorders>
          </w:tcPr>
          <w:p>
            <w:pPr>
              <w:pStyle w:val="TableParagraph"/>
              <w:spacing w:before="40"/>
              <w:ind w:left="702" w:right="518"/>
              <w:rPr>
                <w:sz w:val="24"/>
              </w:rPr>
            </w:pPr>
            <w:r>
              <w:rPr>
                <w:sz w:val="24"/>
              </w:rPr>
              <w:t>Otros diagnósticos</w:t>
            </w:r>
          </w:p>
        </w:tc>
        <w:tc>
          <w:tcPr>
            <w:tcW w:w="2100" w:type="dxa"/>
            <w:tcBorders>
              <w:top w:val="nil"/>
              <w:left w:val="nil"/>
              <w:right w:val="nil"/>
            </w:tcBorders>
          </w:tcPr>
          <w:p>
            <w:pPr>
              <w:pStyle w:val="TableParagraph"/>
              <w:spacing w:before="40"/>
              <w:ind w:left="170"/>
              <w:rPr>
                <w:sz w:val="24"/>
              </w:rPr>
            </w:pPr>
            <w:r>
              <w:rPr>
                <w:w w:val="99"/>
                <w:sz w:val="24"/>
              </w:rPr>
              <w:t>1</w:t>
            </w:r>
          </w:p>
        </w:tc>
        <w:tc>
          <w:tcPr>
            <w:tcW w:w="1899" w:type="dxa"/>
            <w:tcBorders>
              <w:top w:val="nil"/>
              <w:left w:val="nil"/>
              <w:right w:val="nil"/>
            </w:tcBorders>
          </w:tcPr>
          <w:p>
            <w:pPr>
              <w:pStyle w:val="TableParagraph"/>
              <w:spacing w:before="40"/>
              <w:ind w:left="352" w:right="357"/>
              <w:rPr>
                <w:sz w:val="24"/>
              </w:rPr>
            </w:pPr>
            <w:r>
              <w:rPr>
                <w:sz w:val="24"/>
              </w:rPr>
              <w:t>3.3</w:t>
            </w:r>
          </w:p>
        </w:tc>
      </w:tr>
      <w:tr>
        <w:trPr>
          <w:trHeight w:val="413" w:hRule="exact"/>
        </w:trPr>
        <w:tc>
          <w:tcPr>
            <w:tcW w:w="4546" w:type="dxa"/>
            <w:tcBorders>
              <w:left w:val="nil"/>
              <w:right w:val="nil"/>
            </w:tcBorders>
            <w:shd w:val="clear" w:color="auto" w:fill="99CC00"/>
          </w:tcPr>
          <w:p>
            <w:pPr>
              <w:pStyle w:val="TableParagraph"/>
              <w:spacing w:before="58"/>
              <w:ind w:left="700" w:right="521"/>
              <w:rPr>
                <w:b/>
                <w:sz w:val="24"/>
              </w:rPr>
            </w:pPr>
            <w:r>
              <w:rPr>
                <w:b/>
                <w:sz w:val="24"/>
              </w:rPr>
              <w:t>Total</w:t>
            </w:r>
          </w:p>
        </w:tc>
        <w:tc>
          <w:tcPr>
            <w:tcW w:w="2100" w:type="dxa"/>
            <w:tcBorders>
              <w:left w:val="nil"/>
              <w:right w:val="nil"/>
            </w:tcBorders>
            <w:shd w:val="clear" w:color="auto" w:fill="99CC00"/>
          </w:tcPr>
          <w:p>
            <w:pPr>
              <w:pStyle w:val="TableParagraph"/>
              <w:spacing w:before="58"/>
              <w:ind w:left="520" w:right="349"/>
              <w:rPr>
                <w:sz w:val="24"/>
              </w:rPr>
            </w:pPr>
            <w:r>
              <w:rPr>
                <w:sz w:val="24"/>
              </w:rPr>
              <w:t>30</w:t>
            </w:r>
          </w:p>
        </w:tc>
        <w:tc>
          <w:tcPr>
            <w:tcW w:w="1899" w:type="dxa"/>
            <w:tcBorders>
              <w:left w:val="nil"/>
              <w:right w:val="nil"/>
            </w:tcBorders>
            <w:shd w:val="clear" w:color="auto" w:fill="99CC00"/>
          </w:tcPr>
          <w:p>
            <w:pPr>
              <w:pStyle w:val="TableParagraph"/>
              <w:spacing w:before="58"/>
              <w:ind w:left="352" w:right="356"/>
              <w:rPr>
                <w:sz w:val="24"/>
              </w:rPr>
            </w:pPr>
            <w:r>
              <w:rPr>
                <w:sz w:val="24"/>
              </w:rPr>
              <w:t>100</w:t>
            </w:r>
          </w:p>
        </w:tc>
      </w:tr>
    </w:tbl>
    <w:p>
      <w:pPr>
        <w:pStyle w:val="BodyText"/>
        <w:rPr>
          <w:b/>
          <w:sz w:val="20"/>
        </w:rPr>
      </w:pPr>
    </w:p>
    <w:p>
      <w:pPr>
        <w:pStyle w:val="BodyText"/>
        <w:rPr>
          <w:b/>
          <w:sz w:val="20"/>
        </w:rPr>
      </w:pPr>
    </w:p>
    <w:p>
      <w:pPr>
        <w:pStyle w:val="BodyText"/>
        <w:spacing w:before="10"/>
        <w:rPr>
          <w:b/>
          <w:sz w:val="10"/>
        </w:rPr>
      </w:pPr>
      <w:r>
        <w:rPr/>
        <w:pict>
          <v:group style="position:absolute;margin-left:120.974998pt;margin-top:8.216953pt;width:417.4pt;height:163.5pt;mso-position-horizontal-relative:page;mso-position-vertical-relative:paragraph;z-index:2632;mso-wrap-distance-left:0;mso-wrap-distance-right:0" coordorigin="2419,164" coordsize="8348,3270">
            <v:shape style="position:absolute;left:2875;top:1171;width:5071;height:1798" type="#_x0000_t75" stroked="false">
              <v:imagedata r:id="rId59" o:title=""/>
            </v:shape>
            <v:shape style="position:absolute;left:2427;top:172;width:8333;height:3255" type="#_x0000_t202" filled="false" stroked="true" strokeweight=".75pt" strokecolor="#858585">
              <v:textbox inset="0,0,0,0">
                <w:txbxContent>
                  <w:p>
                    <w:pPr>
                      <w:spacing w:before="132"/>
                      <w:ind w:left="1376" w:right="731" w:firstLine="0"/>
                      <w:jc w:val="center"/>
                      <w:rPr>
                        <w:b/>
                        <w:sz w:val="20"/>
                      </w:rPr>
                    </w:pPr>
                    <w:r>
                      <w:rPr>
                        <w:b/>
                        <w:sz w:val="20"/>
                      </w:rPr>
                      <w:t>Gráfica No. 13</w:t>
                    </w:r>
                  </w:p>
                  <w:p>
                    <w:pPr>
                      <w:spacing w:before="0"/>
                      <w:ind w:left="1376" w:right="737" w:firstLine="0"/>
                      <w:jc w:val="center"/>
                      <w:rPr>
                        <w:b/>
                        <w:sz w:val="20"/>
                      </w:rPr>
                    </w:pPr>
                    <w:r>
                      <w:rPr>
                        <w:b/>
                        <w:sz w:val="20"/>
                      </w:rPr>
                      <w:t>Diagnóstico médico de los adultos mayores hospitalizados. 2014</w:t>
                    </w:r>
                  </w:p>
                  <w:p>
                    <w:pPr>
                      <w:spacing w:line="240" w:lineRule="auto" w:before="11"/>
                      <w:rPr>
                        <w:b/>
                        <w:sz w:val="16"/>
                      </w:rPr>
                    </w:pPr>
                  </w:p>
                  <w:p>
                    <w:pPr>
                      <w:spacing w:line="432" w:lineRule="auto" w:before="0"/>
                      <w:ind w:left="5898" w:right="53" w:firstLine="0"/>
                      <w:jc w:val="left"/>
                      <w:rPr>
                        <w:rFonts w:ascii="Calibri" w:hAnsi="Calibri"/>
                        <w:b/>
                        <w:sz w:val="18"/>
                      </w:rPr>
                    </w:pPr>
                    <w:r>
                      <w:rPr>
                        <w:rFonts w:ascii="Calibri" w:hAnsi="Calibri"/>
                        <w:b/>
                        <w:w w:val="105"/>
                        <w:sz w:val="18"/>
                      </w:rPr>
                      <w:t>Insuficiencia renal crónica Evento vascular cerebral Sepsis</w:t>
                    </w:r>
                  </w:p>
                  <w:p>
                    <w:pPr>
                      <w:spacing w:line="432" w:lineRule="auto" w:before="0"/>
                      <w:ind w:left="5898" w:right="53" w:firstLine="0"/>
                      <w:jc w:val="left"/>
                      <w:rPr>
                        <w:rFonts w:ascii="Calibri" w:hAnsi="Calibri"/>
                        <w:b/>
                        <w:sz w:val="18"/>
                      </w:rPr>
                    </w:pPr>
                    <w:r>
                      <w:rPr>
                        <w:rFonts w:ascii="Calibri" w:hAnsi="Calibri"/>
                        <w:b/>
                        <w:w w:val="105"/>
                        <w:sz w:val="18"/>
                      </w:rPr>
                      <w:t>Diabetes y sus complicaciones Hipertensión</w:t>
                    </w:r>
                  </w:p>
                  <w:p>
                    <w:pPr>
                      <w:spacing w:line="219" w:lineRule="exact" w:before="0"/>
                      <w:ind w:left="0" w:right="998" w:firstLine="0"/>
                      <w:jc w:val="right"/>
                      <w:rPr>
                        <w:rFonts w:ascii="Calibri" w:hAnsi="Calibri"/>
                        <w:b/>
                        <w:sz w:val="18"/>
                      </w:rPr>
                    </w:pPr>
                    <w:r>
                      <w:rPr>
                        <w:rFonts w:ascii="Calibri" w:hAnsi="Calibri"/>
                        <w:b/>
                        <w:sz w:val="18"/>
                      </w:rPr>
                      <w:t>Otros diagnósticos</w:t>
                    </w:r>
                  </w:p>
                </w:txbxContent>
              </v:textbox>
              <w10:wrap type="none"/>
            </v:shape>
            <w10:wrap type="topAndBottom"/>
          </v:group>
        </w:pict>
      </w:r>
    </w:p>
    <w:p>
      <w:pPr>
        <w:spacing w:before="29"/>
        <w:ind w:left="735" w:right="230" w:firstLine="0"/>
        <w:jc w:val="left"/>
        <w:rPr>
          <w:sz w:val="20"/>
        </w:rPr>
      </w:pPr>
      <w:r>
        <w:rPr>
          <w:sz w:val="20"/>
        </w:rPr>
        <w:t>Fuente: Tabla No. 13</w:t>
      </w:r>
    </w:p>
    <w:p>
      <w:pPr>
        <w:pStyle w:val="BodyText"/>
        <w:rPr>
          <w:sz w:val="20"/>
        </w:rPr>
      </w:pPr>
    </w:p>
    <w:p>
      <w:pPr>
        <w:pStyle w:val="BodyText"/>
        <w:spacing w:before="3"/>
        <w:rPr>
          <w:sz w:val="16"/>
        </w:rPr>
      </w:pPr>
    </w:p>
    <w:p>
      <w:pPr>
        <w:pStyle w:val="BodyText"/>
        <w:spacing w:line="360" w:lineRule="auto"/>
        <w:ind w:left="625" w:right="120"/>
        <w:jc w:val="both"/>
      </w:pPr>
      <w:r>
        <w:rPr/>
        <w:pict>
          <v:rect style="position:absolute;margin-left:409.350006pt;margin-top:-96.117645pt;width:5.0535pt;height:5.0535pt;mso-position-horizontal-relative:page;mso-position-vertical-relative:paragraph;z-index:-173296" filled="true" fillcolor="#70578f" stroked="false">
            <v:fill type="solid"/>
            <w10:wrap type="none"/>
          </v:rect>
        </w:pict>
      </w:r>
      <w:r>
        <w:rPr/>
        <w:pict>
          <v:rect style="position:absolute;margin-left:409.350006pt;margin-top:-76.407646pt;width:5.0535pt;height:5.0535pt;mso-position-horizontal-relative:page;mso-position-vertical-relative:paragraph;z-index:-173272" filled="true" fillcolor="#4197ae" stroked="false">
            <v:fill type="solid"/>
            <w10:wrap type="none"/>
          </v:rect>
        </w:pict>
      </w:r>
      <w:r>
        <w:rPr/>
        <w:pict>
          <v:rect style="position:absolute;margin-left:409.350006pt;margin-top:-56.687645pt;width:5.0535pt;height:5.0535pt;mso-position-horizontal-relative:page;mso-position-vertical-relative:paragraph;z-index:-173248" filled="true" fillcolor="#db843c" stroked="false">
            <v:fill type="solid"/>
            <w10:wrap type="none"/>
          </v:rect>
        </w:pict>
      </w:r>
      <w:r>
        <w:rPr/>
        <w:t>De los diagnósticos médicos encontrados en los pacientes, el de mayor frecuencia fue, la insuficiencia renal crónica en un 40% de los casos, si bien la insuficiencia renal crónica es una enfermedad multifactorial y normalmente deriva como una complicación de la diabetes y de la hipertensión, acorde con el Instituto Nacional de Salud Pública, la insuficiencia renal crónica es la quinta causa de muerte general en México y la tercera a nivel hospitalario, además de representar costos superiores a 36 millones de dólares. En tanto a la diabetes y</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98"/>
        <w:jc w:val="both"/>
      </w:pPr>
      <w:r>
        <w:rPr/>
        <w:t>sus complicaciones se encontró en un 26.7%, de acuerdo con el Estudio Nacional de Salud y Envejecimiento en México (2013), ubica a la diabetes y a la hipertensión como dos de las tres enfermedades que afectan a la población mexicana, discrepando con lo anterior, la hipertensión se encontró en un 3.3% de la muestra.</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5"/>
        <w:rPr>
          <w:sz w:val="21"/>
        </w:rPr>
      </w:pPr>
    </w:p>
    <w:p>
      <w:pPr>
        <w:pStyle w:val="Heading2"/>
        <w:spacing w:line="360" w:lineRule="auto"/>
        <w:ind w:right="192"/>
      </w:pPr>
      <w:r>
        <w:rPr>
          <w:b w:val="0"/>
        </w:rPr>
        <w:t>Tabla No. 14. </w:t>
      </w:r>
      <w:r>
        <w:rPr/>
        <w:t>Número de veces que han sido hospitalizados los adultos mayores, en los últimos 6 meses, en un hospital público de segundo  nivel, del Distrito Federal, México. Marzo,</w:t>
      </w:r>
      <w:r>
        <w:rPr>
          <w:spacing w:val="-18"/>
        </w:rPr>
        <w:t> </w:t>
      </w:r>
      <w:r>
        <w:rPr/>
        <w:t>2014</w:t>
      </w:r>
    </w:p>
    <w:p>
      <w:pPr>
        <w:pStyle w:val="BodyText"/>
        <w:rPr>
          <w:b/>
          <w:sz w:val="20"/>
        </w:rPr>
      </w:pPr>
    </w:p>
    <w:p>
      <w:pPr>
        <w:pStyle w:val="BodyText"/>
        <w:spacing w:before="5" w:after="1"/>
        <w:rPr>
          <w:b/>
          <w:sz w:val="16"/>
        </w:rPr>
      </w:pP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9"/>
        <w:gridCol w:w="2009"/>
        <w:gridCol w:w="1907"/>
      </w:tblGrid>
      <w:tr>
        <w:trPr>
          <w:trHeight w:val="473" w:hRule="exact"/>
        </w:trPr>
        <w:tc>
          <w:tcPr>
            <w:tcW w:w="4669" w:type="dxa"/>
            <w:tcBorders>
              <w:left w:val="nil"/>
              <w:right w:val="nil"/>
            </w:tcBorders>
            <w:shd w:val="clear" w:color="auto" w:fill="99CC00"/>
          </w:tcPr>
          <w:p>
            <w:pPr>
              <w:pStyle w:val="TableParagraph"/>
              <w:spacing w:before="89"/>
              <w:ind w:left="508" w:right="425"/>
              <w:rPr>
                <w:b/>
                <w:sz w:val="24"/>
              </w:rPr>
            </w:pPr>
            <w:r>
              <w:rPr>
                <w:b/>
                <w:sz w:val="24"/>
              </w:rPr>
              <w:t>Veces que ha sido hospitalizado</w:t>
            </w:r>
          </w:p>
        </w:tc>
        <w:tc>
          <w:tcPr>
            <w:tcW w:w="2009" w:type="dxa"/>
            <w:tcBorders>
              <w:left w:val="nil"/>
              <w:right w:val="nil"/>
            </w:tcBorders>
            <w:shd w:val="clear" w:color="auto" w:fill="99CC00"/>
          </w:tcPr>
          <w:p>
            <w:pPr>
              <w:pStyle w:val="TableParagraph"/>
              <w:spacing w:before="89"/>
              <w:ind w:left="424" w:right="356"/>
              <w:rPr>
                <w:sz w:val="24"/>
              </w:rPr>
            </w:pPr>
            <w:r>
              <w:rPr>
                <w:sz w:val="24"/>
              </w:rPr>
              <w:t>Frecuencia</w:t>
            </w:r>
          </w:p>
        </w:tc>
        <w:tc>
          <w:tcPr>
            <w:tcW w:w="1907" w:type="dxa"/>
            <w:tcBorders>
              <w:left w:val="nil"/>
              <w:right w:val="nil"/>
            </w:tcBorders>
            <w:shd w:val="clear" w:color="auto" w:fill="99CC00"/>
          </w:tcPr>
          <w:p>
            <w:pPr>
              <w:pStyle w:val="TableParagraph"/>
              <w:spacing w:before="89"/>
              <w:ind w:left="357" w:right="362"/>
              <w:rPr>
                <w:sz w:val="24"/>
              </w:rPr>
            </w:pPr>
            <w:r>
              <w:rPr>
                <w:sz w:val="24"/>
              </w:rPr>
              <w:t>Porcentaje</w:t>
            </w:r>
          </w:p>
        </w:tc>
      </w:tr>
      <w:tr>
        <w:trPr>
          <w:trHeight w:val="459" w:hRule="exact"/>
        </w:trPr>
        <w:tc>
          <w:tcPr>
            <w:tcW w:w="4669" w:type="dxa"/>
            <w:tcBorders>
              <w:left w:val="nil"/>
              <w:bottom w:val="nil"/>
              <w:right w:val="nil"/>
            </w:tcBorders>
          </w:tcPr>
          <w:p>
            <w:pPr>
              <w:pStyle w:val="TableParagraph"/>
              <w:spacing w:before="77"/>
              <w:ind w:left="506" w:right="425"/>
              <w:rPr>
                <w:sz w:val="24"/>
              </w:rPr>
            </w:pPr>
            <w:r>
              <w:rPr>
                <w:sz w:val="24"/>
              </w:rPr>
              <w:t>1 vez</w:t>
            </w:r>
          </w:p>
        </w:tc>
        <w:tc>
          <w:tcPr>
            <w:tcW w:w="2009" w:type="dxa"/>
            <w:tcBorders>
              <w:left w:val="nil"/>
              <w:bottom w:val="nil"/>
              <w:right w:val="nil"/>
            </w:tcBorders>
          </w:tcPr>
          <w:p>
            <w:pPr>
              <w:pStyle w:val="TableParagraph"/>
              <w:spacing w:before="77"/>
              <w:ind w:left="424" w:right="354"/>
              <w:rPr>
                <w:sz w:val="24"/>
              </w:rPr>
            </w:pPr>
            <w:r>
              <w:rPr>
                <w:sz w:val="24"/>
              </w:rPr>
              <w:t>11</w:t>
            </w:r>
          </w:p>
        </w:tc>
        <w:tc>
          <w:tcPr>
            <w:tcW w:w="1907" w:type="dxa"/>
            <w:tcBorders>
              <w:left w:val="nil"/>
              <w:bottom w:val="nil"/>
              <w:right w:val="nil"/>
            </w:tcBorders>
          </w:tcPr>
          <w:p>
            <w:pPr>
              <w:pStyle w:val="TableParagraph"/>
              <w:spacing w:before="77"/>
              <w:ind w:left="354" w:right="362"/>
              <w:rPr>
                <w:sz w:val="24"/>
              </w:rPr>
            </w:pPr>
            <w:r>
              <w:rPr>
                <w:sz w:val="24"/>
              </w:rPr>
              <w:t>36.7</w:t>
            </w:r>
          </w:p>
        </w:tc>
      </w:tr>
      <w:tr>
        <w:trPr>
          <w:trHeight w:val="458" w:hRule="exact"/>
        </w:trPr>
        <w:tc>
          <w:tcPr>
            <w:tcW w:w="4669" w:type="dxa"/>
            <w:tcBorders>
              <w:top w:val="nil"/>
              <w:left w:val="nil"/>
              <w:bottom w:val="nil"/>
              <w:right w:val="nil"/>
            </w:tcBorders>
          </w:tcPr>
          <w:p>
            <w:pPr>
              <w:pStyle w:val="TableParagraph"/>
              <w:spacing w:before="75"/>
              <w:ind w:left="506" w:right="425"/>
              <w:rPr>
                <w:sz w:val="24"/>
              </w:rPr>
            </w:pPr>
            <w:r>
              <w:rPr>
                <w:sz w:val="24"/>
              </w:rPr>
              <w:t>2 veces</w:t>
            </w:r>
          </w:p>
        </w:tc>
        <w:tc>
          <w:tcPr>
            <w:tcW w:w="2009" w:type="dxa"/>
            <w:tcBorders>
              <w:top w:val="nil"/>
              <w:left w:val="nil"/>
              <w:bottom w:val="nil"/>
              <w:right w:val="nil"/>
            </w:tcBorders>
          </w:tcPr>
          <w:p>
            <w:pPr>
              <w:pStyle w:val="TableParagraph"/>
              <w:spacing w:before="75"/>
              <w:ind w:left="424" w:right="354"/>
              <w:rPr>
                <w:b/>
                <w:sz w:val="24"/>
              </w:rPr>
            </w:pPr>
            <w:r>
              <w:rPr>
                <w:b/>
                <w:sz w:val="24"/>
              </w:rPr>
              <w:t>14</w:t>
            </w:r>
          </w:p>
        </w:tc>
        <w:tc>
          <w:tcPr>
            <w:tcW w:w="1907" w:type="dxa"/>
            <w:tcBorders>
              <w:top w:val="nil"/>
              <w:left w:val="nil"/>
              <w:bottom w:val="nil"/>
              <w:right w:val="nil"/>
            </w:tcBorders>
          </w:tcPr>
          <w:p>
            <w:pPr>
              <w:pStyle w:val="TableParagraph"/>
              <w:spacing w:before="75"/>
              <w:ind w:left="354" w:right="362"/>
              <w:rPr>
                <w:b/>
                <w:sz w:val="24"/>
              </w:rPr>
            </w:pPr>
            <w:r>
              <w:rPr>
                <w:b/>
                <w:sz w:val="24"/>
              </w:rPr>
              <w:t>46.7</w:t>
            </w:r>
          </w:p>
        </w:tc>
      </w:tr>
      <w:tr>
        <w:trPr>
          <w:trHeight w:val="457" w:hRule="exact"/>
        </w:trPr>
        <w:tc>
          <w:tcPr>
            <w:tcW w:w="4669" w:type="dxa"/>
            <w:tcBorders>
              <w:top w:val="nil"/>
              <w:left w:val="nil"/>
              <w:bottom w:val="nil"/>
              <w:right w:val="nil"/>
            </w:tcBorders>
          </w:tcPr>
          <w:p>
            <w:pPr>
              <w:pStyle w:val="TableParagraph"/>
              <w:spacing w:before="81"/>
              <w:ind w:left="506" w:right="425"/>
              <w:rPr>
                <w:sz w:val="24"/>
              </w:rPr>
            </w:pPr>
            <w:r>
              <w:rPr>
                <w:sz w:val="24"/>
              </w:rPr>
              <w:t>3 veces</w:t>
            </w:r>
          </w:p>
        </w:tc>
        <w:tc>
          <w:tcPr>
            <w:tcW w:w="2009" w:type="dxa"/>
            <w:tcBorders>
              <w:top w:val="nil"/>
              <w:left w:val="nil"/>
              <w:bottom w:val="nil"/>
              <w:right w:val="nil"/>
            </w:tcBorders>
          </w:tcPr>
          <w:p>
            <w:pPr>
              <w:pStyle w:val="TableParagraph"/>
              <w:spacing w:before="81"/>
              <w:ind w:left="69"/>
              <w:rPr>
                <w:sz w:val="24"/>
              </w:rPr>
            </w:pPr>
            <w:r>
              <w:rPr>
                <w:w w:val="99"/>
                <w:sz w:val="24"/>
              </w:rPr>
              <w:t>4</w:t>
            </w:r>
          </w:p>
        </w:tc>
        <w:tc>
          <w:tcPr>
            <w:tcW w:w="1907" w:type="dxa"/>
            <w:tcBorders>
              <w:top w:val="nil"/>
              <w:left w:val="nil"/>
              <w:bottom w:val="nil"/>
              <w:right w:val="nil"/>
            </w:tcBorders>
          </w:tcPr>
          <w:p>
            <w:pPr>
              <w:pStyle w:val="TableParagraph"/>
              <w:spacing w:before="81"/>
              <w:ind w:left="354" w:right="362"/>
              <w:rPr>
                <w:sz w:val="24"/>
              </w:rPr>
            </w:pPr>
            <w:r>
              <w:rPr>
                <w:sz w:val="24"/>
              </w:rPr>
              <w:t>13.3</w:t>
            </w:r>
          </w:p>
        </w:tc>
      </w:tr>
      <w:tr>
        <w:trPr>
          <w:trHeight w:val="442" w:hRule="exact"/>
        </w:trPr>
        <w:tc>
          <w:tcPr>
            <w:tcW w:w="4669" w:type="dxa"/>
            <w:tcBorders>
              <w:top w:val="nil"/>
              <w:left w:val="nil"/>
              <w:right w:val="nil"/>
            </w:tcBorders>
          </w:tcPr>
          <w:p>
            <w:pPr>
              <w:pStyle w:val="TableParagraph"/>
              <w:spacing w:before="75"/>
              <w:ind w:left="508" w:right="423"/>
              <w:rPr>
                <w:sz w:val="24"/>
              </w:rPr>
            </w:pPr>
            <w:r>
              <w:rPr>
                <w:sz w:val="24"/>
              </w:rPr>
              <w:t>Más de 5 veces</w:t>
            </w:r>
          </w:p>
        </w:tc>
        <w:tc>
          <w:tcPr>
            <w:tcW w:w="2009" w:type="dxa"/>
            <w:tcBorders>
              <w:top w:val="nil"/>
              <w:left w:val="nil"/>
              <w:right w:val="nil"/>
            </w:tcBorders>
          </w:tcPr>
          <w:p>
            <w:pPr>
              <w:pStyle w:val="TableParagraph"/>
              <w:spacing w:before="75"/>
              <w:ind w:left="69"/>
              <w:rPr>
                <w:sz w:val="24"/>
              </w:rPr>
            </w:pPr>
            <w:r>
              <w:rPr>
                <w:w w:val="99"/>
                <w:sz w:val="24"/>
              </w:rPr>
              <w:t>1</w:t>
            </w:r>
          </w:p>
        </w:tc>
        <w:tc>
          <w:tcPr>
            <w:tcW w:w="1907" w:type="dxa"/>
            <w:tcBorders>
              <w:top w:val="nil"/>
              <w:left w:val="nil"/>
              <w:right w:val="nil"/>
            </w:tcBorders>
          </w:tcPr>
          <w:p>
            <w:pPr>
              <w:pStyle w:val="TableParagraph"/>
              <w:spacing w:before="75"/>
              <w:ind w:left="354" w:right="362"/>
              <w:rPr>
                <w:sz w:val="24"/>
              </w:rPr>
            </w:pPr>
            <w:r>
              <w:rPr>
                <w:sz w:val="24"/>
              </w:rPr>
              <w:t>3.3</w:t>
            </w:r>
          </w:p>
        </w:tc>
      </w:tr>
      <w:tr>
        <w:trPr>
          <w:trHeight w:val="494" w:hRule="exact"/>
        </w:trPr>
        <w:tc>
          <w:tcPr>
            <w:tcW w:w="4669" w:type="dxa"/>
            <w:tcBorders>
              <w:left w:val="nil"/>
              <w:right w:val="nil"/>
            </w:tcBorders>
            <w:shd w:val="clear" w:color="auto" w:fill="99CC00"/>
          </w:tcPr>
          <w:p>
            <w:pPr>
              <w:pStyle w:val="TableParagraph"/>
              <w:spacing w:before="101"/>
              <w:ind w:left="506" w:right="425"/>
              <w:rPr>
                <w:b/>
                <w:sz w:val="24"/>
              </w:rPr>
            </w:pPr>
            <w:r>
              <w:rPr>
                <w:b/>
                <w:sz w:val="24"/>
              </w:rPr>
              <w:t>Total</w:t>
            </w:r>
          </w:p>
        </w:tc>
        <w:tc>
          <w:tcPr>
            <w:tcW w:w="2009" w:type="dxa"/>
            <w:tcBorders>
              <w:left w:val="nil"/>
              <w:right w:val="nil"/>
            </w:tcBorders>
            <w:shd w:val="clear" w:color="auto" w:fill="99CC00"/>
          </w:tcPr>
          <w:p>
            <w:pPr>
              <w:pStyle w:val="TableParagraph"/>
              <w:spacing w:before="101"/>
              <w:ind w:left="424" w:right="354"/>
              <w:rPr>
                <w:sz w:val="24"/>
              </w:rPr>
            </w:pPr>
            <w:r>
              <w:rPr>
                <w:sz w:val="24"/>
              </w:rPr>
              <w:t>30</w:t>
            </w:r>
          </w:p>
        </w:tc>
        <w:tc>
          <w:tcPr>
            <w:tcW w:w="1907" w:type="dxa"/>
            <w:tcBorders>
              <w:left w:val="nil"/>
              <w:right w:val="nil"/>
            </w:tcBorders>
            <w:shd w:val="clear" w:color="auto" w:fill="99CC00"/>
          </w:tcPr>
          <w:p>
            <w:pPr>
              <w:pStyle w:val="TableParagraph"/>
              <w:spacing w:before="101"/>
              <w:ind w:left="356" w:right="362"/>
              <w:rPr>
                <w:sz w:val="24"/>
              </w:rPr>
            </w:pPr>
            <w:r>
              <w:rPr>
                <w:sz w:val="24"/>
              </w:rPr>
              <w:t>100</w:t>
            </w:r>
          </w:p>
        </w:tc>
      </w:tr>
    </w:tbl>
    <w:p>
      <w:pPr>
        <w:pStyle w:val="BodyText"/>
        <w:rPr>
          <w:b/>
          <w:sz w:val="20"/>
        </w:rPr>
      </w:pPr>
    </w:p>
    <w:p>
      <w:pPr>
        <w:pStyle w:val="BodyText"/>
        <w:rPr>
          <w:b/>
          <w:sz w:val="10"/>
        </w:rPr>
      </w:pPr>
    </w:p>
    <w:tbl>
      <w:tblPr>
        <w:tblW w:w="0" w:type="auto"/>
        <w:jc w:val="left"/>
        <w:tblInd w:w="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7"/>
        <w:gridCol w:w="3195"/>
        <w:gridCol w:w="2590"/>
      </w:tblGrid>
      <w:tr>
        <w:trPr>
          <w:trHeight w:val="451" w:hRule="exact"/>
        </w:trPr>
        <w:tc>
          <w:tcPr>
            <w:tcW w:w="8543" w:type="dxa"/>
            <w:gridSpan w:val="3"/>
            <w:tcBorders>
              <w:left w:val="nil"/>
              <w:right w:val="nil"/>
            </w:tcBorders>
          </w:tcPr>
          <w:p>
            <w:pPr>
              <w:pStyle w:val="TableParagraph"/>
              <w:spacing w:before="77"/>
              <w:ind w:left="2597"/>
              <w:jc w:val="left"/>
              <w:rPr>
                <w:b/>
                <w:sz w:val="24"/>
              </w:rPr>
            </w:pPr>
            <w:r>
              <w:rPr>
                <w:b/>
                <w:sz w:val="24"/>
              </w:rPr>
              <w:t>Medidas de tendencia central</w:t>
            </w:r>
          </w:p>
        </w:tc>
      </w:tr>
      <w:tr>
        <w:trPr>
          <w:trHeight w:val="449" w:hRule="exact"/>
        </w:trPr>
        <w:tc>
          <w:tcPr>
            <w:tcW w:w="2757" w:type="dxa"/>
            <w:tcBorders>
              <w:left w:val="nil"/>
              <w:right w:val="nil"/>
            </w:tcBorders>
            <w:shd w:val="clear" w:color="auto" w:fill="99CC00"/>
          </w:tcPr>
          <w:p>
            <w:pPr>
              <w:pStyle w:val="TableParagraph"/>
              <w:spacing w:before="77"/>
              <w:ind w:left="922" w:right="1115"/>
              <w:rPr>
                <w:b/>
                <w:sz w:val="24"/>
              </w:rPr>
            </w:pPr>
            <w:r>
              <w:rPr>
                <w:b/>
                <w:sz w:val="24"/>
              </w:rPr>
              <w:t>Media</w:t>
            </w:r>
          </w:p>
        </w:tc>
        <w:tc>
          <w:tcPr>
            <w:tcW w:w="3195" w:type="dxa"/>
            <w:tcBorders>
              <w:left w:val="nil"/>
              <w:right w:val="nil"/>
            </w:tcBorders>
            <w:shd w:val="clear" w:color="auto" w:fill="99CC00"/>
          </w:tcPr>
          <w:p>
            <w:pPr>
              <w:pStyle w:val="TableParagraph"/>
              <w:spacing w:before="77"/>
              <w:ind w:left="1116" w:right="1078"/>
              <w:rPr>
                <w:b/>
                <w:sz w:val="24"/>
              </w:rPr>
            </w:pPr>
            <w:r>
              <w:rPr>
                <w:b/>
                <w:sz w:val="24"/>
              </w:rPr>
              <w:t>Mediana</w:t>
            </w:r>
          </w:p>
        </w:tc>
        <w:tc>
          <w:tcPr>
            <w:tcW w:w="2590" w:type="dxa"/>
            <w:tcBorders>
              <w:left w:val="nil"/>
              <w:right w:val="nil"/>
            </w:tcBorders>
            <w:shd w:val="clear" w:color="auto" w:fill="99CC00"/>
          </w:tcPr>
          <w:p>
            <w:pPr>
              <w:pStyle w:val="TableParagraph"/>
              <w:spacing w:before="77"/>
              <w:ind w:left="1076" w:right="846"/>
              <w:rPr>
                <w:b/>
                <w:sz w:val="24"/>
              </w:rPr>
            </w:pPr>
            <w:r>
              <w:rPr>
                <w:b/>
                <w:sz w:val="24"/>
              </w:rPr>
              <w:t>Moda</w:t>
            </w:r>
          </w:p>
        </w:tc>
      </w:tr>
      <w:tr>
        <w:trPr>
          <w:trHeight w:val="430" w:hRule="exact"/>
        </w:trPr>
        <w:tc>
          <w:tcPr>
            <w:tcW w:w="2757" w:type="dxa"/>
            <w:tcBorders>
              <w:left w:val="nil"/>
              <w:right w:val="nil"/>
            </w:tcBorders>
          </w:tcPr>
          <w:p>
            <w:pPr>
              <w:pStyle w:val="TableParagraph"/>
              <w:spacing w:before="68"/>
              <w:ind w:left="922" w:right="1115"/>
              <w:rPr>
                <w:sz w:val="24"/>
              </w:rPr>
            </w:pPr>
            <w:r>
              <w:rPr>
                <w:sz w:val="24"/>
              </w:rPr>
              <w:t>1.87</w:t>
            </w:r>
          </w:p>
        </w:tc>
        <w:tc>
          <w:tcPr>
            <w:tcW w:w="3195" w:type="dxa"/>
            <w:tcBorders>
              <w:left w:val="nil"/>
              <w:right w:val="nil"/>
            </w:tcBorders>
          </w:tcPr>
          <w:p>
            <w:pPr>
              <w:pStyle w:val="TableParagraph"/>
              <w:spacing w:before="68"/>
              <w:ind w:left="36"/>
              <w:rPr>
                <w:sz w:val="24"/>
              </w:rPr>
            </w:pPr>
            <w:r>
              <w:rPr>
                <w:w w:val="99"/>
                <w:sz w:val="24"/>
              </w:rPr>
              <w:t>2</w:t>
            </w:r>
          </w:p>
        </w:tc>
        <w:tc>
          <w:tcPr>
            <w:tcW w:w="2590" w:type="dxa"/>
            <w:tcBorders>
              <w:left w:val="nil"/>
              <w:right w:val="nil"/>
            </w:tcBorders>
          </w:tcPr>
          <w:p>
            <w:pPr>
              <w:pStyle w:val="TableParagraph"/>
              <w:spacing w:before="68"/>
              <w:ind w:left="227"/>
              <w:rPr>
                <w:sz w:val="24"/>
              </w:rPr>
            </w:pPr>
            <w:r>
              <w:rPr>
                <w:w w:val="99"/>
                <w:sz w:val="24"/>
              </w:rPr>
              <w:t>2</w:t>
            </w:r>
          </w:p>
        </w:tc>
      </w:tr>
    </w:tbl>
    <w:p>
      <w:pPr>
        <w:pStyle w:val="BodyText"/>
        <w:rPr>
          <w:b/>
          <w:sz w:val="20"/>
        </w:rPr>
      </w:pPr>
    </w:p>
    <w:p>
      <w:pPr>
        <w:pStyle w:val="BodyText"/>
        <w:rPr>
          <w:b/>
          <w:sz w:val="10"/>
        </w:rPr>
      </w:pPr>
    </w:p>
    <w:tbl>
      <w:tblPr>
        <w:tblW w:w="0" w:type="auto"/>
        <w:jc w:val="left"/>
        <w:tblInd w:w="5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09"/>
        <w:gridCol w:w="4372"/>
      </w:tblGrid>
      <w:tr>
        <w:trPr>
          <w:trHeight w:val="463" w:hRule="exact"/>
        </w:trPr>
        <w:tc>
          <w:tcPr>
            <w:tcW w:w="8582" w:type="dxa"/>
            <w:gridSpan w:val="2"/>
            <w:tcBorders>
              <w:left w:val="nil"/>
              <w:right w:val="nil"/>
            </w:tcBorders>
          </w:tcPr>
          <w:p>
            <w:pPr>
              <w:pStyle w:val="TableParagraph"/>
              <w:spacing w:before="84"/>
              <w:ind w:left="2976" w:right="2977"/>
              <w:rPr>
                <w:b/>
                <w:sz w:val="24"/>
              </w:rPr>
            </w:pPr>
            <w:r>
              <w:rPr>
                <w:b/>
                <w:sz w:val="24"/>
              </w:rPr>
              <w:t>Medidas de dispersión</w:t>
            </w:r>
          </w:p>
        </w:tc>
      </w:tr>
      <w:tr>
        <w:trPr>
          <w:trHeight w:val="442" w:hRule="exact"/>
        </w:trPr>
        <w:tc>
          <w:tcPr>
            <w:tcW w:w="4209" w:type="dxa"/>
            <w:tcBorders>
              <w:left w:val="nil"/>
              <w:right w:val="nil"/>
            </w:tcBorders>
            <w:shd w:val="clear" w:color="auto" w:fill="99CC00"/>
          </w:tcPr>
          <w:p>
            <w:pPr>
              <w:pStyle w:val="TableParagraph"/>
              <w:spacing w:before="72"/>
              <w:ind w:left="1637" w:right="1691"/>
              <w:rPr>
                <w:b/>
                <w:sz w:val="24"/>
              </w:rPr>
            </w:pPr>
            <w:r>
              <w:rPr>
                <w:b/>
                <w:sz w:val="24"/>
              </w:rPr>
              <w:t>Mínimo</w:t>
            </w:r>
          </w:p>
        </w:tc>
        <w:tc>
          <w:tcPr>
            <w:tcW w:w="4372" w:type="dxa"/>
            <w:tcBorders>
              <w:left w:val="nil"/>
              <w:right w:val="nil"/>
            </w:tcBorders>
            <w:shd w:val="clear" w:color="auto" w:fill="99CC00"/>
          </w:tcPr>
          <w:p>
            <w:pPr>
              <w:pStyle w:val="TableParagraph"/>
              <w:spacing w:before="72"/>
              <w:ind w:left="1694" w:right="1744"/>
              <w:rPr>
                <w:b/>
                <w:sz w:val="24"/>
              </w:rPr>
            </w:pPr>
            <w:r>
              <w:rPr>
                <w:b/>
                <w:sz w:val="24"/>
              </w:rPr>
              <w:t>Máximo</w:t>
            </w:r>
          </w:p>
        </w:tc>
      </w:tr>
      <w:tr>
        <w:trPr>
          <w:trHeight w:val="420" w:hRule="exact"/>
        </w:trPr>
        <w:tc>
          <w:tcPr>
            <w:tcW w:w="4209" w:type="dxa"/>
            <w:tcBorders>
              <w:left w:val="nil"/>
              <w:right w:val="nil"/>
            </w:tcBorders>
          </w:tcPr>
          <w:p>
            <w:pPr>
              <w:pStyle w:val="TableParagraph"/>
              <w:spacing w:before="63"/>
              <w:ind w:right="54"/>
              <w:rPr>
                <w:sz w:val="24"/>
              </w:rPr>
            </w:pPr>
            <w:r>
              <w:rPr>
                <w:w w:val="99"/>
                <w:sz w:val="24"/>
              </w:rPr>
              <w:t>1</w:t>
            </w:r>
          </w:p>
        </w:tc>
        <w:tc>
          <w:tcPr>
            <w:tcW w:w="4372" w:type="dxa"/>
            <w:tcBorders>
              <w:left w:val="nil"/>
              <w:right w:val="nil"/>
            </w:tcBorders>
          </w:tcPr>
          <w:p>
            <w:pPr>
              <w:pStyle w:val="TableParagraph"/>
              <w:spacing w:before="63"/>
              <w:ind w:right="52"/>
              <w:rPr>
                <w:sz w:val="24"/>
              </w:rPr>
            </w:pPr>
            <w:r>
              <w:rPr>
                <w:w w:val="99"/>
                <w:sz w:val="24"/>
              </w:rPr>
              <w:t>5</w:t>
            </w:r>
          </w:p>
        </w:tc>
      </w:tr>
    </w:tbl>
    <w:p>
      <w:pPr>
        <w:pStyle w:val="BodyText"/>
        <w:rPr>
          <w:b/>
          <w:sz w:val="20"/>
        </w:rPr>
      </w:pPr>
    </w:p>
    <w:p>
      <w:pPr>
        <w:pStyle w:val="BodyText"/>
        <w:spacing w:before="7"/>
        <w:rPr>
          <w:b/>
          <w:sz w:val="16"/>
        </w:rPr>
      </w:pPr>
      <w:r>
        <w:rPr/>
        <w:pict>
          <v:group style="position:absolute;margin-left:122.275002pt;margin-top:11.505977pt;width:414.55pt;height:160.1pt;mso-position-horizontal-relative:page;mso-position-vertical-relative:paragraph;z-index:2824;mso-wrap-distance-left:0;mso-wrap-distance-right:0" coordorigin="2446,230" coordsize="8291,3202">
            <v:shape style="position:absolute;left:3758;top:1158;width:5383;height:1829" type="#_x0000_t75" stroked="false">
              <v:imagedata r:id="rId60" o:title=""/>
            </v:shape>
            <v:rect style="position:absolute;left:9176;top:1221;width:101;height:101" filled="true" fillcolor="#4f81bc" stroked="false">
              <v:fill type="solid"/>
            </v:rect>
            <v:rect style="position:absolute;left:9176;top:1688;width:101;height:101" filled="true" fillcolor="#c0504d" stroked="false">
              <v:fill type="solid"/>
            </v:rect>
            <v:rect style="position:absolute;left:9176;top:2156;width:101;height:101" filled="true" fillcolor="#9bba58" stroked="false">
              <v:fill type="solid"/>
            </v:rect>
            <v:rect style="position:absolute;left:9176;top:2623;width:101;height:101" filled="true" fillcolor="#8063a1" stroked="false">
              <v:fill type="solid"/>
            </v:rect>
            <v:shape style="position:absolute;left:2453;top:238;width:8276;height:3187" type="#_x0000_t202" filled="false" stroked="true" strokeweight=".75pt" strokecolor="#858585">
              <v:textbox inset="0,0,0,0">
                <w:txbxContent>
                  <w:p>
                    <w:pPr>
                      <w:spacing w:line="229" w:lineRule="exact" w:before="168"/>
                      <w:ind w:left="776" w:right="1504" w:firstLine="0"/>
                      <w:jc w:val="center"/>
                      <w:rPr>
                        <w:b/>
                        <w:sz w:val="20"/>
                      </w:rPr>
                    </w:pPr>
                    <w:r>
                      <w:rPr>
                        <w:b/>
                        <w:sz w:val="20"/>
                      </w:rPr>
                      <w:t>Gráfica No.14</w:t>
                    </w:r>
                  </w:p>
                  <w:p>
                    <w:pPr>
                      <w:spacing w:before="0"/>
                      <w:ind w:left="776" w:right="1506" w:firstLine="0"/>
                      <w:jc w:val="center"/>
                      <w:rPr>
                        <w:b/>
                        <w:sz w:val="20"/>
                      </w:rPr>
                    </w:pPr>
                    <w:r>
                      <w:rPr>
                        <w:b/>
                        <w:sz w:val="20"/>
                      </w:rPr>
                      <w:t>Número de veces que han sido hospitalizados en los últimos 6 meses. 2014</w:t>
                    </w:r>
                  </w:p>
                  <w:p>
                    <w:pPr>
                      <w:numPr>
                        <w:ilvl w:val="0"/>
                        <w:numId w:val="6"/>
                      </w:numPr>
                      <w:tabs>
                        <w:tab w:pos="6996" w:val="left" w:leader="none"/>
                      </w:tabs>
                      <w:spacing w:before="52"/>
                      <w:ind w:left="6995" w:right="1011" w:hanging="134"/>
                      <w:jc w:val="right"/>
                      <w:rPr>
                        <w:rFonts w:ascii="Calibri"/>
                        <w:b/>
                        <w:sz w:val="18"/>
                      </w:rPr>
                    </w:pPr>
                    <w:r>
                      <w:rPr>
                        <w:rFonts w:ascii="Calibri"/>
                        <w:b/>
                        <w:sz w:val="18"/>
                      </w:rPr>
                      <w:t>ves</w:t>
                    </w:r>
                  </w:p>
                  <w:p>
                    <w:pPr>
                      <w:spacing w:line="240" w:lineRule="auto" w:before="6"/>
                      <w:rPr>
                        <w:b/>
                        <w:sz w:val="21"/>
                      </w:rPr>
                    </w:pPr>
                  </w:p>
                  <w:p>
                    <w:pPr>
                      <w:numPr>
                        <w:ilvl w:val="0"/>
                        <w:numId w:val="6"/>
                      </w:numPr>
                      <w:tabs>
                        <w:tab w:pos="6996" w:val="left" w:leader="none"/>
                      </w:tabs>
                      <w:spacing w:before="0"/>
                      <w:ind w:left="6995" w:right="843" w:hanging="134"/>
                      <w:jc w:val="right"/>
                      <w:rPr>
                        <w:rFonts w:ascii="Calibri"/>
                        <w:b/>
                        <w:sz w:val="18"/>
                      </w:rPr>
                    </w:pPr>
                    <w:r>
                      <w:rPr>
                        <w:rFonts w:ascii="Calibri"/>
                        <w:b/>
                        <w:spacing w:val="-1"/>
                        <w:sz w:val="18"/>
                      </w:rPr>
                      <w:t>veces</w:t>
                    </w:r>
                  </w:p>
                  <w:p>
                    <w:pPr>
                      <w:spacing w:line="240" w:lineRule="auto" w:before="6"/>
                      <w:rPr>
                        <w:b/>
                        <w:sz w:val="21"/>
                      </w:rPr>
                    </w:pPr>
                  </w:p>
                  <w:p>
                    <w:pPr>
                      <w:numPr>
                        <w:ilvl w:val="0"/>
                        <w:numId w:val="6"/>
                      </w:numPr>
                      <w:tabs>
                        <w:tab w:pos="6996" w:val="left" w:leader="none"/>
                      </w:tabs>
                      <w:spacing w:before="0"/>
                      <w:ind w:left="6995" w:right="843" w:hanging="134"/>
                      <w:jc w:val="right"/>
                      <w:rPr>
                        <w:rFonts w:ascii="Calibri"/>
                        <w:b/>
                        <w:sz w:val="18"/>
                      </w:rPr>
                    </w:pPr>
                    <w:r>
                      <w:rPr>
                        <w:rFonts w:ascii="Calibri"/>
                        <w:b/>
                        <w:spacing w:val="-1"/>
                        <w:sz w:val="18"/>
                      </w:rPr>
                      <w:t>veces</w:t>
                    </w:r>
                  </w:p>
                  <w:p>
                    <w:pPr>
                      <w:spacing w:line="240" w:lineRule="auto" w:before="6"/>
                      <w:rPr>
                        <w:b/>
                        <w:sz w:val="21"/>
                      </w:rPr>
                    </w:pPr>
                  </w:p>
                  <w:p>
                    <w:pPr>
                      <w:spacing w:before="0"/>
                      <w:ind w:left="0" w:right="245" w:firstLine="0"/>
                      <w:jc w:val="right"/>
                      <w:rPr>
                        <w:rFonts w:ascii="Calibri" w:hAnsi="Calibri"/>
                        <w:b/>
                        <w:sz w:val="18"/>
                      </w:rPr>
                    </w:pPr>
                    <w:r>
                      <w:rPr>
                        <w:rFonts w:ascii="Calibri" w:hAnsi="Calibri"/>
                        <w:b/>
                        <w:sz w:val="18"/>
                      </w:rPr>
                      <w:t>Más de 5 veces</w:t>
                    </w:r>
                  </w:p>
                </w:txbxContent>
              </v:textbox>
              <w10:wrap type="none"/>
            </v:shape>
            <w10:wrap type="topAndBottom"/>
          </v:group>
        </w:pict>
      </w:r>
    </w:p>
    <w:p>
      <w:pPr>
        <w:spacing w:before="79"/>
        <w:ind w:left="735" w:right="230" w:firstLine="0"/>
        <w:jc w:val="left"/>
        <w:rPr>
          <w:sz w:val="20"/>
        </w:rPr>
      </w:pPr>
      <w:r>
        <w:rPr>
          <w:sz w:val="20"/>
        </w:rPr>
        <w:t>Fuente: Tabla No. 14</w:t>
      </w:r>
    </w:p>
    <w:p>
      <w:pPr>
        <w:spacing w:after="0"/>
        <w:jc w:val="left"/>
        <w:rPr>
          <w:sz w:val="20"/>
        </w:rPr>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87"/>
        <w:jc w:val="both"/>
      </w:pPr>
      <w:r>
        <w:rPr/>
        <w:t>Respecto al número de veces que el paciente ha tenido que ser reingresado a la estancia hospitalaria, se obtuvo que el 46.7% de los pacientes han sido hospitalizados al menos 2 veces en los últimos 6 meses, mientras que, sólo el 3.3% han requerido ser hospitalizados más 5 veces, lo anterior, es un reflejo de la vulnerabilidad y el estado de dependencia inherente a edades de más de 60 años, lo que pude conllevar al constante reingreso hospitalario del adulto mayor; el Instituto de Geriatría en 2010 reporta, que la población mayor a 60 años, requirió ser hospitalizada 1.7 veces al</w:t>
      </w:r>
      <w:r>
        <w:rPr>
          <w:spacing w:val="-18"/>
        </w:rPr>
        <w:t> </w:t>
      </w:r>
      <w:r>
        <w:rPr/>
        <w:t>año.</w:t>
      </w:r>
    </w:p>
    <w:p>
      <w:pPr>
        <w:spacing w:after="0" w:line="360" w:lineRule="auto"/>
        <w:jc w:val="both"/>
        <w:sectPr>
          <w:pgSz w:w="12250" w:h="15850"/>
          <w:pgMar w:header="748" w:footer="1122" w:top="1260" w:bottom="1320" w:left="1720" w:right="1280"/>
        </w:sectPr>
      </w:pPr>
    </w:p>
    <w:p>
      <w:pPr>
        <w:pStyle w:val="BodyText"/>
        <w:rPr>
          <w:sz w:val="20"/>
        </w:rPr>
      </w:pPr>
      <w:r>
        <w:rPr/>
        <w:pict>
          <v:rect style="position:absolute;margin-left:481.290009pt;margin-top:487.031006pt;width:5.049pt;height:5.049pt;mso-position-horizontal-relative:page;mso-position-vertical-relative:page;z-index:-173128" filled="true" fillcolor="#4f81bc" stroked="false">
            <v:fill type="solid"/>
            <w10:wrap type="none"/>
          </v:rect>
        </w:pict>
      </w:r>
    </w:p>
    <w:p>
      <w:pPr>
        <w:pStyle w:val="BodyText"/>
        <w:rPr>
          <w:sz w:val="20"/>
        </w:rPr>
      </w:pPr>
    </w:p>
    <w:p>
      <w:pPr>
        <w:pStyle w:val="BodyText"/>
        <w:spacing w:before="5"/>
        <w:rPr>
          <w:sz w:val="21"/>
        </w:rPr>
      </w:pPr>
    </w:p>
    <w:p>
      <w:pPr>
        <w:pStyle w:val="Heading2"/>
        <w:ind w:right="0"/>
      </w:pPr>
      <w:r>
        <w:rPr/>
        <w:t>Descripción de</w:t>
      </w:r>
      <w:r>
        <w:rPr>
          <w:b w:val="0"/>
        </w:rPr>
        <w:t>l </w:t>
      </w:r>
      <w:r>
        <w:rPr/>
        <w:t>rol del cuidador</w:t>
      </w:r>
    </w:p>
    <w:p>
      <w:pPr>
        <w:pStyle w:val="BodyText"/>
        <w:rPr>
          <w:b/>
        </w:rPr>
      </w:pPr>
    </w:p>
    <w:p>
      <w:pPr>
        <w:pStyle w:val="BodyText"/>
        <w:rPr>
          <w:b/>
        </w:rPr>
      </w:pPr>
    </w:p>
    <w:p>
      <w:pPr>
        <w:spacing w:line="360" w:lineRule="auto" w:before="0"/>
        <w:ind w:left="625" w:right="200" w:firstLine="0"/>
        <w:jc w:val="both"/>
        <w:rPr>
          <w:b/>
          <w:sz w:val="24"/>
        </w:rPr>
      </w:pPr>
      <w:r>
        <w:rPr>
          <w:sz w:val="24"/>
        </w:rPr>
        <w:t>Tabla No. 15. </w:t>
      </w:r>
      <w:r>
        <w:rPr>
          <w:b/>
          <w:sz w:val="24"/>
        </w:rPr>
        <w:t>Parentesco entre el cuidador informal primario y el adulto mayor hospitalizado,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83"/>
        <w:gridCol w:w="2762"/>
        <w:gridCol w:w="2527"/>
      </w:tblGrid>
      <w:tr>
        <w:trPr>
          <w:trHeight w:val="447" w:hRule="exact"/>
        </w:trPr>
        <w:tc>
          <w:tcPr>
            <w:tcW w:w="3283" w:type="dxa"/>
            <w:tcBorders>
              <w:left w:val="nil"/>
              <w:right w:val="nil"/>
            </w:tcBorders>
            <w:shd w:val="clear" w:color="auto" w:fill="99CC00"/>
          </w:tcPr>
          <w:p>
            <w:pPr>
              <w:pStyle w:val="TableParagraph"/>
              <w:spacing w:before="78"/>
              <w:ind w:left="1079" w:right="869"/>
              <w:rPr>
                <w:b/>
                <w:sz w:val="24"/>
              </w:rPr>
            </w:pPr>
            <w:r>
              <w:rPr>
                <w:b/>
                <w:sz w:val="24"/>
              </w:rPr>
              <w:t>Parentesco</w:t>
            </w:r>
          </w:p>
        </w:tc>
        <w:tc>
          <w:tcPr>
            <w:tcW w:w="2762" w:type="dxa"/>
            <w:tcBorders>
              <w:left w:val="nil"/>
              <w:right w:val="nil"/>
            </w:tcBorders>
            <w:shd w:val="clear" w:color="auto" w:fill="99CC00"/>
          </w:tcPr>
          <w:p>
            <w:pPr>
              <w:pStyle w:val="TableParagraph"/>
              <w:spacing w:before="78"/>
              <w:ind w:left="869" w:right="664"/>
              <w:rPr>
                <w:sz w:val="24"/>
              </w:rPr>
            </w:pPr>
            <w:r>
              <w:rPr>
                <w:sz w:val="24"/>
              </w:rPr>
              <w:t>Frecuencia</w:t>
            </w:r>
          </w:p>
        </w:tc>
        <w:tc>
          <w:tcPr>
            <w:tcW w:w="2527" w:type="dxa"/>
            <w:tcBorders>
              <w:left w:val="nil"/>
              <w:right w:val="nil"/>
            </w:tcBorders>
            <w:shd w:val="clear" w:color="auto" w:fill="99CC00"/>
          </w:tcPr>
          <w:p>
            <w:pPr>
              <w:pStyle w:val="TableParagraph"/>
              <w:spacing w:before="78"/>
              <w:ind w:left="665" w:right="674"/>
              <w:rPr>
                <w:sz w:val="24"/>
              </w:rPr>
            </w:pPr>
            <w:r>
              <w:rPr>
                <w:sz w:val="24"/>
              </w:rPr>
              <w:t>Porcentaje</w:t>
            </w:r>
          </w:p>
        </w:tc>
      </w:tr>
      <w:tr>
        <w:trPr>
          <w:trHeight w:val="385" w:hRule="exact"/>
        </w:trPr>
        <w:tc>
          <w:tcPr>
            <w:tcW w:w="3283" w:type="dxa"/>
            <w:tcBorders>
              <w:left w:val="nil"/>
              <w:bottom w:val="nil"/>
              <w:right w:val="nil"/>
            </w:tcBorders>
          </w:tcPr>
          <w:p>
            <w:pPr>
              <w:pStyle w:val="TableParagraph"/>
              <w:spacing w:before="43"/>
              <w:ind w:left="1079" w:right="868"/>
              <w:rPr>
                <w:sz w:val="24"/>
              </w:rPr>
            </w:pPr>
            <w:r>
              <w:rPr>
                <w:sz w:val="24"/>
              </w:rPr>
              <w:t>Padre</w:t>
            </w:r>
          </w:p>
        </w:tc>
        <w:tc>
          <w:tcPr>
            <w:tcW w:w="2762" w:type="dxa"/>
            <w:tcBorders>
              <w:left w:val="nil"/>
              <w:bottom w:val="nil"/>
              <w:right w:val="nil"/>
            </w:tcBorders>
          </w:tcPr>
          <w:p>
            <w:pPr>
              <w:pStyle w:val="TableParagraph"/>
              <w:spacing w:before="43"/>
              <w:ind w:left="200"/>
              <w:rPr>
                <w:sz w:val="24"/>
              </w:rPr>
            </w:pPr>
            <w:r>
              <w:rPr>
                <w:w w:val="99"/>
                <w:sz w:val="24"/>
              </w:rPr>
              <w:t>8</w:t>
            </w:r>
          </w:p>
        </w:tc>
        <w:tc>
          <w:tcPr>
            <w:tcW w:w="2527" w:type="dxa"/>
            <w:tcBorders>
              <w:left w:val="nil"/>
              <w:bottom w:val="nil"/>
              <w:right w:val="nil"/>
            </w:tcBorders>
          </w:tcPr>
          <w:p>
            <w:pPr>
              <w:pStyle w:val="TableParagraph"/>
              <w:spacing w:before="43"/>
              <w:ind w:left="665" w:right="672"/>
              <w:rPr>
                <w:sz w:val="24"/>
              </w:rPr>
            </w:pPr>
            <w:r>
              <w:rPr>
                <w:sz w:val="24"/>
              </w:rPr>
              <w:t>26.7</w:t>
            </w:r>
          </w:p>
        </w:tc>
      </w:tr>
      <w:tr>
        <w:trPr>
          <w:trHeight w:val="371" w:hRule="exact"/>
        </w:trPr>
        <w:tc>
          <w:tcPr>
            <w:tcW w:w="3283" w:type="dxa"/>
            <w:tcBorders>
              <w:top w:val="nil"/>
              <w:left w:val="nil"/>
              <w:bottom w:val="nil"/>
              <w:right w:val="nil"/>
            </w:tcBorders>
          </w:tcPr>
          <w:p>
            <w:pPr>
              <w:pStyle w:val="TableParagraph"/>
              <w:spacing w:before="35"/>
              <w:ind w:left="1077" w:right="869"/>
              <w:rPr>
                <w:b/>
                <w:sz w:val="24"/>
              </w:rPr>
            </w:pPr>
            <w:r>
              <w:rPr>
                <w:b/>
                <w:sz w:val="24"/>
              </w:rPr>
              <w:t>Madre</w:t>
            </w:r>
          </w:p>
        </w:tc>
        <w:tc>
          <w:tcPr>
            <w:tcW w:w="2762" w:type="dxa"/>
            <w:tcBorders>
              <w:top w:val="nil"/>
              <w:left w:val="nil"/>
              <w:bottom w:val="nil"/>
              <w:right w:val="nil"/>
            </w:tcBorders>
          </w:tcPr>
          <w:p>
            <w:pPr>
              <w:pStyle w:val="TableParagraph"/>
              <w:spacing w:before="35"/>
              <w:ind w:left="869" w:right="663"/>
              <w:rPr>
                <w:b/>
                <w:sz w:val="24"/>
              </w:rPr>
            </w:pPr>
            <w:r>
              <w:rPr>
                <w:b/>
                <w:sz w:val="24"/>
              </w:rPr>
              <w:t>16</w:t>
            </w:r>
          </w:p>
        </w:tc>
        <w:tc>
          <w:tcPr>
            <w:tcW w:w="2527" w:type="dxa"/>
            <w:tcBorders>
              <w:top w:val="nil"/>
              <w:left w:val="nil"/>
              <w:bottom w:val="nil"/>
              <w:right w:val="nil"/>
            </w:tcBorders>
          </w:tcPr>
          <w:p>
            <w:pPr>
              <w:pStyle w:val="TableParagraph"/>
              <w:spacing w:before="35"/>
              <w:ind w:left="665" w:right="672"/>
              <w:rPr>
                <w:b/>
                <w:sz w:val="24"/>
              </w:rPr>
            </w:pPr>
            <w:r>
              <w:rPr>
                <w:b/>
                <w:sz w:val="24"/>
              </w:rPr>
              <w:t>53.3</w:t>
            </w:r>
          </w:p>
        </w:tc>
      </w:tr>
      <w:tr>
        <w:trPr>
          <w:trHeight w:val="388" w:hRule="exact"/>
        </w:trPr>
        <w:tc>
          <w:tcPr>
            <w:tcW w:w="3283" w:type="dxa"/>
            <w:tcBorders>
              <w:top w:val="nil"/>
              <w:left w:val="nil"/>
              <w:bottom w:val="nil"/>
              <w:right w:val="nil"/>
            </w:tcBorders>
          </w:tcPr>
          <w:p>
            <w:pPr>
              <w:pStyle w:val="TableParagraph"/>
              <w:spacing w:before="34"/>
              <w:ind w:left="1079" w:right="869"/>
              <w:rPr>
                <w:sz w:val="24"/>
              </w:rPr>
            </w:pPr>
            <w:r>
              <w:rPr>
                <w:sz w:val="24"/>
              </w:rPr>
              <w:t>Abuela</w:t>
            </w:r>
          </w:p>
        </w:tc>
        <w:tc>
          <w:tcPr>
            <w:tcW w:w="2762" w:type="dxa"/>
            <w:tcBorders>
              <w:top w:val="nil"/>
              <w:left w:val="nil"/>
              <w:bottom w:val="nil"/>
              <w:right w:val="nil"/>
            </w:tcBorders>
          </w:tcPr>
          <w:p>
            <w:pPr>
              <w:pStyle w:val="TableParagraph"/>
              <w:spacing w:before="34"/>
              <w:ind w:left="200"/>
              <w:rPr>
                <w:sz w:val="24"/>
              </w:rPr>
            </w:pPr>
            <w:r>
              <w:rPr>
                <w:w w:val="99"/>
                <w:sz w:val="24"/>
              </w:rPr>
              <w:t>3</w:t>
            </w:r>
          </w:p>
        </w:tc>
        <w:tc>
          <w:tcPr>
            <w:tcW w:w="2527" w:type="dxa"/>
            <w:tcBorders>
              <w:top w:val="nil"/>
              <w:left w:val="nil"/>
              <w:bottom w:val="nil"/>
              <w:right w:val="nil"/>
            </w:tcBorders>
          </w:tcPr>
          <w:p>
            <w:pPr>
              <w:pStyle w:val="TableParagraph"/>
              <w:spacing w:before="34"/>
              <w:ind w:left="665" w:right="670"/>
              <w:rPr>
                <w:sz w:val="24"/>
              </w:rPr>
            </w:pPr>
            <w:r>
              <w:rPr>
                <w:sz w:val="24"/>
              </w:rPr>
              <w:t>10</w:t>
            </w:r>
          </w:p>
        </w:tc>
      </w:tr>
      <w:tr>
        <w:trPr>
          <w:trHeight w:val="416" w:hRule="exact"/>
        </w:trPr>
        <w:tc>
          <w:tcPr>
            <w:tcW w:w="3283" w:type="dxa"/>
            <w:tcBorders>
              <w:top w:val="nil"/>
              <w:left w:val="nil"/>
              <w:right w:val="nil"/>
            </w:tcBorders>
          </w:tcPr>
          <w:p>
            <w:pPr>
              <w:pStyle w:val="TableParagraph"/>
              <w:spacing w:before="52"/>
              <w:ind w:left="1079" w:right="865"/>
              <w:rPr>
                <w:sz w:val="24"/>
              </w:rPr>
            </w:pPr>
            <w:r>
              <w:rPr>
                <w:sz w:val="24"/>
              </w:rPr>
              <w:t>Otro</w:t>
            </w:r>
          </w:p>
        </w:tc>
        <w:tc>
          <w:tcPr>
            <w:tcW w:w="2762" w:type="dxa"/>
            <w:tcBorders>
              <w:top w:val="nil"/>
              <w:left w:val="nil"/>
              <w:right w:val="nil"/>
            </w:tcBorders>
          </w:tcPr>
          <w:p>
            <w:pPr>
              <w:pStyle w:val="TableParagraph"/>
              <w:spacing w:before="52"/>
              <w:ind w:left="200"/>
              <w:rPr>
                <w:sz w:val="24"/>
              </w:rPr>
            </w:pPr>
            <w:r>
              <w:rPr>
                <w:w w:val="99"/>
                <w:sz w:val="24"/>
              </w:rPr>
              <w:t>3</w:t>
            </w:r>
          </w:p>
        </w:tc>
        <w:tc>
          <w:tcPr>
            <w:tcW w:w="2527" w:type="dxa"/>
            <w:tcBorders>
              <w:top w:val="nil"/>
              <w:left w:val="nil"/>
              <w:right w:val="nil"/>
            </w:tcBorders>
          </w:tcPr>
          <w:p>
            <w:pPr>
              <w:pStyle w:val="TableParagraph"/>
              <w:spacing w:before="52"/>
              <w:ind w:left="665" w:right="670"/>
              <w:rPr>
                <w:sz w:val="24"/>
              </w:rPr>
            </w:pPr>
            <w:r>
              <w:rPr>
                <w:sz w:val="24"/>
              </w:rPr>
              <w:t>10</w:t>
            </w:r>
          </w:p>
        </w:tc>
      </w:tr>
      <w:tr>
        <w:trPr>
          <w:trHeight w:val="382" w:hRule="exact"/>
        </w:trPr>
        <w:tc>
          <w:tcPr>
            <w:tcW w:w="3283" w:type="dxa"/>
            <w:tcBorders>
              <w:left w:val="nil"/>
              <w:right w:val="nil"/>
            </w:tcBorders>
            <w:shd w:val="clear" w:color="auto" w:fill="99CC00"/>
          </w:tcPr>
          <w:p>
            <w:pPr>
              <w:pStyle w:val="TableParagraph"/>
              <w:spacing w:before="43"/>
              <w:ind w:left="1078" w:right="869"/>
              <w:rPr>
                <w:b/>
                <w:sz w:val="24"/>
              </w:rPr>
            </w:pPr>
            <w:r>
              <w:rPr>
                <w:b/>
                <w:sz w:val="24"/>
              </w:rPr>
              <w:t>Total</w:t>
            </w:r>
          </w:p>
        </w:tc>
        <w:tc>
          <w:tcPr>
            <w:tcW w:w="2762" w:type="dxa"/>
            <w:tcBorders>
              <w:left w:val="nil"/>
              <w:right w:val="nil"/>
            </w:tcBorders>
            <w:shd w:val="clear" w:color="auto" w:fill="99CC00"/>
          </w:tcPr>
          <w:p>
            <w:pPr>
              <w:pStyle w:val="TableParagraph"/>
              <w:spacing w:before="43"/>
              <w:ind w:left="869" w:right="663"/>
              <w:rPr>
                <w:sz w:val="24"/>
              </w:rPr>
            </w:pPr>
            <w:r>
              <w:rPr>
                <w:sz w:val="24"/>
              </w:rPr>
              <w:t>30</w:t>
            </w:r>
          </w:p>
        </w:tc>
        <w:tc>
          <w:tcPr>
            <w:tcW w:w="2527" w:type="dxa"/>
            <w:tcBorders>
              <w:left w:val="nil"/>
              <w:right w:val="nil"/>
            </w:tcBorders>
            <w:shd w:val="clear" w:color="auto" w:fill="99CC00"/>
          </w:tcPr>
          <w:p>
            <w:pPr>
              <w:pStyle w:val="TableParagraph"/>
              <w:spacing w:before="43"/>
              <w:ind w:left="665" w:right="670"/>
              <w:rPr>
                <w:sz w:val="24"/>
              </w:rPr>
            </w:pPr>
            <w:r>
              <w:rPr>
                <w:sz w:val="24"/>
              </w:rPr>
              <w:t>100</w:t>
            </w:r>
          </w:p>
        </w:tc>
      </w:tr>
    </w:tbl>
    <w:p>
      <w:pPr>
        <w:pStyle w:val="BodyText"/>
        <w:rPr>
          <w:b/>
          <w:sz w:val="20"/>
        </w:rPr>
      </w:pPr>
    </w:p>
    <w:p>
      <w:pPr>
        <w:pStyle w:val="BodyText"/>
        <w:rPr>
          <w:b/>
          <w:sz w:val="20"/>
        </w:rPr>
      </w:pPr>
    </w:p>
    <w:p>
      <w:pPr>
        <w:pStyle w:val="BodyText"/>
        <w:spacing w:before="2"/>
        <w:rPr>
          <w:b/>
          <w:sz w:val="10"/>
        </w:rPr>
      </w:pPr>
      <w:r>
        <w:rPr/>
        <w:pict>
          <v:group style="position:absolute;margin-left:122.925003pt;margin-top:7.846953pt;width:414.05pt;height:190.85pt;mso-position-horizontal-relative:page;mso-position-vertical-relative:paragraph;z-index:2872;mso-wrap-distance-left:0;mso-wrap-distance-right:0" coordorigin="2459,157" coordsize="8281,3817">
            <v:shape style="position:absolute;left:3384;top:1269;width:5822;height:2376" type="#_x0000_t75" stroked="false">
              <v:imagedata r:id="rId61" o:title=""/>
            </v:shape>
            <v:shape style="position:absolute;left:2466;top:164;width:8266;height:3802" type="#_x0000_t202" filled="false" stroked="true" strokeweight=".75pt" strokecolor="#858585">
              <v:textbox inset="0,0,0,0">
                <w:txbxContent>
                  <w:p>
                    <w:pPr>
                      <w:spacing w:before="142"/>
                      <w:ind w:left="906" w:right="1389" w:firstLine="0"/>
                      <w:jc w:val="center"/>
                      <w:rPr>
                        <w:b/>
                        <w:sz w:val="20"/>
                      </w:rPr>
                    </w:pPr>
                    <w:r>
                      <w:rPr>
                        <w:b/>
                        <w:sz w:val="20"/>
                      </w:rPr>
                      <w:t>Gráfica No. 15</w:t>
                    </w:r>
                  </w:p>
                  <w:p>
                    <w:pPr>
                      <w:spacing w:before="0"/>
                      <w:ind w:left="906" w:right="1395" w:firstLine="0"/>
                      <w:jc w:val="center"/>
                      <w:rPr>
                        <w:b/>
                        <w:sz w:val="20"/>
                      </w:rPr>
                    </w:pPr>
                    <w:r>
                      <w:rPr>
                        <w:b/>
                        <w:sz w:val="20"/>
                      </w:rPr>
                      <w:t>Parentesco entre el cuidador informal primario y adulto mayor</w:t>
                    </w:r>
                  </w:p>
                  <w:p>
                    <w:pPr>
                      <w:spacing w:before="0"/>
                      <w:ind w:left="906" w:right="1391" w:firstLine="0"/>
                      <w:jc w:val="center"/>
                      <w:rPr>
                        <w:b/>
                        <w:sz w:val="20"/>
                      </w:rPr>
                    </w:pPr>
                    <w:r>
                      <w:rPr>
                        <w:b/>
                        <w:sz w:val="20"/>
                      </w:rPr>
                      <w:t>hospitalizado.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7"/>
                      <w:rPr>
                        <w:b/>
                        <w:sz w:val="16"/>
                      </w:rPr>
                    </w:pPr>
                  </w:p>
                  <w:p>
                    <w:pPr>
                      <w:spacing w:line="396" w:lineRule="auto" w:before="1"/>
                      <w:ind w:left="7298" w:right="99" w:firstLine="0"/>
                      <w:jc w:val="left"/>
                      <w:rPr>
                        <w:rFonts w:ascii="Calibri"/>
                        <w:b/>
                        <w:sz w:val="18"/>
                      </w:rPr>
                    </w:pPr>
                    <w:r>
                      <w:rPr>
                        <w:rFonts w:ascii="Calibri"/>
                        <w:b/>
                        <w:w w:val="105"/>
                        <w:sz w:val="18"/>
                      </w:rPr>
                      <w:t>Padre Madre </w:t>
                    </w:r>
                    <w:r>
                      <w:rPr>
                        <w:rFonts w:ascii="Calibri"/>
                        <w:b/>
                        <w:sz w:val="18"/>
                      </w:rPr>
                      <w:t>Abuela </w:t>
                    </w:r>
                    <w:r>
                      <w:rPr>
                        <w:rFonts w:ascii="Calibri"/>
                        <w:b/>
                        <w:w w:val="105"/>
                        <w:sz w:val="18"/>
                      </w:rPr>
                      <w:t>Otro</w:t>
                    </w:r>
                  </w:p>
                </w:txbxContent>
              </v:textbox>
              <w10:wrap type="none"/>
            </v:shape>
            <w10:wrap type="topAndBottom"/>
          </v:group>
        </w:pict>
      </w:r>
    </w:p>
    <w:p>
      <w:pPr>
        <w:spacing w:line="191" w:lineRule="exact" w:before="0"/>
        <w:ind w:left="790" w:right="230" w:firstLine="0"/>
        <w:jc w:val="left"/>
        <w:rPr>
          <w:sz w:val="20"/>
        </w:rPr>
      </w:pPr>
      <w:r>
        <w:rPr>
          <w:sz w:val="20"/>
        </w:rPr>
        <w:t>Fuente: Tabla No. 15</w:t>
      </w:r>
    </w:p>
    <w:p>
      <w:pPr>
        <w:pStyle w:val="BodyText"/>
        <w:rPr>
          <w:sz w:val="20"/>
        </w:rPr>
      </w:pPr>
    </w:p>
    <w:p>
      <w:pPr>
        <w:pStyle w:val="BodyText"/>
        <w:rPr>
          <w:sz w:val="16"/>
        </w:rPr>
      </w:pPr>
    </w:p>
    <w:p>
      <w:pPr>
        <w:pStyle w:val="BodyText"/>
        <w:spacing w:line="360" w:lineRule="auto"/>
        <w:ind w:left="625" w:right="256"/>
        <w:jc w:val="both"/>
      </w:pPr>
      <w:r>
        <w:rPr/>
        <w:pict>
          <v:rect style="position:absolute;margin-left:481.290009pt;margin-top:-91.673134pt;width:5.049pt;height:5.049pt;mso-position-horizontal-relative:page;mso-position-vertical-relative:paragraph;z-index:-173104" filled="true" fillcolor="#c0504d" stroked="false">
            <v:fill type="solid"/>
            <w10:wrap type="none"/>
          </v:rect>
        </w:pict>
      </w:r>
      <w:r>
        <w:rPr/>
        <w:pict>
          <v:rect style="position:absolute;margin-left:481.290009pt;margin-top:-73.603134pt;width:5.049pt;height:5.049pt;mso-position-horizontal-relative:page;mso-position-vertical-relative:paragraph;z-index:-173080" filled="true" fillcolor="#9bba58" stroked="false">
            <v:fill type="solid"/>
            <w10:wrap type="none"/>
          </v:rect>
        </w:pict>
      </w:r>
      <w:r>
        <w:rPr/>
        <w:pict>
          <v:rect style="position:absolute;margin-left:481.290009pt;margin-top:-55.533134pt;width:5.049pt;height:5.049pt;mso-position-horizontal-relative:page;mso-position-vertical-relative:paragraph;z-index:-173056" filled="true" fillcolor="#8063a1" stroked="false">
            <v:fill type="solid"/>
            <w10:wrap type="none"/>
          </v:rect>
        </w:pict>
      </w:r>
      <w:r>
        <w:rPr/>
        <w:t>La tabla No. 15 muestra que el parentesco predominante entre los pacientes hospitalizados y los cuidadores informales primarios fue el de madre en un 53.3%, el parentesco con abuela y otro familiar se obtuvo un 10% cada uno.</w:t>
      </w:r>
    </w:p>
    <w:p>
      <w:pPr>
        <w:spacing w:after="0" w:line="360" w:lineRule="auto"/>
        <w:jc w:val="both"/>
        <w:sectPr>
          <w:pgSz w:w="12250" w:h="15850"/>
          <w:pgMar w:header="748" w:footer="1122" w:top="1260" w:bottom="1320" w:left="1720" w:right="1220"/>
        </w:sectPr>
      </w:pPr>
    </w:p>
    <w:p>
      <w:pPr>
        <w:pStyle w:val="BodyText"/>
        <w:rPr>
          <w:sz w:val="20"/>
        </w:rPr>
      </w:pPr>
      <w:r>
        <w:rPr/>
        <w:pict>
          <v:rect style="position:absolute;margin-left:450.809998pt;margin-top:589.1922pt;width:5.0378pt;height:5.0378pt;mso-position-horizontal-relative:page;mso-position-vertical-relative:page;z-index:-172984" filled="true" fillcolor="#4f81bc" stroked="false">
            <v:fill type="solid"/>
            <w10:wrap type="none"/>
          </v:rect>
        </w:pict>
      </w:r>
      <w:r>
        <w:rPr/>
        <w:pict>
          <v:rect style="position:absolute;margin-left:450.809998pt;margin-top:612.972168pt;width:5.0378pt;height:5.0378pt;mso-position-horizontal-relative:page;mso-position-vertical-relative:page;z-index:-172960" filled="true" fillcolor="#c0504d" stroked="false">
            <v:fill type="solid"/>
            <w10:wrap type="none"/>
          </v:rect>
        </w:pict>
      </w:r>
      <w:r>
        <w:rPr/>
        <w:pict>
          <v:rect style="position:absolute;margin-left:450.809998pt;margin-top:636.742188pt;width:5.0378pt;height:5.0378pt;mso-position-horizontal-relative:page;mso-position-vertical-relative:page;z-index:-172936" filled="true" fillcolor="#9bba58" stroked="false">
            <v:fill type="solid"/>
            <w10:wrap type="none"/>
          </v:rect>
        </w:pict>
      </w:r>
      <w:r>
        <w:rPr/>
        <w:pict>
          <v:rect style="position:absolute;margin-left:450.809998pt;margin-top:660.512207pt;width:5.0378pt;height:5.0378pt;mso-position-horizontal-relative:page;mso-position-vertical-relative:page;z-index:-172912" filled="true" fillcolor="#8063a1" stroked="false">
            <v:fill type="solid"/>
            <w10:wrap type="none"/>
          </v:rect>
        </w:pict>
      </w:r>
    </w:p>
    <w:p>
      <w:pPr>
        <w:pStyle w:val="BodyText"/>
        <w:rPr>
          <w:sz w:val="20"/>
        </w:rPr>
      </w:pPr>
    </w:p>
    <w:p>
      <w:pPr>
        <w:pStyle w:val="BodyText"/>
        <w:spacing w:before="5"/>
        <w:rPr>
          <w:sz w:val="21"/>
        </w:rPr>
      </w:pPr>
    </w:p>
    <w:p>
      <w:pPr>
        <w:pStyle w:val="Heading2"/>
        <w:spacing w:line="360" w:lineRule="auto"/>
        <w:ind w:right="196"/>
      </w:pPr>
      <w:r>
        <w:rPr>
          <w:b w:val="0"/>
        </w:rPr>
        <w:t>Tabla No. 16</w:t>
      </w:r>
      <w:r>
        <w:rPr/>
        <w:t>. Tiempo que lleva viviendo el cuidador informal primario con el adulto mayor hospitalizado,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31"/>
        <w:gridCol w:w="2158"/>
        <w:gridCol w:w="1944"/>
      </w:tblGrid>
      <w:tr>
        <w:trPr>
          <w:trHeight w:val="480" w:hRule="exact"/>
        </w:trPr>
        <w:tc>
          <w:tcPr>
            <w:tcW w:w="4331" w:type="dxa"/>
            <w:tcBorders>
              <w:left w:val="nil"/>
              <w:right w:val="nil"/>
            </w:tcBorders>
            <w:shd w:val="clear" w:color="auto" w:fill="99CC00"/>
          </w:tcPr>
          <w:p>
            <w:pPr>
              <w:pStyle w:val="TableParagraph"/>
              <w:spacing w:before="94"/>
              <w:ind w:left="747" w:right="556"/>
              <w:rPr>
                <w:b/>
                <w:sz w:val="24"/>
              </w:rPr>
            </w:pPr>
            <w:r>
              <w:rPr>
                <w:b/>
                <w:sz w:val="24"/>
              </w:rPr>
              <w:t>Tiempo que lleva viviendo</w:t>
            </w:r>
          </w:p>
        </w:tc>
        <w:tc>
          <w:tcPr>
            <w:tcW w:w="2158" w:type="dxa"/>
            <w:tcBorders>
              <w:left w:val="nil"/>
              <w:right w:val="nil"/>
            </w:tcBorders>
            <w:shd w:val="clear" w:color="auto" w:fill="99CC00"/>
          </w:tcPr>
          <w:p>
            <w:pPr>
              <w:pStyle w:val="TableParagraph"/>
              <w:spacing w:before="94"/>
              <w:ind w:left="556" w:right="374"/>
              <w:rPr>
                <w:sz w:val="24"/>
              </w:rPr>
            </w:pPr>
            <w:r>
              <w:rPr>
                <w:sz w:val="24"/>
              </w:rPr>
              <w:t>Frecuencia</w:t>
            </w:r>
          </w:p>
        </w:tc>
        <w:tc>
          <w:tcPr>
            <w:tcW w:w="1944" w:type="dxa"/>
            <w:tcBorders>
              <w:left w:val="nil"/>
              <w:right w:val="nil"/>
            </w:tcBorders>
            <w:shd w:val="clear" w:color="auto" w:fill="99CC00"/>
          </w:tcPr>
          <w:p>
            <w:pPr>
              <w:pStyle w:val="TableParagraph"/>
              <w:spacing w:before="94"/>
              <w:ind w:left="375" w:right="381"/>
              <w:rPr>
                <w:sz w:val="24"/>
              </w:rPr>
            </w:pPr>
            <w:r>
              <w:rPr>
                <w:sz w:val="24"/>
              </w:rPr>
              <w:t>Porcentaje</w:t>
            </w:r>
          </w:p>
        </w:tc>
      </w:tr>
      <w:tr>
        <w:trPr>
          <w:trHeight w:val="413" w:hRule="exact"/>
        </w:trPr>
        <w:tc>
          <w:tcPr>
            <w:tcW w:w="4331" w:type="dxa"/>
            <w:tcBorders>
              <w:left w:val="nil"/>
              <w:bottom w:val="nil"/>
              <w:right w:val="nil"/>
            </w:tcBorders>
          </w:tcPr>
          <w:p>
            <w:pPr>
              <w:pStyle w:val="TableParagraph"/>
              <w:spacing w:before="58"/>
              <w:ind w:left="747" w:right="555"/>
              <w:rPr>
                <w:sz w:val="24"/>
              </w:rPr>
            </w:pPr>
            <w:r>
              <w:rPr>
                <w:sz w:val="24"/>
              </w:rPr>
              <w:t>Entre 5 a 10 años</w:t>
            </w:r>
          </w:p>
        </w:tc>
        <w:tc>
          <w:tcPr>
            <w:tcW w:w="2158" w:type="dxa"/>
            <w:tcBorders>
              <w:left w:val="nil"/>
              <w:bottom w:val="nil"/>
              <w:right w:val="nil"/>
            </w:tcBorders>
          </w:tcPr>
          <w:p>
            <w:pPr>
              <w:pStyle w:val="TableParagraph"/>
              <w:spacing w:before="58"/>
              <w:ind w:left="183"/>
              <w:rPr>
                <w:sz w:val="24"/>
              </w:rPr>
            </w:pPr>
            <w:r>
              <w:rPr>
                <w:w w:val="99"/>
                <w:sz w:val="24"/>
              </w:rPr>
              <w:t>3</w:t>
            </w:r>
          </w:p>
        </w:tc>
        <w:tc>
          <w:tcPr>
            <w:tcW w:w="1944" w:type="dxa"/>
            <w:tcBorders>
              <w:left w:val="nil"/>
              <w:bottom w:val="nil"/>
              <w:right w:val="nil"/>
            </w:tcBorders>
          </w:tcPr>
          <w:p>
            <w:pPr>
              <w:pStyle w:val="TableParagraph"/>
              <w:spacing w:before="58"/>
              <w:ind w:left="375" w:right="379"/>
              <w:rPr>
                <w:sz w:val="24"/>
              </w:rPr>
            </w:pPr>
            <w:r>
              <w:rPr>
                <w:sz w:val="24"/>
              </w:rPr>
              <w:t>10</w:t>
            </w:r>
          </w:p>
        </w:tc>
      </w:tr>
      <w:tr>
        <w:trPr>
          <w:trHeight w:val="399" w:hRule="exact"/>
        </w:trPr>
        <w:tc>
          <w:tcPr>
            <w:tcW w:w="4331" w:type="dxa"/>
            <w:tcBorders>
              <w:top w:val="nil"/>
              <w:left w:val="nil"/>
              <w:bottom w:val="nil"/>
              <w:right w:val="nil"/>
            </w:tcBorders>
          </w:tcPr>
          <w:p>
            <w:pPr>
              <w:pStyle w:val="TableParagraph"/>
              <w:spacing w:before="49"/>
              <w:ind w:left="747" w:right="552"/>
              <w:rPr>
                <w:sz w:val="24"/>
              </w:rPr>
            </w:pPr>
            <w:r>
              <w:rPr>
                <w:sz w:val="24"/>
              </w:rPr>
              <w:t>Entre 11 a 15 años</w:t>
            </w:r>
          </w:p>
        </w:tc>
        <w:tc>
          <w:tcPr>
            <w:tcW w:w="2158" w:type="dxa"/>
            <w:tcBorders>
              <w:top w:val="nil"/>
              <w:left w:val="nil"/>
              <w:bottom w:val="nil"/>
              <w:right w:val="nil"/>
            </w:tcBorders>
          </w:tcPr>
          <w:p>
            <w:pPr>
              <w:pStyle w:val="TableParagraph"/>
              <w:spacing w:before="49"/>
              <w:ind w:left="183"/>
              <w:rPr>
                <w:sz w:val="24"/>
              </w:rPr>
            </w:pPr>
            <w:r>
              <w:rPr>
                <w:w w:val="99"/>
                <w:sz w:val="24"/>
              </w:rPr>
              <w:t>1</w:t>
            </w:r>
          </w:p>
        </w:tc>
        <w:tc>
          <w:tcPr>
            <w:tcW w:w="1944" w:type="dxa"/>
            <w:tcBorders>
              <w:top w:val="nil"/>
              <w:left w:val="nil"/>
              <w:bottom w:val="nil"/>
              <w:right w:val="nil"/>
            </w:tcBorders>
          </w:tcPr>
          <w:p>
            <w:pPr>
              <w:pStyle w:val="TableParagraph"/>
              <w:spacing w:before="49"/>
              <w:ind w:left="375" w:right="379"/>
              <w:rPr>
                <w:sz w:val="24"/>
              </w:rPr>
            </w:pPr>
            <w:r>
              <w:rPr>
                <w:sz w:val="24"/>
              </w:rPr>
              <w:t>3.3</w:t>
            </w:r>
          </w:p>
        </w:tc>
      </w:tr>
      <w:tr>
        <w:trPr>
          <w:trHeight w:val="416" w:hRule="exact"/>
        </w:trPr>
        <w:tc>
          <w:tcPr>
            <w:tcW w:w="4331" w:type="dxa"/>
            <w:tcBorders>
              <w:top w:val="nil"/>
              <w:left w:val="nil"/>
              <w:bottom w:val="nil"/>
              <w:right w:val="nil"/>
            </w:tcBorders>
          </w:tcPr>
          <w:p>
            <w:pPr>
              <w:pStyle w:val="TableParagraph"/>
              <w:spacing w:before="48"/>
              <w:ind w:left="747" w:right="552"/>
              <w:rPr>
                <w:sz w:val="24"/>
              </w:rPr>
            </w:pPr>
            <w:r>
              <w:rPr>
                <w:sz w:val="24"/>
              </w:rPr>
              <w:t>Entre 16 a 20 años</w:t>
            </w:r>
          </w:p>
        </w:tc>
        <w:tc>
          <w:tcPr>
            <w:tcW w:w="2158" w:type="dxa"/>
            <w:tcBorders>
              <w:top w:val="nil"/>
              <w:left w:val="nil"/>
              <w:bottom w:val="nil"/>
              <w:right w:val="nil"/>
            </w:tcBorders>
          </w:tcPr>
          <w:p>
            <w:pPr>
              <w:pStyle w:val="TableParagraph"/>
              <w:spacing w:before="48"/>
              <w:ind w:left="183"/>
              <w:rPr>
                <w:sz w:val="24"/>
              </w:rPr>
            </w:pPr>
            <w:r>
              <w:rPr>
                <w:w w:val="99"/>
                <w:sz w:val="24"/>
              </w:rPr>
              <w:t>4</w:t>
            </w:r>
          </w:p>
        </w:tc>
        <w:tc>
          <w:tcPr>
            <w:tcW w:w="1944" w:type="dxa"/>
            <w:tcBorders>
              <w:top w:val="nil"/>
              <w:left w:val="nil"/>
              <w:bottom w:val="nil"/>
              <w:right w:val="nil"/>
            </w:tcBorders>
          </w:tcPr>
          <w:p>
            <w:pPr>
              <w:pStyle w:val="TableParagraph"/>
              <w:spacing w:before="48"/>
              <w:ind w:left="375" w:right="379"/>
              <w:rPr>
                <w:sz w:val="24"/>
              </w:rPr>
            </w:pPr>
            <w:r>
              <w:rPr>
                <w:sz w:val="24"/>
              </w:rPr>
              <w:t>13.3</w:t>
            </w:r>
          </w:p>
        </w:tc>
      </w:tr>
      <w:tr>
        <w:trPr>
          <w:trHeight w:val="450" w:hRule="exact"/>
        </w:trPr>
        <w:tc>
          <w:tcPr>
            <w:tcW w:w="4331" w:type="dxa"/>
            <w:tcBorders>
              <w:top w:val="nil"/>
              <w:left w:val="nil"/>
              <w:right w:val="nil"/>
            </w:tcBorders>
          </w:tcPr>
          <w:p>
            <w:pPr>
              <w:pStyle w:val="TableParagraph"/>
              <w:spacing w:before="66"/>
              <w:ind w:left="747" w:right="555"/>
              <w:rPr>
                <w:sz w:val="24"/>
              </w:rPr>
            </w:pPr>
            <w:r>
              <w:rPr>
                <w:sz w:val="24"/>
              </w:rPr>
              <w:t>Más de 20 años</w:t>
            </w:r>
          </w:p>
        </w:tc>
        <w:tc>
          <w:tcPr>
            <w:tcW w:w="2158" w:type="dxa"/>
            <w:tcBorders>
              <w:top w:val="nil"/>
              <w:left w:val="nil"/>
              <w:right w:val="nil"/>
            </w:tcBorders>
          </w:tcPr>
          <w:p>
            <w:pPr>
              <w:pStyle w:val="TableParagraph"/>
              <w:spacing w:before="66"/>
              <w:ind w:left="556" w:right="372"/>
              <w:rPr>
                <w:b/>
                <w:sz w:val="24"/>
              </w:rPr>
            </w:pPr>
            <w:r>
              <w:rPr>
                <w:b/>
                <w:sz w:val="24"/>
              </w:rPr>
              <w:t>22</w:t>
            </w:r>
          </w:p>
        </w:tc>
        <w:tc>
          <w:tcPr>
            <w:tcW w:w="1944" w:type="dxa"/>
            <w:tcBorders>
              <w:top w:val="nil"/>
              <w:left w:val="nil"/>
              <w:right w:val="nil"/>
            </w:tcBorders>
          </w:tcPr>
          <w:p>
            <w:pPr>
              <w:pStyle w:val="TableParagraph"/>
              <w:spacing w:before="66"/>
              <w:ind w:left="375" w:right="379"/>
              <w:rPr>
                <w:b/>
                <w:sz w:val="24"/>
              </w:rPr>
            </w:pPr>
            <w:r>
              <w:rPr>
                <w:b/>
                <w:sz w:val="24"/>
              </w:rPr>
              <w:t>73.4</w:t>
            </w:r>
          </w:p>
        </w:tc>
      </w:tr>
      <w:tr>
        <w:trPr>
          <w:trHeight w:val="408" w:hRule="exact"/>
        </w:trPr>
        <w:tc>
          <w:tcPr>
            <w:tcW w:w="4331" w:type="dxa"/>
            <w:tcBorders>
              <w:left w:val="nil"/>
              <w:right w:val="nil"/>
            </w:tcBorders>
            <w:shd w:val="clear" w:color="auto" w:fill="99CC00"/>
          </w:tcPr>
          <w:p>
            <w:pPr>
              <w:pStyle w:val="TableParagraph"/>
              <w:spacing w:before="58"/>
              <w:ind w:left="747" w:right="554"/>
              <w:rPr>
                <w:b/>
                <w:sz w:val="24"/>
              </w:rPr>
            </w:pPr>
            <w:r>
              <w:rPr>
                <w:b/>
                <w:sz w:val="24"/>
              </w:rPr>
              <w:t>Total</w:t>
            </w:r>
          </w:p>
        </w:tc>
        <w:tc>
          <w:tcPr>
            <w:tcW w:w="2158" w:type="dxa"/>
            <w:tcBorders>
              <w:left w:val="nil"/>
              <w:right w:val="nil"/>
            </w:tcBorders>
            <w:shd w:val="clear" w:color="auto" w:fill="99CC00"/>
          </w:tcPr>
          <w:p>
            <w:pPr>
              <w:pStyle w:val="TableParagraph"/>
              <w:spacing w:before="58"/>
              <w:ind w:left="556" w:right="372"/>
              <w:rPr>
                <w:sz w:val="24"/>
              </w:rPr>
            </w:pPr>
            <w:r>
              <w:rPr>
                <w:sz w:val="24"/>
              </w:rPr>
              <w:t>30</w:t>
            </w:r>
          </w:p>
        </w:tc>
        <w:tc>
          <w:tcPr>
            <w:tcW w:w="1944" w:type="dxa"/>
            <w:tcBorders>
              <w:left w:val="nil"/>
              <w:right w:val="nil"/>
            </w:tcBorders>
            <w:shd w:val="clear" w:color="auto" w:fill="99CC00"/>
          </w:tcPr>
          <w:p>
            <w:pPr>
              <w:pStyle w:val="TableParagraph"/>
              <w:spacing w:before="58"/>
              <w:ind w:left="375" w:right="379"/>
              <w:rPr>
                <w:sz w:val="24"/>
              </w:rPr>
            </w:pPr>
            <w:r>
              <w:rPr>
                <w:sz w:val="24"/>
              </w:rPr>
              <w:t>100</w:t>
            </w:r>
          </w:p>
        </w:tc>
      </w:tr>
    </w:tbl>
    <w:p>
      <w:pPr>
        <w:pStyle w:val="BodyText"/>
        <w:rPr>
          <w:b/>
        </w:rPr>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0"/>
        <w:gridCol w:w="3155"/>
        <w:gridCol w:w="2556"/>
      </w:tblGrid>
      <w:tr>
        <w:trPr>
          <w:trHeight w:val="450" w:hRule="exact"/>
        </w:trPr>
        <w:tc>
          <w:tcPr>
            <w:tcW w:w="8430" w:type="dxa"/>
            <w:gridSpan w:val="3"/>
            <w:tcBorders>
              <w:left w:val="nil"/>
              <w:right w:val="nil"/>
            </w:tcBorders>
          </w:tcPr>
          <w:p>
            <w:pPr>
              <w:pStyle w:val="TableParagraph"/>
              <w:spacing w:before="77"/>
              <w:ind w:left="2539"/>
              <w:jc w:val="left"/>
              <w:rPr>
                <w:b/>
                <w:sz w:val="24"/>
              </w:rPr>
            </w:pPr>
            <w:r>
              <w:rPr>
                <w:b/>
                <w:sz w:val="24"/>
              </w:rPr>
              <w:t>Medidas de tendencia central</w:t>
            </w:r>
          </w:p>
        </w:tc>
      </w:tr>
      <w:tr>
        <w:trPr>
          <w:trHeight w:val="431" w:hRule="exact"/>
        </w:trPr>
        <w:tc>
          <w:tcPr>
            <w:tcW w:w="2720" w:type="dxa"/>
            <w:tcBorders>
              <w:left w:val="nil"/>
              <w:right w:val="nil"/>
            </w:tcBorders>
            <w:shd w:val="clear" w:color="auto" w:fill="99CC00"/>
          </w:tcPr>
          <w:p>
            <w:pPr>
              <w:pStyle w:val="TableParagraph"/>
              <w:spacing w:before="69"/>
              <w:ind w:left="905" w:right="1095"/>
              <w:rPr>
                <w:b/>
                <w:sz w:val="24"/>
              </w:rPr>
            </w:pPr>
            <w:r>
              <w:rPr>
                <w:b/>
                <w:sz w:val="24"/>
              </w:rPr>
              <w:t>Media</w:t>
            </w:r>
          </w:p>
        </w:tc>
        <w:tc>
          <w:tcPr>
            <w:tcW w:w="3155" w:type="dxa"/>
            <w:tcBorders>
              <w:left w:val="nil"/>
              <w:right w:val="nil"/>
            </w:tcBorders>
            <w:shd w:val="clear" w:color="auto" w:fill="99CC00"/>
          </w:tcPr>
          <w:p>
            <w:pPr>
              <w:pStyle w:val="TableParagraph"/>
              <w:spacing w:before="69"/>
              <w:ind w:left="1096" w:right="1058"/>
              <w:rPr>
                <w:b/>
                <w:sz w:val="24"/>
              </w:rPr>
            </w:pPr>
            <w:r>
              <w:rPr>
                <w:b/>
                <w:sz w:val="24"/>
              </w:rPr>
              <w:t>Mediana</w:t>
            </w:r>
          </w:p>
        </w:tc>
        <w:tc>
          <w:tcPr>
            <w:tcW w:w="2556" w:type="dxa"/>
            <w:tcBorders>
              <w:left w:val="nil"/>
              <w:right w:val="nil"/>
            </w:tcBorders>
            <w:shd w:val="clear" w:color="auto" w:fill="99CC00"/>
          </w:tcPr>
          <w:p>
            <w:pPr>
              <w:pStyle w:val="TableParagraph"/>
              <w:spacing w:before="69"/>
              <w:ind w:left="1056" w:right="832"/>
              <w:rPr>
                <w:b/>
                <w:sz w:val="24"/>
              </w:rPr>
            </w:pPr>
            <w:r>
              <w:rPr>
                <w:b/>
                <w:sz w:val="24"/>
              </w:rPr>
              <w:t>Moda</w:t>
            </w:r>
          </w:p>
        </w:tc>
      </w:tr>
      <w:tr>
        <w:trPr>
          <w:trHeight w:val="408" w:hRule="exact"/>
        </w:trPr>
        <w:tc>
          <w:tcPr>
            <w:tcW w:w="2720" w:type="dxa"/>
            <w:tcBorders>
              <w:left w:val="nil"/>
              <w:right w:val="nil"/>
            </w:tcBorders>
          </w:tcPr>
          <w:p>
            <w:pPr>
              <w:pStyle w:val="TableParagraph"/>
              <w:spacing w:before="55"/>
              <w:ind w:left="905" w:right="1093"/>
              <w:rPr>
                <w:sz w:val="24"/>
              </w:rPr>
            </w:pPr>
            <w:r>
              <w:rPr>
                <w:sz w:val="24"/>
              </w:rPr>
              <w:t>25</w:t>
            </w:r>
          </w:p>
        </w:tc>
        <w:tc>
          <w:tcPr>
            <w:tcW w:w="3155" w:type="dxa"/>
            <w:tcBorders>
              <w:left w:val="nil"/>
              <w:right w:val="nil"/>
            </w:tcBorders>
          </w:tcPr>
          <w:p>
            <w:pPr>
              <w:pStyle w:val="TableParagraph"/>
              <w:spacing w:before="55"/>
              <w:ind w:left="1095" w:right="1058"/>
              <w:rPr>
                <w:sz w:val="24"/>
              </w:rPr>
            </w:pPr>
            <w:r>
              <w:rPr>
                <w:sz w:val="24"/>
              </w:rPr>
              <w:t>30</w:t>
            </w:r>
          </w:p>
        </w:tc>
        <w:tc>
          <w:tcPr>
            <w:tcW w:w="2556" w:type="dxa"/>
            <w:tcBorders>
              <w:left w:val="nil"/>
              <w:right w:val="nil"/>
            </w:tcBorders>
          </w:tcPr>
          <w:p>
            <w:pPr>
              <w:pStyle w:val="TableParagraph"/>
              <w:spacing w:before="55"/>
              <w:ind w:left="1056" w:right="829"/>
              <w:rPr>
                <w:sz w:val="24"/>
              </w:rPr>
            </w:pPr>
            <w:r>
              <w:rPr>
                <w:sz w:val="24"/>
              </w:rPr>
              <w:t>30</w:t>
            </w:r>
          </w:p>
        </w:tc>
      </w:tr>
    </w:tbl>
    <w:p>
      <w:pPr>
        <w:pStyle w:val="BodyText"/>
        <w:rPr>
          <w:b/>
        </w:rPr>
      </w:pPr>
    </w:p>
    <w:tbl>
      <w:tblPr>
        <w:tblW w:w="0" w:type="auto"/>
        <w:jc w:val="left"/>
        <w:tblInd w:w="7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50"/>
        <w:gridCol w:w="4314"/>
      </w:tblGrid>
      <w:tr>
        <w:trPr>
          <w:trHeight w:val="461" w:hRule="exact"/>
        </w:trPr>
        <w:tc>
          <w:tcPr>
            <w:tcW w:w="8464" w:type="dxa"/>
            <w:gridSpan w:val="2"/>
            <w:tcBorders>
              <w:left w:val="nil"/>
              <w:right w:val="nil"/>
            </w:tcBorders>
          </w:tcPr>
          <w:p>
            <w:pPr>
              <w:pStyle w:val="TableParagraph"/>
              <w:spacing w:before="84"/>
              <w:ind w:left="2917" w:right="2918"/>
              <w:rPr>
                <w:b/>
                <w:sz w:val="24"/>
              </w:rPr>
            </w:pPr>
            <w:r>
              <w:rPr>
                <w:b/>
                <w:sz w:val="24"/>
              </w:rPr>
              <w:t>Medidas de dispersión</w:t>
            </w:r>
          </w:p>
        </w:tc>
      </w:tr>
      <w:tr>
        <w:trPr>
          <w:trHeight w:val="439" w:hRule="exact"/>
        </w:trPr>
        <w:tc>
          <w:tcPr>
            <w:tcW w:w="4150" w:type="dxa"/>
            <w:tcBorders>
              <w:left w:val="nil"/>
              <w:right w:val="nil"/>
            </w:tcBorders>
            <w:shd w:val="clear" w:color="auto" w:fill="99CC00"/>
          </w:tcPr>
          <w:p>
            <w:pPr>
              <w:pStyle w:val="TableParagraph"/>
              <w:spacing w:before="72"/>
              <w:ind w:left="1609" w:right="1661"/>
              <w:rPr>
                <w:b/>
                <w:sz w:val="24"/>
              </w:rPr>
            </w:pPr>
            <w:r>
              <w:rPr>
                <w:b/>
                <w:sz w:val="24"/>
              </w:rPr>
              <w:t>Mínimo</w:t>
            </w:r>
          </w:p>
        </w:tc>
        <w:tc>
          <w:tcPr>
            <w:tcW w:w="4314" w:type="dxa"/>
            <w:tcBorders>
              <w:left w:val="nil"/>
              <w:right w:val="nil"/>
            </w:tcBorders>
            <w:shd w:val="clear" w:color="auto" w:fill="99CC00"/>
          </w:tcPr>
          <w:p>
            <w:pPr>
              <w:pStyle w:val="TableParagraph"/>
              <w:spacing w:before="72"/>
              <w:ind w:left="1664" w:right="1715"/>
              <w:rPr>
                <w:b/>
                <w:sz w:val="24"/>
              </w:rPr>
            </w:pPr>
            <w:r>
              <w:rPr>
                <w:b/>
                <w:sz w:val="24"/>
              </w:rPr>
              <w:t>Máximo</w:t>
            </w:r>
          </w:p>
        </w:tc>
      </w:tr>
      <w:tr>
        <w:trPr>
          <w:trHeight w:val="439" w:hRule="exact"/>
        </w:trPr>
        <w:tc>
          <w:tcPr>
            <w:tcW w:w="4150" w:type="dxa"/>
            <w:tcBorders>
              <w:left w:val="nil"/>
              <w:right w:val="nil"/>
            </w:tcBorders>
          </w:tcPr>
          <w:p>
            <w:pPr>
              <w:pStyle w:val="TableParagraph"/>
              <w:spacing w:before="72"/>
              <w:ind w:right="53"/>
              <w:rPr>
                <w:sz w:val="24"/>
              </w:rPr>
            </w:pPr>
            <w:r>
              <w:rPr>
                <w:w w:val="99"/>
                <w:sz w:val="24"/>
              </w:rPr>
              <w:t>6</w:t>
            </w:r>
          </w:p>
        </w:tc>
        <w:tc>
          <w:tcPr>
            <w:tcW w:w="4314" w:type="dxa"/>
            <w:tcBorders>
              <w:left w:val="nil"/>
              <w:right w:val="nil"/>
            </w:tcBorders>
          </w:tcPr>
          <w:p>
            <w:pPr>
              <w:pStyle w:val="TableParagraph"/>
              <w:spacing w:before="72"/>
              <w:ind w:left="1664" w:right="1711"/>
              <w:rPr>
                <w:sz w:val="24"/>
              </w:rPr>
            </w:pPr>
            <w:r>
              <w:rPr>
                <w:sz w:val="24"/>
              </w:rPr>
              <w:t>30</w:t>
            </w:r>
          </w:p>
        </w:tc>
      </w:tr>
    </w:tbl>
    <w:p>
      <w:pPr>
        <w:pStyle w:val="BodyText"/>
        <w:rPr>
          <w:b/>
          <w:sz w:val="20"/>
        </w:rPr>
      </w:pPr>
    </w:p>
    <w:p>
      <w:pPr>
        <w:pStyle w:val="BodyText"/>
        <w:spacing w:before="4"/>
        <w:rPr>
          <w:b/>
          <w:sz w:val="26"/>
        </w:rPr>
      </w:pPr>
      <w:r>
        <w:rPr/>
        <w:pict>
          <v:group style="position:absolute;margin-left:130.824997pt;margin-top:17.133976pt;width:408.3pt;height:193.7pt;mso-position-horizontal-relative:page;mso-position-vertical-relative:paragraph;z-index:3016;mso-wrap-distance-left:0;mso-wrap-distance-right:0" coordorigin="2616,343" coordsize="8166,3874">
            <v:shape style="position:absolute;left:3151;top:1549;width:5662;height:2018" type="#_x0000_t75" stroked="false">
              <v:imagedata r:id="rId63" o:title=""/>
            </v:shape>
            <v:shape style="position:absolute;left:2624;top:350;width:8151;height:3859" type="#_x0000_t202" filled="false" stroked="true" strokeweight=".75pt" strokecolor="#858585">
              <v:textbox inset="0,0,0,0">
                <w:txbxContent>
                  <w:p>
                    <w:pPr>
                      <w:spacing w:line="240" w:lineRule="auto" w:before="9"/>
                      <w:rPr>
                        <w:b/>
                        <w:sz w:val="18"/>
                      </w:rPr>
                    </w:pPr>
                  </w:p>
                  <w:p>
                    <w:pPr>
                      <w:spacing w:line="229" w:lineRule="exact" w:before="0"/>
                      <w:ind w:left="992" w:right="1168" w:firstLine="0"/>
                      <w:jc w:val="center"/>
                      <w:rPr>
                        <w:b/>
                        <w:sz w:val="20"/>
                      </w:rPr>
                    </w:pPr>
                    <w:r>
                      <w:rPr>
                        <w:b/>
                        <w:sz w:val="20"/>
                      </w:rPr>
                      <w:t>Gráfica No. 16</w:t>
                    </w:r>
                  </w:p>
                  <w:p>
                    <w:pPr>
                      <w:spacing w:line="229" w:lineRule="exact" w:before="0"/>
                      <w:ind w:left="992" w:right="1173" w:firstLine="0"/>
                      <w:jc w:val="center"/>
                      <w:rPr>
                        <w:b/>
                        <w:sz w:val="20"/>
                      </w:rPr>
                    </w:pPr>
                    <w:r>
                      <w:rPr>
                        <w:b/>
                        <w:sz w:val="20"/>
                      </w:rPr>
                      <w:t>Tiempo que lleva viviendo el cuidador informal primario con el</w:t>
                    </w:r>
                  </w:p>
                  <w:p>
                    <w:pPr>
                      <w:spacing w:before="0"/>
                      <w:ind w:left="992" w:right="1170" w:firstLine="0"/>
                      <w:jc w:val="center"/>
                      <w:rPr>
                        <w:b/>
                        <w:sz w:val="20"/>
                      </w:rPr>
                    </w:pPr>
                    <w:r>
                      <w:rPr>
                        <w:b/>
                        <w:sz w:val="20"/>
                      </w:rPr>
                      <w:t>adulto mayor hospitalizado. 2014</w:t>
                    </w:r>
                  </w:p>
                  <w:p>
                    <w:pPr>
                      <w:spacing w:line="240" w:lineRule="auto" w:before="0"/>
                      <w:rPr>
                        <w:b/>
                        <w:sz w:val="20"/>
                      </w:rPr>
                    </w:pPr>
                  </w:p>
                  <w:p>
                    <w:pPr>
                      <w:spacing w:line="240" w:lineRule="auto" w:before="0"/>
                      <w:rPr>
                        <w:b/>
                        <w:sz w:val="20"/>
                      </w:rPr>
                    </w:pPr>
                  </w:p>
                  <w:p>
                    <w:pPr>
                      <w:spacing w:line="240" w:lineRule="auto" w:before="0"/>
                      <w:rPr>
                        <w:b/>
                        <w:sz w:val="20"/>
                      </w:rPr>
                    </w:pPr>
                  </w:p>
                  <w:p>
                    <w:pPr>
                      <w:spacing w:before="118"/>
                      <w:ind w:left="0" w:right="300" w:firstLine="0"/>
                      <w:jc w:val="right"/>
                      <w:rPr>
                        <w:rFonts w:ascii="Calibri" w:hAnsi="Calibri"/>
                        <w:b/>
                        <w:sz w:val="18"/>
                      </w:rPr>
                    </w:pPr>
                    <w:r>
                      <w:rPr>
                        <w:rFonts w:ascii="Calibri" w:hAnsi="Calibri"/>
                        <w:b/>
                        <w:sz w:val="18"/>
                      </w:rPr>
                      <w:t>Entre 5 a 10 años</w:t>
                    </w:r>
                  </w:p>
                  <w:p>
                    <w:pPr>
                      <w:spacing w:line="240" w:lineRule="auto" w:before="2"/>
                      <w:rPr>
                        <w:b/>
                        <w:sz w:val="22"/>
                      </w:rPr>
                    </w:pPr>
                  </w:p>
                  <w:p>
                    <w:pPr>
                      <w:spacing w:before="1"/>
                      <w:ind w:left="0" w:right="207" w:firstLine="0"/>
                      <w:jc w:val="right"/>
                      <w:rPr>
                        <w:rFonts w:ascii="Calibri" w:hAnsi="Calibri"/>
                        <w:b/>
                        <w:sz w:val="18"/>
                      </w:rPr>
                    </w:pPr>
                    <w:r>
                      <w:rPr>
                        <w:rFonts w:ascii="Calibri" w:hAnsi="Calibri"/>
                        <w:b/>
                        <w:sz w:val="18"/>
                      </w:rPr>
                      <w:t>Entre 11 a 15 años</w:t>
                    </w:r>
                  </w:p>
                  <w:p>
                    <w:pPr>
                      <w:spacing w:line="240" w:lineRule="auto" w:before="2"/>
                      <w:rPr>
                        <w:b/>
                        <w:sz w:val="22"/>
                      </w:rPr>
                    </w:pPr>
                  </w:p>
                  <w:p>
                    <w:pPr>
                      <w:spacing w:line="518" w:lineRule="auto" w:before="1"/>
                      <w:ind w:left="6530" w:right="0" w:firstLine="0"/>
                      <w:jc w:val="left"/>
                      <w:rPr>
                        <w:rFonts w:ascii="Calibri" w:hAnsi="Calibri"/>
                        <w:b/>
                        <w:sz w:val="18"/>
                      </w:rPr>
                    </w:pPr>
                    <w:r>
                      <w:rPr>
                        <w:rFonts w:ascii="Calibri" w:hAnsi="Calibri"/>
                        <w:b/>
                        <w:sz w:val="18"/>
                      </w:rPr>
                      <w:t>Entre 16 a 20 años Más de 20 años</w:t>
                    </w:r>
                  </w:p>
                </w:txbxContent>
              </v:textbox>
              <w10:wrap type="none"/>
            </v:shape>
            <w10:wrap type="topAndBottom"/>
          </v:group>
        </w:pict>
      </w:r>
    </w:p>
    <w:p>
      <w:pPr>
        <w:spacing w:before="77"/>
        <w:ind w:left="901" w:right="230" w:firstLine="0"/>
        <w:jc w:val="left"/>
        <w:rPr>
          <w:sz w:val="20"/>
        </w:rPr>
      </w:pPr>
      <w:r>
        <w:rPr>
          <w:sz w:val="20"/>
        </w:rPr>
        <w:t>Fuente: Tabla No. 16</w:t>
      </w:r>
    </w:p>
    <w:p>
      <w:pPr>
        <w:spacing w:after="0"/>
        <w:jc w:val="left"/>
        <w:rPr>
          <w:sz w:val="20"/>
        </w:rPr>
        <w:sectPr>
          <w:footerReference w:type="default" r:id="rId62"/>
          <w:pgSz w:w="12250" w:h="15850"/>
          <w:pgMar w:footer="1122" w:header="748" w:top="1260" w:bottom="1320" w:left="1720" w:right="122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04"/>
        <w:jc w:val="both"/>
      </w:pPr>
      <w:r>
        <w:rPr/>
        <w:t>El tiempo que llevan conviviendo el cuidador informal primario con el adulto mayor hospitalizado, resulta importante, pues esto desarrolla vínculos afectivos entre los lazos familiares que los unen, según los datos obtenidos, el 73.4% de los cuidadores informales primarios han convivido, más de 20 años y sólo el 3.3% entre 11 a 15 años, lo anterior refleja un vínculo afectivo de al menos 6 años.</w:t>
      </w:r>
    </w:p>
    <w:p>
      <w:pPr>
        <w:spacing w:after="0" w:line="360" w:lineRule="auto"/>
        <w:jc w:val="both"/>
        <w:sectPr>
          <w:footerReference w:type="default" r:id="rId64"/>
          <w:pgSz w:w="12250" w:h="15850"/>
          <w:pgMar w:footer="1122" w:header="748" w:top="1260" w:bottom="1320" w:left="1720" w:right="1240"/>
          <w:pgNumType w:start="71"/>
        </w:sectPr>
      </w:pPr>
    </w:p>
    <w:p>
      <w:pPr>
        <w:pStyle w:val="BodyText"/>
        <w:rPr>
          <w:sz w:val="20"/>
        </w:rPr>
      </w:pPr>
    </w:p>
    <w:p>
      <w:pPr>
        <w:pStyle w:val="BodyText"/>
        <w:rPr>
          <w:sz w:val="20"/>
        </w:rPr>
      </w:pPr>
    </w:p>
    <w:p>
      <w:pPr>
        <w:pStyle w:val="BodyText"/>
        <w:spacing w:before="5"/>
        <w:rPr>
          <w:sz w:val="21"/>
        </w:rPr>
      </w:pPr>
    </w:p>
    <w:p>
      <w:pPr>
        <w:pStyle w:val="Heading2"/>
        <w:spacing w:line="360" w:lineRule="auto"/>
        <w:ind w:right="200"/>
      </w:pPr>
      <w:r>
        <w:rPr>
          <w:b w:val="0"/>
        </w:rPr>
        <w:t>Tabla No. 17. </w:t>
      </w:r>
      <w:r>
        <w:rPr/>
        <w:t>Tiempo que dedica el cuidador informal primario a la visita hospitalaria,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50"/>
        <w:gridCol w:w="2190"/>
        <w:gridCol w:w="1962"/>
      </w:tblGrid>
      <w:tr>
        <w:trPr>
          <w:trHeight w:val="458" w:hRule="exact"/>
        </w:trPr>
        <w:tc>
          <w:tcPr>
            <w:tcW w:w="4350" w:type="dxa"/>
            <w:tcBorders>
              <w:left w:val="nil"/>
              <w:right w:val="nil"/>
            </w:tcBorders>
            <w:shd w:val="clear" w:color="auto" w:fill="99CC00"/>
          </w:tcPr>
          <w:p>
            <w:pPr>
              <w:pStyle w:val="TableParagraph"/>
              <w:spacing w:before="82"/>
              <w:ind w:left="783" w:right="579"/>
              <w:rPr>
                <w:b/>
                <w:sz w:val="24"/>
              </w:rPr>
            </w:pPr>
            <w:r>
              <w:rPr>
                <w:b/>
                <w:sz w:val="24"/>
              </w:rPr>
              <w:t>Tiempo visita hospitalaria</w:t>
            </w:r>
          </w:p>
        </w:tc>
        <w:tc>
          <w:tcPr>
            <w:tcW w:w="2190" w:type="dxa"/>
            <w:tcBorders>
              <w:left w:val="nil"/>
              <w:right w:val="nil"/>
            </w:tcBorders>
            <w:shd w:val="clear" w:color="auto" w:fill="99CC00"/>
          </w:tcPr>
          <w:p>
            <w:pPr>
              <w:pStyle w:val="TableParagraph"/>
              <w:spacing w:before="82"/>
              <w:ind w:left="580" w:right="383"/>
              <w:rPr>
                <w:sz w:val="24"/>
              </w:rPr>
            </w:pPr>
            <w:r>
              <w:rPr>
                <w:sz w:val="24"/>
              </w:rPr>
              <w:t>Frecuencia</w:t>
            </w:r>
          </w:p>
        </w:tc>
        <w:tc>
          <w:tcPr>
            <w:tcW w:w="1962" w:type="dxa"/>
            <w:tcBorders>
              <w:left w:val="nil"/>
              <w:right w:val="nil"/>
            </w:tcBorders>
            <w:shd w:val="clear" w:color="auto" w:fill="99CC00"/>
          </w:tcPr>
          <w:p>
            <w:pPr>
              <w:pStyle w:val="TableParagraph"/>
              <w:spacing w:before="82"/>
              <w:ind w:left="383" w:right="391"/>
              <w:rPr>
                <w:sz w:val="24"/>
              </w:rPr>
            </w:pPr>
            <w:r>
              <w:rPr>
                <w:sz w:val="24"/>
              </w:rPr>
              <w:t>Porcentaje</w:t>
            </w:r>
          </w:p>
        </w:tc>
      </w:tr>
      <w:tr>
        <w:trPr>
          <w:trHeight w:val="439" w:hRule="exact"/>
        </w:trPr>
        <w:tc>
          <w:tcPr>
            <w:tcW w:w="4350" w:type="dxa"/>
            <w:tcBorders>
              <w:left w:val="nil"/>
              <w:bottom w:val="nil"/>
              <w:right w:val="nil"/>
            </w:tcBorders>
          </w:tcPr>
          <w:p>
            <w:pPr>
              <w:pStyle w:val="TableParagraph"/>
              <w:spacing w:before="70"/>
              <w:ind w:left="783" w:right="576"/>
              <w:rPr>
                <w:sz w:val="24"/>
              </w:rPr>
            </w:pPr>
            <w:r>
              <w:rPr>
                <w:sz w:val="24"/>
              </w:rPr>
              <w:t>&gt;10 horas</w:t>
            </w:r>
          </w:p>
        </w:tc>
        <w:tc>
          <w:tcPr>
            <w:tcW w:w="2190" w:type="dxa"/>
            <w:tcBorders>
              <w:left w:val="nil"/>
              <w:bottom w:val="nil"/>
              <w:right w:val="nil"/>
            </w:tcBorders>
          </w:tcPr>
          <w:p>
            <w:pPr>
              <w:pStyle w:val="TableParagraph"/>
              <w:spacing w:before="70"/>
              <w:ind w:left="193"/>
              <w:rPr>
                <w:sz w:val="24"/>
              </w:rPr>
            </w:pPr>
            <w:r>
              <w:rPr>
                <w:w w:val="99"/>
                <w:sz w:val="24"/>
              </w:rPr>
              <w:t>4</w:t>
            </w:r>
          </w:p>
        </w:tc>
        <w:tc>
          <w:tcPr>
            <w:tcW w:w="1962" w:type="dxa"/>
            <w:tcBorders>
              <w:left w:val="nil"/>
              <w:bottom w:val="nil"/>
              <w:right w:val="nil"/>
            </w:tcBorders>
          </w:tcPr>
          <w:p>
            <w:pPr>
              <w:pStyle w:val="TableParagraph"/>
              <w:spacing w:before="70"/>
              <w:ind w:left="383" w:right="389"/>
              <w:rPr>
                <w:sz w:val="24"/>
              </w:rPr>
            </w:pPr>
            <w:r>
              <w:rPr>
                <w:sz w:val="24"/>
              </w:rPr>
              <w:t>13.3</w:t>
            </w:r>
          </w:p>
        </w:tc>
      </w:tr>
      <w:tr>
        <w:trPr>
          <w:trHeight w:val="426" w:hRule="exact"/>
        </w:trPr>
        <w:tc>
          <w:tcPr>
            <w:tcW w:w="4350" w:type="dxa"/>
            <w:tcBorders>
              <w:top w:val="nil"/>
              <w:left w:val="nil"/>
              <w:bottom w:val="nil"/>
              <w:right w:val="nil"/>
            </w:tcBorders>
          </w:tcPr>
          <w:p>
            <w:pPr>
              <w:pStyle w:val="TableParagraph"/>
              <w:spacing w:before="63"/>
              <w:ind w:left="783" w:right="578"/>
              <w:rPr>
                <w:sz w:val="24"/>
              </w:rPr>
            </w:pPr>
            <w:r>
              <w:rPr>
                <w:sz w:val="24"/>
              </w:rPr>
              <w:t>Entre 11 a 19 horas</w:t>
            </w:r>
          </w:p>
        </w:tc>
        <w:tc>
          <w:tcPr>
            <w:tcW w:w="2190" w:type="dxa"/>
            <w:tcBorders>
              <w:top w:val="nil"/>
              <w:left w:val="nil"/>
              <w:bottom w:val="nil"/>
              <w:right w:val="nil"/>
            </w:tcBorders>
          </w:tcPr>
          <w:p>
            <w:pPr>
              <w:pStyle w:val="TableParagraph"/>
              <w:spacing w:before="63"/>
              <w:ind w:left="193"/>
              <w:rPr>
                <w:sz w:val="24"/>
              </w:rPr>
            </w:pPr>
            <w:r>
              <w:rPr>
                <w:w w:val="99"/>
                <w:sz w:val="24"/>
              </w:rPr>
              <w:t>3</w:t>
            </w:r>
          </w:p>
        </w:tc>
        <w:tc>
          <w:tcPr>
            <w:tcW w:w="1962" w:type="dxa"/>
            <w:tcBorders>
              <w:top w:val="nil"/>
              <w:left w:val="nil"/>
              <w:bottom w:val="nil"/>
              <w:right w:val="nil"/>
            </w:tcBorders>
          </w:tcPr>
          <w:p>
            <w:pPr>
              <w:pStyle w:val="TableParagraph"/>
              <w:spacing w:before="63"/>
              <w:ind w:left="383" w:right="387"/>
              <w:rPr>
                <w:sz w:val="24"/>
              </w:rPr>
            </w:pPr>
            <w:r>
              <w:rPr>
                <w:sz w:val="24"/>
              </w:rPr>
              <w:t>10</w:t>
            </w:r>
          </w:p>
        </w:tc>
      </w:tr>
      <w:tr>
        <w:trPr>
          <w:trHeight w:val="431" w:hRule="exact"/>
        </w:trPr>
        <w:tc>
          <w:tcPr>
            <w:tcW w:w="4350" w:type="dxa"/>
            <w:tcBorders>
              <w:top w:val="nil"/>
              <w:left w:val="nil"/>
              <w:bottom w:val="nil"/>
              <w:right w:val="nil"/>
            </w:tcBorders>
          </w:tcPr>
          <w:p>
            <w:pPr>
              <w:pStyle w:val="TableParagraph"/>
              <w:spacing w:before="61"/>
              <w:ind w:left="783" w:right="578"/>
              <w:rPr>
                <w:sz w:val="24"/>
              </w:rPr>
            </w:pPr>
            <w:r>
              <w:rPr>
                <w:sz w:val="24"/>
              </w:rPr>
              <w:t>Entre 20 a 30 horas</w:t>
            </w:r>
          </w:p>
        </w:tc>
        <w:tc>
          <w:tcPr>
            <w:tcW w:w="2190" w:type="dxa"/>
            <w:tcBorders>
              <w:top w:val="nil"/>
              <w:left w:val="nil"/>
              <w:bottom w:val="nil"/>
              <w:right w:val="nil"/>
            </w:tcBorders>
          </w:tcPr>
          <w:p>
            <w:pPr>
              <w:pStyle w:val="TableParagraph"/>
              <w:spacing w:before="61"/>
              <w:ind w:left="580" w:right="381"/>
              <w:rPr>
                <w:sz w:val="24"/>
              </w:rPr>
            </w:pPr>
            <w:r>
              <w:rPr>
                <w:sz w:val="24"/>
              </w:rPr>
              <w:t>10</w:t>
            </w:r>
          </w:p>
        </w:tc>
        <w:tc>
          <w:tcPr>
            <w:tcW w:w="1962" w:type="dxa"/>
            <w:tcBorders>
              <w:top w:val="nil"/>
              <w:left w:val="nil"/>
              <w:bottom w:val="nil"/>
              <w:right w:val="nil"/>
            </w:tcBorders>
          </w:tcPr>
          <w:p>
            <w:pPr>
              <w:pStyle w:val="TableParagraph"/>
              <w:spacing w:before="61"/>
              <w:ind w:left="383" w:right="389"/>
              <w:rPr>
                <w:sz w:val="24"/>
              </w:rPr>
            </w:pPr>
            <w:r>
              <w:rPr>
                <w:sz w:val="24"/>
              </w:rPr>
              <w:t>33.3</w:t>
            </w:r>
          </w:p>
        </w:tc>
      </w:tr>
      <w:tr>
        <w:trPr>
          <w:trHeight w:val="439" w:hRule="exact"/>
        </w:trPr>
        <w:tc>
          <w:tcPr>
            <w:tcW w:w="4350" w:type="dxa"/>
            <w:tcBorders>
              <w:top w:val="nil"/>
              <w:left w:val="nil"/>
              <w:right w:val="nil"/>
            </w:tcBorders>
          </w:tcPr>
          <w:p>
            <w:pPr>
              <w:pStyle w:val="TableParagraph"/>
              <w:spacing w:before="67"/>
              <w:ind w:left="783" w:right="577"/>
              <w:rPr>
                <w:b/>
                <w:sz w:val="24"/>
              </w:rPr>
            </w:pPr>
            <w:r>
              <w:rPr>
                <w:b/>
                <w:sz w:val="24"/>
              </w:rPr>
              <w:t>Más de 30 horas</w:t>
            </w:r>
          </w:p>
        </w:tc>
        <w:tc>
          <w:tcPr>
            <w:tcW w:w="2190" w:type="dxa"/>
            <w:tcBorders>
              <w:top w:val="nil"/>
              <w:left w:val="nil"/>
              <w:right w:val="nil"/>
            </w:tcBorders>
          </w:tcPr>
          <w:p>
            <w:pPr>
              <w:pStyle w:val="TableParagraph"/>
              <w:spacing w:before="67"/>
              <w:ind w:left="580" w:right="381"/>
              <w:rPr>
                <w:b/>
                <w:sz w:val="24"/>
              </w:rPr>
            </w:pPr>
            <w:r>
              <w:rPr>
                <w:b/>
                <w:sz w:val="24"/>
              </w:rPr>
              <w:t>13</w:t>
            </w:r>
          </w:p>
        </w:tc>
        <w:tc>
          <w:tcPr>
            <w:tcW w:w="1962" w:type="dxa"/>
            <w:tcBorders>
              <w:top w:val="nil"/>
              <w:left w:val="nil"/>
              <w:right w:val="nil"/>
            </w:tcBorders>
          </w:tcPr>
          <w:p>
            <w:pPr>
              <w:pStyle w:val="TableParagraph"/>
              <w:spacing w:before="67"/>
              <w:ind w:left="383" w:right="389"/>
              <w:rPr>
                <w:b/>
                <w:sz w:val="24"/>
              </w:rPr>
            </w:pPr>
            <w:r>
              <w:rPr>
                <w:b/>
                <w:sz w:val="24"/>
              </w:rPr>
              <w:t>43.4</w:t>
            </w:r>
          </w:p>
        </w:tc>
      </w:tr>
      <w:tr>
        <w:trPr>
          <w:trHeight w:val="458" w:hRule="exact"/>
        </w:trPr>
        <w:tc>
          <w:tcPr>
            <w:tcW w:w="4350" w:type="dxa"/>
            <w:tcBorders>
              <w:left w:val="nil"/>
              <w:right w:val="nil"/>
            </w:tcBorders>
            <w:shd w:val="clear" w:color="auto" w:fill="99CC00"/>
          </w:tcPr>
          <w:p>
            <w:pPr>
              <w:pStyle w:val="TableParagraph"/>
              <w:spacing w:before="82"/>
              <w:ind w:left="783" w:right="576"/>
              <w:rPr>
                <w:b/>
                <w:sz w:val="24"/>
              </w:rPr>
            </w:pPr>
            <w:r>
              <w:rPr>
                <w:b/>
                <w:sz w:val="24"/>
              </w:rPr>
              <w:t>Total</w:t>
            </w:r>
          </w:p>
        </w:tc>
        <w:tc>
          <w:tcPr>
            <w:tcW w:w="2190" w:type="dxa"/>
            <w:tcBorders>
              <w:left w:val="nil"/>
              <w:right w:val="nil"/>
            </w:tcBorders>
            <w:shd w:val="clear" w:color="auto" w:fill="99CC00"/>
          </w:tcPr>
          <w:p>
            <w:pPr>
              <w:pStyle w:val="TableParagraph"/>
              <w:spacing w:before="82"/>
              <w:ind w:left="580" w:right="381"/>
              <w:rPr>
                <w:sz w:val="24"/>
              </w:rPr>
            </w:pPr>
            <w:r>
              <w:rPr>
                <w:sz w:val="24"/>
              </w:rPr>
              <w:t>30</w:t>
            </w:r>
          </w:p>
        </w:tc>
        <w:tc>
          <w:tcPr>
            <w:tcW w:w="1962" w:type="dxa"/>
            <w:tcBorders>
              <w:left w:val="nil"/>
              <w:right w:val="nil"/>
            </w:tcBorders>
            <w:shd w:val="clear" w:color="auto" w:fill="99CC00"/>
          </w:tcPr>
          <w:p>
            <w:pPr>
              <w:pStyle w:val="TableParagraph"/>
              <w:spacing w:before="82"/>
              <w:ind w:left="383" w:right="387"/>
              <w:rPr>
                <w:sz w:val="24"/>
              </w:rPr>
            </w:pPr>
            <w:r>
              <w:rPr>
                <w:sz w:val="24"/>
              </w:rPr>
              <w:t>100</w:t>
            </w:r>
          </w:p>
        </w:tc>
      </w:tr>
    </w:tbl>
    <w:p>
      <w:pPr>
        <w:pStyle w:val="BodyText"/>
        <w:rPr>
          <w:b/>
          <w:sz w:val="20"/>
        </w:rPr>
      </w:pPr>
    </w:p>
    <w:p>
      <w:pPr>
        <w:pStyle w:val="BodyText"/>
        <w:spacing w:before="2"/>
        <w:rPr>
          <w:b/>
          <w:sz w:val="19"/>
        </w:rPr>
      </w:pPr>
      <w:r>
        <w:rPr/>
        <w:pict>
          <v:group style="position:absolute;margin-left:129.675003pt;margin-top:12.995976pt;width:407.8pt;height:194.2pt;mso-position-horizontal-relative:page;mso-position-vertical-relative:paragraph;z-index:3160;mso-wrap-distance-left:0;mso-wrap-distance-right:0" coordorigin="2594,260" coordsize="8156,3884">
            <v:shape style="position:absolute;left:3194;top:1439;width:5791;height:2362" type="#_x0000_t75" stroked="false">
              <v:imagedata r:id="rId65" o:title=""/>
            </v:shape>
            <v:rect style="position:absolute;left:9021;top:2366;width:101;height:101" filled="true" fillcolor="#4f81bc" stroked="false">
              <v:fill type="solid"/>
            </v:rect>
            <v:rect style="position:absolute;left:9021;top:2857;width:101;height:101" filled="true" fillcolor="#c0504d" stroked="false">
              <v:fill type="solid"/>
            </v:rect>
            <v:rect style="position:absolute;left:9021;top:3349;width:101;height:101" filled="true" fillcolor="#9bba58" stroked="false">
              <v:fill type="solid"/>
            </v:rect>
            <v:rect style="position:absolute;left:9021;top:3840;width:101;height:101" filled="true" fillcolor="#8063a1" stroked="false">
              <v:fill type="solid"/>
            </v:rect>
            <v:shape style="position:absolute;left:2601;top:267;width:8141;height:3869" type="#_x0000_t202" filled="false" stroked="true" strokeweight=".75pt" strokecolor="#858585">
              <v:textbox inset="0,0,0,0">
                <w:txbxContent>
                  <w:p>
                    <w:pPr>
                      <w:spacing w:line="229" w:lineRule="exact" w:before="149"/>
                      <w:ind w:left="1207" w:right="1300" w:firstLine="0"/>
                      <w:jc w:val="center"/>
                      <w:rPr>
                        <w:b/>
                        <w:sz w:val="20"/>
                      </w:rPr>
                    </w:pPr>
                    <w:r>
                      <w:rPr>
                        <w:b/>
                        <w:sz w:val="20"/>
                      </w:rPr>
                      <w:t>Gráfica No. 17</w:t>
                    </w:r>
                  </w:p>
                  <w:p>
                    <w:pPr>
                      <w:spacing w:line="229" w:lineRule="exact" w:before="0"/>
                      <w:ind w:left="1207" w:right="1302" w:firstLine="0"/>
                      <w:jc w:val="center"/>
                      <w:rPr>
                        <w:b/>
                        <w:sz w:val="20"/>
                      </w:rPr>
                    </w:pPr>
                    <w:r>
                      <w:rPr>
                        <w:b/>
                        <w:sz w:val="20"/>
                      </w:rPr>
                      <w:t>Tiempo que dedica el cuidador informal primario a la visita</w:t>
                    </w:r>
                  </w:p>
                  <w:p>
                    <w:pPr>
                      <w:spacing w:before="0"/>
                      <w:ind w:left="1207" w:right="1300" w:firstLine="0"/>
                      <w:jc w:val="center"/>
                      <w:rPr>
                        <w:b/>
                        <w:sz w:val="20"/>
                      </w:rPr>
                    </w:pPr>
                    <w:r>
                      <w:rPr>
                        <w:b/>
                        <w:sz w:val="20"/>
                      </w:rPr>
                      <w:t>hospitalaria.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3"/>
                      <w:rPr>
                        <w:b/>
                        <w:sz w:val="23"/>
                      </w:rPr>
                    </w:pPr>
                  </w:p>
                  <w:p>
                    <w:pPr>
                      <w:spacing w:before="0"/>
                      <w:ind w:left="0" w:right="822" w:firstLine="0"/>
                      <w:jc w:val="right"/>
                      <w:rPr>
                        <w:rFonts w:ascii="Calibri"/>
                        <w:b/>
                        <w:sz w:val="18"/>
                      </w:rPr>
                    </w:pPr>
                    <w:r>
                      <w:rPr>
                        <w:rFonts w:ascii="Calibri"/>
                        <w:b/>
                        <w:sz w:val="18"/>
                      </w:rPr>
                      <w:t>&gt;10 horas</w:t>
                    </w:r>
                  </w:p>
                  <w:p>
                    <w:pPr>
                      <w:spacing w:line="240" w:lineRule="auto" w:before="7"/>
                      <w:rPr>
                        <w:b/>
                        <w:sz w:val="23"/>
                      </w:rPr>
                    </w:pPr>
                  </w:p>
                  <w:p>
                    <w:pPr>
                      <w:spacing w:before="0"/>
                      <w:ind w:left="0" w:right="105" w:firstLine="0"/>
                      <w:jc w:val="right"/>
                      <w:rPr>
                        <w:rFonts w:ascii="Calibri"/>
                        <w:b/>
                        <w:sz w:val="18"/>
                      </w:rPr>
                    </w:pPr>
                    <w:r>
                      <w:rPr>
                        <w:rFonts w:ascii="Calibri"/>
                        <w:b/>
                        <w:sz w:val="18"/>
                      </w:rPr>
                      <w:t>Entre 11 a 19 horas</w:t>
                    </w:r>
                  </w:p>
                  <w:p>
                    <w:pPr>
                      <w:spacing w:line="490" w:lineRule="atLeast" w:before="1"/>
                      <w:ind w:left="6557" w:right="0" w:firstLine="0"/>
                      <w:jc w:val="left"/>
                      <w:rPr>
                        <w:rFonts w:ascii="Calibri" w:hAnsi="Calibri"/>
                        <w:b/>
                        <w:sz w:val="18"/>
                      </w:rPr>
                    </w:pPr>
                    <w:r>
                      <w:rPr>
                        <w:rFonts w:ascii="Calibri" w:hAnsi="Calibri"/>
                        <w:b/>
                        <w:sz w:val="18"/>
                      </w:rPr>
                      <w:t>Entre 20 a 30 horas Más de 30 horas</w:t>
                    </w:r>
                  </w:p>
                </w:txbxContent>
              </v:textbox>
              <w10:wrap type="none"/>
            </v:shape>
            <w10:wrap type="topAndBottom"/>
          </v:group>
        </w:pict>
      </w:r>
    </w:p>
    <w:p>
      <w:pPr>
        <w:spacing w:before="114"/>
        <w:ind w:left="901" w:right="230" w:firstLine="0"/>
        <w:jc w:val="left"/>
        <w:rPr>
          <w:sz w:val="20"/>
        </w:rPr>
      </w:pPr>
      <w:r>
        <w:rPr>
          <w:sz w:val="20"/>
        </w:rPr>
        <w:t>Fuente: Tabla No. 17</w:t>
      </w:r>
    </w:p>
    <w:p>
      <w:pPr>
        <w:pStyle w:val="BodyText"/>
        <w:rPr>
          <w:sz w:val="20"/>
        </w:rPr>
      </w:pPr>
    </w:p>
    <w:p>
      <w:pPr>
        <w:pStyle w:val="BodyText"/>
        <w:spacing w:before="3"/>
        <w:rPr>
          <w:sz w:val="16"/>
        </w:rPr>
      </w:pPr>
    </w:p>
    <w:p>
      <w:pPr>
        <w:pStyle w:val="BodyText"/>
        <w:spacing w:line="360" w:lineRule="auto"/>
        <w:ind w:left="625" w:right="128"/>
        <w:jc w:val="both"/>
      </w:pPr>
      <w:r>
        <w:rPr/>
        <w:t>La tabla No.17 se observa que el 43.4% de los cuidadores informales primarios dedican más de 30 horas a la visita hospitalaria y sólo el 10% dedica entre 11 a</w:t>
      </w:r>
    </w:p>
    <w:p>
      <w:pPr>
        <w:pStyle w:val="BodyText"/>
        <w:spacing w:line="360" w:lineRule="auto" w:before="5"/>
        <w:ind w:left="625" w:right="127"/>
        <w:jc w:val="both"/>
      </w:pPr>
      <w:r>
        <w:rPr/>
        <w:t>19 horas, se tomó de referencia el total de horas posibles para la visita hospitalaria, ya que ésta se realiza en un horario de lunes a viernes de 08:00 a 12:00 horas y de 16:00 a 19:00 horas, y sábado y domingo de 09:00 a 11:00 horas. y de 16:00 a 18:00 horas. Obteniendo un total de 43 horas en una semana de visita hospitalaria.</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Heading2"/>
        <w:spacing w:line="360" w:lineRule="auto"/>
        <w:ind w:right="197"/>
      </w:pPr>
      <w:r>
        <w:rPr>
          <w:b w:val="0"/>
        </w:rPr>
        <w:t>Tabla No. 18</w:t>
      </w:r>
      <w:r>
        <w:rPr/>
        <w:t>. Apoyo económico con el que cuenta el cuidador informal primario para hacerse cargo del adulto mayor,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26"/>
        <w:gridCol w:w="2401"/>
        <w:gridCol w:w="1959"/>
      </w:tblGrid>
      <w:tr>
        <w:trPr>
          <w:trHeight w:val="444" w:hRule="exact"/>
        </w:trPr>
        <w:tc>
          <w:tcPr>
            <w:tcW w:w="4126" w:type="dxa"/>
            <w:tcBorders>
              <w:left w:val="nil"/>
              <w:right w:val="nil"/>
            </w:tcBorders>
            <w:shd w:val="clear" w:color="auto" w:fill="99CC00"/>
          </w:tcPr>
          <w:p>
            <w:pPr>
              <w:pStyle w:val="TableParagraph"/>
              <w:spacing w:before="75"/>
              <w:ind w:left="1213" w:right="792"/>
              <w:rPr>
                <w:b/>
                <w:sz w:val="24"/>
              </w:rPr>
            </w:pPr>
            <w:r>
              <w:rPr>
                <w:b/>
                <w:sz w:val="24"/>
              </w:rPr>
              <w:t>Apoyo económico</w:t>
            </w:r>
          </w:p>
        </w:tc>
        <w:tc>
          <w:tcPr>
            <w:tcW w:w="2401" w:type="dxa"/>
            <w:tcBorders>
              <w:left w:val="nil"/>
              <w:right w:val="nil"/>
            </w:tcBorders>
            <w:shd w:val="clear" w:color="auto" w:fill="99CC00"/>
          </w:tcPr>
          <w:p>
            <w:pPr>
              <w:pStyle w:val="TableParagraph"/>
              <w:spacing w:before="75"/>
              <w:ind w:left="792" w:right="380"/>
              <w:rPr>
                <w:sz w:val="24"/>
              </w:rPr>
            </w:pPr>
            <w:r>
              <w:rPr>
                <w:sz w:val="24"/>
              </w:rPr>
              <w:t>Frecuencia</w:t>
            </w:r>
          </w:p>
        </w:tc>
        <w:tc>
          <w:tcPr>
            <w:tcW w:w="1959" w:type="dxa"/>
            <w:tcBorders>
              <w:left w:val="nil"/>
              <w:right w:val="nil"/>
            </w:tcBorders>
            <w:shd w:val="clear" w:color="auto" w:fill="99CC00"/>
          </w:tcPr>
          <w:p>
            <w:pPr>
              <w:pStyle w:val="TableParagraph"/>
              <w:spacing w:before="75"/>
              <w:ind w:left="381" w:right="391"/>
              <w:rPr>
                <w:sz w:val="24"/>
              </w:rPr>
            </w:pPr>
            <w:r>
              <w:rPr>
                <w:sz w:val="24"/>
              </w:rPr>
              <w:t>Porcentaje</w:t>
            </w:r>
          </w:p>
        </w:tc>
      </w:tr>
      <w:tr>
        <w:trPr>
          <w:trHeight w:val="432" w:hRule="exact"/>
        </w:trPr>
        <w:tc>
          <w:tcPr>
            <w:tcW w:w="4126" w:type="dxa"/>
            <w:tcBorders>
              <w:left w:val="nil"/>
              <w:bottom w:val="nil"/>
              <w:right w:val="nil"/>
            </w:tcBorders>
          </w:tcPr>
          <w:p>
            <w:pPr>
              <w:pStyle w:val="TableParagraph"/>
              <w:spacing w:before="65"/>
              <w:ind w:left="1213" w:right="789"/>
              <w:rPr>
                <w:sz w:val="24"/>
              </w:rPr>
            </w:pPr>
            <w:r>
              <w:rPr>
                <w:sz w:val="24"/>
              </w:rPr>
              <w:t>Si</w:t>
            </w:r>
          </w:p>
        </w:tc>
        <w:tc>
          <w:tcPr>
            <w:tcW w:w="2401" w:type="dxa"/>
            <w:tcBorders>
              <w:left w:val="nil"/>
              <w:bottom w:val="nil"/>
              <w:right w:val="nil"/>
            </w:tcBorders>
          </w:tcPr>
          <w:p>
            <w:pPr>
              <w:pStyle w:val="TableParagraph"/>
              <w:spacing w:before="65"/>
              <w:ind w:left="408"/>
              <w:rPr>
                <w:sz w:val="24"/>
              </w:rPr>
            </w:pPr>
            <w:r>
              <w:rPr>
                <w:w w:val="99"/>
                <w:sz w:val="24"/>
              </w:rPr>
              <w:t>5</w:t>
            </w:r>
          </w:p>
        </w:tc>
        <w:tc>
          <w:tcPr>
            <w:tcW w:w="1959" w:type="dxa"/>
            <w:tcBorders>
              <w:left w:val="nil"/>
              <w:bottom w:val="nil"/>
              <w:right w:val="nil"/>
            </w:tcBorders>
          </w:tcPr>
          <w:p>
            <w:pPr>
              <w:pStyle w:val="TableParagraph"/>
              <w:spacing w:before="65"/>
              <w:ind w:left="381" w:right="389"/>
              <w:rPr>
                <w:sz w:val="24"/>
              </w:rPr>
            </w:pPr>
            <w:r>
              <w:rPr>
                <w:sz w:val="24"/>
              </w:rPr>
              <w:t>16.7</w:t>
            </w:r>
          </w:p>
        </w:tc>
      </w:tr>
      <w:tr>
        <w:trPr>
          <w:trHeight w:val="428" w:hRule="exact"/>
        </w:trPr>
        <w:tc>
          <w:tcPr>
            <w:tcW w:w="4126" w:type="dxa"/>
            <w:tcBorders>
              <w:top w:val="nil"/>
              <w:left w:val="nil"/>
              <w:right w:val="nil"/>
            </w:tcBorders>
          </w:tcPr>
          <w:p>
            <w:pPr>
              <w:pStyle w:val="TableParagraph"/>
              <w:spacing w:before="61"/>
              <w:ind w:left="1213" w:right="790"/>
              <w:rPr>
                <w:b/>
                <w:sz w:val="24"/>
              </w:rPr>
            </w:pPr>
            <w:r>
              <w:rPr>
                <w:b/>
                <w:sz w:val="24"/>
              </w:rPr>
              <w:t>No</w:t>
            </w:r>
          </w:p>
        </w:tc>
        <w:tc>
          <w:tcPr>
            <w:tcW w:w="2401" w:type="dxa"/>
            <w:tcBorders>
              <w:top w:val="nil"/>
              <w:left w:val="nil"/>
              <w:right w:val="nil"/>
            </w:tcBorders>
          </w:tcPr>
          <w:p>
            <w:pPr>
              <w:pStyle w:val="TableParagraph"/>
              <w:spacing w:before="61"/>
              <w:ind w:left="792" w:right="378"/>
              <w:rPr>
                <w:b/>
                <w:sz w:val="24"/>
              </w:rPr>
            </w:pPr>
            <w:r>
              <w:rPr>
                <w:b/>
                <w:sz w:val="24"/>
              </w:rPr>
              <w:t>25</w:t>
            </w:r>
          </w:p>
        </w:tc>
        <w:tc>
          <w:tcPr>
            <w:tcW w:w="1959" w:type="dxa"/>
            <w:tcBorders>
              <w:top w:val="nil"/>
              <w:left w:val="nil"/>
              <w:right w:val="nil"/>
            </w:tcBorders>
          </w:tcPr>
          <w:p>
            <w:pPr>
              <w:pStyle w:val="TableParagraph"/>
              <w:spacing w:before="61"/>
              <w:ind w:left="381" w:right="389"/>
              <w:rPr>
                <w:b/>
                <w:sz w:val="24"/>
              </w:rPr>
            </w:pPr>
            <w:r>
              <w:rPr>
                <w:b/>
                <w:sz w:val="24"/>
              </w:rPr>
              <w:t>83.3</w:t>
            </w:r>
          </w:p>
        </w:tc>
      </w:tr>
      <w:tr>
        <w:trPr>
          <w:trHeight w:val="444" w:hRule="exact"/>
        </w:trPr>
        <w:tc>
          <w:tcPr>
            <w:tcW w:w="4126" w:type="dxa"/>
            <w:tcBorders>
              <w:left w:val="nil"/>
              <w:right w:val="nil"/>
            </w:tcBorders>
            <w:shd w:val="clear" w:color="auto" w:fill="99CC00"/>
          </w:tcPr>
          <w:p>
            <w:pPr>
              <w:pStyle w:val="TableParagraph"/>
              <w:spacing w:before="75"/>
              <w:ind w:left="1213" w:right="791"/>
              <w:rPr>
                <w:b/>
                <w:sz w:val="24"/>
              </w:rPr>
            </w:pPr>
            <w:r>
              <w:rPr>
                <w:b/>
                <w:sz w:val="24"/>
              </w:rPr>
              <w:t>Total</w:t>
            </w:r>
          </w:p>
        </w:tc>
        <w:tc>
          <w:tcPr>
            <w:tcW w:w="2401" w:type="dxa"/>
            <w:tcBorders>
              <w:left w:val="nil"/>
              <w:right w:val="nil"/>
            </w:tcBorders>
            <w:shd w:val="clear" w:color="auto" w:fill="99CC00"/>
          </w:tcPr>
          <w:p>
            <w:pPr>
              <w:pStyle w:val="TableParagraph"/>
              <w:spacing w:before="75"/>
              <w:ind w:left="792" w:right="378"/>
              <w:rPr>
                <w:sz w:val="24"/>
              </w:rPr>
            </w:pPr>
            <w:r>
              <w:rPr>
                <w:sz w:val="24"/>
              </w:rPr>
              <w:t>30</w:t>
            </w:r>
          </w:p>
        </w:tc>
        <w:tc>
          <w:tcPr>
            <w:tcW w:w="1959" w:type="dxa"/>
            <w:tcBorders>
              <w:left w:val="nil"/>
              <w:right w:val="nil"/>
            </w:tcBorders>
            <w:shd w:val="clear" w:color="auto" w:fill="99CC00"/>
          </w:tcPr>
          <w:p>
            <w:pPr>
              <w:pStyle w:val="TableParagraph"/>
              <w:spacing w:before="75"/>
              <w:ind w:left="381" w:right="387"/>
              <w:rPr>
                <w:sz w:val="24"/>
              </w:rPr>
            </w:pPr>
            <w:r>
              <w:rPr>
                <w:sz w:val="24"/>
              </w:rPr>
              <w:t>100</w:t>
            </w:r>
          </w:p>
        </w:tc>
      </w:tr>
    </w:tbl>
    <w:p>
      <w:pPr>
        <w:pStyle w:val="BodyText"/>
        <w:rPr>
          <w:b/>
          <w:sz w:val="20"/>
        </w:rPr>
      </w:pPr>
    </w:p>
    <w:p>
      <w:pPr>
        <w:pStyle w:val="BodyText"/>
        <w:spacing w:before="7"/>
        <w:rPr>
          <w:b/>
          <w:sz w:val="22"/>
        </w:rPr>
      </w:pPr>
      <w:r>
        <w:rPr/>
        <w:pict>
          <v:group style="position:absolute;margin-left:131.475006pt;margin-top:14.985976pt;width:403.95pt;height:183.15pt;mso-position-horizontal-relative:page;mso-position-vertical-relative:paragraph;z-index:3208;mso-wrap-distance-left:0;mso-wrap-distance-right:0" coordorigin="2630,300" coordsize="8079,3663">
            <v:shape style="position:absolute;left:3432;top:1178;width:6658;height:2748" type="#_x0000_t75" stroked="false">
              <v:imagedata r:id="rId66" o:title=""/>
            </v:shape>
            <v:rect style="position:absolute;left:9860;top:2898;width:101;height:101" filled="true" fillcolor="#4f81bc" stroked="false">
              <v:fill type="solid"/>
            </v:rect>
            <v:shape style="position:absolute;left:2637;top:307;width:8064;height:3648" type="#_x0000_t202" filled="false" stroked="true" strokeweight=".75pt" strokecolor="#858585">
              <v:textbox inset="0,0,0,0">
                <w:txbxContent>
                  <w:p>
                    <w:pPr>
                      <w:spacing w:before="119"/>
                      <w:ind w:left="904" w:right="847" w:firstLine="0"/>
                      <w:jc w:val="center"/>
                      <w:rPr>
                        <w:b/>
                        <w:sz w:val="20"/>
                      </w:rPr>
                    </w:pPr>
                    <w:r>
                      <w:rPr>
                        <w:b/>
                        <w:sz w:val="20"/>
                      </w:rPr>
                      <w:t>Gráfica No. 18</w:t>
                    </w:r>
                  </w:p>
                  <w:p>
                    <w:pPr>
                      <w:spacing w:before="0"/>
                      <w:ind w:left="904" w:right="852" w:firstLine="0"/>
                      <w:jc w:val="center"/>
                      <w:rPr>
                        <w:b/>
                        <w:sz w:val="20"/>
                      </w:rPr>
                    </w:pPr>
                    <w:r>
                      <w:rPr>
                        <w:b/>
                        <w:sz w:val="20"/>
                      </w:rPr>
                      <w:t>Apoyo económico con el que cuenta el cuidador informal primario para hacerse cargo del adulto mayor.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28"/>
                      </w:rPr>
                    </w:pPr>
                  </w:p>
                  <w:p>
                    <w:pPr>
                      <w:tabs>
                        <w:tab w:pos="409" w:val="left" w:leader="none"/>
                      </w:tabs>
                      <w:spacing w:before="0"/>
                      <w:ind w:left="0" w:right="53" w:firstLine="0"/>
                      <w:jc w:val="right"/>
                      <w:rPr>
                        <w:rFonts w:ascii="Calibri"/>
                        <w:b/>
                        <w:sz w:val="18"/>
                      </w:rPr>
                    </w:pPr>
                    <w:r>
                      <w:rPr>
                        <w:rFonts w:ascii="Calibri"/>
                        <w:b/>
                        <w:w w:val="105"/>
                        <w:sz w:val="18"/>
                      </w:rPr>
                      <w:t>Si</w:t>
                      <w:tab/>
                    </w:r>
                    <w:r>
                      <w:rPr>
                        <w:rFonts w:ascii="Calibri"/>
                        <w:b/>
                        <w:sz w:val="18"/>
                      </w:rPr>
                      <w:t>No</w:t>
                    </w:r>
                  </w:p>
                </w:txbxContent>
              </v:textbox>
              <w10:wrap type="none"/>
            </v:shape>
            <w10:wrap type="topAndBottom"/>
          </v:group>
        </w:pict>
      </w:r>
    </w:p>
    <w:p>
      <w:pPr>
        <w:spacing w:before="52"/>
        <w:ind w:left="901" w:right="230" w:firstLine="0"/>
        <w:jc w:val="left"/>
        <w:rPr>
          <w:sz w:val="20"/>
        </w:rPr>
      </w:pPr>
      <w:r>
        <w:rPr>
          <w:sz w:val="20"/>
        </w:rPr>
        <w:t>Fuente: Tabla No. 18</w:t>
      </w:r>
    </w:p>
    <w:p>
      <w:pPr>
        <w:pStyle w:val="BodyText"/>
        <w:rPr>
          <w:sz w:val="20"/>
        </w:rPr>
      </w:pPr>
    </w:p>
    <w:p>
      <w:pPr>
        <w:pStyle w:val="BodyText"/>
        <w:spacing w:before="2"/>
        <w:rPr>
          <w:sz w:val="16"/>
        </w:rPr>
      </w:pPr>
    </w:p>
    <w:p>
      <w:pPr>
        <w:pStyle w:val="BodyText"/>
        <w:spacing w:line="360" w:lineRule="auto"/>
        <w:ind w:left="625" w:right="122"/>
        <w:jc w:val="both"/>
      </w:pPr>
      <w:r>
        <w:rPr/>
        <w:pict>
          <v:rect style="position:absolute;margin-left:513.469971pt;margin-top:-89.667625pt;width:5.0535pt;height:5.0535pt;mso-position-horizontal-relative:page;mso-position-vertical-relative:paragraph;z-index:-172792" filled="true" fillcolor="#c0504d" stroked="false">
            <v:fill type="solid"/>
            <w10:wrap type="none"/>
          </v:rect>
        </w:pict>
      </w:r>
      <w:r>
        <w:rPr/>
        <w:t>La tabla No. 18 muestra el apoyo económico con el que cuenta el cuidador informal primario, un 83.3% no cuenta con algún apoyo económico extra a sus recursos propios, mientras que el 16.7% restante manifestó sí contar con algún tipo de apoyo. Ya mencionado anteriormente los recursos económicos disponibles por el cuidador pueden ser un factor decisivo para llevar a cabo el cuidado, si bien este tipo de apoyos son subjetivos, resulta importante enunciar su disposición.</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Heading2"/>
        <w:spacing w:line="360" w:lineRule="auto"/>
        <w:ind w:right="197"/>
      </w:pPr>
      <w:r>
        <w:rPr>
          <w:b w:val="0"/>
        </w:rPr>
        <w:t>Tabla No. 19. </w:t>
      </w:r>
      <w:r>
        <w:rPr/>
        <w:t>Capacitación con la que cuenta el cuidador informal  primario para hacerse cargo del adulto mayor, en un hospital público de segundo nivel, del Distrito Federal, México. Marzo,</w:t>
      </w:r>
      <w:r>
        <w:rPr>
          <w:spacing w:val="-18"/>
        </w:rPr>
        <w:t> </w:t>
      </w:r>
      <w:r>
        <w:rPr/>
        <w:t>2014</w:t>
      </w:r>
    </w:p>
    <w:p>
      <w:pPr>
        <w:pStyle w:val="BodyText"/>
        <w:rPr>
          <w:b/>
          <w:sz w:val="20"/>
        </w:rPr>
      </w:pPr>
    </w:p>
    <w:p>
      <w:pPr>
        <w:pStyle w:val="BodyText"/>
        <w:spacing w:before="5" w:after="1"/>
        <w:rPr>
          <w:b/>
          <w:sz w:val="16"/>
        </w:rPr>
      </w:pPr>
    </w:p>
    <w:tbl>
      <w:tblPr>
        <w:tblW w:w="0" w:type="auto"/>
        <w:jc w:val="left"/>
        <w:tblInd w:w="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14"/>
        <w:gridCol w:w="2568"/>
        <w:gridCol w:w="1973"/>
      </w:tblGrid>
      <w:tr>
        <w:trPr>
          <w:trHeight w:val="437" w:hRule="exact"/>
        </w:trPr>
        <w:tc>
          <w:tcPr>
            <w:tcW w:w="4014" w:type="dxa"/>
            <w:tcBorders>
              <w:left w:val="nil"/>
              <w:right w:val="nil"/>
            </w:tcBorders>
            <w:shd w:val="clear" w:color="auto" w:fill="99CC00"/>
          </w:tcPr>
          <w:p>
            <w:pPr>
              <w:pStyle w:val="TableParagraph"/>
              <w:spacing w:before="70"/>
              <w:ind w:left="1528" w:right="951"/>
              <w:rPr>
                <w:b/>
                <w:sz w:val="24"/>
              </w:rPr>
            </w:pPr>
            <w:r>
              <w:rPr>
                <w:b/>
                <w:sz w:val="24"/>
              </w:rPr>
              <w:t>Capacitación</w:t>
            </w:r>
          </w:p>
        </w:tc>
        <w:tc>
          <w:tcPr>
            <w:tcW w:w="2568" w:type="dxa"/>
            <w:tcBorders>
              <w:left w:val="nil"/>
              <w:right w:val="nil"/>
            </w:tcBorders>
            <w:shd w:val="clear" w:color="auto" w:fill="99CC00"/>
          </w:tcPr>
          <w:p>
            <w:pPr>
              <w:pStyle w:val="TableParagraph"/>
              <w:spacing w:before="70"/>
              <w:ind w:left="951" w:right="388"/>
              <w:rPr>
                <w:sz w:val="24"/>
              </w:rPr>
            </w:pPr>
            <w:r>
              <w:rPr>
                <w:sz w:val="24"/>
              </w:rPr>
              <w:t>Frecuencia</w:t>
            </w:r>
          </w:p>
        </w:tc>
        <w:tc>
          <w:tcPr>
            <w:tcW w:w="1973" w:type="dxa"/>
            <w:tcBorders>
              <w:left w:val="nil"/>
              <w:right w:val="nil"/>
            </w:tcBorders>
            <w:shd w:val="clear" w:color="auto" w:fill="99CC00"/>
          </w:tcPr>
          <w:p>
            <w:pPr>
              <w:pStyle w:val="TableParagraph"/>
              <w:spacing w:before="70"/>
              <w:ind w:left="389" w:right="395"/>
              <w:rPr>
                <w:sz w:val="24"/>
              </w:rPr>
            </w:pPr>
            <w:r>
              <w:rPr>
                <w:sz w:val="24"/>
              </w:rPr>
              <w:t>Porcentaje</w:t>
            </w:r>
          </w:p>
        </w:tc>
      </w:tr>
      <w:tr>
        <w:trPr>
          <w:trHeight w:val="421" w:hRule="exact"/>
        </w:trPr>
        <w:tc>
          <w:tcPr>
            <w:tcW w:w="4014" w:type="dxa"/>
            <w:tcBorders>
              <w:left w:val="nil"/>
              <w:bottom w:val="nil"/>
              <w:right w:val="nil"/>
            </w:tcBorders>
          </w:tcPr>
          <w:p>
            <w:pPr>
              <w:pStyle w:val="TableParagraph"/>
              <w:spacing w:before="58"/>
              <w:ind w:left="1528" w:right="950"/>
              <w:rPr>
                <w:sz w:val="24"/>
              </w:rPr>
            </w:pPr>
            <w:r>
              <w:rPr>
                <w:sz w:val="24"/>
              </w:rPr>
              <w:t>Sí</w:t>
            </w:r>
          </w:p>
        </w:tc>
        <w:tc>
          <w:tcPr>
            <w:tcW w:w="2568" w:type="dxa"/>
            <w:tcBorders>
              <w:left w:val="nil"/>
              <w:bottom w:val="nil"/>
              <w:right w:val="nil"/>
            </w:tcBorders>
          </w:tcPr>
          <w:p>
            <w:pPr>
              <w:pStyle w:val="TableParagraph"/>
              <w:spacing w:before="58"/>
              <w:ind w:left="564"/>
              <w:rPr>
                <w:sz w:val="24"/>
              </w:rPr>
            </w:pPr>
            <w:r>
              <w:rPr>
                <w:w w:val="99"/>
                <w:sz w:val="24"/>
              </w:rPr>
              <w:t>4</w:t>
            </w:r>
          </w:p>
        </w:tc>
        <w:tc>
          <w:tcPr>
            <w:tcW w:w="1973" w:type="dxa"/>
            <w:tcBorders>
              <w:left w:val="nil"/>
              <w:bottom w:val="nil"/>
              <w:right w:val="nil"/>
            </w:tcBorders>
          </w:tcPr>
          <w:p>
            <w:pPr>
              <w:pStyle w:val="TableParagraph"/>
              <w:spacing w:before="58"/>
              <w:ind w:left="386" w:right="395"/>
              <w:rPr>
                <w:sz w:val="24"/>
              </w:rPr>
            </w:pPr>
            <w:r>
              <w:rPr>
                <w:sz w:val="24"/>
              </w:rPr>
              <w:t>13.3</w:t>
            </w:r>
          </w:p>
        </w:tc>
      </w:tr>
      <w:tr>
        <w:trPr>
          <w:trHeight w:val="417" w:hRule="exact"/>
        </w:trPr>
        <w:tc>
          <w:tcPr>
            <w:tcW w:w="4014" w:type="dxa"/>
            <w:tcBorders>
              <w:top w:val="nil"/>
              <w:left w:val="nil"/>
              <w:right w:val="nil"/>
            </w:tcBorders>
          </w:tcPr>
          <w:p>
            <w:pPr>
              <w:pStyle w:val="TableParagraph"/>
              <w:spacing w:before="57"/>
              <w:ind w:left="1523" w:right="951"/>
              <w:rPr>
                <w:b/>
                <w:sz w:val="24"/>
              </w:rPr>
            </w:pPr>
            <w:r>
              <w:rPr>
                <w:b/>
                <w:sz w:val="24"/>
              </w:rPr>
              <w:t>No</w:t>
            </w:r>
          </w:p>
        </w:tc>
        <w:tc>
          <w:tcPr>
            <w:tcW w:w="2568" w:type="dxa"/>
            <w:tcBorders>
              <w:top w:val="nil"/>
              <w:left w:val="nil"/>
              <w:right w:val="nil"/>
            </w:tcBorders>
          </w:tcPr>
          <w:p>
            <w:pPr>
              <w:pStyle w:val="TableParagraph"/>
              <w:spacing w:before="57"/>
              <w:ind w:left="951" w:right="386"/>
              <w:rPr>
                <w:b/>
                <w:sz w:val="24"/>
              </w:rPr>
            </w:pPr>
            <w:r>
              <w:rPr>
                <w:b/>
                <w:sz w:val="24"/>
              </w:rPr>
              <w:t>26</w:t>
            </w:r>
          </w:p>
        </w:tc>
        <w:tc>
          <w:tcPr>
            <w:tcW w:w="1973" w:type="dxa"/>
            <w:tcBorders>
              <w:top w:val="nil"/>
              <w:left w:val="nil"/>
              <w:right w:val="nil"/>
            </w:tcBorders>
          </w:tcPr>
          <w:p>
            <w:pPr>
              <w:pStyle w:val="TableParagraph"/>
              <w:spacing w:before="57"/>
              <w:ind w:left="386" w:right="395"/>
              <w:rPr>
                <w:b/>
                <w:sz w:val="24"/>
              </w:rPr>
            </w:pPr>
            <w:r>
              <w:rPr>
                <w:b/>
                <w:sz w:val="24"/>
              </w:rPr>
              <w:t>86.7</w:t>
            </w:r>
          </w:p>
        </w:tc>
      </w:tr>
      <w:tr>
        <w:trPr>
          <w:trHeight w:val="437" w:hRule="exact"/>
        </w:trPr>
        <w:tc>
          <w:tcPr>
            <w:tcW w:w="4014" w:type="dxa"/>
            <w:tcBorders>
              <w:left w:val="nil"/>
              <w:right w:val="nil"/>
            </w:tcBorders>
            <w:shd w:val="clear" w:color="auto" w:fill="99CC00"/>
          </w:tcPr>
          <w:p>
            <w:pPr>
              <w:pStyle w:val="TableParagraph"/>
              <w:spacing w:before="72"/>
              <w:ind w:left="1523" w:right="951"/>
              <w:rPr>
                <w:b/>
                <w:sz w:val="24"/>
              </w:rPr>
            </w:pPr>
            <w:r>
              <w:rPr>
                <w:b/>
                <w:sz w:val="24"/>
              </w:rPr>
              <w:t>Total</w:t>
            </w:r>
          </w:p>
        </w:tc>
        <w:tc>
          <w:tcPr>
            <w:tcW w:w="2568" w:type="dxa"/>
            <w:tcBorders>
              <w:left w:val="nil"/>
              <w:right w:val="nil"/>
            </w:tcBorders>
            <w:shd w:val="clear" w:color="auto" w:fill="99CC00"/>
          </w:tcPr>
          <w:p>
            <w:pPr>
              <w:pStyle w:val="TableParagraph"/>
              <w:spacing w:before="72"/>
              <w:ind w:left="951" w:right="386"/>
              <w:rPr>
                <w:sz w:val="24"/>
              </w:rPr>
            </w:pPr>
            <w:r>
              <w:rPr>
                <w:sz w:val="24"/>
              </w:rPr>
              <w:t>30</w:t>
            </w:r>
          </w:p>
        </w:tc>
        <w:tc>
          <w:tcPr>
            <w:tcW w:w="1973" w:type="dxa"/>
            <w:tcBorders>
              <w:left w:val="nil"/>
              <w:right w:val="nil"/>
            </w:tcBorders>
            <w:shd w:val="clear" w:color="auto" w:fill="99CC00"/>
          </w:tcPr>
          <w:p>
            <w:pPr>
              <w:pStyle w:val="TableParagraph"/>
              <w:spacing w:before="72"/>
              <w:ind w:left="388" w:right="395"/>
              <w:rPr>
                <w:sz w:val="24"/>
              </w:rPr>
            </w:pPr>
            <w:r>
              <w:rPr>
                <w:sz w:val="24"/>
              </w:rPr>
              <w:t>100</w:t>
            </w:r>
          </w:p>
        </w:tc>
      </w:tr>
    </w:tbl>
    <w:p>
      <w:pPr>
        <w:pStyle w:val="BodyText"/>
        <w:rPr>
          <w:b/>
          <w:sz w:val="20"/>
        </w:rPr>
      </w:pPr>
    </w:p>
    <w:p>
      <w:pPr>
        <w:pStyle w:val="BodyText"/>
        <w:rPr>
          <w:b/>
          <w:sz w:val="20"/>
        </w:rPr>
      </w:pPr>
    </w:p>
    <w:p>
      <w:pPr>
        <w:pStyle w:val="BodyText"/>
        <w:spacing w:before="1"/>
        <w:rPr>
          <w:b/>
          <w:sz w:val="11"/>
        </w:rPr>
      </w:pPr>
      <w:r>
        <w:rPr/>
        <w:pict>
          <v:group style="position:absolute;margin-left:123.675003pt;margin-top:8.336963pt;width:413.05pt;height:190.85pt;mso-position-horizontal-relative:page;mso-position-vertical-relative:paragraph;z-index:3328;mso-wrap-distance-left:0;mso-wrap-distance-right:0" coordorigin="2474,167" coordsize="8261,3817">
            <v:shape style="position:absolute;left:3538;top:1262;width:6161;height:2532" type="#_x0000_t75" stroked="false">
              <v:imagedata r:id="rId67" o:title=""/>
            </v:shape>
            <v:rect style="position:absolute;left:9617;top:2897;width:101;height:101" filled="true" fillcolor="#4f81bc" stroked="false">
              <v:fill type="solid"/>
            </v:rect>
            <v:rect style="position:absolute;left:10161;top:2897;width:101;height:101" filled="true" fillcolor="#c0504d" stroked="false">
              <v:fill type="solid"/>
            </v:rect>
            <v:rect style="position:absolute;left:2481;top:174;width:8246;height:3802" filled="false" stroked="true" strokeweight=".75pt" strokecolor="#858585"/>
            <v:shape style="position:absolute;left:3517;top:310;width:6261;height:658" type="#_x0000_t202" filled="false" stroked="false">
              <v:textbox inset="0,0,0,0">
                <w:txbxContent>
                  <w:p>
                    <w:pPr>
                      <w:spacing w:line="203" w:lineRule="exact" w:before="0"/>
                      <w:ind w:left="4" w:right="0" w:firstLine="0"/>
                      <w:jc w:val="center"/>
                      <w:rPr>
                        <w:b/>
                        <w:sz w:val="20"/>
                      </w:rPr>
                    </w:pPr>
                    <w:r>
                      <w:rPr>
                        <w:b/>
                        <w:sz w:val="20"/>
                      </w:rPr>
                      <w:t>Gráfica No. 19</w:t>
                    </w:r>
                  </w:p>
                  <w:p>
                    <w:pPr>
                      <w:spacing w:before="0"/>
                      <w:ind w:left="0" w:right="0" w:firstLine="0"/>
                      <w:jc w:val="center"/>
                      <w:rPr>
                        <w:b/>
                        <w:sz w:val="20"/>
                      </w:rPr>
                    </w:pPr>
                    <w:r>
                      <w:rPr>
                        <w:b/>
                        <w:sz w:val="20"/>
                      </w:rPr>
                      <w:t>Capacitación</w:t>
                    </w:r>
                    <w:r>
                      <w:rPr>
                        <w:b/>
                        <w:spacing w:val="-4"/>
                        <w:sz w:val="20"/>
                      </w:rPr>
                      <w:t> </w:t>
                    </w:r>
                    <w:r>
                      <w:rPr>
                        <w:b/>
                        <w:sz w:val="20"/>
                      </w:rPr>
                      <w:t>con</w:t>
                    </w:r>
                    <w:r>
                      <w:rPr>
                        <w:b/>
                        <w:spacing w:val="-7"/>
                        <w:sz w:val="20"/>
                      </w:rPr>
                      <w:t> </w:t>
                    </w:r>
                    <w:r>
                      <w:rPr>
                        <w:b/>
                        <w:sz w:val="20"/>
                      </w:rPr>
                      <w:t>la</w:t>
                    </w:r>
                    <w:r>
                      <w:rPr>
                        <w:b/>
                        <w:spacing w:val="-3"/>
                        <w:sz w:val="20"/>
                      </w:rPr>
                      <w:t> </w:t>
                    </w:r>
                    <w:r>
                      <w:rPr>
                        <w:b/>
                        <w:sz w:val="20"/>
                      </w:rPr>
                      <w:t>que</w:t>
                    </w:r>
                    <w:r>
                      <w:rPr>
                        <w:b/>
                        <w:spacing w:val="-7"/>
                        <w:sz w:val="20"/>
                      </w:rPr>
                      <w:t> </w:t>
                    </w:r>
                    <w:r>
                      <w:rPr>
                        <w:b/>
                        <w:sz w:val="20"/>
                      </w:rPr>
                      <w:t>cuenta</w:t>
                    </w:r>
                    <w:r>
                      <w:rPr>
                        <w:b/>
                        <w:spacing w:val="-5"/>
                        <w:sz w:val="20"/>
                      </w:rPr>
                      <w:t> </w:t>
                    </w:r>
                    <w:r>
                      <w:rPr>
                        <w:b/>
                        <w:sz w:val="20"/>
                      </w:rPr>
                      <w:t>el</w:t>
                    </w:r>
                    <w:r>
                      <w:rPr>
                        <w:b/>
                        <w:spacing w:val="-5"/>
                        <w:sz w:val="20"/>
                      </w:rPr>
                      <w:t> </w:t>
                    </w:r>
                    <w:r>
                      <w:rPr>
                        <w:b/>
                        <w:sz w:val="20"/>
                      </w:rPr>
                      <w:t>cuidador</w:t>
                    </w:r>
                    <w:r>
                      <w:rPr>
                        <w:b/>
                        <w:spacing w:val="-5"/>
                        <w:sz w:val="20"/>
                      </w:rPr>
                      <w:t> </w:t>
                    </w:r>
                    <w:r>
                      <w:rPr>
                        <w:b/>
                        <w:sz w:val="20"/>
                      </w:rPr>
                      <w:t>informal</w:t>
                    </w:r>
                    <w:r>
                      <w:rPr>
                        <w:b/>
                        <w:spacing w:val="-7"/>
                        <w:sz w:val="20"/>
                      </w:rPr>
                      <w:t> </w:t>
                    </w:r>
                    <w:r>
                      <w:rPr>
                        <w:b/>
                        <w:sz w:val="20"/>
                      </w:rPr>
                      <w:t>primario</w:t>
                    </w:r>
                    <w:r>
                      <w:rPr>
                        <w:b/>
                        <w:spacing w:val="-5"/>
                        <w:sz w:val="20"/>
                      </w:rPr>
                      <w:t> </w:t>
                    </w:r>
                    <w:r>
                      <w:rPr>
                        <w:b/>
                        <w:sz w:val="20"/>
                      </w:rPr>
                      <w:t>para hacerse cargo del adulto mayor.</w:t>
                    </w:r>
                    <w:r>
                      <w:rPr>
                        <w:b/>
                        <w:spacing w:val="-25"/>
                        <w:sz w:val="20"/>
                      </w:rPr>
                      <w:t> </w:t>
                    </w:r>
                    <w:r>
                      <w:rPr>
                        <w:b/>
                        <w:sz w:val="20"/>
                      </w:rPr>
                      <w:t>2014</w:t>
                    </w:r>
                  </w:p>
                </w:txbxContent>
              </v:textbox>
              <w10:wrap type="none"/>
            </v:shape>
            <v:shape style="position:absolute;left:9762;top:2865;width:132;height:183" type="#_x0000_t202" filled="false" stroked="false">
              <v:textbox inset="0,0,0,0">
                <w:txbxContent>
                  <w:p>
                    <w:pPr>
                      <w:spacing w:line="182" w:lineRule="exact" w:before="0"/>
                      <w:ind w:left="0" w:right="-18" w:firstLine="0"/>
                      <w:jc w:val="left"/>
                      <w:rPr>
                        <w:rFonts w:ascii="Calibri"/>
                        <w:b/>
                        <w:sz w:val="18"/>
                      </w:rPr>
                    </w:pPr>
                    <w:r>
                      <w:rPr>
                        <w:rFonts w:ascii="Calibri"/>
                        <w:b/>
                        <w:sz w:val="18"/>
                      </w:rPr>
                      <w:t>Si</w:t>
                    </w:r>
                  </w:p>
                </w:txbxContent>
              </v:textbox>
              <w10:wrap type="none"/>
            </v:shape>
            <v:shape style="position:absolute;left:10306;top:2865;width:218;height:183" type="#_x0000_t202" filled="false" stroked="false">
              <v:textbox inset="0,0,0,0">
                <w:txbxContent>
                  <w:p>
                    <w:pPr>
                      <w:spacing w:line="182" w:lineRule="exact" w:before="0"/>
                      <w:ind w:left="0" w:right="-18" w:firstLine="0"/>
                      <w:jc w:val="left"/>
                      <w:rPr>
                        <w:rFonts w:ascii="Calibri"/>
                        <w:b/>
                        <w:sz w:val="18"/>
                      </w:rPr>
                    </w:pPr>
                    <w:r>
                      <w:rPr>
                        <w:rFonts w:ascii="Calibri"/>
                        <w:b/>
                        <w:sz w:val="18"/>
                      </w:rPr>
                      <w:t>No</w:t>
                    </w:r>
                  </w:p>
                </w:txbxContent>
              </v:textbox>
              <w10:wrap type="none"/>
            </v:shape>
            <w10:wrap type="topAndBottom"/>
          </v:group>
        </w:pict>
      </w:r>
    </w:p>
    <w:p>
      <w:pPr>
        <w:spacing w:before="27"/>
        <w:ind w:left="759" w:right="230" w:firstLine="0"/>
        <w:jc w:val="left"/>
        <w:rPr>
          <w:sz w:val="20"/>
        </w:rPr>
      </w:pPr>
      <w:r>
        <w:rPr>
          <w:sz w:val="20"/>
        </w:rPr>
        <w:t>Fuente: Tabla No. 19</w:t>
      </w:r>
    </w:p>
    <w:p>
      <w:pPr>
        <w:pStyle w:val="BodyText"/>
        <w:rPr>
          <w:sz w:val="20"/>
        </w:rPr>
      </w:pPr>
    </w:p>
    <w:p>
      <w:pPr>
        <w:pStyle w:val="BodyText"/>
        <w:rPr>
          <w:sz w:val="26"/>
        </w:rPr>
      </w:pPr>
    </w:p>
    <w:p>
      <w:pPr>
        <w:pStyle w:val="BodyText"/>
        <w:spacing w:line="360" w:lineRule="auto"/>
        <w:ind w:left="625" w:right="121"/>
        <w:jc w:val="both"/>
      </w:pPr>
      <w:r>
        <w:rPr/>
        <w:t>En lo concerniente a la capacitación con la que cuenta el cuidador informal primario, el 86.7% reportó no contar con algún tipo de capacitación para el cuidado, la capacitación o entrenamiento resulta fundamental para el cuidador, pues ésta es un factor decisivo para desempeñar el rol de cuidador, en tanto el 13.3% restante cuenta con algún tipo de capacitación.</w:t>
      </w:r>
    </w:p>
    <w:p>
      <w:pPr>
        <w:spacing w:after="0" w:line="360" w:lineRule="auto"/>
        <w:jc w:val="both"/>
        <w:sectPr>
          <w:pgSz w:w="12250" w:h="15850"/>
          <w:pgMar w:header="748" w:footer="1122" w:top="1260" w:bottom="1320" w:left="1720" w:right="1220"/>
        </w:sectPr>
      </w:pPr>
    </w:p>
    <w:p>
      <w:pPr>
        <w:pStyle w:val="BodyText"/>
        <w:rPr>
          <w:sz w:val="20"/>
        </w:rPr>
      </w:pPr>
      <w:r>
        <w:rPr/>
        <w:pict>
          <v:rect style="position:absolute;margin-left:488.910004pt;margin-top:425.045685pt;width:5.0243pt;height:5.0243pt;mso-position-horizontal-relative:page;mso-position-vertical-relative:page;z-index:-172624" filled="true" fillcolor="#4f81bc" stroked="false">
            <v:fill type="solid"/>
            <w10:wrap type="none"/>
          </v:rect>
        </w:pict>
      </w:r>
      <w:r>
        <w:rPr/>
        <w:pict>
          <v:rect style="position:absolute;margin-left:511.519989pt;margin-top:425.045685pt;width:5.024200pt;height:5.0243pt;mso-position-horizontal-relative:page;mso-position-vertical-relative:page;z-index:-172600" filled="true" fillcolor="#c0504d" stroked="false">
            <v:fill type="solid"/>
            <w10:wrap type="none"/>
          </v:rect>
        </w:pict>
      </w:r>
    </w:p>
    <w:p>
      <w:pPr>
        <w:pStyle w:val="BodyText"/>
        <w:rPr>
          <w:sz w:val="20"/>
        </w:rPr>
      </w:pPr>
    </w:p>
    <w:p>
      <w:pPr>
        <w:pStyle w:val="BodyText"/>
        <w:spacing w:before="5"/>
        <w:rPr>
          <w:sz w:val="21"/>
        </w:rPr>
      </w:pPr>
    </w:p>
    <w:p>
      <w:pPr>
        <w:pStyle w:val="Heading2"/>
        <w:spacing w:line="360" w:lineRule="auto"/>
        <w:ind w:right="199"/>
      </w:pPr>
      <w:r>
        <w:rPr>
          <w:b w:val="0"/>
        </w:rPr>
        <w:t>Tabla No. 20. </w:t>
      </w:r>
      <w:r>
        <w:rPr/>
        <w:t>Disposición del cuidador informal primario para participar  en un programa educativo, en un hospital público de segundo nivel, del Distrito Federal, México. Marzo,</w:t>
      </w:r>
      <w:r>
        <w:rPr>
          <w:spacing w:val="-13"/>
        </w:rPr>
        <w:t> </w:t>
      </w:r>
      <w:r>
        <w:rPr/>
        <w:t>2014.</w:t>
      </w:r>
    </w:p>
    <w:p>
      <w:pPr>
        <w:pStyle w:val="BodyText"/>
        <w:rPr>
          <w:b/>
          <w:sz w:val="20"/>
        </w:rPr>
      </w:pPr>
    </w:p>
    <w:p>
      <w:pPr>
        <w:pStyle w:val="BodyText"/>
        <w:spacing w:before="5" w:after="1"/>
        <w:rPr>
          <w:b/>
          <w:sz w:val="16"/>
        </w:rPr>
      </w:pPr>
    </w:p>
    <w:tbl>
      <w:tblPr>
        <w:tblW w:w="0" w:type="auto"/>
        <w:jc w:val="left"/>
        <w:tblInd w:w="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5"/>
        <w:gridCol w:w="2096"/>
        <w:gridCol w:w="1975"/>
      </w:tblGrid>
      <w:tr>
        <w:trPr>
          <w:trHeight w:val="482" w:hRule="exact"/>
        </w:trPr>
        <w:tc>
          <w:tcPr>
            <w:tcW w:w="4485" w:type="dxa"/>
            <w:tcBorders>
              <w:left w:val="nil"/>
              <w:right w:val="nil"/>
            </w:tcBorders>
            <w:shd w:val="clear" w:color="auto" w:fill="99CC00"/>
          </w:tcPr>
          <w:p>
            <w:pPr>
              <w:pStyle w:val="TableParagraph"/>
              <w:spacing w:before="94"/>
              <w:ind w:left="579" w:right="478"/>
              <w:rPr>
                <w:b/>
                <w:sz w:val="24"/>
              </w:rPr>
            </w:pPr>
            <w:r>
              <w:rPr>
                <w:b/>
                <w:sz w:val="24"/>
              </w:rPr>
              <w:t>Participación en un programa</w:t>
            </w:r>
          </w:p>
        </w:tc>
        <w:tc>
          <w:tcPr>
            <w:tcW w:w="2096" w:type="dxa"/>
            <w:tcBorders>
              <w:left w:val="nil"/>
              <w:right w:val="nil"/>
            </w:tcBorders>
            <w:shd w:val="clear" w:color="auto" w:fill="99CC00"/>
          </w:tcPr>
          <w:p>
            <w:pPr>
              <w:pStyle w:val="TableParagraph"/>
              <w:spacing w:before="94"/>
              <w:ind w:left="479" w:right="389"/>
              <w:rPr>
                <w:sz w:val="24"/>
              </w:rPr>
            </w:pPr>
            <w:r>
              <w:rPr>
                <w:sz w:val="24"/>
              </w:rPr>
              <w:t>Frecuencia</w:t>
            </w:r>
          </w:p>
        </w:tc>
        <w:tc>
          <w:tcPr>
            <w:tcW w:w="1975" w:type="dxa"/>
            <w:tcBorders>
              <w:left w:val="nil"/>
              <w:right w:val="nil"/>
            </w:tcBorders>
            <w:shd w:val="clear" w:color="auto" w:fill="99CC00"/>
          </w:tcPr>
          <w:p>
            <w:pPr>
              <w:pStyle w:val="TableParagraph"/>
              <w:spacing w:before="94"/>
              <w:ind w:left="389" w:right="398"/>
              <w:rPr>
                <w:sz w:val="24"/>
              </w:rPr>
            </w:pPr>
            <w:r>
              <w:rPr>
                <w:sz w:val="24"/>
              </w:rPr>
              <w:t>Porcentaje</w:t>
            </w:r>
          </w:p>
        </w:tc>
      </w:tr>
      <w:tr>
        <w:trPr>
          <w:trHeight w:val="481" w:hRule="exact"/>
        </w:trPr>
        <w:tc>
          <w:tcPr>
            <w:tcW w:w="4485" w:type="dxa"/>
            <w:tcBorders>
              <w:left w:val="nil"/>
              <w:bottom w:val="nil"/>
              <w:right w:val="nil"/>
            </w:tcBorders>
          </w:tcPr>
          <w:p>
            <w:pPr>
              <w:pStyle w:val="TableParagraph"/>
              <w:spacing w:before="94"/>
              <w:ind w:left="579" w:right="472"/>
              <w:rPr>
                <w:b/>
                <w:sz w:val="24"/>
              </w:rPr>
            </w:pPr>
            <w:r>
              <w:rPr>
                <w:b/>
                <w:sz w:val="24"/>
              </w:rPr>
              <w:t>Sí</w:t>
            </w:r>
          </w:p>
        </w:tc>
        <w:tc>
          <w:tcPr>
            <w:tcW w:w="2096" w:type="dxa"/>
            <w:tcBorders>
              <w:left w:val="nil"/>
              <w:bottom w:val="nil"/>
              <w:right w:val="nil"/>
            </w:tcBorders>
          </w:tcPr>
          <w:p>
            <w:pPr>
              <w:pStyle w:val="TableParagraph"/>
              <w:spacing w:before="94"/>
              <w:ind w:left="479" w:right="387"/>
              <w:rPr>
                <w:b/>
                <w:sz w:val="24"/>
              </w:rPr>
            </w:pPr>
            <w:r>
              <w:rPr>
                <w:b/>
                <w:sz w:val="24"/>
              </w:rPr>
              <w:t>22</w:t>
            </w:r>
          </w:p>
        </w:tc>
        <w:tc>
          <w:tcPr>
            <w:tcW w:w="1975" w:type="dxa"/>
            <w:tcBorders>
              <w:left w:val="nil"/>
              <w:bottom w:val="nil"/>
              <w:right w:val="nil"/>
            </w:tcBorders>
          </w:tcPr>
          <w:p>
            <w:pPr>
              <w:pStyle w:val="TableParagraph"/>
              <w:spacing w:before="94"/>
              <w:ind w:left="389" w:right="396"/>
              <w:rPr>
                <w:b/>
                <w:sz w:val="24"/>
              </w:rPr>
            </w:pPr>
            <w:r>
              <w:rPr>
                <w:b/>
                <w:sz w:val="24"/>
              </w:rPr>
              <w:t>73.3</w:t>
            </w:r>
          </w:p>
        </w:tc>
      </w:tr>
      <w:tr>
        <w:trPr>
          <w:trHeight w:val="453" w:hRule="exact"/>
        </w:trPr>
        <w:tc>
          <w:tcPr>
            <w:tcW w:w="4485" w:type="dxa"/>
            <w:tcBorders>
              <w:top w:val="nil"/>
              <w:left w:val="nil"/>
              <w:right w:val="nil"/>
            </w:tcBorders>
          </w:tcPr>
          <w:p>
            <w:pPr>
              <w:pStyle w:val="TableParagraph"/>
              <w:spacing w:before="81"/>
              <w:ind w:left="579" w:right="476"/>
              <w:rPr>
                <w:sz w:val="24"/>
              </w:rPr>
            </w:pPr>
            <w:r>
              <w:rPr>
                <w:sz w:val="24"/>
              </w:rPr>
              <w:t>No</w:t>
            </w:r>
          </w:p>
        </w:tc>
        <w:tc>
          <w:tcPr>
            <w:tcW w:w="2096" w:type="dxa"/>
            <w:tcBorders>
              <w:top w:val="nil"/>
              <w:left w:val="nil"/>
              <w:right w:val="nil"/>
            </w:tcBorders>
          </w:tcPr>
          <w:p>
            <w:pPr>
              <w:pStyle w:val="TableParagraph"/>
              <w:spacing w:before="81"/>
              <w:ind w:left="91"/>
              <w:rPr>
                <w:sz w:val="24"/>
              </w:rPr>
            </w:pPr>
            <w:r>
              <w:rPr>
                <w:w w:val="99"/>
                <w:sz w:val="24"/>
              </w:rPr>
              <w:t>8</w:t>
            </w:r>
          </w:p>
        </w:tc>
        <w:tc>
          <w:tcPr>
            <w:tcW w:w="1975" w:type="dxa"/>
            <w:tcBorders>
              <w:top w:val="nil"/>
              <w:left w:val="nil"/>
              <w:right w:val="nil"/>
            </w:tcBorders>
          </w:tcPr>
          <w:p>
            <w:pPr>
              <w:pStyle w:val="TableParagraph"/>
              <w:spacing w:before="81"/>
              <w:ind w:left="389" w:right="396"/>
              <w:rPr>
                <w:sz w:val="24"/>
              </w:rPr>
            </w:pPr>
            <w:r>
              <w:rPr>
                <w:sz w:val="24"/>
              </w:rPr>
              <w:t>26.7</w:t>
            </w:r>
          </w:p>
        </w:tc>
      </w:tr>
      <w:tr>
        <w:trPr>
          <w:trHeight w:val="482" w:hRule="exact"/>
        </w:trPr>
        <w:tc>
          <w:tcPr>
            <w:tcW w:w="4485" w:type="dxa"/>
            <w:tcBorders>
              <w:left w:val="nil"/>
              <w:right w:val="nil"/>
            </w:tcBorders>
            <w:shd w:val="clear" w:color="auto" w:fill="99CC00"/>
          </w:tcPr>
          <w:p>
            <w:pPr>
              <w:pStyle w:val="TableParagraph"/>
              <w:spacing w:before="94"/>
              <w:ind w:left="579" w:right="477"/>
              <w:rPr>
                <w:b/>
                <w:sz w:val="24"/>
              </w:rPr>
            </w:pPr>
            <w:r>
              <w:rPr>
                <w:b/>
                <w:sz w:val="24"/>
              </w:rPr>
              <w:t>Total</w:t>
            </w:r>
          </w:p>
        </w:tc>
        <w:tc>
          <w:tcPr>
            <w:tcW w:w="2096" w:type="dxa"/>
            <w:tcBorders>
              <w:left w:val="nil"/>
              <w:right w:val="nil"/>
            </w:tcBorders>
            <w:shd w:val="clear" w:color="auto" w:fill="99CC00"/>
          </w:tcPr>
          <w:p>
            <w:pPr>
              <w:pStyle w:val="TableParagraph"/>
              <w:spacing w:before="94"/>
              <w:ind w:left="479" w:right="387"/>
              <w:rPr>
                <w:sz w:val="24"/>
              </w:rPr>
            </w:pPr>
            <w:r>
              <w:rPr>
                <w:sz w:val="24"/>
              </w:rPr>
              <w:t>30</w:t>
            </w:r>
          </w:p>
        </w:tc>
        <w:tc>
          <w:tcPr>
            <w:tcW w:w="1975" w:type="dxa"/>
            <w:tcBorders>
              <w:left w:val="nil"/>
              <w:right w:val="nil"/>
            </w:tcBorders>
            <w:shd w:val="clear" w:color="auto" w:fill="99CC00"/>
          </w:tcPr>
          <w:p>
            <w:pPr>
              <w:pStyle w:val="TableParagraph"/>
              <w:spacing w:before="94"/>
              <w:ind w:left="389" w:right="394"/>
              <w:rPr>
                <w:sz w:val="24"/>
              </w:rPr>
            </w:pPr>
            <w:r>
              <w:rPr>
                <w:sz w:val="24"/>
              </w:rPr>
              <w:t>100</w:t>
            </w:r>
          </w:p>
        </w:tc>
      </w:tr>
    </w:tbl>
    <w:p>
      <w:pPr>
        <w:pStyle w:val="BodyText"/>
        <w:rPr>
          <w:b/>
          <w:sz w:val="20"/>
        </w:rPr>
      </w:pPr>
    </w:p>
    <w:p>
      <w:pPr>
        <w:pStyle w:val="BodyText"/>
        <w:rPr>
          <w:b/>
          <w:sz w:val="20"/>
        </w:rPr>
      </w:pPr>
    </w:p>
    <w:p>
      <w:pPr>
        <w:pStyle w:val="BodyText"/>
        <w:spacing w:before="5"/>
        <w:rPr>
          <w:b/>
          <w:sz w:val="16"/>
        </w:rPr>
      </w:pPr>
      <w:r>
        <w:rPr/>
        <w:pict>
          <v:group style="position:absolute;margin-left:128.324997pt;margin-top:11.426953pt;width:407.3pt;height:187.45pt;mso-position-horizontal-relative:page;mso-position-vertical-relative:paragraph;z-index:3376;mso-wrap-distance-left:0;mso-wrap-distance-right:0" coordorigin="2566,229" coordsize="8146,3749">
            <v:shape style="position:absolute;left:3720;top:1284;width:5894;height:2503" type="#_x0000_t75" stroked="false">
              <v:imagedata r:id="rId68" o:title=""/>
            </v:shape>
            <v:shape style="position:absolute;left:2574;top:236;width:8131;height:3734" type="#_x0000_t202" filled="false" stroked="true" strokeweight=".75pt" strokecolor="#858585">
              <v:textbox inset="0,0,0,0">
                <w:txbxContent>
                  <w:p>
                    <w:pPr>
                      <w:spacing w:line="229" w:lineRule="exact" w:before="100"/>
                      <w:ind w:left="897" w:right="1082" w:firstLine="0"/>
                      <w:jc w:val="center"/>
                      <w:rPr>
                        <w:b/>
                        <w:sz w:val="20"/>
                      </w:rPr>
                    </w:pPr>
                    <w:r>
                      <w:rPr>
                        <w:b/>
                        <w:sz w:val="20"/>
                      </w:rPr>
                      <w:t>Gráfica No. 20</w:t>
                    </w:r>
                  </w:p>
                  <w:p>
                    <w:pPr>
                      <w:spacing w:before="0"/>
                      <w:ind w:left="897" w:right="1087" w:firstLine="0"/>
                      <w:jc w:val="center"/>
                      <w:rPr>
                        <w:b/>
                        <w:sz w:val="20"/>
                      </w:rPr>
                    </w:pPr>
                    <w:r>
                      <w:rPr>
                        <w:b/>
                        <w:sz w:val="20"/>
                      </w:rPr>
                      <w:t>Disposición del cuidador informal primario para participar en un programa educativo.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3"/>
                      <w:rPr>
                        <w:b/>
                        <w:sz w:val="21"/>
                      </w:rPr>
                    </w:pPr>
                  </w:p>
                  <w:p>
                    <w:pPr>
                      <w:tabs>
                        <w:tab w:pos="451" w:val="left" w:leader="none"/>
                      </w:tabs>
                      <w:spacing w:before="1"/>
                      <w:ind w:left="0" w:right="103" w:firstLine="0"/>
                      <w:jc w:val="right"/>
                      <w:rPr>
                        <w:rFonts w:ascii="Calibri"/>
                        <w:b/>
                        <w:sz w:val="18"/>
                      </w:rPr>
                    </w:pPr>
                    <w:r>
                      <w:rPr>
                        <w:rFonts w:ascii="Calibri"/>
                        <w:b/>
                        <w:sz w:val="18"/>
                      </w:rPr>
                      <w:t>Si</w:t>
                      <w:tab/>
                    </w:r>
                    <w:r>
                      <w:rPr>
                        <w:rFonts w:ascii="Calibri"/>
                        <w:b/>
                        <w:spacing w:val="-2"/>
                        <w:sz w:val="18"/>
                      </w:rPr>
                      <w:t>No</w:t>
                    </w:r>
                  </w:p>
                </w:txbxContent>
              </v:textbox>
              <w10:wrap type="none"/>
            </v:shape>
            <w10:wrap type="topAndBottom"/>
          </v:group>
        </w:pict>
      </w:r>
    </w:p>
    <w:p>
      <w:pPr>
        <w:spacing w:before="2"/>
        <w:ind w:left="846" w:right="230" w:firstLine="0"/>
        <w:jc w:val="left"/>
        <w:rPr>
          <w:sz w:val="20"/>
        </w:rPr>
      </w:pPr>
      <w:r>
        <w:rPr>
          <w:sz w:val="20"/>
        </w:rPr>
        <w:t>Fuente: Tabla No. 20</w:t>
      </w:r>
    </w:p>
    <w:p>
      <w:pPr>
        <w:pStyle w:val="BodyText"/>
        <w:rPr>
          <w:sz w:val="20"/>
        </w:rPr>
      </w:pPr>
    </w:p>
    <w:p>
      <w:pPr>
        <w:pStyle w:val="BodyText"/>
        <w:rPr>
          <w:sz w:val="16"/>
        </w:rPr>
      </w:pPr>
    </w:p>
    <w:p>
      <w:pPr>
        <w:pStyle w:val="BodyText"/>
        <w:spacing w:line="360" w:lineRule="auto"/>
        <w:ind w:left="625" w:right="126"/>
        <w:jc w:val="both"/>
      </w:pPr>
      <w:r>
        <w:rPr/>
        <w:t>De acuerdo a la tabla No. 20, el 73.3% de los cuidadores informales primarios, están dispuestos a participar en un programa educativo, que los capacite para continuar los cuidados que su paciente adulto mayor requiere, una vez que éste sea egresado de la institución hospitalaria, en tanto el 26.7% no está dispuesto a participar, los datos resultan relevantes para poder elaborar una propuesta de intervención.</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5"/>
        <w:rPr>
          <w:sz w:val="21"/>
        </w:rPr>
      </w:pPr>
    </w:p>
    <w:p>
      <w:pPr>
        <w:pStyle w:val="Heading2"/>
        <w:ind w:right="0"/>
      </w:pPr>
      <w:r>
        <w:rPr/>
        <w:t>Descripción de los resultados obtenidos de la escala de Zarit.</w:t>
      </w:r>
    </w:p>
    <w:p>
      <w:pPr>
        <w:pStyle w:val="BodyText"/>
        <w:rPr>
          <w:b/>
        </w:rPr>
      </w:pPr>
    </w:p>
    <w:p>
      <w:pPr>
        <w:pStyle w:val="BodyText"/>
        <w:rPr>
          <w:b/>
        </w:rPr>
      </w:pPr>
    </w:p>
    <w:p>
      <w:pPr>
        <w:spacing w:line="360" w:lineRule="auto" w:before="0"/>
        <w:ind w:left="625" w:right="197" w:firstLine="0"/>
        <w:jc w:val="both"/>
        <w:rPr>
          <w:b/>
          <w:sz w:val="24"/>
        </w:rPr>
      </w:pPr>
      <w:r>
        <w:rPr>
          <w:sz w:val="24"/>
        </w:rPr>
        <w:t>Tabla No. 21. </w:t>
      </w:r>
      <w:r>
        <w:rPr>
          <w:b/>
          <w:sz w:val="24"/>
        </w:rPr>
        <w:t>Nivel de sobrecarga del cuidador informal primario, en un hospital público de segundo nivel, del Distrito Federal, México. Marzo, 2014.</w:t>
      </w:r>
    </w:p>
    <w:p>
      <w:pPr>
        <w:pStyle w:val="BodyText"/>
        <w:rPr>
          <w:b/>
          <w:sz w:val="20"/>
        </w:rPr>
      </w:pPr>
    </w:p>
    <w:p>
      <w:pPr>
        <w:pStyle w:val="BodyText"/>
        <w:spacing w:before="5" w:after="1"/>
        <w:rPr>
          <w:b/>
          <w:sz w:val="16"/>
        </w:rPr>
      </w:pPr>
    </w:p>
    <w:tbl>
      <w:tblPr>
        <w:tblW w:w="0" w:type="auto"/>
        <w:jc w:val="left"/>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3"/>
        <w:gridCol w:w="2381"/>
        <w:gridCol w:w="1980"/>
      </w:tblGrid>
      <w:tr>
        <w:trPr>
          <w:trHeight w:val="469" w:hRule="exact"/>
        </w:trPr>
        <w:tc>
          <w:tcPr>
            <w:tcW w:w="4223" w:type="dxa"/>
            <w:tcBorders>
              <w:left w:val="nil"/>
              <w:right w:val="nil"/>
            </w:tcBorders>
            <w:shd w:val="clear" w:color="auto" w:fill="99CC00"/>
          </w:tcPr>
          <w:p>
            <w:pPr>
              <w:pStyle w:val="TableParagraph"/>
              <w:spacing w:before="87"/>
              <w:ind w:left="1139" w:right="762"/>
              <w:rPr>
                <w:b/>
                <w:sz w:val="24"/>
              </w:rPr>
            </w:pPr>
            <w:r>
              <w:rPr>
                <w:b/>
                <w:sz w:val="24"/>
              </w:rPr>
              <w:t>Nivel de sobrecarga</w:t>
            </w:r>
          </w:p>
        </w:tc>
        <w:tc>
          <w:tcPr>
            <w:tcW w:w="2381" w:type="dxa"/>
            <w:tcBorders>
              <w:left w:val="nil"/>
              <w:right w:val="nil"/>
            </w:tcBorders>
            <w:shd w:val="clear" w:color="auto" w:fill="99CC00"/>
          </w:tcPr>
          <w:p>
            <w:pPr>
              <w:pStyle w:val="TableParagraph"/>
              <w:spacing w:before="87"/>
              <w:ind w:left="762" w:right="391"/>
              <w:rPr>
                <w:sz w:val="24"/>
              </w:rPr>
            </w:pPr>
            <w:r>
              <w:rPr>
                <w:sz w:val="24"/>
              </w:rPr>
              <w:t>Frecuencia</w:t>
            </w:r>
          </w:p>
        </w:tc>
        <w:tc>
          <w:tcPr>
            <w:tcW w:w="1980" w:type="dxa"/>
            <w:tcBorders>
              <w:left w:val="nil"/>
              <w:right w:val="nil"/>
            </w:tcBorders>
            <w:shd w:val="clear" w:color="auto" w:fill="99CC00"/>
          </w:tcPr>
          <w:p>
            <w:pPr>
              <w:pStyle w:val="TableParagraph"/>
              <w:spacing w:before="87"/>
              <w:ind w:left="391" w:right="400"/>
              <w:rPr>
                <w:sz w:val="24"/>
              </w:rPr>
            </w:pPr>
            <w:r>
              <w:rPr>
                <w:sz w:val="24"/>
              </w:rPr>
              <w:t>Porcentaje</w:t>
            </w:r>
          </w:p>
        </w:tc>
      </w:tr>
      <w:tr>
        <w:trPr>
          <w:trHeight w:val="451" w:hRule="exact"/>
        </w:trPr>
        <w:tc>
          <w:tcPr>
            <w:tcW w:w="4223" w:type="dxa"/>
            <w:tcBorders>
              <w:left w:val="nil"/>
              <w:bottom w:val="nil"/>
              <w:right w:val="nil"/>
            </w:tcBorders>
          </w:tcPr>
          <w:p>
            <w:pPr>
              <w:pStyle w:val="TableParagraph"/>
              <w:spacing w:before="77"/>
              <w:ind w:left="1139" w:right="760"/>
              <w:rPr>
                <w:sz w:val="24"/>
              </w:rPr>
            </w:pPr>
            <w:r>
              <w:rPr>
                <w:sz w:val="24"/>
              </w:rPr>
              <w:t>No sobrecarga</w:t>
            </w:r>
          </w:p>
        </w:tc>
        <w:tc>
          <w:tcPr>
            <w:tcW w:w="2381" w:type="dxa"/>
            <w:tcBorders>
              <w:left w:val="nil"/>
              <w:bottom w:val="nil"/>
              <w:right w:val="nil"/>
            </w:tcBorders>
          </w:tcPr>
          <w:p>
            <w:pPr>
              <w:pStyle w:val="TableParagraph"/>
              <w:spacing w:before="77"/>
              <w:ind w:left="367"/>
              <w:rPr>
                <w:sz w:val="24"/>
              </w:rPr>
            </w:pPr>
            <w:r>
              <w:rPr>
                <w:w w:val="99"/>
                <w:sz w:val="24"/>
              </w:rPr>
              <w:t>0</w:t>
            </w:r>
          </w:p>
        </w:tc>
        <w:tc>
          <w:tcPr>
            <w:tcW w:w="1980" w:type="dxa"/>
            <w:tcBorders>
              <w:left w:val="nil"/>
              <w:bottom w:val="nil"/>
              <w:right w:val="nil"/>
            </w:tcBorders>
          </w:tcPr>
          <w:p>
            <w:pPr>
              <w:pStyle w:val="TableParagraph"/>
              <w:spacing w:before="77"/>
              <w:ind w:right="11"/>
              <w:rPr>
                <w:sz w:val="24"/>
              </w:rPr>
            </w:pPr>
            <w:r>
              <w:rPr>
                <w:w w:val="99"/>
                <w:sz w:val="24"/>
              </w:rPr>
              <w:t>0</w:t>
            </w:r>
          </w:p>
        </w:tc>
      </w:tr>
      <w:tr>
        <w:trPr>
          <w:trHeight w:val="442" w:hRule="exact"/>
        </w:trPr>
        <w:tc>
          <w:tcPr>
            <w:tcW w:w="4223" w:type="dxa"/>
            <w:tcBorders>
              <w:top w:val="nil"/>
              <w:left w:val="nil"/>
              <w:bottom w:val="nil"/>
              <w:right w:val="nil"/>
            </w:tcBorders>
          </w:tcPr>
          <w:p>
            <w:pPr>
              <w:pStyle w:val="TableParagraph"/>
              <w:spacing w:before="67"/>
              <w:ind w:left="1139" w:right="761"/>
              <w:rPr>
                <w:sz w:val="24"/>
              </w:rPr>
            </w:pPr>
            <w:r>
              <w:rPr>
                <w:sz w:val="24"/>
              </w:rPr>
              <w:t>Sobrecarga Leve</w:t>
            </w:r>
          </w:p>
        </w:tc>
        <w:tc>
          <w:tcPr>
            <w:tcW w:w="2381" w:type="dxa"/>
            <w:tcBorders>
              <w:top w:val="nil"/>
              <w:left w:val="nil"/>
              <w:bottom w:val="nil"/>
              <w:right w:val="nil"/>
            </w:tcBorders>
          </w:tcPr>
          <w:p>
            <w:pPr>
              <w:pStyle w:val="TableParagraph"/>
              <w:spacing w:before="67"/>
              <w:ind w:left="367"/>
              <w:rPr>
                <w:sz w:val="24"/>
              </w:rPr>
            </w:pPr>
            <w:r>
              <w:rPr>
                <w:w w:val="99"/>
                <w:sz w:val="24"/>
              </w:rPr>
              <w:t>3</w:t>
            </w:r>
          </w:p>
        </w:tc>
        <w:tc>
          <w:tcPr>
            <w:tcW w:w="1980" w:type="dxa"/>
            <w:tcBorders>
              <w:top w:val="nil"/>
              <w:left w:val="nil"/>
              <w:bottom w:val="nil"/>
              <w:right w:val="nil"/>
            </w:tcBorders>
          </w:tcPr>
          <w:p>
            <w:pPr>
              <w:pStyle w:val="TableParagraph"/>
              <w:spacing w:before="67"/>
              <w:ind w:left="391" w:right="396"/>
              <w:rPr>
                <w:sz w:val="24"/>
              </w:rPr>
            </w:pPr>
            <w:r>
              <w:rPr>
                <w:sz w:val="24"/>
              </w:rPr>
              <w:t>10</w:t>
            </w:r>
          </w:p>
        </w:tc>
      </w:tr>
      <w:tr>
        <w:trPr>
          <w:trHeight w:val="449" w:hRule="exact"/>
        </w:trPr>
        <w:tc>
          <w:tcPr>
            <w:tcW w:w="4223" w:type="dxa"/>
            <w:tcBorders>
              <w:top w:val="nil"/>
              <w:left w:val="nil"/>
              <w:right w:val="nil"/>
            </w:tcBorders>
          </w:tcPr>
          <w:p>
            <w:pPr>
              <w:pStyle w:val="TableParagraph"/>
              <w:spacing w:before="72"/>
              <w:ind w:left="1139" w:right="760"/>
              <w:rPr>
                <w:b/>
                <w:sz w:val="24"/>
              </w:rPr>
            </w:pPr>
            <w:r>
              <w:rPr>
                <w:b/>
                <w:sz w:val="24"/>
              </w:rPr>
              <w:t>Sobrecarga intensa</w:t>
            </w:r>
          </w:p>
        </w:tc>
        <w:tc>
          <w:tcPr>
            <w:tcW w:w="2381" w:type="dxa"/>
            <w:tcBorders>
              <w:top w:val="nil"/>
              <w:left w:val="nil"/>
              <w:right w:val="nil"/>
            </w:tcBorders>
          </w:tcPr>
          <w:p>
            <w:pPr>
              <w:pStyle w:val="TableParagraph"/>
              <w:spacing w:before="72"/>
              <w:ind w:left="762" w:right="389"/>
              <w:rPr>
                <w:b/>
                <w:sz w:val="24"/>
              </w:rPr>
            </w:pPr>
            <w:r>
              <w:rPr>
                <w:b/>
                <w:sz w:val="24"/>
              </w:rPr>
              <w:t>27</w:t>
            </w:r>
          </w:p>
        </w:tc>
        <w:tc>
          <w:tcPr>
            <w:tcW w:w="1980" w:type="dxa"/>
            <w:tcBorders>
              <w:top w:val="nil"/>
              <w:left w:val="nil"/>
              <w:right w:val="nil"/>
            </w:tcBorders>
          </w:tcPr>
          <w:p>
            <w:pPr>
              <w:pStyle w:val="TableParagraph"/>
              <w:spacing w:before="72"/>
              <w:ind w:left="391" w:right="396"/>
              <w:rPr>
                <w:b/>
                <w:sz w:val="24"/>
              </w:rPr>
            </w:pPr>
            <w:r>
              <w:rPr>
                <w:b/>
                <w:sz w:val="24"/>
              </w:rPr>
              <w:t>90</w:t>
            </w:r>
          </w:p>
        </w:tc>
      </w:tr>
      <w:tr>
        <w:trPr>
          <w:trHeight w:val="470" w:hRule="exact"/>
        </w:trPr>
        <w:tc>
          <w:tcPr>
            <w:tcW w:w="4223" w:type="dxa"/>
            <w:tcBorders>
              <w:left w:val="nil"/>
              <w:right w:val="nil"/>
            </w:tcBorders>
            <w:shd w:val="clear" w:color="auto" w:fill="99CC00"/>
          </w:tcPr>
          <w:p>
            <w:pPr>
              <w:pStyle w:val="TableParagraph"/>
              <w:spacing w:before="87"/>
              <w:ind w:left="1139" w:right="761"/>
              <w:rPr>
                <w:b/>
                <w:sz w:val="24"/>
              </w:rPr>
            </w:pPr>
            <w:r>
              <w:rPr>
                <w:b/>
                <w:sz w:val="24"/>
              </w:rPr>
              <w:t>Total</w:t>
            </w:r>
          </w:p>
        </w:tc>
        <w:tc>
          <w:tcPr>
            <w:tcW w:w="2381" w:type="dxa"/>
            <w:tcBorders>
              <w:left w:val="nil"/>
              <w:right w:val="nil"/>
            </w:tcBorders>
            <w:shd w:val="clear" w:color="auto" w:fill="99CC00"/>
          </w:tcPr>
          <w:p>
            <w:pPr>
              <w:pStyle w:val="TableParagraph"/>
              <w:spacing w:before="87"/>
              <w:ind w:left="762" w:right="389"/>
              <w:rPr>
                <w:sz w:val="24"/>
              </w:rPr>
            </w:pPr>
            <w:r>
              <w:rPr>
                <w:sz w:val="24"/>
              </w:rPr>
              <w:t>30</w:t>
            </w:r>
          </w:p>
        </w:tc>
        <w:tc>
          <w:tcPr>
            <w:tcW w:w="1980" w:type="dxa"/>
            <w:tcBorders>
              <w:left w:val="nil"/>
              <w:right w:val="nil"/>
            </w:tcBorders>
            <w:shd w:val="clear" w:color="auto" w:fill="99CC00"/>
          </w:tcPr>
          <w:p>
            <w:pPr>
              <w:pStyle w:val="TableParagraph"/>
              <w:spacing w:before="87"/>
              <w:ind w:left="391" w:right="396"/>
              <w:rPr>
                <w:sz w:val="24"/>
              </w:rPr>
            </w:pPr>
            <w:r>
              <w:rPr>
                <w:sz w:val="24"/>
              </w:rPr>
              <w:t>100</w:t>
            </w:r>
          </w:p>
        </w:tc>
      </w:tr>
    </w:tbl>
    <w:p>
      <w:pPr>
        <w:pStyle w:val="BodyText"/>
        <w:rPr>
          <w:b/>
          <w:sz w:val="20"/>
        </w:rPr>
      </w:pPr>
    </w:p>
    <w:p>
      <w:pPr>
        <w:pStyle w:val="BodyText"/>
        <w:rPr>
          <w:b/>
          <w:sz w:val="20"/>
        </w:rPr>
      </w:pPr>
    </w:p>
    <w:p>
      <w:pPr>
        <w:pStyle w:val="BodyText"/>
        <w:spacing w:before="2"/>
        <w:rPr>
          <w:b/>
          <w:sz w:val="16"/>
        </w:rPr>
      </w:pPr>
      <w:r>
        <w:rPr/>
        <w:pict>
          <v:group style="position:absolute;margin-left:129.774994pt;margin-top:11.296953pt;width:403pt;height:191.3pt;mso-position-horizontal-relative:page;mso-position-vertical-relative:paragraph;z-index:3472;mso-wrap-distance-left:0;mso-wrap-distance-right:0" coordorigin="2595,226" coordsize="8060,3826">
            <v:shape style="position:absolute;left:3182;top:1339;width:5815;height:2374" type="#_x0000_t75" stroked="false">
              <v:imagedata r:id="rId69" o:title=""/>
            </v:shape>
            <v:rect style="position:absolute;left:8975;top:2363;width:101;height:101" filled="true" fillcolor="#4f81bc" stroked="false">
              <v:fill type="solid"/>
            </v:rect>
            <v:rect style="position:absolute;left:8975;top:2895;width:101;height:101" filled="true" fillcolor="#c0504d" stroked="false">
              <v:fill type="solid"/>
            </v:rect>
            <v:rect style="position:absolute;left:8975;top:3427;width:101;height:101" filled="true" fillcolor="#9bba58" stroked="false">
              <v:fill type="solid"/>
            </v:rect>
            <v:shape style="position:absolute;left:2603;top:233;width:8045;height:3811" type="#_x0000_t202" filled="false" stroked="true" strokeweight=".75pt" strokecolor="#858585">
              <v:textbox inset="0,0,0,0">
                <w:txbxContent>
                  <w:p>
                    <w:pPr>
                      <w:spacing w:line="240" w:lineRule="auto" w:before="10"/>
                      <w:rPr>
                        <w:b/>
                        <w:sz w:val="18"/>
                      </w:rPr>
                    </w:pPr>
                  </w:p>
                  <w:p>
                    <w:pPr>
                      <w:spacing w:before="0"/>
                      <w:ind w:left="1458" w:right="1119" w:firstLine="0"/>
                      <w:jc w:val="center"/>
                      <w:rPr>
                        <w:b/>
                        <w:sz w:val="20"/>
                      </w:rPr>
                    </w:pPr>
                    <w:r>
                      <w:rPr>
                        <w:b/>
                        <w:sz w:val="20"/>
                      </w:rPr>
                      <w:t>Gráfica No. 21</w:t>
                    </w:r>
                  </w:p>
                  <w:p>
                    <w:pPr>
                      <w:spacing w:before="0"/>
                      <w:ind w:left="1458" w:right="1123" w:firstLine="0"/>
                      <w:jc w:val="center"/>
                      <w:rPr>
                        <w:b/>
                        <w:sz w:val="20"/>
                      </w:rPr>
                    </w:pPr>
                    <w:r>
                      <w:rPr>
                        <w:b/>
                        <w:sz w:val="20"/>
                      </w:rPr>
                      <w:t>Nivel de Sobrecarga del cuidador informal primario. 2014</w: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9"/>
                      <w:rPr>
                        <w:b/>
                        <w:sz w:val="19"/>
                      </w:rPr>
                    </w:pPr>
                  </w:p>
                  <w:p>
                    <w:pPr>
                      <w:spacing w:line="580" w:lineRule="auto" w:before="0"/>
                      <w:ind w:left="6509" w:right="0" w:firstLine="0"/>
                      <w:jc w:val="left"/>
                      <w:rPr>
                        <w:rFonts w:ascii="Calibri"/>
                        <w:b/>
                        <w:sz w:val="18"/>
                      </w:rPr>
                    </w:pPr>
                    <w:r>
                      <w:rPr>
                        <w:rFonts w:ascii="Calibri"/>
                        <w:b/>
                        <w:w w:val="105"/>
                        <w:sz w:val="18"/>
                      </w:rPr>
                      <w:t>No sobrecarga Sobrecarga Leve </w:t>
                    </w:r>
                    <w:r>
                      <w:rPr>
                        <w:rFonts w:ascii="Calibri"/>
                        <w:b/>
                        <w:sz w:val="18"/>
                      </w:rPr>
                      <w:t>Sobrecarga intensa</w:t>
                    </w:r>
                  </w:p>
                </w:txbxContent>
              </v:textbox>
              <w10:wrap type="none"/>
            </v:shape>
            <w10:wrap type="topAndBottom"/>
          </v:group>
        </w:pict>
      </w:r>
    </w:p>
    <w:p>
      <w:pPr>
        <w:spacing w:before="27"/>
        <w:ind w:left="901" w:right="230" w:firstLine="0"/>
        <w:jc w:val="left"/>
        <w:rPr>
          <w:sz w:val="20"/>
        </w:rPr>
      </w:pPr>
      <w:r>
        <w:rPr>
          <w:sz w:val="20"/>
        </w:rPr>
        <w:t>Fuente: Tabla No. 21</w:t>
      </w:r>
    </w:p>
    <w:p>
      <w:pPr>
        <w:pStyle w:val="BodyText"/>
        <w:rPr>
          <w:sz w:val="20"/>
        </w:rPr>
      </w:pPr>
    </w:p>
    <w:p>
      <w:pPr>
        <w:pStyle w:val="BodyText"/>
        <w:spacing w:before="7"/>
        <w:rPr>
          <w:sz w:val="25"/>
        </w:rPr>
      </w:pPr>
    </w:p>
    <w:p>
      <w:pPr>
        <w:pStyle w:val="BodyText"/>
        <w:spacing w:line="348" w:lineRule="auto"/>
        <w:ind w:left="625" w:right="200"/>
        <w:jc w:val="both"/>
      </w:pPr>
      <w:r>
        <w:rPr/>
        <w:t>De acuerdo con la tabla número 21, el nivel de sobrecarga que experimentan los cuidadores informales primarios de adultos mayores hospitalizados en el servicio de medicina interna, fue de 90% de sobrecarga intensa (puntuación media 81 puntos en la escala de Zarit) y el 10% restante de sobrecarga leve intensa (puntuación media 53 puntos en la escala de Zarit), y no se  presentaron casos de no</w:t>
      </w:r>
      <w:r>
        <w:rPr>
          <w:spacing w:val="-12"/>
        </w:rPr>
        <w:t> </w:t>
      </w:r>
      <w:r>
        <w:rPr/>
        <w:t>sobrecarga.</w:t>
      </w:r>
    </w:p>
    <w:p>
      <w:pPr>
        <w:spacing w:after="0" w:line="348"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rPr>
          <w:sz w:val="26"/>
        </w:rPr>
      </w:pPr>
    </w:p>
    <w:p>
      <w:pPr>
        <w:pStyle w:val="BodyText"/>
        <w:spacing w:line="348" w:lineRule="auto" w:before="70"/>
        <w:ind w:left="625" w:right="134"/>
        <w:jc w:val="both"/>
      </w:pPr>
      <w:r>
        <w:rPr/>
        <w:t>Una de las características más importantes para el desarrollo de sobrecarga es el tiempo dedicado al cuidado, y si bien existe una restricción en cuanto al tiempo en el que convive el cuidador informal primario y su paciente durante la estancia hospitalaria, además de que el cuidado es compartido  o  muchas veces delegado al personal sanitario, particularmente al personal de enfermería, y aunque no se han realizados suficientes estudios de sobrecarga del cuidador, dentro de las instituciones hospitalarias, la presente investigación refleja la importancia de continuar con su estudio.</w:t>
      </w:r>
    </w:p>
    <w:p>
      <w:pPr>
        <w:spacing w:after="0" w:line="348"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rPr>
          <w:sz w:val="26"/>
        </w:rPr>
      </w:pPr>
    </w:p>
    <w:p>
      <w:pPr>
        <w:pStyle w:val="Heading2"/>
        <w:spacing w:line="348" w:lineRule="auto" w:before="70"/>
        <w:ind w:right="160"/>
        <w:jc w:val="left"/>
      </w:pPr>
      <w:r>
        <w:rPr>
          <w:b w:val="0"/>
        </w:rPr>
        <w:t>Tabla No. 22. </w:t>
      </w:r>
      <w:r>
        <w:rPr/>
        <w:t>Frecuencia en base a las respuestas obtenidas en la escala de sobrecarga del cuidador de Zarit.</w:t>
      </w:r>
    </w:p>
    <w:p>
      <w:pPr>
        <w:pStyle w:val="BodyText"/>
        <w:spacing w:before="1"/>
        <w:rPr>
          <w:b/>
          <w:sz w:val="21"/>
        </w:rPr>
      </w:pPr>
      <w:r>
        <w:rPr/>
        <w:pict>
          <v:group style="position:absolute;margin-left:95.533997pt;margin-top:14.094196pt;width:451.15pt;height:38.7pt;mso-position-horizontal-relative:page;mso-position-vertical-relative:paragraph;z-index:3544;mso-wrap-distance-left:0;mso-wrap-distance-right:0" coordorigin="1911,282" coordsize="9023,774">
            <v:rect style="position:absolute;left:1916;top:292;width:5154;height:259" filled="true" fillcolor="#99cc00" stroked="false">
              <v:fill type="solid"/>
            </v:rect>
            <v:line style="position:absolute" from="1950,551" to="1950,779" stroked="true" strokeweight="3.48pt" strokecolor="#99cc00"/>
            <v:line style="position:absolute" from="7035,551" to="7035,779" stroked="true" strokeweight="3.48pt" strokecolor="#99cc00"/>
            <v:rect style="position:absolute;left:1916;top:779;width:5154;height:259" filled="true" fillcolor="#99cc00" stroked="false">
              <v:fill type="solid"/>
            </v:rect>
            <v:rect style="position:absolute;left:1985;top:551;width:5015;height:228" filled="true" fillcolor="#99cc00" stroked="false">
              <v:fill type="solid"/>
            </v:rect>
            <v:line style="position:absolute" from="7069,328" to="10895,328" stroked="true" strokeweight="3.6pt" strokecolor="#99cc00"/>
            <v:line style="position:absolute" from="7104,364" to="7104,594" stroked="true" strokeweight="3.48pt" strokecolor="#99cc00"/>
            <v:line style="position:absolute" from="10861,364" to="10861,594" stroked="true" strokeweight="3.48pt" strokecolor="#99cc00"/>
            <v:line style="position:absolute" from="7069,631" to="10895,631" stroked="true" strokeweight="3.72pt" strokecolor="#99cc00"/>
            <v:rect style="position:absolute;left:7139;top:364;width:3687;height:230" filled="true" fillcolor="#99cc00" stroked="false">
              <v:fill type="solid"/>
            </v:rect>
            <v:line style="position:absolute" from="1916,287" to="7069,287" stroked="true" strokeweight=".48pt" strokecolor="#000000"/>
            <v:line style="position:absolute" from="7069,287" to="7079,287" stroked="true" strokeweight=".48pt" strokecolor="#000000"/>
            <v:line style="position:absolute" from="7079,287" to="10895,287" stroked="true" strokeweight=".48pt" strokecolor="#000000"/>
            <v:rect style="position:absolute;left:7069;top:678;width:742;height:98" filled="true" fillcolor="#99cc00" stroked="false">
              <v:fill type="solid"/>
            </v:rect>
            <v:line style="position:absolute" from="7104,776" to="7104,937" stroked="true" strokeweight="3.48pt" strokecolor="#99cc00"/>
            <v:rect style="position:absolute;left:7741;top:776;width:70;height:161" filled="true" fillcolor="#99cc00" stroked="false">
              <v:fill type="solid"/>
            </v:rect>
            <v:rect style="position:absolute;left:7069;top:937;width:742;height:101" filled="true" fillcolor="#99cc00" stroked="false">
              <v:fill type="solid"/>
            </v:rect>
            <v:rect style="position:absolute;left:7139;top:776;width:602;height:161" filled="true" fillcolor="#99cc00" stroked="false">
              <v:fill type="solid"/>
            </v:rect>
            <v:rect style="position:absolute;left:7811;top:678;width:742;height:98" filled="true" fillcolor="#99cc00" stroked="false">
              <v:fill type="solid"/>
            </v:rect>
            <v:rect style="position:absolute;left:7811;top:776;width:70;height:161" filled="true" fillcolor="#99cc00" stroked="false">
              <v:fill type="solid"/>
            </v:rect>
            <v:line style="position:absolute" from="8518,776" to="8518,937" stroked="true" strokeweight="3.48pt" strokecolor="#99cc00"/>
            <v:rect style="position:absolute;left:7811;top:937;width:742;height:101" filled="true" fillcolor="#99cc00" stroked="false">
              <v:fill type="solid"/>
            </v:rect>
            <v:rect style="position:absolute;left:7881;top:776;width:602;height:161" filled="true" fillcolor="#99cc00" stroked="false">
              <v:fill type="solid"/>
            </v:rect>
            <v:line style="position:absolute" from="8553,688" to="9297,688" stroked="true" strokeweight=".96001pt" strokecolor="#99cc00"/>
            <v:line style="position:absolute" from="8589,697" to="8589,1019" stroked="true" strokeweight="3.624pt" strokecolor="#99cc00"/>
            <v:rect style="position:absolute;left:9225;top:697;width:72;height:322" filled="true" fillcolor="#99cc00" stroked="false">
              <v:fill type="solid"/>
            </v:rect>
            <v:line style="position:absolute" from="8553,1028" to="9297,1028" stroked="true" strokeweight=".95999pt" strokecolor="#99cc00"/>
            <v:rect style="position:absolute;left:8625;top:697;width:600;height:161" filled="true" fillcolor="#99cc00" stroked="false">
              <v:fill type="solid"/>
            </v:rect>
            <v:rect style="position:absolute;left:8625;top:858;width:600;height:161" filled="true" fillcolor="#99cc00" stroked="false">
              <v:fill type="solid"/>
            </v:rect>
            <v:line style="position:absolute" from="9295,688" to="10154,688" stroked="true" strokeweight=".96001pt" strokecolor="#99cc00"/>
            <v:rect style="position:absolute;left:9295;top:697;width:72;height:322" filled="true" fillcolor="#99cc00" stroked="false">
              <v:fill type="solid"/>
            </v:rect>
            <v:rect style="position:absolute;left:10084;top:697;width:70;height:322" filled="true" fillcolor="#99cc00" stroked="false">
              <v:fill type="solid"/>
            </v:rect>
            <v:line style="position:absolute" from="9295,1028" to="10154,1028" stroked="true" strokeweight=".95999pt" strokecolor="#99cc00"/>
            <v:rect style="position:absolute;left:9367;top:697;width:718;height:161" filled="true" fillcolor="#99cc00" stroked="false">
              <v:fill type="solid"/>
            </v:rect>
            <v:rect style="position:absolute;left:9367;top:858;width:718;height:161" filled="true" fillcolor="#99cc00" stroked="false">
              <v:fill type="solid"/>
            </v:rect>
            <v:line style="position:absolute" from="10154,688" to="10896,688" stroked="true" strokeweight=".96001pt" strokecolor="#99cc00"/>
            <v:rect style="position:absolute;left:10154;top:697;width:70;height:322" filled="true" fillcolor="#99cc00" stroked="false">
              <v:fill type="solid"/>
            </v:rect>
            <v:line style="position:absolute" from="10861,697" to="10861,1019" stroked="true" strokeweight="3.48pt" strokecolor="#99cc00"/>
            <v:line style="position:absolute" from="10154,1028" to="10896,1028" stroked="true" strokeweight=".95999pt" strokecolor="#99cc00"/>
            <v:rect style="position:absolute;left:10224;top:697;width:602;height:161" filled="true" fillcolor="#99cc00" stroked="false">
              <v:fill type="solid"/>
            </v:rect>
            <v:rect style="position:absolute;left:10224;top:858;width:602;height:161" filled="true" fillcolor="#99cc00" stroked="false">
              <v:fill type="solid"/>
            </v:rect>
            <v:line style="position:absolute" from="7069,673" to="7811,673" stroked="true" strokeweight=".48pt" strokecolor="#99cc00"/>
            <v:line style="position:absolute" from="7811,673" to="8553,673" stroked="true" strokeweight=".48pt" strokecolor="#99cc00"/>
            <v:line style="position:absolute" from="8553,673" to="9295,673" stroked="true" strokeweight=".48pt" strokecolor="#99cc00"/>
            <v:line style="position:absolute" from="9295,673" to="10154,673" stroked="true" strokeweight=".48pt" strokecolor="#99cc00"/>
            <v:line style="position:absolute" from="10154,673" to="10896,673" stroked="true" strokeweight=".48pt" strokecolor="#99cc00"/>
            <v:line style="position:absolute" from="1916,1043" to="2364,1043" stroked="true" strokeweight=".48001pt" strokecolor="#000000"/>
            <v:line style="position:absolute" from="2364,1043" to="2374,1043" stroked="true" strokeweight=".48001pt" strokecolor="#000000"/>
            <v:line style="position:absolute" from="2374,1043" to="7069,1043" stroked="true" strokeweight=".48001pt" strokecolor="#000000"/>
            <v:line style="position:absolute" from="7069,1043" to="7079,1043" stroked="true" strokeweight=".48001pt" strokecolor="#000000"/>
            <v:line style="position:absolute" from="7079,1043" to="7811,1043" stroked="true" strokeweight=".48001pt" strokecolor="#000000"/>
            <v:line style="position:absolute" from="7811,1043" to="7821,1043" stroked="true" strokeweight=".48001pt" strokecolor="#000000"/>
            <v:line style="position:absolute" from="7821,1043" to="8553,1043" stroked="true" strokeweight=".48001pt" strokecolor="#000000"/>
            <v:line style="position:absolute" from="8553,1043" to="8562,1043" stroked="true" strokeweight=".48001pt" strokecolor="#000000"/>
            <v:line style="position:absolute" from="8562,1043" to="9295,1043" stroked="true" strokeweight=".48001pt" strokecolor="#000000"/>
            <v:line style="position:absolute" from="9295,1043" to="9304,1043" stroked="true" strokeweight=".48001pt" strokecolor="#000000"/>
            <v:line style="position:absolute" from="9304,1043" to="10154,1043" stroked="true" strokeweight=".48001pt" strokecolor="#000000"/>
            <v:line style="position:absolute" from="10154,1043" to="10164,1043" stroked="true" strokeweight=".48001pt" strokecolor="#000000"/>
            <v:line style="position:absolute" from="10164,1043" to="10896,1043" stroked="true" strokeweight=".48001pt" strokecolor="#000000"/>
            <v:shape style="position:absolute;left:7782;top:385;width:2397;height:200" type="#_x0000_t202" filled="false" stroked="false">
              <v:textbox inset="0,0,0,0">
                <w:txbxContent>
                  <w:p>
                    <w:pPr>
                      <w:spacing w:line="199" w:lineRule="exact" w:before="0"/>
                      <w:ind w:left="0" w:right="-14" w:firstLine="0"/>
                      <w:jc w:val="left"/>
                      <w:rPr>
                        <w:b/>
                        <w:sz w:val="20"/>
                      </w:rPr>
                    </w:pPr>
                    <w:r>
                      <w:rPr>
                        <w:b/>
                        <w:sz w:val="20"/>
                      </w:rPr>
                      <w:t>Porcentaje por</w:t>
                    </w:r>
                    <w:r>
                      <w:rPr>
                        <w:b/>
                        <w:spacing w:val="-10"/>
                        <w:sz w:val="20"/>
                      </w:rPr>
                      <w:t> </w:t>
                    </w:r>
                    <w:r>
                      <w:rPr>
                        <w:b/>
                        <w:sz w:val="20"/>
                      </w:rPr>
                      <w:t>respuesta</w:t>
                    </w:r>
                  </w:p>
                </w:txbxContent>
              </v:textbox>
              <w10:wrap type="none"/>
            </v:shape>
            <v:shape style="position:absolute;left:4412;top:572;width:864;height:200" type="#_x0000_t202" filled="false" stroked="false">
              <v:textbox inset="0,0,0,0">
                <w:txbxContent>
                  <w:p>
                    <w:pPr>
                      <w:spacing w:line="199" w:lineRule="exact" w:before="0"/>
                      <w:ind w:left="0" w:right="-15" w:firstLine="0"/>
                      <w:jc w:val="left"/>
                      <w:rPr>
                        <w:b/>
                        <w:sz w:val="20"/>
                      </w:rPr>
                    </w:pPr>
                    <w:r>
                      <w:rPr>
                        <w:b/>
                        <w:spacing w:val="-1"/>
                        <w:sz w:val="20"/>
                      </w:rPr>
                      <w:t>Pregunta</w:t>
                    </w:r>
                  </w:p>
                </w:txbxContent>
              </v:textbox>
              <w10:wrap type="none"/>
            </v:shape>
            <w10:wrap type="topAndBottom"/>
          </v:group>
        </w:pict>
      </w:r>
    </w:p>
    <w:p>
      <w:pPr>
        <w:tabs>
          <w:tab w:pos="5844" w:val="right" w:leader="none"/>
        </w:tabs>
        <w:spacing w:before="86"/>
        <w:ind w:left="2653" w:right="0" w:firstLine="0"/>
        <w:jc w:val="left"/>
        <w:rPr>
          <w:sz w:val="18"/>
        </w:rPr>
      </w:pPr>
      <w:r>
        <w:rPr>
          <w:sz w:val="16"/>
        </w:rPr>
        <w:t>necesita?</w:t>
      </w:r>
      <w:r>
        <w:rPr>
          <w:position w:val="8"/>
          <w:sz w:val="18"/>
        </w:rPr>
        <w:tab/>
        <w:t>3.3</w:t>
      </w:r>
    </w:p>
    <w:p>
      <w:pPr>
        <w:tabs>
          <w:tab w:pos="5690" w:val="left" w:leader="none"/>
        </w:tabs>
        <w:spacing w:before="229"/>
        <w:ind w:left="1950" w:right="160" w:firstLine="0"/>
        <w:jc w:val="left"/>
        <w:rPr>
          <w:sz w:val="18"/>
        </w:rPr>
      </w:pPr>
      <w:r>
        <w:rPr/>
        <w:pict>
          <v:shape style="position:absolute;margin-left:95.783997pt;margin-top:-37.097881pt;width:449pt;height:469.2pt;mso-position-horizontal-relative:page;mso-position-vertical-relative:paragraph;z-index:35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69"/>
                    <w:gridCol w:w="831"/>
                    <w:gridCol w:w="680"/>
                    <w:gridCol w:w="860"/>
                    <w:gridCol w:w="739"/>
                  </w:tblGrid>
                  <w:tr>
                    <w:trPr>
                      <w:trHeight w:val="139" w:hRule="exact"/>
                    </w:trPr>
                    <w:tc>
                      <w:tcPr>
                        <w:tcW w:w="7380" w:type="dxa"/>
                        <w:gridSpan w:val="3"/>
                        <w:shd w:val="clear" w:color="auto" w:fill="99CC00"/>
                      </w:tcPr>
                      <w:p>
                        <w:pPr>
                          <w:pStyle w:val="TableParagraph"/>
                          <w:tabs>
                            <w:tab w:pos="667" w:val="left" w:leader="none"/>
                          </w:tabs>
                          <w:spacing w:line="179" w:lineRule="exact"/>
                          <w:ind w:right="92"/>
                          <w:jc w:val="right"/>
                          <w:rPr>
                            <w:b/>
                            <w:sz w:val="14"/>
                          </w:rPr>
                        </w:pPr>
                        <w:r>
                          <w:rPr>
                            <w:b/>
                            <w:sz w:val="14"/>
                          </w:rPr>
                          <w:t>Nunca</w:t>
                          <w:tab/>
                          <w:t>Rara vez   </w:t>
                        </w:r>
                        <w:r>
                          <w:rPr>
                            <w:b/>
                            <w:spacing w:val="19"/>
                            <w:sz w:val="14"/>
                          </w:rPr>
                          <w:t> </w:t>
                        </w:r>
                        <w:r>
                          <w:rPr>
                            <w:b/>
                            <w:position w:val="8"/>
                            <w:sz w:val="14"/>
                          </w:rPr>
                          <w:t>Algunas</w:t>
                        </w:r>
                      </w:p>
                    </w:tc>
                    <w:tc>
                      <w:tcPr>
                        <w:tcW w:w="860" w:type="dxa"/>
                        <w:shd w:val="clear" w:color="auto" w:fill="99CC00"/>
                      </w:tcPr>
                      <w:p>
                        <w:pPr>
                          <w:pStyle w:val="TableParagraph"/>
                          <w:spacing w:line="142" w:lineRule="exact"/>
                          <w:ind w:left="75" w:right="76"/>
                          <w:rPr>
                            <w:b/>
                            <w:sz w:val="14"/>
                          </w:rPr>
                        </w:pPr>
                        <w:r>
                          <w:rPr>
                            <w:b/>
                            <w:sz w:val="14"/>
                          </w:rPr>
                          <w:t>Bastantes</w:t>
                        </w:r>
                      </w:p>
                    </w:tc>
                    <w:tc>
                      <w:tcPr>
                        <w:tcW w:w="739" w:type="dxa"/>
                        <w:shd w:val="clear" w:color="auto" w:fill="99CC00"/>
                      </w:tcPr>
                      <w:p>
                        <w:pPr>
                          <w:pStyle w:val="TableParagraph"/>
                          <w:spacing w:line="142" w:lineRule="exact"/>
                          <w:ind w:right="223"/>
                          <w:jc w:val="right"/>
                          <w:rPr>
                            <w:b/>
                            <w:sz w:val="14"/>
                          </w:rPr>
                        </w:pPr>
                        <w:r>
                          <w:rPr>
                            <w:b/>
                            <w:sz w:val="14"/>
                          </w:rPr>
                          <w:t>Casi</w:t>
                        </w:r>
                      </w:p>
                    </w:tc>
                  </w:tr>
                  <w:tr>
                    <w:trPr>
                      <w:trHeight w:val="650" w:hRule="exact"/>
                    </w:trPr>
                    <w:tc>
                      <w:tcPr>
                        <w:tcW w:w="5869" w:type="dxa"/>
                        <w:tcBorders>
                          <w:bottom w:val="single" w:sz="4" w:space="0" w:color="000000"/>
                        </w:tcBorders>
                      </w:tcPr>
                      <w:p>
                        <w:pPr>
                          <w:pStyle w:val="TableParagraph"/>
                          <w:tabs>
                            <w:tab w:pos="647" w:val="left" w:leader="none"/>
                          </w:tabs>
                          <w:spacing w:before="234"/>
                          <w:ind w:left="167"/>
                          <w:jc w:val="left"/>
                          <w:rPr>
                            <w:sz w:val="16"/>
                          </w:rPr>
                        </w:pPr>
                        <w:r>
                          <w:rPr>
                            <w:position w:val="-10"/>
                            <w:sz w:val="20"/>
                          </w:rPr>
                          <w:t>1</w:t>
                          <w:tab/>
                        </w:r>
                        <w:r>
                          <w:rPr>
                            <w:sz w:val="16"/>
                          </w:rPr>
                          <w:t>¿Piensa que su familiar pide más ayuda de la que</w:t>
                        </w:r>
                        <w:r>
                          <w:rPr>
                            <w:spacing w:val="-20"/>
                            <w:sz w:val="16"/>
                          </w:rPr>
                          <w:t> </w:t>
                        </w:r>
                        <w:r>
                          <w:rPr>
                            <w:sz w:val="16"/>
                          </w:rPr>
                          <w:t>realmente</w:t>
                        </w:r>
                      </w:p>
                    </w:tc>
                    <w:tc>
                      <w:tcPr>
                        <w:tcW w:w="831" w:type="dxa"/>
                        <w:tcBorders>
                          <w:bottom w:val="single" w:sz="4" w:space="0" w:color="000000"/>
                        </w:tcBorders>
                      </w:tcPr>
                      <w:p>
                        <w:pPr>
                          <w:pStyle w:val="TableParagraph"/>
                          <w:jc w:val="left"/>
                          <w:rPr>
                            <w:sz w:val="18"/>
                          </w:rPr>
                        </w:pPr>
                      </w:p>
                      <w:p>
                        <w:pPr>
                          <w:pStyle w:val="TableParagraph"/>
                          <w:spacing w:before="109"/>
                          <w:ind w:right="257"/>
                          <w:jc w:val="right"/>
                          <w:rPr>
                            <w:sz w:val="18"/>
                          </w:rPr>
                        </w:pPr>
                        <w:r>
                          <w:rPr>
                            <w:w w:val="95"/>
                            <w:sz w:val="18"/>
                          </w:rPr>
                          <w:t>16.7</w:t>
                        </w:r>
                      </w:p>
                    </w:tc>
                    <w:tc>
                      <w:tcPr>
                        <w:tcW w:w="680" w:type="dxa"/>
                        <w:tcBorders>
                          <w:bottom w:val="single" w:sz="4" w:space="0" w:color="000000"/>
                        </w:tcBorders>
                      </w:tcPr>
                      <w:p>
                        <w:pPr>
                          <w:pStyle w:val="TableParagraph"/>
                          <w:spacing w:before="3"/>
                          <w:ind w:left="114"/>
                          <w:jc w:val="left"/>
                          <w:rPr>
                            <w:b/>
                            <w:sz w:val="14"/>
                          </w:rPr>
                        </w:pPr>
                        <w:r>
                          <w:rPr>
                            <w:b/>
                            <w:sz w:val="14"/>
                          </w:rPr>
                          <w:t>veces</w:t>
                        </w:r>
                      </w:p>
                      <w:p>
                        <w:pPr>
                          <w:pStyle w:val="TableParagraph"/>
                          <w:spacing w:before="2"/>
                          <w:jc w:val="left"/>
                          <w:rPr>
                            <w:sz w:val="13"/>
                          </w:rPr>
                        </w:pPr>
                      </w:p>
                      <w:p>
                        <w:pPr>
                          <w:pStyle w:val="TableParagraph"/>
                          <w:ind w:left="133"/>
                          <w:jc w:val="left"/>
                          <w:rPr>
                            <w:sz w:val="18"/>
                          </w:rPr>
                        </w:pPr>
                        <w:r>
                          <w:rPr>
                            <w:sz w:val="18"/>
                          </w:rPr>
                          <w:t>26.7</w:t>
                        </w:r>
                      </w:p>
                    </w:tc>
                    <w:tc>
                      <w:tcPr>
                        <w:tcW w:w="860" w:type="dxa"/>
                        <w:tcBorders>
                          <w:bottom w:val="single" w:sz="4" w:space="0" w:color="000000"/>
                        </w:tcBorders>
                      </w:tcPr>
                      <w:p>
                        <w:pPr>
                          <w:pStyle w:val="TableParagraph"/>
                          <w:spacing w:before="3"/>
                          <w:ind w:left="73" w:right="76"/>
                          <w:rPr>
                            <w:b/>
                            <w:sz w:val="14"/>
                          </w:rPr>
                        </w:pPr>
                        <w:r>
                          <w:rPr>
                            <w:b/>
                            <w:sz w:val="14"/>
                          </w:rPr>
                          <w:t>veces</w:t>
                        </w:r>
                      </w:p>
                      <w:p>
                        <w:pPr>
                          <w:pStyle w:val="TableParagraph"/>
                          <w:spacing w:before="2"/>
                          <w:jc w:val="left"/>
                          <w:rPr>
                            <w:sz w:val="13"/>
                          </w:rPr>
                        </w:pPr>
                      </w:p>
                      <w:p>
                        <w:pPr>
                          <w:pStyle w:val="TableParagraph"/>
                          <w:ind w:left="75" w:right="75"/>
                          <w:rPr>
                            <w:sz w:val="18"/>
                          </w:rPr>
                        </w:pPr>
                        <w:r>
                          <w:rPr>
                            <w:sz w:val="18"/>
                          </w:rPr>
                          <w:t>30</w:t>
                        </w:r>
                      </w:p>
                    </w:tc>
                    <w:tc>
                      <w:tcPr>
                        <w:tcW w:w="739" w:type="dxa"/>
                        <w:tcBorders>
                          <w:bottom w:val="single" w:sz="4" w:space="0" w:color="000000"/>
                        </w:tcBorders>
                      </w:tcPr>
                      <w:p>
                        <w:pPr>
                          <w:pStyle w:val="TableParagraph"/>
                          <w:spacing w:before="3"/>
                          <w:ind w:left="98"/>
                          <w:jc w:val="left"/>
                          <w:rPr>
                            <w:b/>
                            <w:sz w:val="14"/>
                          </w:rPr>
                        </w:pPr>
                        <w:r>
                          <w:rPr>
                            <w:b/>
                            <w:sz w:val="14"/>
                          </w:rPr>
                          <w:t>siempre</w:t>
                        </w:r>
                      </w:p>
                      <w:p>
                        <w:pPr>
                          <w:pStyle w:val="TableParagraph"/>
                          <w:spacing w:before="2"/>
                          <w:jc w:val="left"/>
                          <w:rPr>
                            <w:sz w:val="13"/>
                          </w:rPr>
                        </w:pPr>
                      </w:p>
                      <w:p>
                        <w:pPr>
                          <w:pStyle w:val="TableParagraph"/>
                          <w:ind w:left="191"/>
                          <w:jc w:val="left"/>
                          <w:rPr>
                            <w:sz w:val="18"/>
                          </w:rPr>
                        </w:pPr>
                        <w:r>
                          <w:rPr>
                            <w:sz w:val="18"/>
                          </w:rPr>
                          <w:t>23.3</w:t>
                        </w:r>
                      </w:p>
                    </w:tc>
                  </w:tr>
                  <w:tr>
                    <w:trPr>
                      <w:trHeight w:val="567" w:hRule="exact"/>
                    </w:trPr>
                    <w:tc>
                      <w:tcPr>
                        <w:tcW w:w="5869" w:type="dxa"/>
                        <w:tcBorders>
                          <w:top w:val="single" w:sz="4" w:space="0" w:color="000000"/>
                          <w:bottom w:val="single" w:sz="4" w:space="0" w:color="000000"/>
                        </w:tcBorders>
                      </w:tcPr>
                      <w:p>
                        <w:pPr>
                          <w:pStyle w:val="TableParagraph"/>
                          <w:tabs>
                            <w:tab w:pos="566" w:val="left" w:leader="none"/>
                          </w:tabs>
                          <w:spacing w:before="90"/>
                          <w:ind w:left="167"/>
                          <w:jc w:val="left"/>
                          <w:rPr>
                            <w:sz w:val="16"/>
                          </w:rPr>
                        </w:pPr>
                        <w:r>
                          <w:rPr>
                            <w:position w:val="-10"/>
                            <w:sz w:val="20"/>
                          </w:rPr>
                          <w:t>2</w:t>
                          <w:tab/>
                        </w:r>
                        <w:r>
                          <w:rPr>
                            <w:sz w:val="16"/>
                          </w:rPr>
                          <w:t>¿Piensa que debido al tiempo que dedica a su familiar no</w:t>
                        </w:r>
                        <w:r>
                          <w:rPr>
                            <w:spacing w:val="-19"/>
                            <w:sz w:val="16"/>
                          </w:rPr>
                          <w:t> </w:t>
                        </w:r>
                        <w:r>
                          <w:rPr>
                            <w:sz w:val="16"/>
                          </w:rPr>
                          <w:t>tiene</w:t>
                        </w:r>
                      </w:p>
                    </w:tc>
                    <w:tc>
                      <w:tcPr>
                        <w:tcW w:w="831" w:type="dxa"/>
                        <w:tcBorders>
                          <w:top w:val="single" w:sz="4" w:space="0" w:color="000000"/>
                          <w:bottom w:val="single" w:sz="4" w:space="0" w:color="000000"/>
                        </w:tcBorders>
                      </w:tcPr>
                      <w:p>
                        <w:pPr>
                          <w:pStyle w:val="TableParagraph"/>
                          <w:spacing w:before="2"/>
                          <w:jc w:val="left"/>
                          <w:rPr>
                            <w:sz w:val="15"/>
                          </w:rPr>
                        </w:pPr>
                      </w:p>
                      <w:p>
                        <w:pPr>
                          <w:pStyle w:val="TableParagraph"/>
                          <w:ind w:right="330"/>
                          <w:jc w:val="right"/>
                          <w:rPr>
                            <w:sz w:val="18"/>
                          </w:rPr>
                        </w:pPr>
                        <w:r>
                          <w:rPr>
                            <w:w w:val="95"/>
                            <w:sz w:val="18"/>
                          </w:rPr>
                          <w:t>20</w:t>
                        </w:r>
                      </w:p>
                    </w:tc>
                    <w:tc>
                      <w:tcPr>
                        <w:tcW w:w="680" w:type="dxa"/>
                        <w:tcBorders>
                          <w:top w:val="single" w:sz="4" w:space="0" w:color="000000"/>
                          <w:bottom w:val="single" w:sz="4" w:space="0" w:color="000000"/>
                        </w:tcBorders>
                      </w:tcPr>
                      <w:p>
                        <w:pPr>
                          <w:pStyle w:val="TableParagraph"/>
                          <w:spacing w:before="2"/>
                          <w:jc w:val="left"/>
                          <w:rPr>
                            <w:sz w:val="15"/>
                          </w:rPr>
                        </w:pPr>
                      </w:p>
                      <w:p>
                        <w:pPr>
                          <w:pStyle w:val="TableParagraph"/>
                          <w:ind w:right="242"/>
                          <w:jc w:val="right"/>
                          <w:rPr>
                            <w:sz w:val="18"/>
                          </w:rPr>
                        </w:pPr>
                        <w:r>
                          <w:rPr>
                            <w:w w:val="95"/>
                            <w:sz w:val="18"/>
                          </w:rPr>
                          <w:t>6.7</w:t>
                        </w:r>
                      </w:p>
                    </w:tc>
                    <w:tc>
                      <w:tcPr>
                        <w:tcW w:w="860" w:type="dxa"/>
                        <w:tcBorders>
                          <w:top w:val="single" w:sz="4" w:space="0" w:color="000000"/>
                          <w:bottom w:val="single" w:sz="4" w:space="0" w:color="000000"/>
                        </w:tcBorders>
                      </w:tcPr>
                      <w:p>
                        <w:pPr>
                          <w:pStyle w:val="TableParagraph"/>
                          <w:spacing w:before="2"/>
                          <w:jc w:val="left"/>
                          <w:rPr>
                            <w:sz w:val="15"/>
                          </w:rPr>
                        </w:pPr>
                      </w:p>
                      <w:p>
                        <w:pPr>
                          <w:pStyle w:val="TableParagraph"/>
                          <w:ind w:left="75" w:right="75"/>
                          <w:rPr>
                            <w:sz w:val="18"/>
                          </w:rPr>
                        </w:pPr>
                        <w:r>
                          <w:rPr>
                            <w:sz w:val="18"/>
                          </w:rPr>
                          <w:t>50</w:t>
                        </w:r>
                      </w:p>
                    </w:tc>
                    <w:tc>
                      <w:tcPr>
                        <w:tcW w:w="739" w:type="dxa"/>
                        <w:tcBorders>
                          <w:top w:val="single" w:sz="4" w:space="0" w:color="000000"/>
                          <w:bottom w:val="single" w:sz="4" w:space="0" w:color="000000"/>
                        </w:tcBorders>
                      </w:tcPr>
                      <w:p>
                        <w:pPr>
                          <w:pStyle w:val="TableParagraph"/>
                          <w:spacing w:before="2"/>
                          <w:jc w:val="left"/>
                          <w:rPr>
                            <w:sz w:val="15"/>
                          </w:rPr>
                        </w:pPr>
                      </w:p>
                      <w:p>
                        <w:pPr>
                          <w:pStyle w:val="TableParagraph"/>
                          <w:ind w:right="193"/>
                          <w:jc w:val="right"/>
                          <w:rPr>
                            <w:sz w:val="18"/>
                          </w:rPr>
                        </w:pPr>
                        <w:r>
                          <w:rPr>
                            <w:w w:val="95"/>
                            <w:sz w:val="18"/>
                          </w:rPr>
                          <w:t>23.3</w:t>
                        </w:r>
                      </w:p>
                    </w:tc>
                  </w:tr>
                  <w:tr>
                    <w:trPr>
                      <w:trHeight w:val="578" w:hRule="exact"/>
                    </w:trPr>
                    <w:tc>
                      <w:tcPr>
                        <w:tcW w:w="5869" w:type="dxa"/>
                        <w:tcBorders>
                          <w:top w:val="single" w:sz="4" w:space="0" w:color="000000"/>
                          <w:bottom w:val="single" w:sz="4" w:space="0" w:color="000000"/>
                        </w:tcBorders>
                      </w:tcPr>
                      <w:p>
                        <w:pPr>
                          <w:pStyle w:val="TableParagraph"/>
                          <w:tabs>
                            <w:tab w:pos="523" w:val="left" w:leader="none"/>
                          </w:tabs>
                          <w:spacing w:before="97"/>
                          <w:ind w:left="167"/>
                          <w:jc w:val="left"/>
                          <w:rPr>
                            <w:sz w:val="16"/>
                          </w:rPr>
                        </w:pPr>
                        <w:r>
                          <w:rPr>
                            <w:position w:val="-10"/>
                            <w:sz w:val="20"/>
                          </w:rPr>
                          <w:t>3</w:t>
                          <w:tab/>
                        </w:r>
                        <w:r>
                          <w:rPr>
                            <w:sz w:val="16"/>
                          </w:rPr>
                          <w:t>¿Se siente agobiado por intentar compatibilizar el cuidado de</w:t>
                        </w:r>
                        <w:r>
                          <w:rPr>
                            <w:spacing w:val="-21"/>
                            <w:sz w:val="16"/>
                          </w:rPr>
                          <w:t> </w:t>
                        </w:r>
                        <w:r>
                          <w:rPr>
                            <w:sz w:val="16"/>
                          </w:rPr>
                          <w:t>su</w:t>
                        </w:r>
                      </w:p>
                    </w:tc>
                    <w:tc>
                      <w:tcPr>
                        <w:tcW w:w="831" w:type="dxa"/>
                        <w:tcBorders>
                          <w:top w:val="single" w:sz="4" w:space="0" w:color="000000"/>
                          <w:bottom w:val="single" w:sz="4" w:space="0" w:color="000000"/>
                        </w:tcBorders>
                      </w:tcPr>
                      <w:p>
                        <w:pPr>
                          <w:pStyle w:val="TableParagraph"/>
                          <w:spacing w:before="9"/>
                          <w:jc w:val="left"/>
                          <w:rPr>
                            <w:sz w:val="15"/>
                          </w:rPr>
                        </w:pPr>
                      </w:p>
                      <w:p>
                        <w:pPr>
                          <w:pStyle w:val="TableParagraph"/>
                          <w:ind w:right="257"/>
                          <w:jc w:val="right"/>
                          <w:rPr>
                            <w:sz w:val="18"/>
                          </w:rPr>
                        </w:pPr>
                        <w:r>
                          <w:rPr>
                            <w:w w:val="95"/>
                            <w:sz w:val="18"/>
                          </w:rPr>
                          <w:t>16.7</w:t>
                        </w:r>
                      </w:p>
                    </w:tc>
                    <w:tc>
                      <w:tcPr>
                        <w:tcW w:w="680" w:type="dxa"/>
                        <w:tcBorders>
                          <w:top w:val="single" w:sz="4" w:space="0" w:color="000000"/>
                          <w:bottom w:val="single" w:sz="4" w:space="0" w:color="000000"/>
                        </w:tcBorders>
                      </w:tcPr>
                      <w:p>
                        <w:pPr>
                          <w:pStyle w:val="TableParagraph"/>
                          <w:spacing w:before="9"/>
                          <w:jc w:val="left"/>
                          <w:rPr>
                            <w:sz w:val="15"/>
                          </w:rPr>
                        </w:pPr>
                      </w:p>
                      <w:p>
                        <w:pPr>
                          <w:pStyle w:val="TableParagraph"/>
                          <w:ind w:right="192"/>
                          <w:jc w:val="right"/>
                          <w:rPr>
                            <w:sz w:val="18"/>
                          </w:rPr>
                        </w:pPr>
                        <w:r>
                          <w:rPr>
                            <w:w w:val="95"/>
                            <w:sz w:val="18"/>
                          </w:rPr>
                          <w:t>23.3</w:t>
                        </w:r>
                      </w:p>
                    </w:tc>
                    <w:tc>
                      <w:tcPr>
                        <w:tcW w:w="860" w:type="dxa"/>
                        <w:tcBorders>
                          <w:top w:val="single" w:sz="4" w:space="0" w:color="000000"/>
                          <w:bottom w:val="single" w:sz="4" w:space="0" w:color="000000"/>
                        </w:tcBorders>
                      </w:tcPr>
                      <w:p>
                        <w:pPr>
                          <w:pStyle w:val="TableParagraph"/>
                          <w:spacing w:before="9"/>
                          <w:jc w:val="left"/>
                          <w:rPr>
                            <w:sz w:val="15"/>
                          </w:rPr>
                        </w:pPr>
                      </w:p>
                      <w:p>
                        <w:pPr>
                          <w:pStyle w:val="TableParagraph"/>
                          <w:ind w:left="75" w:right="75"/>
                          <w:rPr>
                            <w:sz w:val="18"/>
                          </w:rPr>
                        </w:pPr>
                        <w:r>
                          <w:rPr>
                            <w:sz w:val="18"/>
                          </w:rPr>
                          <w:t>43.3</w:t>
                        </w:r>
                      </w:p>
                    </w:tc>
                    <w:tc>
                      <w:tcPr>
                        <w:tcW w:w="739" w:type="dxa"/>
                        <w:tcBorders>
                          <w:top w:val="single" w:sz="4" w:space="0" w:color="000000"/>
                          <w:bottom w:val="single" w:sz="4" w:space="0" w:color="000000"/>
                        </w:tcBorders>
                      </w:tcPr>
                      <w:p>
                        <w:pPr>
                          <w:pStyle w:val="TableParagraph"/>
                          <w:spacing w:before="9"/>
                          <w:jc w:val="left"/>
                          <w:rPr>
                            <w:sz w:val="15"/>
                          </w:rPr>
                        </w:pPr>
                      </w:p>
                      <w:p>
                        <w:pPr>
                          <w:pStyle w:val="TableParagraph"/>
                          <w:ind w:right="193"/>
                          <w:jc w:val="right"/>
                          <w:rPr>
                            <w:sz w:val="18"/>
                          </w:rPr>
                        </w:pPr>
                        <w:r>
                          <w:rPr>
                            <w:w w:val="95"/>
                            <w:sz w:val="18"/>
                          </w:rPr>
                          <w:t>16.7</w:t>
                        </w:r>
                      </w:p>
                    </w:tc>
                  </w:tr>
                  <w:tr>
                    <w:trPr>
                      <w:trHeight w:val="326" w:hRule="exact"/>
                    </w:trPr>
                    <w:tc>
                      <w:tcPr>
                        <w:tcW w:w="5869" w:type="dxa"/>
                        <w:tcBorders>
                          <w:top w:val="single" w:sz="4" w:space="0" w:color="000000"/>
                          <w:bottom w:val="single" w:sz="4" w:space="0" w:color="000000"/>
                        </w:tcBorders>
                      </w:tcPr>
                      <w:p>
                        <w:pPr>
                          <w:pStyle w:val="TableParagraph"/>
                          <w:tabs>
                            <w:tab w:pos="849" w:val="left" w:leader="none"/>
                            <w:tab w:pos="5481" w:val="right" w:leader="none"/>
                          </w:tabs>
                          <w:spacing w:before="40"/>
                          <w:ind w:right="218"/>
                          <w:jc w:val="right"/>
                          <w:rPr>
                            <w:sz w:val="18"/>
                          </w:rPr>
                        </w:pPr>
                        <w:r>
                          <w:rPr>
                            <w:sz w:val="20"/>
                          </w:rPr>
                          <w:t>4</w:t>
                          <w:tab/>
                        </w:r>
                        <w:r>
                          <w:rPr>
                            <w:position w:val="1"/>
                            <w:sz w:val="16"/>
                          </w:rPr>
                          <w:t>¿Siente vergüenza por la conducta de</w:t>
                        </w:r>
                        <w:r>
                          <w:rPr>
                            <w:spacing w:val="-6"/>
                            <w:position w:val="1"/>
                            <w:sz w:val="16"/>
                          </w:rPr>
                          <w:t> </w:t>
                        </w:r>
                        <w:r>
                          <w:rPr>
                            <w:position w:val="1"/>
                            <w:sz w:val="16"/>
                          </w:rPr>
                          <w:t>su</w:t>
                        </w:r>
                        <w:r>
                          <w:rPr>
                            <w:spacing w:val="-3"/>
                            <w:position w:val="1"/>
                            <w:sz w:val="16"/>
                          </w:rPr>
                          <w:t> </w:t>
                        </w:r>
                        <w:r>
                          <w:rPr>
                            <w:position w:val="1"/>
                            <w:sz w:val="16"/>
                          </w:rPr>
                          <w:t>familiar?</w:t>
                        </w:r>
                        <w:r>
                          <w:rPr>
                            <w:sz w:val="18"/>
                          </w:rPr>
                          <w:tab/>
                          <w:t>3.3</w:t>
                        </w:r>
                      </w:p>
                    </w:tc>
                    <w:tc>
                      <w:tcPr>
                        <w:tcW w:w="831" w:type="dxa"/>
                        <w:tcBorders>
                          <w:top w:val="single" w:sz="4" w:space="0" w:color="000000"/>
                          <w:bottom w:val="single" w:sz="4" w:space="0" w:color="000000"/>
                        </w:tcBorders>
                      </w:tcPr>
                      <w:p>
                        <w:pPr>
                          <w:pStyle w:val="TableParagraph"/>
                          <w:spacing w:before="54"/>
                          <w:ind w:right="257"/>
                          <w:jc w:val="right"/>
                          <w:rPr>
                            <w:sz w:val="18"/>
                          </w:rPr>
                        </w:pPr>
                        <w:r>
                          <w:rPr>
                            <w:w w:val="95"/>
                            <w:sz w:val="18"/>
                          </w:rPr>
                          <w:t>16.7</w:t>
                        </w:r>
                      </w:p>
                    </w:tc>
                    <w:tc>
                      <w:tcPr>
                        <w:tcW w:w="680" w:type="dxa"/>
                        <w:tcBorders>
                          <w:top w:val="single" w:sz="4" w:space="0" w:color="000000"/>
                          <w:bottom w:val="single" w:sz="4" w:space="0" w:color="000000"/>
                        </w:tcBorders>
                      </w:tcPr>
                      <w:p>
                        <w:pPr>
                          <w:pStyle w:val="TableParagraph"/>
                          <w:spacing w:before="54"/>
                          <w:ind w:right="192"/>
                          <w:jc w:val="right"/>
                          <w:rPr>
                            <w:sz w:val="18"/>
                          </w:rPr>
                        </w:pPr>
                        <w:r>
                          <w:rPr>
                            <w:w w:val="95"/>
                            <w:sz w:val="18"/>
                          </w:rPr>
                          <w:t>36.7</w:t>
                        </w:r>
                      </w:p>
                    </w:tc>
                    <w:tc>
                      <w:tcPr>
                        <w:tcW w:w="860" w:type="dxa"/>
                        <w:tcBorders>
                          <w:top w:val="single" w:sz="4" w:space="0" w:color="000000"/>
                          <w:bottom w:val="single" w:sz="4" w:space="0" w:color="000000"/>
                        </w:tcBorders>
                      </w:tcPr>
                      <w:p>
                        <w:pPr>
                          <w:pStyle w:val="TableParagraph"/>
                          <w:spacing w:before="54"/>
                          <w:ind w:left="75" w:right="75"/>
                          <w:rPr>
                            <w:sz w:val="18"/>
                          </w:rPr>
                        </w:pPr>
                        <w:r>
                          <w:rPr>
                            <w:sz w:val="18"/>
                          </w:rPr>
                          <w:t>33.3</w:t>
                        </w:r>
                      </w:p>
                    </w:tc>
                    <w:tc>
                      <w:tcPr>
                        <w:tcW w:w="739" w:type="dxa"/>
                        <w:tcBorders>
                          <w:top w:val="single" w:sz="4" w:space="0" w:color="000000"/>
                          <w:bottom w:val="single" w:sz="4" w:space="0" w:color="000000"/>
                        </w:tcBorders>
                      </w:tcPr>
                      <w:p>
                        <w:pPr>
                          <w:pStyle w:val="TableParagraph"/>
                          <w:spacing w:before="54"/>
                          <w:ind w:right="266"/>
                          <w:jc w:val="right"/>
                          <w:rPr>
                            <w:sz w:val="18"/>
                          </w:rPr>
                        </w:pPr>
                        <w:r>
                          <w:rPr>
                            <w:w w:val="95"/>
                            <w:sz w:val="18"/>
                          </w:rPr>
                          <w:t>10</w:t>
                        </w:r>
                      </w:p>
                    </w:tc>
                  </w:tr>
                  <w:tr>
                    <w:trPr>
                      <w:trHeight w:val="295" w:hRule="exact"/>
                    </w:trPr>
                    <w:tc>
                      <w:tcPr>
                        <w:tcW w:w="5869" w:type="dxa"/>
                        <w:tcBorders>
                          <w:top w:val="single" w:sz="4" w:space="0" w:color="000000"/>
                          <w:bottom w:val="single" w:sz="4" w:space="0" w:color="000000"/>
                        </w:tcBorders>
                      </w:tcPr>
                      <w:p>
                        <w:pPr>
                          <w:pStyle w:val="TableParagraph"/>
                          <w:tabs>
                            <w:tab w:pos="674" w:val="left" w:leader="none"/>
                            <w:tab w:pos="5481" w:val="right" w:leader="none"/>
                          </w:tabs>
                          <w:spacing w:before="23"/>
                          <w:ind w:right="218"/>
                          <w:jc w:val="right"/>
                          <w:rPr>
                            <w:sz w:val="18"/>
                          </w:rPr>
                        </w:pPr>
                        <w:r>
                          <w:rPr>
                            <w:sz w:val="20"/>
                          </w:rPr>
                          <w:t>5</w:t>
                          <w:tab/>
                        </w:r>
                        <w:r>
                          <w:rPr>
                            <w:position w:val="1"/>
                            <w:sz w:val="16"/>
                          </w:rPr>
                          <w:t>¿Se siente enfadado cuando esta cerca de</w:t>
                        </w:r>
                        <w:r>
                          <w:rPr>
                            <w:spacing w:val="-12"/>
                            <w:position w:val="1"/>
                            <w:sz w:val="16"/>
                          </w:rPr>
                          <w:t> </w:t>
                        </w:r>
                        <w:r>
                          <w:rPr>
                            <w:position w:val="1"/>
                            <w:sz w:val="16"/>
                          </w:rPr>
                          <w:t>su</w:t>
                        </w:r>
                        <w:r>
                          <w:rPr>
                            <w:spacing w:val="-3"/>
                            <w:position w:val="1"/>
                            <w:sz w:val="16"/>
                          </w:rPr>
                          <w:t> </w:t>
                        </w:r>
                        <w:r>
                          <w:rPr>
                            <w:position w:val="1"/>
                            <w:sz w:val="16"/>
                          </w:rPr>
                          <w:t>familiar?</w:t>
                        </w:r>
                        <w:r>
                          <w:rPr>
                            <w:sz w:val="18"/>
                          </w:rPr>
                          <w:tab/>
                          <w:t>6.7</w:t>
                        </w:r>
                      </w:p>
                    </w:tc>
                    <w:tc>
                      <w:tcPr>
                        <w:tcW w:w="831" w:type="dxa"/>
                        <w:tcBorders>
                          <w:top w:val="single" w:sz="4" w:space="0" w:color="000000"/>
                          <w:bottom w:val="single" w:sz="4" w:space="0" w:color="000000"/>
                        </w:tcBorders>
                      </w:tcPr>
                      <w:p>
                        <w:pPr>
                          <w:pStyle w:val="TableParagraph"/>
                          <w:spacing w:before="37"/>
                          <w:ind w:right="257"/>
                          <w:jc w:val="right"/>
                          <w:rPr>
                            <w:sz w:val="18"/>
                          </w:rPr>
                        </w:pPr>
                        <w:r>
                          <w:rPr>
                            <w:w w:val="95"/>
                            <w:sz w:val="18"/>
                          </w:rPr>
                          <w:t>16.7</w:t>
                        </w:r>
                      </w:p>
                    </w:tc>
                    <w:tc>
                      <w:tcPr>
                        <w:tcW w:w="680" w:type="dxa"/>
                        <w:tcBorders>
                          <w:top w:val="single" w:sz="4" w:space="0" w:color="000000"/>
                          <w:bottom w:val="single" w:sz="4" w:space="0" w:color="000000"/>
                        </w:tcBorders>
                      </w:tcPr>
                      <w:p>
                        <w:pPr>
                          <w:pStyle w:val="TableParagraph"/>
                          <w:spacing w:before="37"/>
                          <w:ind w:right="192"/>
                          <w:jc w:val="right"/>
                          <w:rPr>
                            <w:sz w:val="18"/>
                          </w:rPr>
                        </w:pPr>
                        <w:r>
                          <w:rPr>
                            <w:w w:val="95"/>
                            <w:sz w:val="18"/>
                          </w:rPr>
                          <w:t>23.3</w:t>
                        </w:r>
                      </w:p>
                    </w:tc>
                    <w:tc>
                      <w:tcPr>
                        <w:tcW w:w="860" w:type="dxa"/>
                        <w:tcBorders>
                          <w:top w:val="single" w:sz="4" w:space="0" w:color="000000"/>
                          <w:bottom w:val="single" w:sz="4" w:space="0" w:color="000000"/>
                        </w:tcBorders>
                      </w:tcPr>
                      <w:p>
                        <w:pPr>
                          <w:pStyle w:val="TableParagraph"/>
                          <w:spacing w:before="37"/>
                          <w:ind w:left="75" w:right="75"/>
                          <w:rPr>
                            <w:sz w:val="18"/>
                          </w:rPr>
                        </w:pPr>
                        <w:r>
                          <w:rPr>
                            <w:sz w:val="18"/>
                          </w:rPr>
                          <w:t>43.3</w:t>
                        </w:r>
                      </w:p>
                    </w:tc>
                    <w:tc>
                      <w:tcPr>
                        <w:tcW w:w="739" w:type="dxa"/>
                        <w:tcBorders>
                          <w:top w:val="single" w:sz="4" w:space="0" w:color="000000"/>
                          <w:bottom w:val="single" w:sz="4" w:space="0" w:color="000000"/>
                        </w:tcBorders>
                      </w:tcPr>
                      <w:p>
                        <w:pPr>
                          <w:pStyle w:val="TableParagraph"/>
                          <w:spacing w:before="37"/>
                          <w:ind w:right="266"/>
                          <w:jc w:val="right"/>
                          <w:rPr>
                            <w:sz w:val="18"/>
                          </w:rPr>
                        </w:pPr>
                        <w:r>
                          <w:rPr>
                            <w:w w:val="95"/>
                            <w:sz w:val="18"/>
                          </w:rPr>
                          <w:t>10</w:t>
                        </w:r>
                      </w:p>
                    </w:tc>
                  </w:tr>
                  <w:tr>
                    <w:trPr>
                      <w:trHeight w:val="610" w:hRule="exact"/>
                    </w:trPr>
                    <w:tc>
                      <w:tcPr>
                        <w:tcW w:w="5869" w:type="dxa"/>
                        <w:tcBorders>
                          <w:top w:val="single" w:sz="4" w:space="0" w:color="000000"/>
                          <w:bottom w:val="single" w:sz="4" w:space="0" w:color="000000"/>
                        </w:tcBorders>
                      </w:tcPr>
                      <w:p>
                        <w:pPr>
                          <w:pStyle w:val="TableParagraph"/>
                          <w:tabs>
                            <w:tab w:pos="655" w:val="left" w:leader="none"/>
                          </w:tabs>
                          <w:spacing w:before="111"/>
                          <w:ind w:left="167"/>
                          <w:jc w:val="left"/>
                          <w:rPr>
                            <w:sz w:val="16"/>
                          </w:rPr>
                        </w:pPr>
                        <w:r>
                          <w:rPr>
                            <w:position w:val="-10"/>
                            <w:sz w:val="20"/>
                          </w:rPr>
                          <w:t>6</w:t>
                          <w:tab/>
                        </w:r>
                        <w:r>
                          <w:rPr>
                            <w:sz w:val="16"/>
                          </w:rPr>
                          <w:t>¿Piensa que el cuidar de su familiar afecta negativamente</w:t>
                        </w:r>
                        <w:r>
                          <w:rPr>
                            <w:spacing w:val="-21"/>
                            <w:sz w:val="16"/>
                          </w:rPr>
                          <w:t> </w:t>
                        </w:r>
                        <w:r>
                          <w:rPr>
                            <w:sz w:val="16"/>
                          </w:rPr>
                          <w:t>la</w:t>
                        </w:r>
                      </w:p>
                    </w:tc>
                    <w:tc>
                      <w:tcPr>
                        <w:tcW w:w="831" w:type="dxa"/>
                        <w:tcBorders>
                          <w:top w:val="single" w:sz="4" w:space="0" w:color="000000"/>
                          <w:bottom w:val="single" w:sz="4" w:space="0" w:color="000000"/>
                        </w:tcBorders>
                      </w:tcPr>
                      <w:p>
                        <w:pPr>
                          <w:pStyle w:val="TableParagraph"/>
                          <w:jc w:val="left"/>
                          <w:rPr>
                            <w:sz w:val="17"/>
                          </w:rPr>
                        </w:pPr>
                      </w:p>
                      <w:p>
                        <w:pPr>
                          <w:pStyle w:val="TableParagraph"/>
                          <w:ind w:right="257"/>
                          <w:jc w:val="right"/>
                          <w:rPr>
                            <w:sz w:val="18"/>
                          </w:rPr>
                        </w:pPr>
                        <w:r>
                          <w:rPr>
                            <w:w w:val="95"/>
                            <w:sz w:val="18"/>
                          </w:rPr>
                          <w:t>16.7</w:t>
                        </w:r>
                      </w:p>
                    </w:tc>
                    <w:tc>
                      <w:tcPr>
                        <w:tcW w:w="680" w:type="dxa"/>
                        <w:tcBorders>
                          <w:top w:val="single" w:sz="4" w:space="0" w:color="000000"/>
                          <w:bottom w:val="single" w:sz="4" w:space="0" w:color="000000"/>
                        </w:tcBorders>
                      </w:tcPr>
                      <w:p>
                        <w:pPr>
                          <w:pStyle w:val="TableParagraph"/>
                          <w:jc w:val="left"/>
                          <w:rPr>
                            <w:sz w:val="17"/>
                          </w:rPr>
                        </w:pPr>
                      </w:p>
                      <w:p>
                        <w:pPr>
                          <w:pStyle w:val="TableParagraph"/>
                          <w:ind w:right="192"/>
                          <w:jc w:val="right"/>
                          <w:rPr>
                            <w:sz w:val="18"/>
                          </w:rPr>
                        </w:pPr>
                        <w:r>
                          <w:rPr>
                            <w:w w:val="95"/>
                            <w:sz w:val="18"/>
                          </w:rPr>
                          <w:t>26.7</w:t>
                        </w:r>
                      </w:p>
                    </w:tc>
                    <w:tc>
                      <w:tcPr>
                        <w:tcW w:w="860" w:type="dxa"/>
                        <w:tcBorders>
                          <w:top w:val="single" w:sz="4" w:space="0" w:color="000000"/>
                          <w:bottom w:val="single" w:sz="4" w:space="0" w:color="000000"/>
                        </w:tcBorders>
                      </w:tcPr>
                      <w:p>
                        <w:pPr>
                          <w:pStyle w:val="TableParagraph"/>
                          <w:jc w:val="left"/>
                          <w:rPr>
                            <w:sz w:val="17"/>
                          </w:rPr>
                        </w:pPr>
                      </w:p>
                      <w:p>
                        <w:pPr>
                          <w:pStyle w:val="TableParagraph"/>
                          <w:ind w:left="75" w:right="75"/>
                          <w:rPr>
                            <w:sz w:val="18"/>
                          </w:rPr>
                        </w:pPr>
                        <w:r>
                          <w:rPr>
                            <w:sz w:val="18"/>
                          </w:rPr>
                          <w:t>40</w:t>
                        </w:r>
                      </w:p>
                    </w:tc>
                    <w:tc>
                      <w:tcPr>
                        <w:tcW w:w="739" w:type="dxa"/>
                        <w:tcBorders>
                          <w:top w:val="single" w:sz="4" w:space="0" w:color="000000"/>
                          <w:bottom w:val="single" w:sz="4" w:space="0" w:color="000000"/>
                        </w:tcBorders>
                      </w:tcPr>
                      <w:p>
                        <w:pPr>
                          <w:pStyle w:val="TableParagraph"/>
                          <w:jc w:val="left"/>
                          <w:rPr>
                            <w:sz w:val="17"/>
                          </w:rPr>
                        </w:pPr>
                      </w:p>
                      <w:p>
                        <w:pPr>
                          <w:pStyle w:val="TableParagraph"/>
                          <w:ind w:right="193"/>
                          <w:jc w:val="right"/>
                          <w:rPr>
                            <w:sz w:val="18"/>
                          </w:rPr>
                        </w:pPr>
                        <w:r>
                          <w:rPr>
                            <w:w w:val="95"/>
                            <w:sz w:val="18"/>
                          </w:rPr>
                          <w:t>13.3</w:t>
                        </w:r>
                      </w:p>
                    </w:tc>
                  </w:tr>
                  <w:tr>
                    <w:trPr>
                      <w:trHeight w:val="264" w:hRule="exact"/>
                    </w:trPr>
                    <w:tc>
                      <w:tcPr>
                        <w:tcW w:w="5869" w:type="dxa"/>
                        <w:tcBorders>
                          <w:top w:val="single" w:sz="4" w:space="0" w:color="000000"/>
                          <w:bottom w:val="single" w:sz="4" w:space="0" w:color="000000"/>
                        </w:tcBorders>
                      </w:tcPr>
                      <w:p>
                        <w:pPr>
                          <w:pStyle w:val="TableParagraph"/>
                          <w:tabs>
                            <w:tab w:pos="1346" w:val="left" w:leader="none"/>
                            <w:tab w:pos="5489" w:val="left" w:leader="none"/>
                          </w:tabs>
                          <w:spacing w:before="9"/>
                          <w:ind w:left="167"/>
                          <w:jc w:val="left"/>
                          <w:rPr>
                            <w:sz w:val="20"/>
                          </w:rPr>
                        </w:pPr>
                        <w:r>
                          <w:rPr>
                            <w:sz w:val="20"/>
                          </w:rPr>
                          <w:t>7</w:t>
                          <w:tab/>
                        </w:r>
                        <w:r>
                          <w:rPr>
                            <w:position w:val="1"/>
                            <w:sz w:val="16"/>
                          </w:rPr>
                          <w:t>¿Tiene miedo por el futuro de</w:t>
                        </w:r>
                        <w:r>
                          <w:rPr>
                            <w:spacing w:val="-10"/>
                            <w:position w:val="1"/>
                            <w:sz w:val="16"/>
                          </w:rPr>
                          <w:t> </w:t>
                        </w:r>
                        <w:r>
                          <w:rPr>
                            <w:position w:val="1"/>
                            <w:sz w:val="16"/>
                          </w:rPr>
                          <w:t>su</w:t>
                        </w:r>
                        <w:r>
                          <w:rPr>
                            <w:spacing w:val="-1"/>
                            <w:position w:val="1"/>
                            <w:sz w:val="16"/>
                          </w:rPr>
                          <w:t> </w:t>
                        </w:r>
                        <w:r>
                          <w:rPr>
                            <w:position w:val="1"/>
                            <w:sz w:val="16"/>
                          </w:rPr>
                          <w:t>familia?</w:t>
                          <w:tab/>
                        </w:r>
                        <w:r>
                          <w:rPr>
                            <w:sz w:val="20"/>
                          </w:rPr>
                          <w:t>-</w:t>
                        </w:r>
                      </w:p>
                    </w:tc>
                    <w:tc>
                      <w:tcPr>
                        <w:tcW w:w="831" w:type="dxa"/>
                        <w:tcBorders>
                          <w:top w:val="single" w:sz="4" w:space="0" w:color="000000"/>
                          <w:bottom w:val="single" w:sz="4" w:space="0" w:color="000000"/>
                        </w:tcBorders>
                      </w:tcPr>
                      <w:p>
                        <w:pPr>
                          <w:pStyle w:val="TableParagraph"/>
                          <w:spacing w:before="23"/>
                          <w:ind w:right="308"/>
                          <w:jc w:val="right"/>
                          <w:rPr>
                            <w:sz w:val="18"/>
                          </w:rPr>
                        </w:pPr>
                        <w:r>
                          <w:rPr>
                            <w:w w:val="95"/>
                            <w:sz w:val="18"/>
                          </w:rPr>
                          <w:t>6.6</w:t>
                        </w:r>
                      </w:p>
                    </w:tc>
                    <w:tc>
                      <w:tcPr>
                        <w:tcW w:w="680" w:type="dxa"/>
                        <w:tcBorders>
                          <w:top w:val="single" w:sz="4" w:space="0" w:color="000000"/>
                          <w:bottom w:val="single" w:sz="4" w:space="0" w:color="000000"/>
                        </w:tcBorders>
                      </w:tcPr>
                      <w:p>
                        <w:pPr>
                          <w:pStyle w:val="TableParagraph"/>
                          <w:spacing w:before="23"/>
                          <w:ind w:right="192"/>
                          <w:jc w:val="right"/>
                          <w:rPr>
                            <w:sz w:val="18"/>
                          </w:rPr>
                        </w:pPr>
                        <w:r>
                          <w:rPr>
                            <w:w w:val="95"/>
                            <w:sz w:val="18"/>
                          </w:rPr>
                          <w:t>36.7</w:t>
                        </w:r>
                      </w:p>
                    </w:tc>
                    <w:tc>
                      <w:tcPr>
                        <w:tcW w:w="860" w:type="dxa"/>
                        <w:tcBorders>
                          <w:top w:val="single" w:sz="4" w:space="0" w:color="000000"/>
                          <w:bottom w:val="single" w:sz="4" w:space="0" w:color="000000"/>
                        </w:tcBorders>
                      </w:tcPr>
                      <w:p>
                        <w:pPr>
                          <w:pStyle w:val="TableParagraph"/>
                          <w:spacing w:before="23"/>
                          <w:ind w:left="75" w:right="75"/>
                          <w:rPr>
                            <w:sz w:val="18"/>
                          </w:rPr>
                        </w:pPr>
                        <w:r>
                          <w:rPr>
                            <w:sz w:val="18"/>
                          </w:rPr>
                          <w:t>36.7</w:t>
                        </w:r>
                      </w:p>
                    </w:tc>
                    <w:tc>
                      <w:tcPr>
                        <w:tcW w:w="739" w:type="dxa"/>
                        <w:tcBorders>
                          <w:top w:val="single" w:sz="4" w:space="0" w:color="000000"/>
                          <w:bottom w:val="single" w:sz="4" w:space="0" w:color="000000"/>
                        </w:tcBorders>
                      </w:tcPr>
                      <w:p>
                        <w:pPr>
                          <w:pStyle w:val="TableParagraph"/>
                          <w:spacing w:before="23"/>
                          <w:ind w:right="266"/>
                          <w:jc w:val="right"/>
                          <w:rPr>
                            <w:sz w:val="18"/>
                          </w:rPr>
                        </w:pPr>
                        <w:r>
                          <w:rPr>
                            <w:w w:val="95"/>
                            <w:sz w:val="18"/>
                          </w:rPr>
                          <w:t>20</w:t>
                        </w:r>
                      </w:p>
                    </w:tc>
                  </w:tr>
                  <w:tr>
                    <w:trPr>
                      <w:trHeight w:val="355" w:hRule="exact"/>
                    </w:trPr>
                    <w:tc>
                      <w:tcPr>
                        <w:tcW w:w="5869" w:type="dxa"/>
                        <w:tcBorders>
                          <w:top w:val="single" w:sz="4" w:space="0" w:color="000000"/>
                          <w:bottom w:val="single" w:sz="4" w:space="0" w:color="000000"/>
                        </w:tcBorders>
                      </w:tcPr>
                      <w:p>
                        <w:pPr>
                          <w:pStyle w:val="TableParagraph"/>
                          <w:tabs>
                            <w:tab w:pos="1257" w:val="left" w:leader="none"/>
                            <w:tab w:pos="5489" w:val="left" w:leader="none"/>
                          </w:tabs>
                          <w:spacing w:before="55"/>
                          <w:ind w:left="167"/>
                          <w:jc w:val="left"/>
                          <w:rPr>
                            <w:sz w:val="20"/>
                          </w:rPr>
                        </w:pPr>
                        <w:r>
                          <w:rPr>
                            <w:sz w:val="20"/>
                          </w:rPr>
                          <w:t>8</w:t>
                          <w:tab/>
                        </w:r>
                        <w:r>
                          <w:rPr>
                            <w:position w:val="1"/>
                            <w:sz w:val="16"/>
                          </w:rPr>
                          <w:t>¿Piensa que su familiar depende</w:t>
                        </w:r>
                        <w:r>
                          <w:rPr>
                            <w:spacing w:val="-11"/>
                            <w:position w:val="1"/>
                            <w:sz w:val="16"/>
                          </w:rPr>
                          <w:t> </w:t>
                        </w:r>
                        <w:r>
                          <w:rPr>
                            <w:position w:val="1"/>
                            <w:sz w:val="16"/>
                          </w:rPr>
                          <w:t>de</w:t>
                        </w:r>
                        <w:r>
                          <w:rPr>
                            <w:spacing w:val="-1"/>
                            <w:position w:val="1"/>
                            <w:sz w:val="16"/>
                          </w:rPr>
                          <w:t> </w:t>
                        </w:r>
                        <w:r>
                          <w:rPr>
                            <w:position w:val="1"/>
                            <w:sz w:val="16"/>
                          </w:rPr>
                          <w:t>usted?</w:t>
                          <w:tab/>
                        </w:r>
                        <w:r>
                          <w:rPr>
                            <w:sz w:val="20"/>
                          </w:rPr>
                          <w:t>-</w:t>
                        </w:r>
                      </w:p>
                    </w:tc>
                    <w:tc>
                      <w:tcPr>
                        <w:tcW w:w="831" w:type="dxa"/>
                        <w:tcBorders>
                          <w:top w:val="single" w:sz="4" w:space="0" w:color="000000"/>
                          <w:bottom w:val="single" w:sz="4" w:space="0" w:color="000000"/>
                        </w:tcBorders>
                      </w:tcPr>
                      <w:p>
                        <w:pPr>
                          <w:pStyle w:val="TableParagraph"/>
                          <w:spacing w:before="68"/>
                          <w:ind w:right="308"/>
                          <w:jc w:val="right"/>
                          <w:rPr>
                            <w:sz w:val="18"/>
                          </w:rPr>
                        </w:pPr>
                        <w:r>
                          <w:rPr>
                            <w:w w:val="95"/>
                            <w:sz w:val="18"/>
                          </w:rPr>
                          <w:t>3.3</w:t>
                        </w:r>
                      </w:p>
                    </w:tc>
                    <w:tc>
                      <w:tcPr>
                        <w:tcW w:w="680" w:type="dxa"/>
                        <w:tcBorders>
                          <w:top w:val="single" w:sz="4" w:space="0" w:color="000000"/>
                          <w:bottom w:val="single" w:sz="4" w:space="0" w:color="000000"/>
                        </w:tcBorders>
                      </w:tcPr>
                      <w:p>
                        <w:pPr>
                          <w:pStyle w:val="TableParagraph"/>
                          <w:spacing w:before="68"/>
                          <w:ind w:right="192"/>
                          <w:jc w:val="right"/>
                          <w:rPr>
                            <w:sz w:val="18"/>
                          </w:rPr>
                        </w:pPr>
                        <w:r>
                          <w:rPr>
                            <w:w w:val="95"/>
                            <w:sz w:val="18"/>
                          </w:rPr>
                          <w:t>46.7</w:t>
                        </w:r>
                      </w:p>
                    </w:tc>
                    <w:tc>
                      <w:tcPr>
                        <w:tcW w:w="860" w:type="dxa"/>
                        <w:tcBorders>
                          <w:top w:val="single" w:sz="4" w:space="0" w:color="000000"/>
                          <w:bottom w:val="single" w:sz="4" w:space="0" w:color="000000"/>
                        </w:tcBorders>
                      </w:tcPr>
                      <w:p>
                        <w:pPr>
                          <w:pStyle w:val="TableParagraph"/>
                          <w:spacing w:before="68"/>
                          <w:ind w:left="75" w:right="75"/>
                          <w:rPr>
                            <w:sz w:val="18"/>
                          </w:rPr>
                        </w:pPr>
                        <w:r>
                          <w:rPr>
                            <w:sz w:val="18"/>
                          </w:rPr>
                          <w:t>33.3</w:t>
                        </w:r>
                      </w:p>
                    </w:tc>
                    <w:tc>
                      <w:tcPr>
                        <w:tcW w:w="739" w:type="dxa"/>
                        <w:tcBorders>
                          <w:top w:val="single" w:sz="4" w:space="0" w:color="000000"/>
                          <w:bottom w:val="single" w:sz="4" w:space="0" w:color="000000"/>
                        </w:tcBorders>
                      </w:tcPr>
                      <w:p>
                        <w:pPr>
                          <w:pStyle w:val="TableParagraph"/>
                          <w:spacing w:before="68"/>
                          <w:ind w:right="193"/>
                          <w:jc w:val="right"/>
                          <w:rPr>
                            <w:sz w:val="18"/>
                          </w:rPr>
                        </w:pPr>
                        <w:r>
                          <w:rPr>
                            <w:w w:val="95"/>
                            <w:sz w:val="18"/>
                          </w:rPr>
                          <w:t>16.7</w:t>
                        </w:r>
                      </w:p>
                    </w:tc>
                  </w:tr>
                  <w:tr>
                    <w:trPr>
                      <w:trHeight w:val="490" w:hRule="exact"/>
                    </w:trPr>
                    <w:tc>
                      <w:tcPr>
                        <w:tcW w:w="5869" w:type="dxa"/>
                        <w:tcBorders>
                          <w:top w:val="single" w:sz="4" w:space="0" w:color="000000"/>
                          <w:bottom w:val="single" w:sz="4" w:space="0" w:color="000000"/>
                        </w:tcBorders>
                      </w:tcPr>
                      <w:p>
                        <w:pPr>
                          <w:pStyle w:val="TableParagraph"/>
                          <w:tabs>
                            <w:tab w:pos="561" w:val="left" w:leader="none"/>
                          </w:tabs>
                          <w:spacing w:before="54"/>
                          <w:ind w:left="167"/>
                          <w:jc w:val="left"/>
                          <w:rPr>
                            <w:sz w:val="16"/>
                          </w:rPr>
                        </w:pPr>
                        <w:r>
                          <w:rPr>
                            <w:position w:val="-10"/>
                            <w:sz w:val="20"/>
                          </w:rPr>
                          <w:t>9</w:t>
                          <w:tab/>
                        </w:r>
                        <w:r>
                          <w:rPr>
                            <w:sz w:val="16"/>
                          </w:rPr>
                          <w:t>¿Piensa que su salud ha empeorado debido a tener que</w:t>
                        </w:r>
                        <w:r>
                          <w:rPr>
                            <w:spacing w:val="-11"/>
                            <w:sz w:val="16"/>
                          </w:rPr>
                          <w:t> </w:t>
                        </w:r>
                        <w:r>
                          <w:rPr>
                            <w:sz w:val="16"/>
                          </w:rPr>
                          <w:t>cuidar</w:t>
                        </w:r>
                      </w:p>
                    </w:tc>
                    <w:tc>
                      <w:tcPr>
                        <w:tcW w:w="831" w:type="dxa"/>
                        <w:tcBorders>
                          <w:top w:val="single" w:sz="4" w:space="0" w:color="000000"/>
                          <w:bottom w:val="single" w:sz="4" w:space="0" w:color="000000"/>
                        </w:tcBorders>
                      </w:tcPr>
                      <w:p>
                        <w:pPr>
                          <w:pStyle w:val="TableParagraph"/>
                          <w:spacing w:before="136"/>
                          <w:ind w:right="330"/>
                          <w:jc w:val="right"/>
                          <w:rPr>
                            <w:sz w:val="18"/>
                          </w:rPr>
                        </w:pPr>
                        <w:r>
                          <w:rPr>
                            <w:w w:val="95"/>
                            <w:sz w:val="18"/>
                          </w:rPr>
                          <w:t>20</w:t>
                        </w:r>
                      </w:p>
                    </w:tc>
                    <w:tc>
                      <w:tcPr>
                        <w:tcW w:w="680" w:type="dxa"/>
                        <w:tcBorders>
                          <w:top w:val="single" w:sz="4" w:space="0" w:color="000000"/>
                          <w:bottom w:val="single" w:sz="4" w:space="0" w:color="000000"/>
                        </w:tcBorders>
                      </w:tcPr>
                      <w:p>
                        <w:pPr>
                          <w:pStyle w:val="TableParagraph"/>
                          <w:spacing w:before="136"/>
                          <w:ind w:right="192"/>
                          <w:jc w:val="right"/>
                          <w:rPr>
                            <w:sz w:val="18"/>
                          </w:rPr>
                        </w:pPr>
                        <w:r>
                          <w:rPr>
                            <w:w w:val="95"/>
                            <w:sz w:val="18"/>
                          </w:rPr>
                          <w:t>26.7</w:t>
                        </w:r>
                      </w:p>
                    </w:tc>
                    <w:tc>
                      <w:tcPr>
                        <w:tcW w:w="860" w:type="dxa"/>
                        <w:tcBorders>
                          <w:top w:val="single" w:sz="4" w:space="0" w:color="000000"/>
                          <w:bottom w:val="single" w:sz="4" w:space="0" w:color="000000"/>
                        </w:tcBorders>
                      </w:tcPr>
                      <w:p>
                        <w:pPr>
                          <w:pStyle w:val="TableParagraph"/>
                          <w:spacing w:before="136"/>
                          <w:ind w:left="75" w:right="75"/>
                          <w:rPr>
                            <w:sz w:val="18"/>
                          </w:rPr>
                        </w:pPr>
                        <w:r>
                          <w:rPr>
                            <w:sz w:val="18"/>
                          </w:rPr>
                          <w:t>36.7</w:t>
                        </w:r>
                      </w:p>
                    </w:tc>
                    <w:tc>
                      <w:tcPr>
                        <w:tcW w:w="739" w:type="dxa"/>
                        <w:tcBorders>
                          <w:top w:val="single" w:sz="4" w:space="0" w:color="000000"/>
                          <w:bottom w:val="single" w:sz="4" w:space="0" w:color="000000"/>
                        </w:tcBorders>
                      </w:tcPr>
                      <w:p>
                        <w:pPr>
                          <w:pStyle w:val="TableParagraph"/>
                          <w:spacing w:before="136"/>
                          <w:ind w:right="193"/>
                          <w:jc w:val="right"/>
                          <w:rPr>
                            <w:sz w:val="18"/>
                          </w:rPr>
                        </w:pPr>
                        <w:r>
                          <w:rPr>
                            <w:w w:val="95"/>
                            <w:sz w:val="18"/>
                          </w:rPr>
                          <w:t>13.3</w:t>
                        </w:r>
                      </w:p>
                    </w:tc>
                  </w:tr>
                  <w:tr>
                    <w:trPr>
                      <w:trHeight w:val="312" w:hRule="exact"/>
                    </w:trPr>
                    <w:tc>
                      <w:tcPr>
                        <w:tcW w:w="5869" w:type="dxa"/>
                        <w:tcBorders>
                          <w:top w:val="single" w:sz="4" w:space="0" w:color="000000"/>
                          <w:bottom w:val="single" w:sz="4" w:space="0" w:color="000000"/>
                        </w:tcBorders>
                      </w:tcPr>
                      <w:p>
                        <w:pPr>
                          <w:pStyle w:val="TableParagraph"/>
                          <w:tabs>
                            <w:tab w:pos="981" w:val="left" w:leader="none"/>
                            <w:tab w:pos="5649" w:val="right" w:leader="none"/>
                          </w:tabs>
                          <w:spacing w:before="33"/>
                          <w:ind w:left="110"/>
                          <w:jc w:val="left"/>
                          <w:rPr>
                            <w:sz w:val="18"/>
                          </w:rPr>
                        </w:pPr>
                        <w:r>
                          <w:rPr>
                            <w:sz w:val="20"/>
                          </w:rPr>
                          <w:t>10</w:t>
                          <w:tab/>
                        </w:r>
                        <w:r>
                          <w:rPr>
                            <w:position w:val="1"/>
                            <w:sz w:val="16"/>
                          </w:rPr>
                          <w:t>¿Se siente tenso cuando esta cerca de</w:t>
                        </w:r>
                        <w:r>
                          <w:rPr>
                            <w:spacing w:val="-13"/>
                            <w:position w:val="1"/>
                            <w:sz w:val="16"/>
                          </w:rPr>
                          <w:t> </w:t>
                        </w:r>
                        <w:r>
                          <w:rPr>
                            <w:position w:val="1"/>
                            <w:sz w:val="16"/>
                          </w:rPr>
                          <w:t>su</w:t>
                        </w:r>
                        <w:r>
                          <w:rPr>
                            <w:spacing w:val="-3"/>
                            <w:position w:val="1"/>
                            <w:sz w:val="16"/>
                          </w:rPr>
                          <w:t> </w:t>
                        </w:r>
                        <w:r>
                          <w:rPr>
                            <w:position w:val="1"/>
                            <w:sz w:val="16"/>
                          </w:rPr>
                          <w:t>familiar?</w:t>
                        </w:r>
                        <w:r>
                          <w:rPr>
                            <w:sz w:val="18"/>
                          </w:rPr>
                          <w:tab/>
                          <w:t>3.3</w:t>
                        </w:r>
                      </w:p>
                    </w:tc>
                    <w:tc>
                      <w:tcPr>
                        <w:tcW w:w="831" w:type="dxa"/>
                        <w:tcBorders>
                          <w:top w:val="single" w:sz="4" w:space="0" w:color="000000"/>
                          <w:bottom w:val="single" w:sz="4" w:space="0" w:color="000000"/>
                        </w:tcBorders>
                      </w:tcPr>
                      <w:p>
                        <w:pPr>
                          <w:pStyle w:val="TableParagraph"/>
                          <w:spacing w:before="47"/>
                          <w:ind w:right="330"/>
                          <w:jc w:val="right"/>
                          <w:rPr>
                            <w:sz w:val="18"/>
                          </w:rPr>
                        </w:pPr>
                        <w:r>
                          <w:rPr>
                            <w:w w:val="95"/>
                            <w:sz w:val="18"/>
                          </w:rPr>
                          <w:t>20</w:t>
                        </w:r>
                      </w:p>
                    </w:tc>
                    <w:tc>
                      <w:tcPr>
                        <w:tcW w:w="680" w:type="dxa"/>
                        <w:tcBorders>
                          <w:top w:val="single" w:sz="4" w:space="0" w:color="000000"/>
                          <w:bottom w:val="single" w:sz="4" w:space="0" w:color="000000"/>
                        </w:tcBorders>
                      </w:tcPr>
                      <w:p>
                        <w:pPr>
                          <w:pStyle w:val="TableParagraph"/>
                          <w:spacing w:before="47"/>
                          <w:ind w:right="265"/>
                          <w:jc w:val="right"/>
                          <w:rPr>
                            <w:sz w:val="18"/>
                          </w:rPr>
                        </w:pPr>
                        <w:r>
                          <w:rPr>
                            <w:w w:val="95"/>
                            <w:sz w:val="18"/>
                          </w:rPr>
                          <w:t>30</w:t>
                        </w:r>
                      </w:p>
                    </w:tc>
                    <w:tc>
                      <w:tcPr>
                        <w:tcW w:w="860" w:type="dxa"/>
                        <w:tcBorders>
                          <w:top w:val="single" w:sz="4" w:space="0" w:color="000000"/>
                          <w:bottom w:val="single" w:sz="4" w:space="0" w:color="000000"/>
                        </w:tcBorders>
                      </w:tcPr>
                      <w:p>
                        <w:pPr>
                          <w:pStyle w:val="TableParagraph"/>
                          <w:spacing w:before="47"/>
                          <w:ind w:left="75" w:right="75"/>
                          <w:rPr>
                            <w:sz w:val="18"/>
                          </w:rPr>
                        </w:pPr>
                        <w:r>
                          <w:rPr>
                            <w:sz w:val="18"/>
                          </w:rPr>
                          <w:t>40</w:t>
                        </w:r>
                      </w:p>
                    </w:tc>
                    <w:tc>
                      <w:tcPr>
                        <w:tcW w:w="739" w:type="dxa"/>
                        <w:tcBorders>
                          <w:top w:val="single" w:sz="4" w:space="0" w:color="000000"/>
                          <w:bottom w:val="single" w:sz="4" w:space="0" w:color="000000"/>
                        </w:tcBorders>
                      </w:tcPr>
                      <w:p>
                        <w:pPr>
                          <w:pStyle w:val="TableParagraph"/>
                          <w:spacing w:before="47"/>
                          <w:ind w:right="244"/>
                          <w:jc w:val="right"/>
                          <w:rPr>
                            <w:sz w:val="18"/>
                          </w:rPr>
                        </w:pPr>
                        <w:r>
                          <w:rPr>
                            <w:w w:val="95"/>
                            <w:sz w:val="18"/>
                          </w:rPr>
                          <w:t>6.7</w:t>
                        </w:r>
                      </w:p>
                    </w:tc>
                  </w:tr>
                  <w:tr>
                    <w:trPr>
                      <w:trHeight w:val="458" w:hRule="exact"/>
                    </w:trPr>
                    <w:tc>
                      <w:tcPr>
                        <w:tcW w:w="5869" w:type="dxa"/>
                        <w:tcBorders>
                          <w:top w:val="single" w:sz="4" w:space="0" w:color="000000"/>
                          <w:bottom w:val="single" w:sz="4" w:space="0" w:color="000000"/>
                        </w:tcBorders>
                      </w:tcPr>
                      <w:p>
                        <w:pPr>
                          <w:pStyle w:val="TableParagraph"/>
                          <w:tabs>
                            <w:tab w:pos="559" w:val="left" w:leader="none"/>
                          </w:tabs>
                          <w:spacing w:before="37"/>
                          <w:ind w:left="110"/>
                          <w:jc w:val="left"/>
                          <w:rPr>
                            <w:sz w:val="16"/>
                          </w:rPr>
                        </w:pPr>
                        <w:r>
                          <w:rPr>
                            <w:position w:val="-10"/>
                            <w:sz w:val="20"/>
                          </w:rPr>
                          <w:t>11</w:t>
                          <w:tab/>
                        </w:r>
                        <w:r>
                          <w:rPr>
                            <w:sz w:val="16"/>
                          </w:rPr>
                          <w:t>¿Piensa que no tiene tanta intimidad como le gustaría debido</w:t>
                        </w:r>
                        <w:r>
                          <w:rPr>
                            <w:spacing w:val="-20"/>
                            <w:sz w:val="16"/>
                          </w:rPr>
                          <w:t> </w:t>
                        </w:r>
                        <w:r>
                          <w:rPr>
                            <w:sz w:val="16"/>
                          </w:rPr>
                          <w:t>a</w:t>
                        </w:r>
                      </w:p>
                    </w:tc>
                    <w:tc>
                      <w:tcPr>
                        <w:tcW w:w="831" w:type="dxa"/>
                        <w:tcBorders>
                          <w:top w:val="single" w:sz="4" w:space="0" w:color="000000"/>
                          <w:bottom w:val="single" w:sz="4" w:space="0" w:color="000000"/>
                        </w:tcBorders>
                      </w:tcPr>
                      <w:p>
                        <w:pPr>
                          <w:pStyle w:val="TableParagraph"/>
                          <w:spacing w:before="119"/>
                          <w:ind w:right="257"/>
                          <w:jc w:val="right"/>
                          <w:rPr>
                            <w:sz w:val="18"/>
                          </w:rPr>
                        </w:pPr>
                        <w:r>
                          <w:rPr>
                            <w:w w:val="95"/>
                            <w:sz w:val="18"/>
                          </w:rPr>
                          <w:t>16.7</w:t>
                        </w:r>
                      </w:p>
                    </w:tc>
                    <w:tc>
                      <w:tcPr>
                        <w:tcW w:w="680" w:type="dxa"/>
                        <w:tcBorders>
                          <w:top w:val="single" w:sz="4" w:space="0" w:color="000000"/>
                          <w:bottom w:val="single" w:sz="4" w:space="0" w:color="000000"/>
                        </w:tcBorders>
                      </w:tcPr>
                      <w:p>
                        <w:pPr>
                          <w:pStyle w:val="TableParagraph"/>
                          <w:spacing w:before="119"/>
                          <w:ind w:right="192"/>
                          <w:jc w:val="right"/>
                          <w:rPr>
                            <w:sz w:val="18"/>
                          </w:rPr>
                        </w:pPr>
                        <w:r>
                          <w:rPr>
                            <w:w w:val="95"/>
                            <w:sz w:val="18"/>
                          </w:rPr>
                          <w:t>33.3</w:t>
                        </w:r>
                      </w:p>
                    </w:tc>
                    <w:tc>
                      <w:tcPr>
                        <w:tcW w:w="860" w:type="dxa"/>
                        <w:tcBorders>
                          <w:top w:val="single" w:sz="4" w:space="0" w:color="000000"/>
                          <w:bottom w:val="single" w:sz="4" w:space="0" w:color="000000"/>
                        </w:tcBorders>
                      </w:tcPr>
                      <w:p>
                        <w:pPr>
                          <w:pStyle w:val="TableParagraph"/>
                          <w:spacing w:before="119"/>
                          <w:ind w:left="75" w:right="75"/>
                          <w:rPr>
                            <w:sz w:val="18"/>
                          </w:rPr>
                        </w:pPr>
                        <w:r>
                          <w:rPr>
                            <w:sz w:val="18"/>
                          </w:rPr>
                          <w:t>40</w:t>
                        </w:r>
                      </w:p>
                    </w:tc>
                    <w:tc>
                      <w:tcPr>
                        <w:tcW w:w="739" w:type="dxa"/>
                        <w:tcBorders>
                          <w:top w:val="single" w:sz="4" w:space="0" w:color="000000"/>
                          <w:bottom w:val="single" w:sz="4" w:space="0" w:color="000000"/>
                        </w:tcBorders>
                      </w:tcPr>
                      <w:p>
                        <w:pPr>
                          <w:pStyle w:val="TableParagraph"/>
                          <w:spacing w:before="119"/>
                          <w:ind w:right="266"/>
                          <w:jc w:val="right"/>
                          <w:rPr>
                            <w:sz w:val="18"/>
                          </w:rPr>
                        </w:pPr>
                        <w:r>
                          <w:rPr>
                            <w:w w:val="95"/>
                            <w:sz w:val="18"/>
                          </w:rPr>
                          <w:t>10</w:t>
                        </w:r>
                      </w:p>
                    </w:tc>
                  </w:tr>
                  <w:tr>
                    <w:trPr>
                      <w:trHeight w:val="461" w:hRule="exact"/>
                    </w:trPr>
                    <w:tc>
                      <w:tcPr>
                        <w:tcW w:w="5869" w:type="dxa"/>
                        <w:tcBorders>
                          <w:top w:val="single" w:sz="4" w:space="0" w:color="000000"/>
                          <w:bottom w:val="single" w:sz="4" w:space="0" w:color="000000"/>
                        </w:tcBorders>
                      </w:tcPr>
                      <w:p>
                        <w:pPr>
                          <w:pStyle w:val="TableParagraph"/>
                          <w:tabs>
                            <w:tab w:pos="611" w:val="left" w:leader="none"/>
                          </w:tabs>
                          <w:spacing w:before="39"/>
                          <w:ind w:left="110"/>
                          <w:jc w:val="left"/>
                          <w:rPr>
                            <w:sz w:val="16"/>
                          </w:rPr>
                        </w:pPr>
                        <w:r>
                          <w:rPr>
                            <w:position w:val="-10"/>
                            <w:sz w:val="20"/>
                          </w:rPr>
                          <w:t>12</w:t>
                          <w:tab/>
                        </w:r>
                        <w:r>
                          <w:rPr>
                            <w:sz w:val="16"/>
                          </w:rPr>
                          <w:t>¿Siente que si vida social se ha visto afectada</w:t>
                        </w:r>
                        <w:r>
                          <w:rPr>
                            <w:spacing w:val="-24"/>
                            <w:sz w:val="16"/>
                          </w:rPr>
                          <w:t> </w:t>
                        </w:r>
                        <w:r>
                          <w:rPr>
                            <w:sz w:val="16"/>
                          </w:rPr>
                          <w:t>negativamente</w:t>
                        </w:r>
                      </w:p>
                    </w:tc>
                    <w:tc>
                      <w:tcPr>
                        <w:tcW w:w="831" w:type="dxa"/>
                        <w:tcBorders>
                          <w:top w:val="single" w:sz="4" w:space="0" w:color="000000"/>
                          <w:bottom w:val="single" w:sz="4" w:space="0" w:color="000000"/>
                        </w:tcBorders>
                      </w:tcPr>
                      <w:p>
                        <w:pPr>
                          <w:pStyle w:val="TableParagraph"/>
                          <w:spacing w:before="121"/>
                          <w:ind w:right="257"/>
                          <w:jc w:val="right"/>
                          <w:rPr>
                            <w:sz w:val="18"/>
                          </w:rPr>
                        </w:pPr>
                        <w:r>
                          <w:rPr>
                            <w:w w:val="95"/>
                            <w:sz w:val="18"/>
                          </w:rPr>
                          <w:t>13.3</w:t>
                        </w:r>
                      </w:p>
                    </w:tc>
                    <w:tc>
                      <w:tcPr>
                        <w:tcW w:w="680" w:type="dxa"/>
                        <w:tcBorders>
                          <w:top w:val="single" w:sz="4" w:space="0" w:color="000000"/>
                          <w:bottom w:val="single" w:sz="4" w:space="0" w:color="000000"/>
                        </w:tcBorders>
                      </w:tcPr>
                      <w:p>
                        <w:pPr>
                          <w:pStyle w:val="TableParagraph"/>
                          <w:spacing w:before="121"/>
                          <w:ind w:right="192"/>
                          <w:jc w:val="right"/>
                          <w:rPr>
                            <w:sz w:val="18"/>
                          </w:rPr>
                        </w:pPr>
                        <w:r>
                          <w:rPr>
                            <w:w w:val="95"/>
                            <w:sz w:val="18"/>
                          </w:rPr>
                          <w:t>36.7</w:t>
                        </w:r>
                      </w:p>
                    </w:tc>
                    <w:tc>
                      <w:tcPr>
                        <w:tcW w:w="860" w:type="dxa"/>
                        <w:tcBorders>
                          <w:top w:val="single" w:sz="4" w:space="0" w:color="000000"/>
                          <w:bottom w:val="single" w:sz="4" w:space="0" w:color="000000"/>
                        </w:tcBorders>
                      </w:tcPr>
                      <w:p>
                        <w:pPr>
                          <w:pStyle w:val="TableParagraph"/>
                          <w:spacing w:before="121"/>
                          <w:ind w:left="75" w:right="75"/>
                          <w:rPr>
                            <w:sz w:val="18"/>
                          </w:rPr>
                        </w:pPr>
                        <w:r>
                          <w:rPr>
                            <w:sz w:val="18"/>
                          </w:rPr>
                          <w:t>33.3</w:t>
                        </w:r>
                      </w:p>
                    </w:tc>
                    <w:tc>
                      <w:tcPr>
                        <w:tcW w:w="739" w:type="dxa"/>
                        <w:tcBorders>
                          <w:top w:val="single" w:sz="4" w:space="0" w:color="000000"/>
                          <w:bottom w:val="single" w:sz="4" w:space="0" w:color="000000"/>
                        </w:tcBorders>
                      </w:tcPr>
                      <w:p>
                        <w:pPr>
                          <w:pStyle w:val="TableParagraph"/>
                          <w:spacing w:before="121"/>
                          <w:ind w:right="193"/>
                          <w:jc w:val="right"/>
                          <w:rPr>
                            <w:sz w:val="18"/>
                          </w:rPr>
                        </w:pPr>
                        <w:r>
                          <w:rPr>
                            <w:w w:val="95"/>
                            <w:sz w:val="18"/>
                          </w:rPr>
                          <w:t>16.7</w:t>
                        </w:r>
                      </w:p>
                    </w:tc>
                  </w:tr>
                  <w:tr>
                    <w:trPr>
                      <w:trHeight w:val="461" w:hRule="exact"/>
                    </w:trPr>
                    <w:tc>
                      <w:tcPr>
                        <w:tcW w:w="5869" w:type="dxa"/>
                        <w:tcBorders>
                          <w:top w:val="single" w:sz="4" w:space="0" w:color="000000"/>
                          <w:bottom w:val="single" w:sz="4" w:space="0" w:color="000000"/>
                        </w:tcBorders>
                      </w:tcPr>
                      <w:p>
                        <w:pPr>
                          <w:pStyle w:val="TableParagraph"/>
                          <w:tabs>
                            <w:tab w:pos="554" w:val="left" w:leader="none"/>
                          </w:tabs>
                          <w:spacing w:before="37"/>
                          <w:ind w:left="110"/>
                          <w:jc w:val="left"/>
                          <w:rPr>
                            <w:sz w:val="16"/>
                          </w:rPr>
                        </w:pPr>
                        <w:r>
                          <w:rPr>
                            <w:position w:val="-10"/>
                            <w:sz w:val="20"/>
                          </w:rPr>
                          <w:t>13</w:t>
                          <w:tab/>
                        </w:r>
                        <w:r>
                          <w:rPr>
                            <w:sz w:val="16"/>
                          </w:rPr>
                          <w:t>¿Se siente incómodo por distanciarse de sus amistades</w:t>
                        </w:r>
                        <w:r>
                          <w:rPr>
                            <w:spacing w:val="-25"/>
                            <w:sz w:val="16"/>
                          </w:rPr>
                          <w:t> </w:t>
                        </w:r>
                        <w:r>
                          <w:rPr>
                            <w:sz w:val="16"/>
                          </w:rPr>
                          <w:t>debido</w:t>
                        </w:r>
                      </w:p>
                    </w:tc>
                    <w:tc>
                      <w:tcPr>
                        <w:tcW w:w="831" w:type="dxa"/>
                        <w:tcBorders>
                          <w:top w:val="single" w:sz="4" w:space="0" w:color="000000"/>
                          <w:bottom w:val="single" w:sz="4" w:space="0" w:color="000000"/>
                        </w:tcBorders>
                      </w:tcPr>
                      <w:p>
                        <w:pPr>
                          <w:pStyle w:val="TableParagraph"/>
                          <w:spacing w:before="121"/>
                          <w:ind w:right="330"/>
                          <w:jc w:val="right"/>
                          <w:rPr>
                            <w:sz w:val="18"/>
                          </w:rPr>
                        </w:pPr>
                        <w:r>
                          <w:rPr>
                            <w:w w:val="95"/>
                            <w:sz w:val="18"/>
                          </w:rPr>
                          <w:t>20</w:t>
                        </w:r>
                      </w:p>
                    </w:tc>
                    <w:tc>
                      <w:tcPr>
                        <w:tcW w:w="680" w:type="dxa"/>
                        <w:tcBorders>
                          <w:top w:val="single" w:sz="4" w:space="0" w:color="000000"/>
                          <w:bottom w:val="single" w:sz="4" w:space="0" w:color="000000"/>
                        </w:tcBorders>
                      </w:tcPr>
                      <w:p>
                        <w:pPr>
                          <w:pStyle w:val="TableParagraph"/>
                          <w:spacing w:before="121"/>
                          <w:ind w:right="192"/>
                          <w:jc w:val="right"/>
                          <w:rPr>
                            <w:sz w:val="18"/>
                          </w:rPr>
                        </w:pPr>
                        <w:r>
                          <w:rPr>
                            <w:w w:val="95"/>
                            <w:sz w:val="18"/>
                          </w:rPr>
                          <w:t>23.3</w:t>
                        </w:r>
                      </w:p>
                    </w:tc>
                    <w:tc>
                      <w:tcPr>
                        <w:tcW w:w="860" w:type="dxa"/>
                        <w:tcBorders>
                          <w:top w:val="single" w:sz="4" w:space="0" w:color="000000"/>
                          <w:bottom w:val="single" w:sz="4" w:space="0" w:color="000000"/>
                        </w:tcBorders>
                      </w:tcPr>
                      <w:p>
                        <w:pPr>
                          <w:pStyle w:val="TableParagraph"/>
                          <w:spacing w:before="121"/>
                          <w:ind w:left="75" w:right="75"/>
                          <w:rPr>
                            <w:sz w:val="18"/>
                          </w:rPr>
                        </w:pPr>
                        <w:r>
                          <w:rPr>
                            <w:sz w:val="18"/>
                          </w:rPr>
                          <w:t>46.7</w:t>
                        </w:r>
                      </w:p>
                    </w:tc>
                    <w:tc>
                      <w:tcPr>
                        <w:tcW w:w="739" w:type="dxa"/>
                        <w:tcBorders>
                          <w:top w:val="single" w:sz="4" w:space="0" w:color="000000"/>
                          <w:bottom w:val="single" w:sz="4" w:space="0" w:color="000000"/>
                        </w:tcBorders>
                      </w:tcPr>
                      <w:p>
                        <w:pPr>
                          <w:pStyle w:val="TableParagraph"/>
                          <w:spacing w:before="121"/>
                          <w:ind w:right="266"/>
                          <w:jc w:val="right"/>
                          <w:rPr>
                            <w:sz w:val="18"/>
                          </w:rPr>
                        </w:pPr>
                        <w:r>
                          <w:rPr>
                            <w:w w:val="95"/>
                            <w:sz w:val="18"/>
                          </w:rPr>
                          <w:t>10</w:t>
                        </w:r>
                      </w:p>
                    </w:tc>
                  </w:tr>
                  <w:tr>
                    <w:trPr>
                      <w:trHeight w:val="458" w:hRule="exact"/>
                    </w:trPr>
                    <w:tc>
                      <w:tcPr>
                        <w:tcW w:w="5869" w:type="dxa"/>
                        <w:tcBorders>
                          <w:top w:val="single" w:sz="4" w:space="0" w:color="000000"/>
                          <w:bottom w:val="single" w:sz="4" w:space="0" w:color="000000"/>
                        </w:tcBorders>
                      </w:tcPr>
                      <w:p>
                        <w:pPr>
                          <w:pStyle w:val="TableParagraph"/>
                          <w:tabs>
                            <w:tab w:pos="616" w:val="left" w:leader="none"/>
                          </w:tabs>
                          <w:spacing w:before="37"/>
                          <w:ind w:left="110"/>
                          <w:jc w:val="left"/>
                          <w:rPr>
                            <w:sz w:val="16"/>
                          </w:rPr>
                        </w:pPr>
                        <w:r>
                          <w:rPr>
                            <w:position w:val="-10"/>
                            <w:sz w:val="20"/>
                          </w:rPr>
                          <w:t>14</w:t>
                          <w:tab/>
                        </w:r>
                        <w:r>
                          <w:rPr>
                            <w:sz w:val="16"/>
                          </w:rPr>
                          <w:t>¿Piensa que su familiar le considera a usted la única</w:t>
                        </w:r>
                        <w:r>
                          <w:rPr>
                            <w:spacing w:val="-20"/>
                            <w:sz w:val="16"/>
                          </w:rPr>
                          <w:t> </w:t>
                        </w:r>
                        <w:r>
                          <w:rPr>
                            <w:sz w:val="16"/>
                          </w:rPr>
                          <w:t>persona</w:t>
                        </w:r>
                      </w:p>
                    </w:tc>
                    <w:tc>
                      <w:tcPr>
                        <w:tcW w:w="831" w:type="dxa"/>
                        <w:tcBorders>
                          <w:top w:val="single" w:sz="4" w:space="0" w:color="000000"/>
                          <w:bottom w:val="single" w:sz="4" w:space="0" w:color="000000"/>
                        </w:tcBorders>
                      </w:tcPr>
                      <w:p>
                        <w:pPr>
                          <w:pStyle w:val="TableParagraph"/>
                          <w:spacing w:before="119"/>
                          <w:ind w:right="308"/>
                          <w:jc w:val="right"/>
                          <w:rPr>
                            <w:sz w:val="18"/>
                          </w:rPr>
                        </w:pPr>
                        <w:r>
                          <w:rPr>
                            <w:w w:val="95"/>
                            <w:sz w:val="18"/>
                          </w:rPr>
                          <w:t>6.7</w:t>
                        </w:r>
                      </w:p>
                    </w:tc>
                    <w:tc>
                      <w:tcPr>
                        <w:tcW w:w="680" w:type="dxa"/>
                        <w:tcBorders>
                          <w:top w:val="single" w:sz="4" w:space="0" w:color="000000"/>
                          <w:bottom w:val="single" w:sz="4" w:space="0" w:color="000000"/>
                        </w:tcBorders>
                      </w:tcPr>
                      <w:p>
                        <w:pPr>
                          <w:pStyle w:val="TableParagraph"/>
                          <w:spacing w:before="119"/>
                          <w:ind w:right="192"/>
                          <w:jc w:val="right"/>
                          <w:rPr>
                            <w:sz w:val="18"/>
                          </w:rPr>
                        </w:pPr>
                        <w:r>
                          <w:rPr>
                            <w:w w:val="95"/>
                            <w:sz w:val="18"/>
                          </w:rPr>
                          <w:t>36.7</w:t>
                        </w:r>
                      </w:p>
                    </w:tc>
                    <w:tc>
                      <w:tcPr>
                        <w:tcW w:w="860" w:type="dxa"/>
                        <w:tcBorders>
                          <w:top w:val="single" w:sz="4" w:space="0" w:color="000000"/>
                          <w:bottom w:val="single" w:sz="4" w:space="0" w:color="000000"/>
                        </w:tcBorders>
                      </w:tcPr>
                      <w:p>
                        <w:pPr>
                          <w:pStyle w:val="TableParagraph"/>
                          <w:spacing w:before="119"/>
                          <w:ind w:left="75" w:right="75"/>
                          <w:rPr>
                            <w:sz w:val="18"/>
                          </w:rPr>
                        </w:pPr>
                        <w:r>
                          <w:rPr>
                            <w:sz w:val="18"/>
                          </w:rPr>
                          <w:t>40</w:t>
                        </w:r>
                      </w:p>
                    </w:tc>
                    <w:tc>
                      <w:tcPr>
                        <w:tcW w:w="739" w:type="dxa"/>
                        <w:tcBorders>
                          <w:top w:val="single" w:sz="4" w:space="0" w:color="000000"/>
                          <w:bottom w:val="single" w:sz="4" w:space="0" w:color="000000"/>
                        </w:tcBorders>
                      </w:tcPr>
                      <w:p>
                        <w:pPr>
                          <w:pStyle w:val="TableParagraph"/>
                          <w:spacing w:before="119"/>
                          <w:ind w:right="193"/>
                          <w:jc w:val="right"/>
                          <w:rPr>
                            <w:sz w:val="18"/>
                          </w:rPr>
                        </w:pPr>
                        <w:r>
                          <w:rPr>
                            <w:w w:val="95"/>
                            <w:sz w:val="18"/>
                          </w:rPr>
                          <w:t>16.6</w:t>
                        </w:r>
                      </w:p>
                    </w:tc>
                  </w:tr>
                  <w:tr>
                    <w:trPr>
                      <w:trHeight w:val="461" w:hRule="exact"/>
                    </w:trPr>
                    <w:tc>
                      <w:tcPr>
                        <w:tcW w:w="5869" w:type="dxa"/>
                        <w:tcBorders>
                          <w:top w:val="single" w:sz="4" w:space="0" w:color="000000"/>
                          <w:bottom w:val="single" w:sz="4" w:space="0" w:color="000000"/>
                        </w:tcBorders>
                      </w:tcPr>
                      <w:p>
                        <w:pPr>
                          <w:pStyle w:val="TableParagraph"/>
                          <w:tabs>
                            <w:tab w:pos="561" w:val="left" w:leader="none"/>
                          </w:tabs>
                          <w:spacing w:before="39"/>
                          <w:ind w:left="110"/>
                          <w:jc w:val="left"/>
                          <w:rPr>
                            <w:sz w:val="16"/>
                          </w:rPr>
                        </w:pPr>
                        <w:r>
                          <w:rPr>
                            <w:position w:val="-10"/>
                            <w:sz w:val="20"/>
                          </w:rPr>
                          <w:t>15</w:t>
                          <w:tab/>
                        </w:r>
                        <w:r>
                          <w:rPr>
                            <w:sz w:val="16"/>
                          </w:rPr>
                          <w:t>¿Piensa que no tiene suficientes ingresos económicos para</w:t>
                        </w:r>
                        <w:r>
                          <w:rPr>
                            <w:spacing w:val="-25"/>
                            <w:sz w:val="16"/>
                          </w:rPr>
                          <w:t> </w:t>
                        </w:r>
                        <w:r>
                          <w:rPr>
                            <w:sz w:val="16"/>
                          </w:rPr>
                          <w:t>los</w:t>
                        </w:r>
                      </w:p>
                    </w:tc>
                    <w:tc>
                      <w:tcPr>
                        <w:tcW w:w="831" w:type="dxa"/>
                        <w:tcBorders>
                          <w:top w:val="single" w:sz="4" w:space="0" w:color="000000"/>
                          <w:bottom w:val="single" w:sz="4" w:space="0" w:color="000000"/>
                        </w:tcBorders>
                      </w:tcPr>
                      <w:p>
                        <w:pPr>
                          <w:pStyle w:val="TableParagraph"/>
                          <w:spacing w:before="121"/>
                          <w:ind w:right="257"/>
                          <w:jc w:val="right"/>
                          <w:rPr>
                            <w:sz w:val="18"/>
                          </w:rPr>
                        </w:pPr>
                        <w:r>
                          <w:rPr>
                            <w:w w:val="95"/>
                            <w:sz w:val="18"/>
                          </w:rPr>
                          <w:t>13.3</w:t>
                        </w:r>
                      </w:p>
                    </w:tc>
                    <w:tc>
                      <w:tcPr>
                        <w:tcW w:w="680" w:type="dxa"/>
                        <w:tcBorders>
                          <w:top w:val="single" w:sz="4" w:space="0" w:color="000000"/>
                          <w:bottom w:val="single" w:sz="4" w:space="0" w:color="000000"/>
                        </w:tcBorders>
                      </w:tcPr>
                      <w:p>
                        <w:pPr>
                          <w:pStyle w:val="TableParagraph"/>
                          <w:spacing w:before="121"/>
                          <w:ind w:right="192"/>
                          <w:jc w:val="right"/>
                          <w:rPr>
                            <w:sz w:val="18"/>
                          </w:rPr>
                        </w:pPr>
                        <w:r>
                          <w:rPr>
                            <w:w w:val="95"/>
                            <w:sz w:val="18"/>
                          </w:rPr>
                          <w:t>16.7</w:t>
                        </w:r>
                      </w:p>
                    </w:tc>
                    <w:tc>
                      <w:tcPr>
                        <w:tcW w:w="860" w:type="dxa"/>
                        <w:tcBorders>
                          <w:top w:val="single" w:sz="4" w:space="0" w:color="000000"/>
                          <w:bottom w:val="single" w:sz="4" w:space="0" w:color="000000"/>
                        </w:tcBorders>
                      </w:tcPr>
                      <w:p>
                        <w:pPr>
                          <w:pStyle w:val="TableParagraph"/>
                          <w:spacing w:before="121"/>
                          <w:ind w:left="75" w:right="75"/>
                          <w:rPr>
                            <w:sz w:val="18"/>
                          </w:rPr>
                        </w:pPr>
                        <w:r>
                          <w:rPr>
                            <w:sz w:val="18"/>
                          </w:rPr>
                          <w:t>46.7</w:t>
                        </w:r>
                      </w:p>
                    </w:tc>
                    <w:tc>
                      <w:tcPr>
                        <w:tcW w:w="739" w:type="dxa"/>
                        <w:tcBorders>
                          <w:top w:val="single" w:sz="4" w:space="0" w:color="000000"/>
                          <w:bottom w:val="single" w:sz="4" w:space="0" w:color="000000"/>
                        </w:tcBorders>
                      </w:tcPr>
                      <w:p>
                        <w:pPr>
                          <w:pStyle w:val="TableParagraph"/>
                          <w:spacing w:before="121"/>
                          <w:ind w:right="266"/>
                          <w:jc w:val="right"/>
                          <w:rPr>
                            <w:sz w:val="18"/>
                          </w:rPr>
                        </w:pPr>
                        <w:r>
                          <w:rPr>
                            <w:w w:val="95"/>
                            <w:sz w:val="18"/>
                          </w:rPr>
                          <w:t>20</w:t>
                        </w:r>
                      </w:p>
                    </w:tc>
                  </w:tr>
                  <w:tr>
                    <w:trPr>
                      <w:trHeight w:val="461" w:hRule="exact"/>
                    </w:trPr>
                    <w:tc>
                      <w:tcPr>
                        <w:tcW w:w="5869" w:type="dxa"/>
                        <w:tcBorders>
                          <w:top w:val="single" w:sz="4" w:space="0" w:color="000000"/>
                          <w:bottom w:val="single" w:sz="4" w:space="0" w:color="000000"/>
                        </w:tcBorders>
                      </w:tcPr>
                      <w:p>
                        <w:pPr>
                          <w:pStyle w:val="TableParagraph"/>
                          <w:tabs>
                            <w:tab w:pos="621" w:val="left" w:leader="none"/>
                          </w:tabs>
                          <w:spacing w:before="37"/>
                          <w:ind w:left="110"/>
                          <w:jc w:val="left"/>
                          <w:rPr>
                            <w:sz w:val="16"/>
                          </w:rPr>
                        </w:pPr>
                        <w:r>
                          <w:rPr>
                            <w:position w:val="-10"/>
                            <w:sz w:val="20"/>
                          </w:rPr>
                          <w:t>16</w:t>
                          <w:tab/>
                        </w:r>
                        <w:r>
                          <w:rPr>
                            <w:sz w:val="16"/>
                          </w:rPr>
                          <w:t>¿Piensa que no será capaz de cuidar a su familiar por</w:t>
                        </w:r>
                        <w:r>
                          <w:rPr>
                            <w:spacing w:val="-17"/>
                            <w:sz w:val="16"/>
                          </w:rPr>
                          <w:t> </w:t>
                        </w:r>
                        <w:r>
                          <w:rPr>
                            <w:sz w:val="16"/>
                          </w:rPr>
                          <w:t>mucho</w:t>
                        </w:r>
                      </w:p>
                    </w:tc>
                    <w:tc>
                      <w:tcPr>
                        <w:tcW w:w="831" w:type="dxa"/>
                        <w:tcBorders>
                          <w:top w:val="single" w:sz="4" w:space="0" w:color="000000"/>
                          <w:bottom w:val="single" w:sz="4" w:space="0" w:color="000000"/>
                        </w:tcBorders>
                      </w:tcPr>
                      <w:p>
                        <w:pPr>
                          <w:pStyle w:val="TableParagraph"/>
                          <w:spacing w:before="121"/>
                          <w:ind w:right="257"/>
                          <w:jc w:val="right"/>
                          <w:rPr>
                            <w:sz w:val="18"/>
                          </w:rPr>
                        </w:pPr>
                        <w:r>
                          <w:rPr>
                            <w:w w:val="95"/>
                            <w:sz w:val="18"/>
                          </w:rPr>
                          <w:t>13.4</w:t>
                        </w:r>
                      </w:p>
                    </w:tc>
                    <w:tc>
                      <w:tcPr>
                        <w:tcW w:w="680" w:type="dxa"/>
                        <w:tcBorders>
                          <w:top w:val="single" w:sz="4" w:space="0" w:color="000000"/>
                          <w:bottom w:val="single" w:sz="4" w:space="0" w:color="000000"/>
                        </w:tcBorders>
                      </w:tcPr>
                      <w:p>
                        <w:pPr>
                          <w:pStyle w:val="TableParagraph"/>
                          <w:spacing w:before="121"/>
                          <w:ind w:right="265"/>
                          <w:jc w:val="right"/>
                          <w:rPr>
                            <w:sz w:val="18"/>
                          </w:rPr>
                        </w:pPr>
                        <w:r>
                          <w:rPr>
                            <w:w w:val="95"/>
                            <w:sz w:val="18"/>
                          </w:rPr>
                          <w:t>40</w:t>
                        </w:r>
                      </w:p>
                    </w:tc>
                    <w:tc>
                      <w:tcPr>
                        <w:tcW w:w="860" w:type="dxa"/>
                        <w:tcBorders>
                          <w:top w:val="single" w:sz="4" w:space="0" w:color="000000"/>
                          <w:bottom w:val="single" w:sz="4" w:space="0" w:color="000000"/>
                        </w:tcBorders>
                      </w:tcPr>
                      <w:p>
                        <w:pPr>
                          <w:pStyle w:val="TableParagraph"/>
                          <w:spacing w:before="121"/>
                          <w:ind w:left="75" w:right="75"/>
                          <w:rPr>
                            <w:sz w:val="18"/>
                          </w:rPr>
                        </w:pPr>
                        <w:r>
                          <w:rPr>
                            <w:sz w:val="18"/>
                          </w:rPr>
                          <w:t>23.3</w:t>
                        </w:r>
                      </w:p>
                    </w:tc>
                    <w:tc>
                      <w:tcPr>
                        <w:tcW w:w="739" w:type="dxa"/>
                        <w:tcBorders>
                          <w:top w:val="single" w:sz="4" w:space="0" w:color="000000"/>
                          <w:bottom w:val="single" w:sz="4" w:space="0" w:color="000000"/>
                        </w:tcBorders>
                      </w:tcPr>
                      <w:p>
                        <w:pPr>
                          <w:pStyle w:val="TableParagraph"/>
                          <w:spacing w:before="121"/>
                          <w:ind w:right="193"/>
                          <w:jc w:val="right"/>
                          <w:rPr>
                            <w:sz w:val="18"/>
                          </w:rPr>
                        </w:pPr>
                        <w:r>
                          <w:rPr>
                            <w:w w:val="95"/>
                            <w:sz w:val="18"/>
                          </w:rPr>
                          <w:t>23.3</w:t>
                        </w:r>
                      </w:p>
                    </w:tc>
                  </w:tr>
                  <w:tr>
                    <w:trPr>
                      <w:trHeight w:val="459" w:hRule="exact"/>
                    </w:trPr>
                    <w:tc>
                      <w:tcPr>
                        <w:tcW w:w="5869" w:type="dxa"/>
                        <w:tcBorders>
                          <w:top w:val="single" w:sz="4" w:space="0" w:color="000000"/>
                          <w:bottom w:val="single" w:sz="4" w:space="0" w:color="000000"/>
                        </w:tcBorders>
                      </w:tcPr>
                      <w:p>
                        <w:pPr>
                          <w:pStyle w:val="TableParagraph"/>
                          <w:tabs>
                            <w:tab w:pos="837" w:val="left" w:leader="none"/>
                          </w:tabs>
                          <w:spacing w:before="37"/>
                          <w:ind w:left="110"/>
                          <w:jc w:val="left"/>
                          <w:rPr>
                            <w:sz w:val="16"/>
                          </w:rPr>
                        </w:pPr>
                        <w:r>
                          <w:rPr>
                            <w:position w:val="-10"/>
                            <w:sz w:val="20"/>
                          </w:rPr>
                          <w:t>17</w:t>
                          <w:tab/>
                        </w:r>
                        <w:r>
                          <w:rPr>
                            <w:sz w:val="16"/>
                          </w:rPr>
                          <w:t>¿Siente que ha perdido el control de su vida desde</w:t>
                        </w:r>
                        <w:r>
                          <w:rPr>
                            <w:spacing w:val="-15"/>
                            <w:sz w:val="16"/>
                          </w:rPr>
                          <w:t> </w:t>
                        </w:r>
                        <w:r>
                          <w:rPr>
                            <w:sz w:val="16"/>
                          </w:rPr>
                          <w:t>que</w:t>
                        </w:r>
                      </w:p>
                    </w:tc>
                    <w:tc>
                      <w:tcPr>
                        <w:tcW w:w="831" w:type="dxa"/>
                        <w:tcBorders>
                          <w:top w:val="single" w:sz="4" w:space="0" w:color="000000"/>
                          <w:bottom w:val="single" w:sz="4" w:space="0" w:color="000000"/>
                        </w:tcBorders>
                      </w:tcPr>
                      <w:p>
                        <w:pPr>
                          <w:pStyle w:val="TableParagraph"/>
                          <w:spacing w:before="119"/>
                          <w:ind w:right="257"/>
                          <w:jc w:val="right"/>
                          <w:rPr>
                            <w:sz w:val="18"/>
                          </w:rPr>
                        </w:pPr>
                        <w:r>
                          <w:rPr>
                            <w:w w:val="95"/>
                            <w:sz w:val="18"/>
                          </w:rPr>
                          <w:t>13.3</w:t>
                        </w:r>
                      </w:p>
                    </w:tc>
                    <w:tc>
                      <w:tcPr>
                        <w:tcW w:w="680" w:type="dxa"/>
                        <w:tcBorders>
                          <w:top w:val="single" w:sz="4" w:space="0" w:color="000000"/>
                          <w:bottom w:val="single" w:sz="4" w:space="0" w:color="000000"/>
                        </w:tcBorders>
                      </w:tcPr>
                      <w:p>
                        <w:pPr>
                          <w:pStyle w:val="TableParagraph"/>
                          <w:spacing w:before="119"/>
                          <w:ind w:right="192"/>
                          <w:jc w:val="right"/>
                          <w:rPr>
                            <w:sz w:val="18"/>
                          </w:rPr>
                        </w:pPr>
                        <w:r>
                          <w:rPr>
                            <w:w w:val="95"/>
                            <w:sz w:val="18"/>
                          </w:rPr>
                          <w:t>23.4</w:t>
                        </w:r>
                      </w:p>
                    </w:tc>
                    <w:tc>
                      <w:tcPr>
                        <w:tcW w:w="860" w:type="dxa"/>
                        <w:tcBorders>
                          <w:top w:val="single" w:sz="4" w:space="0" w:color="000000"/>
                          <w:bottom w:val="single" w:sz="4" w:space="0" w:color="000000"/>
                        </w:tcBorders>
                      </w:tcPr>
                      <w:p>
                        <w:pPr>
                          <w:pStyle w:val="TableParagraph"/>
                          <w:spacing w:before="119"/>
                          <w:ind w:left="75" w:right="75"/>
                          <w:rPr>
                            <w:sz w:val="18"/>
                          </w:rPr>
                        </w:pPr>
                        <w:r>
                          <w:rPr>
                            <w:sz w:val="18"/>
                          </w:rPr>
                          <w:t>50</w:t>
                        </w:r>
                      </w:p>
                    </w:tc>
                    <w:tc>
                      <w:tcPr>
                        <w:tcW w:w="739" w:type="dxa"/>
                        <w:tcBorders>
                          <w:top w:val="single" w:sz="4" w:space="0" w:color="000000"/>
                          <w:bottom w:val="single" w:sz="4" w:space="0" w:color="000000"/>
                        </w:tcBorders>
                      </w:tcPr>
                      <w:p>
                        <w:pPr>
                          <w:pStyle w:val="TableParagraph"/>
                          <w:spacing w:before="119"/>
                          <w:ind w:right="193"/>
                          <w:jc w:val="right"/>
                          <w:rPr>
                            <w:sz w:val="18"/>
                          </w:rPr>
                        </w:pPr>
                        <w:r>
                          <w:rPr>
                            <w:w w:val="95"/>
                            <w:sz w:val="18"/>
                          </w:rPr>
                          <w:t>13.3</w:t>
                        </w:r>
                      </w:p>
                    </w:tc>
                  </w:tr>
                  <w:tr>
                    <w:trPr>
                      <w:trHeight w:val="266" w:hRule="exact"/>
                    </w:trPr>
                    <w:tc>
                      <w:tcPr>
                        <w:tcW w:w="5869" w:type="dxa"/>
                        <w:tcBorders>
                          <w:top w:val="single" w:sz="4" w:space="0" w:color="000000"/>
                          <w:bottom w:val="single" w:sz="4" w:space="0" w:color="000000"/>
                        </w:tcBorders>
                      </w:tcPr>
                      <w:p>
                        <w:pPr>
                          <w:pStyle w:val="TableParagraph"/>
                          <w:tabs>
                            <w:tab w:pos="532" w:val="left" w:leader="none"/>
                            <w:tab w:pos="5494" w:val="left" w:leader="none"/>
                          </w:tabs>
                          <w:spacing w:before="11"/>
                          <w:ind w:left="110"/>
                          <w:jc w:val="left"/>
                          <w:rPr>
                            <w:sz w:val="18"/>
                          </w:rPr>
                        </w:pPr>
                        <w:r>
                          <w:rPr>
                            <w:sz w:val="20"/>
                          </w:rPr>
                          <w:t>18</w:t>
                          <w:tab/>
                        </w:r>
                        <w:r>
                          <w:rPr>
                            <w:position w:val="2"/>
                            <w:sz w:val="16"/>
                          </w:rPr>
                          <w:t>¿Desearía poder dejar el cuidado de su familiar a</w:t>
                        </w:r>
                        <w:r>
                          <w:rPr>
                            <w:spacing w:val="-17"/>
                            <w:position w:val="2"/>
                            <w:sz w:val="16"/>
                          </w:rPr>
                          <w:t> </w:t>
                        </w:r>
                        <w:r>
                          <w:rPr>
                            <w:position w:val="2"/>
                            <w:sz w:val="16"/>
                          </w:rPr>
                          <w:t>otra</w:t>
                        </w:r>
                        <w:r>
                          <w:rPr>
                            <w:spacing w:val="-2"/>
                            <w:position w:val="2"/>
                            <w:sz w:val="16"/>
                          </w:rPr>
                          <w:t> </w:t>
                        </w:r>
                        <w:r>
                          <w:rPr>
                            <w:position w:val="2"/>
                            <w:sz w:val="16"/>
                          </w:rPr>
                          <w:t>persona?</w:t>
                          <w:tab/>
                        </w:r>
                        <w:r>
                          <w:rPr>
                            <w:position w:val="1"/>
                            <w:sz w:val="18"/>
                          </w:rPr>
                          <w:t>-</w:t>
                        </w:r>
                      </w:p>
                    </w:tc>
                    <w:tc>
                      <w:tcPr>
                        <w:tcW w:w="831" w:type="dxa"/>
                        <w:tcBorders>
                          <w:top w:val="single" w:sz="4" w:space="0" w:color="000000"/>
                          <w:bottom w:val="single" w:sz="4" w:space="0" w:color="000000"/>
                        </w:tcBorders>
                      </w:tcPr>
                      <w:p>
                        <w:pPr>
                          <w:pStyle w:val="TableParagraph"/>
                          <w:spacing w:before="23"/>
                          <w:ind w:right="257"/>
                          <w:jc w:val="right"/>
                          <w:rPr>
                            <w:sz w:val="18"/>
                          </w:rPr>
                        </w:pPr>
                        <w:r>
                          <w:rPr>
                            <w:w w:val="95"/>
                            <w:sz w:val="18"/>
                          </w:rPr>
                          <w:t>13.3</w:t>
                        </w:r>
                      </w:p>
                    </w:tc>
                    <w:tc>
                      <w:tcPr>
                        <w:tcW w:w="680" w:type="dxa"/>
                        <w:tcBorders>
                          <w:top w:val="single" w:sz="4" w:space="0" w:color="000000"/>
                          <w:bottom w:val="single" w:sz="4" w:space="0" w:color="000000"/>
                        </w:tcBorders>
                      </w:tcPr>
                      <w:p>
                        <w:pPr>
                          <w:pStyle w:val="TableParagraph"/>
                          <w:spacing w:before="23"/>
                          <w:ind w:right="192"/>
                          <w:jc w:val="right"/>
                          <w:rPr>
                            <w:sz w:val="18"/>
                          </w:rPr>
                        </w:pPr>
                        <w:r>
                          <w:rPr>
                            <w:w w:val="95"/>
                            <w:sz w:val="18"/>
                          </w:rPr>
                          <w:t>26.7</w:t>
                        </w:r>
                      </w:p>
                    </w:tc>
                    <w:tc>
                      <w:tcPr>
                        <w:tcW w:w="860" w:type="dxa"/>
                        <w:tcBorders>
                          <w:top w:val="single" w:sz="4" w:space="0" w:color="000000"/>
                          <w:bottom w:val="single" w:sz="4" w:space="0" w:color="000000"/>
                        </w:tcBorders>
                      </w:tcPr>
                      <w:p>
                        <w:pPr>
                          <w:pStyle w:val="TableParagraph"/>
                          <w:spacing w:before="23"/>
                          <w:ind w:left="75" w:right="75"/>
                          <w:rPr>
                            <w:sz w:val="18"/>
                          </w:rPr>
                        </w:pPr>
                        <w:r>
                          <w:rPr>
                            <w:sz w:val="18"/>
                          </w:rPr>
                          <w:t>46.7</w:t>
                        </w:r>
                      </w:p>
                    </w:tc>
                    <w:tc>
                      <w:tcPr>
                        <w:tcW w:w="739" w:type="dxa"/>
                        <w:tcBorders>
                          <w:top w:val="single" w:sz="4" w:space="0" w:color="000000"/>
                          <w:bottom w:val="single" w:sz="4" w:space="0" w:color="000000"/>
                        </w:tcBorders>
                      </w:tcPr>
                      <w:p>
                        <w:pPr>
                          <w:pStyle w:val="TableParagraph"/>
                          <w:spacing w:before="23"/>
                          <w:ind w:right="193"/>
                          <w:jc w:val="right"/>
                          <w:rPr>
                            <w:sz w:val="18"/>
                          </w:rPr>
                        </w:pPr>
                        <w:r>
                          <w:rPr>
                            <w:w w:val="95"/>
                            <w:sz w:val="18"/>
                          </w:rPr>
                          <w:t>13.3</w:t>
                        </w:r>
                      </w:p>
                    </w:tc>
                  </w:tr>
                  <w:tr>
                    <w:trPr>
                      <w:trHeight w:val="278" w:hRule="exact"/>
                    </w:trPr>
                    <w:tc>
                      <w:tcPr>
                        <w:tcW w:w="5869" w:type="dxa"/>
                        <w:tcBorders>
                          <w:top w:val="single" w:sz="4" w:space="0" w:color="000000"/>
                          <w:bottom w:val="single" w:sz="4" w:space="0" w:color="000000"/>
                        </w:tcBorders>
                      </w:tcPr>
                      <w:p>
                        <w:pPr>
                          <w:pStyle w:val="TableParagraph"/>
                          <w:tabs>
                            <w:tab w:pos="919" w:val="left" w:leader="none"/>
                            <w:tab w:pos="5494" w:val="left" w:leader="none"/>
                          </w:tabs>
                          <w:spacing w:before="16"/>
                          <w:ind w:left="110"/>
                          <w:jc w:val="left"/>
                          <w:rPr>
                            <w:sz w:val="18"/>
                          </w:rPr>
                        </w:pPr>
                        <w:r>
                          <w:rPr>
                            <w:sz w:val="20"/>
                          </w:rPr>
                          <w:t>19</w:t>
                          <w:tab/>
                        </w:r>
                        <w:r>
                          <w:rPr>
                            <w:position w:val="1"/>
                            <w:sz w:val="16"/>
                          </w:rPr>
                          <w:t>¿Se siente indeciso sobre qué hacer con</w:t>
                        </w:r>
                        <w:r>
                          <w:rPr>
                            <w:spacing w:val="-13"/>
                            <w:position w:val="1"/>
                            <w:sz w:val="16"/>
                          </w:rPr>
                          <w:t> </w:t>
                        </w:r>
                        <w:r>
                          <w:rPr>
                            <w:position w:val="1"/>
                            <w:sz w:val="16"/>
                          </w:rPr>
                          <w:t>su</w:t>
                        </w:r>
                        <w:r>
                          <w:rPr>
                            <w:spacing w:val="-3"/>
                            <w:position w:val="1"/>
                            <w:sz w:val="16"/>
                          </w:rPr>
                          <w:t> </w:t>
                        </w:r>
                        <w:r>
                          <w:rPr>
                            <w:position w:val="1"/>
                            <w:sz w:val="16"/>
                          </w:rPr>
                          <w:t>familiar?</w:t>
                          <w:tab/>
                        </w:r>
                        <w:r>
                          <w:rPr>
                            <w:sz w:val="18"/>
                          </w:rPr>
                          <w:t>-</w:t>
                        </w:r>
                      </w:p>
                    </w:tc>
                    <w:tc>
                      <w:tcPr>
                        <w:tcW w:w="831" w:type="dxa"/>
                        <w:tcBorders>
                          <w:top w:val="single" w:sz="4" w:space="0" w:color="000000"/>
                          <w:bottom w:val="single" w:sz="4" w:space="0" w:color="000000"/>
                        </w:tcBorders>
                      </w:tcPr>
                      <w:p>
                        <w:pPr>
                          <w:pStyle w:val="TableParagraph"/>
                          <w:spacing w:before="30"/>
                          <w:ind w:right="257"/>
                          <w:jc w:val="right"/>
                          <w:rPr>
                            <w:sz w:val="18"/>
                          </w:rPr>
                        </w:pPr>
                        <w:r>
                          <w:rPr>
                            <w:w w:val="95"/>
                            <w:sz w:val="18"/>
                          </w:rPr>
                          <w:t>13.4</w:t>
                        </w:r>
                      </w:p>
                    </w:tc>
                    <w:tc>
                      <w:tcPr>
                        <w:tcW w:w="680" w:type="dxa"/>
                        <w:tcBorders>
                          <w:top w:val="single" w:sz="4" w:space="0" w:color="000000"/>
                          <w:bottom w:val="single" w:sz="4" w:space="0" w:color="000000"/>
                        </w:tcBorders>
                      </w:tcPr>
                      <w:p>
                        <w:pPr>
                          <w:pStyle w:val="TableParagraph"/>
                          <w:spacing w:before="30"/>
                          <w:ind w:right="192"/>
                          <w:jc w:val="right"/>
                          <w:rPr>
                            <w:sz w:val="18"/>
                          </w:rPr>
                        </w:pPr>
                        <w:r>
                          <w:rPr>
                            <w:w w:val="95"/>
                            <w:sz w:val="18"/>
                          </w:rPr>
                          <w:t>23.3</w:t>
                        </w:r>
                      </w:p>
                    </w:tc>
                    <w:tc>
                      <w:tcPr>
                        <w:tcW w:w="860" w:type="dxa"/>
                        <w:tcBorders>
                          <w:top w:val="single" w:sz="4" w:space="0" w:color="000000"/>
                          <w:bottom w:val="single" w:sz="4" w:space="0" w:color="000000"/>
                        </w:tcBorders>
                      </w:tcPr>
                      <w:p>
                        <w:pPr>
                          <w:pStyle w:val="TableParagraph"/>
                          <w:spacing w:before="30"/>
                          <w:ind w:left="75" w:right="75"/>
                          <w:rPr>
                            <w:sz w:val="18"/>
                          </w:rPr>
                        </w:pPr>
                        <w:r>
                          <w:rPr>
                            <w:sz w:val="18"/>
                          </w:rPr>
                          <w:t>40</w:t>
                        </w:r>
                      </w:p>
                    </w:tc>
                    <w:tc>
                      <w:tcPr>
                        <w:tcW w:w="739" w:type="dxa"/>
                        <w:tcBorders>
                          <w:top w:val="single" w:sz="4" w:space="0" w:color="000000"/>
                          <w:bottom w:val="single" w:sz="4" w:space="0" w:color="000000"/>
                        </w:tcBorders>
                      </w:tcPr>
                      <w:p>
                        <w:pPr>
                          <w:pStyle w:val="TableParagraph"/>
                          <w:spacing w:before="30"/>
                          <w:ind w:right="193"/>
                          <w:jc w:val="right"/>
                          <w:rPr>
                            <w:sz w:val="18"/>
                          </w:rPr>
                        </w:pPr>
                        <w:r>
                          <w:rPr>
                            <w:w w:val="95"/>
                            <w:sz w:val="18"/>
                          </w:rPr>
                          <w:t>23.3</w:t>
                        </w:r>
                      </w:p>
                    </w:tc>
                  </w:tr>
                  <w:tr>
                    <w:trPr>
                      <w:trHeight w:val="281" w:hRule="exact"/>
                    </w:trPr>
                    <w:tc>
                      <w:tcPr>
                        <w:tcW w:w="5869" w:type="dxa"/>
                        <w:tcBorders>
                          <w:top w:val="single" w:sz="4" w:space="0" w:color="000000"/>
                          <w:bottom w:val="single" w:sz="4" w:space="0" w:color="000000"/>
                        </w:tcBorders>
                      </w:tcPr>
                      <w:p>
                        <w:pPr>
                          <w:pStyle w:val="TableParagraph"/>
                          <w:tabs>
                            <w:tab w:pos="1091" w:val="left" w:leader="none"/>
                            <w:tab w:pos="5494" w:val="left" w:leader="none"/>
                          </w:tabs>
                          <w:spacing w:before="19"/>
                          <w:ind w:left="110"/>
                          <w:jc w:val="left"/>
                          <w:rPr>
                            <w:sz w:val="18"/>
                          </w:rPr>
                        </w:pPr>
                        <w:r>
                          <w:rPr>
                            <w:sz w:val="20"/>
                          </w:rPr>
                          <w:t>20</w:t>
                          <w:tab/>
                        </w:r>
                        <w:r>
                          <w:rPr>
                            <w:position w:val="2"/>
                            <w:sz w:val="16"/>
                          </w:rPr>
                          <w:t>¿Piensa que debería hacer más por</w:t>
                        </w:r>
                        <w:r>
                          <w:rPr>
                            <w:spacing w:val="-11"/>
                            <w:position w:val="2"/>
                            <w:sz w:val="16"/>
                          </w:rPr>
                          <w:t> </w:t>
                        </w:r>
                        <w:r>
                          <w:rPr>
                            <w:position w:val="2"/>
                            <w:sz w:val="16"/>
                          </w:rPr>
                          <w:t>su</w:t>
                        </w:r>
                        <w:r>
                          <w:rPr>
                            <w:spacing w:val="-3"/>
                            <w:position w:val="2"/>
                            <w:sz w:val="16"/>
                          </w:rPr>
                          <w:t> </w:t>
                        </w:r>
                        <w:r>
                          <w:rPr>
                            <w:position w:val="2"/>
                            <w:sz w:val="16"/>
                          </w:rPr>
                          <w:t>familiar?</w:t>
                          <w:tab/>
                        </w:r>
                        <w:r>
                          <w:rPr>
                            <w:sz w:val="18"/>
                          </w:rPr>
                          <w:t>-</w:t>
                        </w:r>
                      </w:p>
                    </w:tc>
                    <w:tc>
                      <w:tcPr>
                        <w:tcW w:w="831" w:type="dxa"/>
                        <w:tcBorders>
                          <w:top w:val="single" w:sz="4" w:space="0" w:color="000000"/>
                          <w:bottom w:val="single" w:sz="4" w:space="0" w:color="000000"/>
                        </w:tcBorders>
                      </w:tcPr>
                      <w:p>
                        <w:pPr>
                          <w:pStyle w:val="TableParagraph"/>
                          <w:spacing w:before="32"/>
                          <w:ind w:right="308"/>
                          <w:jc w:val="right"/>
                          <w:rPr>
                            <w:sz w:val="18"/>
                          </w:rPr>
                        </w:pPr>
                        <w:r>
                          <w:rPr>
                            <w:w w:val="95"/>
                            <w:sz w:val="18"/>
                          </w:rPr>
                          <w:t>3.3</w:t>
                        </w:r>
                      </w:p>
                    </w:tc>
                    <w:tc>
                      <w:tcPr>
                        <w:tcW w:w="680" w:type="dxa"/>
                        <w:tcBorders>
                          <w:top w:val="single" w:sz="4" w:space="0" w:color="000000"/>
                          <w:bottom w:val="single" w:sz="4" w:space="0" w:color="000000"/>
                        </w:tcBorders>
                      </w:tcPr>
                      <w:p>
                        <w:pPr>
                          <w:pStyle w:val="TableParagraph"/>
                          <w:spacing w:before="32"/>
                          <w:ind w:right="265"/>
                          <w:jc w:val="right"/>
                          <w:rPr>
                            <w:sz w:val="18"/>
                          </w:rPr>
                        </w:pPr>
                        <w:r>
                          <w:rPr>
                            <w:w w:val="95"/>
                            <w:sz w:val="18"/>
                          </w:rPr>
                          <w:t>40</w:t>
                        </w:r>
                      </w:p>
                    </w:tc>
                    <w:tc>
                      <w:tcPr>
                        <w:tcW w:w="860" w:type="dxa"/>
                        <w:tcBorders>
                          <w:top w:val="single" w:sz="4" w:space="0" w:color="000000"/>
                          <w:bottom w:val="single" w:sz="4" w:space="0" w:color="000000"/>
                        </w:tcBorders>
                      </w:tcPr>
                      <w:p>
                        <w:pPr>
                          <w:pStyle w:val="TableParagraph"/>
                          <w:spacing w:before="32"/>
                          <w:ind w:left="75" w:right="75"/>
                          <w:rPr>
                            <w:sz w:val="18"/>
                          </w:rPr>
                        </w:pPr>
                        <w:r>
                          <w:rPr>
                            <w:sz w:val="18"/>
                          </w:rPr>
                          <w:t>33.4</w:t>
                        </w:r>
                      </w:p>
                    </w:tc>
                    <w:tc>
                      <w:tcPr>
                        <w:tcW w:w="739" w:type="dxa"/>
                        <w:tcBorders>
                          <w:top w:val="single" w:sz="4" w:space="0" w:color="000000"/>
                          <w:bottom w:val="single" w:sz="4" w:space="0" w:color="000000"/>
                        </w:tcBorders>
                      </w:tcPr>
                      <w:p>
                        <w:pPr>
                          <w:pStyle w:val="TableParagraph"/>
                          <w:spacing w:before="32"/>
                          <w:ind w:right="193"/>
                          <w:jc w:val="right"/>
                          <w:rPr>
                            <w:sz w:val="18"/>
                          </w:rPr>
                        </w:pPr>
                        <w:r>
                          <w:rPr>
                            <w:w w:val="95"/>
                            <w:sz w:val="18"/>
                          </w:rPr>
                          <w:t>23.3</w:t>
                        </w:r>
                      </w:p>
                    </w:tc>
                  </w:tr>
                  <w:tr>
                    <w:trPr>
                      <w:trHeight w:val="281" w:hRule="exact"/>
                    </w:trPr>
                    <w:tc>
                      <w:tcPr>
                        <w:tcW w:w="5869" w:type="dxa"/>
                        <w:tcBorders>
                          <w:top w:val="single" w:sz="4" w:space="0" w:color="000000"/>
                          <w:bottom w:val="single" w:sz="4" w:space="0" w:color="000000"/>
                        </w:tcBorders>
                      </w:tcPr>
                      <w:p>
                        <w:pPr>
                          <w:pStyle w:val="TableParagraph"/>
                          <w:tabs>
                            <w:tab w:pos="1142" w:val="left" w:leader="none"/>
                            <w:tab w:pos="5494" w:val="left" w:leader="none"/>
                          </w:tabs>
                          <w:spacing w:before="19"/>
                          <w:ind w:left="110"/>
                          <w:jc w:val="left"/>
                          <w:rPr>
                            <w:sz w:val="18"/>
                          </w:rPr>
                        </w:pPr>
                        <w:r>
                          <w:rPr>
                            <w:sz w:val="20"/>
                          </w:rPr>
                          <w:t>21</w:t>
                          <w:tab/>
                        </w:r>
                        <w:r>
                          <w:rPr>
                            <w:position w:val="2"/>
                            <w:sz w:val="16"/>
                          </w:rPr>
                          <w:t>¿Piensa que podría cuidar mejor a</w:t>
                        </w:r>
                        <w:r>
                          <w:rPr>
                            <w:spacing w:val="-9"/>
                            <w:position w:val="2"/>
                            <w:sz w:val="16"/>
                          </w:rPr>
                          <w:t> </w:t>
                        </w:r>
                        <w:r>
                          <w:rPr>
                            <w:position w:val="2"/>
                            <w:sz w:val="16"/>
                          </w:rPr>
                          <w:t>su</w:t>
                        </w:r>
                        <w:r>
                          <w:rPr>
                            <w:spacing w:val="-3"/>
                            <w:position w:val="2"/>
                            <w:sz w:val="16"/>
                          </w:rPr>
                          <w:t> </w:t>
                        </w:r>
                        <w:r>
                          <w:rPr>
                            <w:position w:val="2"/>
                            <w:sz w:val="16"/>
                          </w:rPr>
                          <w:t>familiar?</w:t>
                          <w:tab/>
                        </w:r>
                        <w:r>
                          <w:rPr>
                            <w:position w:val="1"/>
                            <w:sz w:val="18"/>
                          </w:rPr>
                          <w:t>-</w:t>
                        </w:r>
                      </w:p>
                    </w:tc>
                    <w:tc>
                      <w:tcPr>
                        <w:tcW w:w="831" w:type="dxa"/>
                        <w:tcBorders>
                          <w:top w:val="single" w:sz="4" w:space="0" w:color="000000"/>
                          <w:bottom w:val="single" w:sz="4" w:space="0" w:color="000000"/>
                        </w:tcBorders>
                      </w:tcPr>
                      <w:p>
                        <w:pPr>
                          <w:pStyle w:val="TableParagraph"/>
                          <w:spacing w:before="30"/>
                          <w:ind w:right="308"/>
                          <w:jc w:val="right"/>
                          <w:rPr>
                            <w:sz w:val="18"/>
                          </w:rPr>
                        </w:pPr>
                        <w:r>
                          <w:rPr>
                            <w:w w:val="95"/>
                            <w:sz w:val="18"/>
                          </w:rPr>
                          <w:t>6.7</w:t>
                        </w:r>
                      </w:p>
                    </w:tc>
                    <w:tc>
                      <w:tcPr>
                        <w:tcW w:w="680" w:type="dxa"/>
                        <w:tcBorders>
                          <w:top w:val="single" w:sz="4" w:space="0" w:color="000000"/>
                          <w:bottom w:val="single" w:sz="4" w:space="0" w:color="000000"/>
                        </w:tcBorders>
                      </w:tcPr>
                      <w:p>
                        <w:pPr>
                          <w:pStyle w:val="TableParagraph"/>
                          <w:spacing w:before="30"/>
                          <w:ind w:right="192"/>
                          <w:jc w:val="right"/>
                          <w:rPr>
                            <w:sz w:val="18"/>
                          </w:rPr>
                        </w:pPr>
                        <w:r>
                          <w:rPr>
                            <w:w w:val="95"/>
                            <w:sz w:val="18"/>
                          </w:rPr>
                          <w:t>23.3</w:t>
                        </w:r>
                      </w:p>
                    </w:tc>
                    <w:tc>
                      <w:tcPr>
                        <w:tcW w:w="860" w:type="dxa"/>
                        <w:tcBorders>
                          <w:top w:val="single" w:sz="4" w:space="0" w:color="000000"/>
                          <w:bottom w:val="single" w:sz="4" w:space="0" w:color="000000"/>
                        </w:tcBorders>
                      </w:tcPr>
                      <w:p>
                        <w:pPr>
                          <w:pStyle w:val="TableParagraph"/>
                          <w:spacing w:before="30"/>
                          <w:ind w:left="75" w:right="75"/>
                          <w:rPr>
                            <w:sz w:val="18"/>
                          </w:rPr>
                        </w:pPr>
                        <w:r>
                          <w:rPr>
                            <w:sz w:val="18"/>
                          </w:rPr>
                          <w:t>53.3</w:t>
                        </w:r>
                      </w:p>
                    </w:tc>
                    <w:tc>
                      <w:tcPr>
                        <w:tcW w:w="739" w:type="dxa"/>
                        <w:tcBorders>
                          <w:top w:val="single" w:sz="4" w:space="0" w:color="000000"/>
                          <w:bottom w:val="single" w:sz="4" w:space="0" w:color="000000"/>
                        </w:tcBorders>
                      </w:tcPr>
                      <w:p>
                        <w:pPr>
                          <w:pStyle w:val="TableParagraph"/>
                          <w:spacing w:before="30"/>
                          <w:ind w:right="193"/>
                          <w:jc w:val="right"/>
                          <w:rPr>
                            <w:sz w:val="18"/>
                          </w:rPr>
                        </w:pPr>
                        <w:r>
                          <w:rPr>
                            <w:w w:val="95"/>
                            <w:sz w:val="18"/>
                          </w:rPr>
                          <w:t>16.7</w:t>
                        </w:r>
                      </w:p>
                    </w:tc>
                  </w:tr>
                  <w:tr>
                    <w:trPr>
                      <w:trHeight w:val="461" w:hRule="exact"/>
                    </w:trPr>
                    <w:tc>
                      <w:tcPr>
                        <w:tcW w:w="5869" w:type="dxa"/>
                        <w:tcBorders>
                          <w:top w:val="single" w:sz="4" w:space="0" w:color="000000"/>
                          <w:bottom w:val="single" w:sz="4" w:space="0" w:color="000000"/>
                        </w:tcBorders>
                      </w:tcPr>
                      <w:p>
                        <w:pPr>
                          <w:pStyle w:val="TableParagraph"/>
                          <w:tabs>
                            <w:tab w:pos="585" w:val="left" w:leader="none"/>
                          </w:tabs>
                          <w:spacing w:before="37"/>
                          <w:ind w:left="110"/>
                          <w:jc w:val="left"/>
                          <w:rPr>
                            <w:sz w:val="16"/>
                          </w:rPr>
                        </w:pPr>
                        <w:r>
                          <w:rPr>
                            <w:position w:val="-10"/>
                            <w:sz w:val="20"/>
                          </w:rPr>
                          <w:t>22</w:t>
                          <w:tab/>
                        </w:r>
                        <w:r>
                          <w:rPr>
                            <w:sz w:val="16"/>
                          </w:rPr>
                          <w:t>Globalmente ¿Qué grado de “carga” experimenta por el</w:t>
                        </w:r>
                        <w:r>
                          <w:rPr>
                            <w:spacing w:val="-20"/>
                            <w:sz w:val="16"/>
                          </w:rPr>
                          <w:t> </w:t>
                        </w:r>
                        <w:r>
                          <w:rPr>
                            <w:sz w:val="16"/>
                          </w:rPr>
                          <w:t>hecho</w:t>
                        </w:r>
                      </w:p>
                    </w:tc>
                    <w:tc>
                      <w:tcPr>
                        <w:tcW w:w="831" w:type="dxa"/>
                        <w:tcBorders>
                          <w:top w:val="single" w:sz="4" w:space="0" w:color="000000"/>
                          <w:bottom w:val="single" w:sz="4" w:space="0" w:color="000000"/>
                        </w:tcBorders>
                      </w:tcPr>
                      <w:p>
                        <w:pPr>
                          <w:pStyle w:val="TableParagraph"/>
                          <w:spacing w:before="119"/>
                          <w:ind w:right="257"/>
                          <w:jc w:val="right"/>
                          <w:rPr>
                            <w:sz w:val="18"/>
                          </w:rPr>
                        </w:pPr>
                        <w:r>
                          <w:rPr>
                            <w:w w:val="95"/>
                            <w:sz w:val="18"/>
                          </w:rPr>
                          <w:t>13.3</w:t>
                        </w:r>
                      </w:p>
                    </w:tc>
                    <w:tc>
                      <w:tcPr>
                        <w:tcW w:w="680" w:type="dxa"/>
                        <w:tcBorders>
                          <w:top w:val="single" w:sz="4" w:space="0" w:color="000000"/>
                          <w:bottom w:val="single" w:sz="4" w:space="0" w:color="000000"/>
                        </w:tcBorders>
                      </w:tcPr>
                      <w:p>
                        <w:pPr>
                          <w:pStyle w:val="TableParagraph"/>
                          <w:spacing w:before="119"/>
                          <w:ind w:right="192"/>
                          <w:jc w:val="right"/>
                          <w:rPr>
                            <w:sz w:val="18"/>
                          </w:rPr>
                        </w:pPr>
                        <w:r>
                          <w:rPr>
                            <w:w w:val="95"/>
                            <w:sz w:val="18"/>
                          </w:rPr>
                          <w:t>33.3</w:t>
                        </w:r>
                      </w:p>
                    </w:tc>
                    <w:tc>
                      <w:tcPr>
                        <w:tcW w:w="860" w:type="dxa"/>
                        <w:tcBorders>
                          <w:top w:val="single" w:sz="4" w:space="0" w:color="000000"/>
                          <w:bottom w:val="single" w:sz="4" w:space="0" w:color="000000"/>
                        </w:tcBorders>
                      </w:tcPr>
                      <w:p>
                        <w:pPr>
                          <w:pStyle w:val="TableParagraph"/>
                          <w:spacing w:before="119"/>
                          <w:ind w:left="75" w:right="75"/>
                          <w:rPr>
                            <w:sz w:val="18"/>
                          </w:rPr>
                        </w:pPr>
                        <w:r>
                          <w:rPr>
                            <w:sz w:val="18"/>
                          </w:rPr>
                          <w:t>46.7</w:t>
                        </w:r>
                      </w:p>
                    </w:tc>
                    <w:tc>
                      <w:tcPr>
                        <w:tcW w:w="739" w:type="dxa"/>
                        <w:tcBorders>
                          <w:top w:val="single" w:sz="4" w:space="0" w:color="000000"/>
                          <w:bottom w:val="single" w:sz="4" w:space="0" w:color="000000"/>
                        </w:tcBorders>
                      </w:tcPr>
                      <w:p>
                        <w:pPr>
                          <w:pStyle w:val="TableParagraph"/>
                          <w:spacing w:before="119"/>
                          <w:ind w:right="244"/>
                          <w:jc w:val="right"/>
                          <w:rPr>
                            <w:sz w:val="18"/>
                          </w:rPr>
                        </w:pPr>
                        <w:r>
                          <w:rPr>
                            <w:w w:val="95"/>
                            <w:sz w:val="18"/>
                          </w:rPr>
                          <w:t>6.7</w:t>
                        </w:r>
                      </w:p>
                    </w:tc>
                  </w:tr>
                </w:tbl>
                <w:p>
                  <w:pPr>
                    <w:pStyle w:val="BodyText"/>
                  </w:pPr>
                </w:p>
              </w:txbxContent>
            </v:textbox>
            <w10:wrap type="none"/>
          </v:shape>
        </w:pict>
      </w:r>
      <w:r>
        <w:rPr>
          <w:sz w:val="16"/>
        </w:rPr>
        <w:t>suficiente tiempo</w:t>
      </w:r>
      <w:r>
        <w:rPr>
          <w:spacing w:val="-5"/>
          <w:sz w:val="16"/>
        </w:rPr>
        <w:t> </w:t>
      </w:r>
      <w:r>
        <w:rPr>
          <w:sz w:val="16"/>
        </w:rPr>
        <w:t>para</w:t>
      </w:r>
      <w:r>
        <w:rPr>
          <w:spacing w:val="-2"/>
          <w:sz w:val="16"/>
        </w:rPr>
        <w:t> </w:t>
      </w:r>
      <w:r>
        <w:rPr>
          <w:sz w:val="16"/>
        </w:rPr>
        <w:t>usted?</w:t>
        <w:tab/>
      </w:r>
      <w:r>
        <w:rPr>
          <w:position w:val="8"/>
          <w:sz w:val="18"/>
        </w:rPr>
        <w:t>-</w:t>
      </w:r>
    </w:p>
    <w:p>
      <w:pPr>
        <w:tabs>
          <w:tab w:pos="5685" w:val="left" w:leader="none"/>
        </w:tabs>
        <w:spacing w:before="272"/>
        <w:ind w:left="1078" w:right="160" w:firstLine="0"/>
        <w:jc w:val="left"/>
        <w:rPr>
          <w:sz w:val="20"/>
        </w:rPr>
      </w:pPr>
      <w:r>
        <w:rPr>
          <w:sz w:val="16"/>
        </w:rPr>
        <w:t>familiar con otras responsabilidades</w:t>
      </w:r>
      <w:r>
        <w:rPr>
          <w:spacing w:val="-12"/>
          <w:sz w:val="16"/>
        </w:rPr>
        <w:t> </w:t>
      </w:r>
      <w:r>
        <w:rPr>
          <w:sz w:val="16"/>
        </w:rPr>
        <w:t>(trabajo,</w:t>
      </w:r>
      <w:r>
        <w:rPr>
          <w:spacing w:val="-3"/>
          <w:sz w:val="16"/>
        </w:rPr>
        <w:t> </w:t>
      </w:r>
      <w:r>
        <w:rPr>
          <w:sz w:val="16"/>
        </w:rPr>
        <w:t>familia)?</w:t>
        <w:tab/>
      </w:r>
      <w:r>
        <w:rPr>
          <w:position w:val="8"/>
          <w:sz w:val="20"/>
        </w:rPr>
        <w:t>-</w:t>
      </w:r>
    </w:p>
    <w:p>
      <w:pPr>
        <w:tabs>
          <w:tab w:pos="5844" w:val="right" w:leader="none"/>
        </w:tabs>
        <w:spacing w:before="931"/>
        <w:ind w:left="843" w:right="0" w:firstLine="0"/>
        <w:jc w:val="left"/>
        <w:rPr>
          <w:sz w:val="18"/>
        </w:rPr>
      </w:pPr>
      <w:r>
        <w:rPr>
          <w:sz w:val="16"/>
        </w:rPr>
        <w:t>relación que UD.? ¿Tiene con otros miembros de</w:t>
      </w:r>
      <w:r>
        <w:rPr>
          <w:spacing w:val="-13"/>
          <w:sz w:val="16"/>
        </w:rPr>
        <w:t> </w:t>
      </w:r>
      <w:r>
        <w:rPr>
          <w:sz w:val="16"/>
        </w:rPr>
        <w:t>su</w:t>
      </w:r>
      <w:r>
        <w:rPr>
          <w:spacing w:val="-3"/>
          <w:sz w:val="16"/>
        </w:rPr>
        <w:t> </w:t>
      </w:r>
      <w:r>
        <w:rPr>
          <w:sz w:val="16"/>
        </w:rPr>
        <w:t>familia?</w:t>
      </w:r>
      <w:r>
        <w:rPr>
          <w:position w:val="8"/>
          <w:sz w:val="18"/>
        </w:rPr>
        <w:tab/>
        <w:t>3.3</w:t>
      </w:r>
    </w:p>
    <w:p>
      <w:pPr>
        <w:tabs>
          <w:tab w:pos="5844" w:val="right" w:leader="none"/>
        </w:tabs>
        <w:spacing w:before="886"/>
        <w:ind w:left="2521" w:right="0" w:firstLine="0"/>
        <w:jc w:val="left"/>
        <w:rPr>
          <w:sz w:val="18"/>
        </w:rPr>
      </w:pPr>
      <w:r>
        <w:rPr>
          <w:sz w:val="16"/>
        </w:rPr>
        <w:t>a</w:t>
      </w:r>
      <w:r>
        <w:rPr>
          <w:spacing w:val="-1"/>
          <w:sz w:val="16"/>
        </w:rPr>
        <w:t> </w:t>
      </w:r>
      <w:r>
        <w:rPr>
          <w:sz w:val="16"/>
        </w:rPr>
        <w:t>su</w:t>
      </w:r>
      <w:r>
        <w:rPr>
          <w:spacing w:val="-3"/>
          <w:sz w:val="16"/>
        </w:rPr>
        <w:t> </w:t>
      </w:r>
      <w:r>
        <w:rPr>
          <w:sz w:val="16"/>
        </w:rPr>
        <w:t>familiar?</w:t>
      </w:r>
      <w:r>
        <w:rPr>
          <w:position w:val="8"/>
          <w:sz w:val="18"/>
        </w:rPr>
        <w:tab/>
        <w:t>3.3</w:t>
      </w:r>
    </w:p>
    <w:p>
      <w:pPr>
        <w:pStyle w:val="BodyText"/>
        <w:rPr>
          <w:sz w:val="26"/>
        </w:rPr>
      </w:pPr>
    </w:p>
    <w:p>
      <w:pPr>
        <w:tabs>
          <w:tab w:pos="3788" w:val="left" w:leader="none"/>
        </w:tabs>
        <w:spacing w:before="206"/>
        <w:ind w:left="0" w:right="1668" w:firstLine="0"/>
        <w:jc w:val="center"/>
        <w:rPr>
          <w:sz w:val="18"/>
        </w:rPr>
      </w:pPr>
      <w:r>
        <w:rPr>
          <w:sz w:val="16"/>
        </w:rPr>
        <w:t>tener que cuidar de</w:t>
      </w:r>
      <w:r>
        <w:rPr>
          <w:spacing w:val="-6"/>
          <w:sz w:val="16"/>
        </w:rPr>
        <w:t> </w:t>
      </w:r>
      <w:r>
        <w:rPr>
          <w:sz w:val="16"/>
        </w:rPr>
        <w:t>su</w:t>
      </w:r>
      <w:r>
        <w:rPr>
          <w:spacing w:val="-1"/>
          <w:sz w:val="16"/>
        </w:rPr>
        <w:t> </w:t>
      </w:r>
      <w:r>
        <w:rPr>
          <w:sz w:val="16"/>
        </w:rPr>
        <w:t>familia?</w:t>
        <w:tab/>
      </w:r>
      <w:r>
        <w:rPr>
          <w:position w:val="8"/>
          <w:sz w:val="18"/>
        </w:rPr>
        <w:t>-</w:t>
      </w:r>
    </w:p>
    <w:p>
      <w:pPr>
        <w:tabs>
          <w:tab w:pos="3953" w:val="left" w:leader="none"/>
        </w:tabs>
        <w:spacing w:before="175"/>
        <w:ind w:left="0" w:right="1833" w:firstLine="0"/>
        <w:jc w:val="center"/>
        <w:rPr>
          <w:sz w:val="18"/>
        </w:rPr>
      </w:pPr>
      <w:r>
        <w:rPr>
          <w:sz w:val="16"/>
        </w:rPr>
        <w:t>por tener que cuidar de</w:t>
      </w:r>
      <w:r>
        <w:rPr>
          <w:spacing w:val="-7"/>
          <w:sz w:val="16"/>
        </w:rPr>
        <w:t> </w:t>
      </w:r>
      <w:r>
        <w:rPr>
          <w:sz w:val="16"/>
        </w:rPr>
        <w:t>su</w:t>
      </w:r>
      <w:r>
        <w:rPr>
          <w:spacing w:val="-3"/>
          <w:sz w:val="16"/>
        </w:rPr>
        <w:t> </w:t>
      </w:r>
      <w:r>
        <w:rPr>
          <w:sz w:val="16"/>
        </w:rPr>
        <w:t>familiar?</w:t>
        <w:tab/>
      </w:r>
      <w:r>
        <w:rPr>
          <w:position w:val="8"/>
          <w:sz w:val="18"/>
        </w:rPr>
        <w:t>-</w:t>
      </w:r>
    </w:p>
    <w:p>
      <w:pPr>
        <w:tabs>
          <w:tab w:pos="5690" w:val="left" w:leader="none"/>
        </w:tabs>
        <w:spacing w:before="178"/>
        <w:ind w:left="1808" w:right="160" w:firstLine="0"/>
        <w:jc w:val="left"/>
        <w:rPr>
          <w:sz w:val="18"/>
        </w:rPr>
      </w:pPr>
      <w:r>
        <w:rPr>
          <w:sz w:val="16"/>
        </w:rPr>
        <w:t>a tener que cuidar de</w:t>
      </w:r>
      <w:r>
        <w:rPr>
          <w:spacing w:val="-7"/>
          <w:sz w:val="16"/>
        </w:rPr>
        <w:t> </w:t>
      </w:r>
      <w:r>
        <w:rPr>
          <w:sz w:val="16"/>
        </w:rPr>
        <w:t>su</w:t>
      </w:r>
      <w:r>
        <w:rPr>
          <w:spacing w:val="-3"/>
          <w:sz w:val="16"/>
        </w:rPr>
        <w:t> </w:t>
      </w:r>
      <w:r>
        <w:rPr>
          <w:sz w:val="16"/>
        </w:rPr>
        <w:t>familiar?</w:t>
        <w:tab/>
      </w:r>
      <w:r>
        <w:rPr>
          <w:position w:val="8"/>
          <w:sz w:val="18"/>
        </w:rPr>
        <w:t>-</w:t>
      </w:r>
    </w:p>
    <w:p>
      <w:pPr>
        <w:tabs>
          <w:tab w:pos="5690" w:val="left" w:leader="none"/>
        </w:tabs>
        <w:spacing w:before="178"/>
        <w:ind w:left="2248" w:right="160" w:firstLine="0"/>
        <w:jc w:val="left"/>
        <w:rPr>
          <w:sz w:val="18"/>
        </w:rPr>
      </w:pPr>
      <w:r>
        <w:rPr>
          <w:sz w:val="16"/>
        </w:rPr>
        <w:t>que le</w:t>
      </w:r>
      <w:r>
        <w:rPr>
          <w:spacing w:val="-1"/>
          <w:sz w:val="16"/>
        </w:rPr>
        <w:t> </w:t>
      </w:r>
      <w:r>
        <w:rPr>
          <w:sz w:val="16"/>
        </w:rPr>
        <w:t>puede</w:t>
      </w:r>
      <w:r>
        <w:rPr>
          <w:spacing w:val="-3"/>
          <w:sz w:val="16"/>
        </w:rPr>
        <w:t> </w:t>
      </w:r>
      <w:r>
        <w:rPr>
          <w:sz w:val="16"/>
        </w:rPr>
        <w:t>cuidar?</w:t>
        <w:tab/>
      </w:r>
      <w:r>
        <w:rPr>
          <w:position w:val="8"/>
          <w:sz w:val="18"/>
        </w:rPr>
        <w:t>-</w:t>
      </w:r>
    </w:p>
    <w:p>
      <w:pPr>
        <w:tabs>
          <w:tab w:pos="5594" w:val="left" w:leader="none"/>
        </w:tabs>
        <w:spacing w:before="175"/>
        <w:ind w:left="865" w:right="160" w:firstLine="0"/>
        <w:jc w:val="left"/>
        <w:rPr>
          <w:sz w:val="18"/>
        </w:rPr>
      </w:pPr>
      <w:r>
        <w:rPr>
          <w:sz w:val="16"/>
        </w:rPr>
        <w:t>gastos de cuidar a su familiar, además de sus</w:t>
      </w:r>
      <w:r>
        <w:rPr>
          <w:spacing w:val="-19"/>
          <w:sz w:val="16"/>
        </w:rPr>
        <w:t> </w:t>
      </w:r>
      <w:r>
        <w:rPr>
          <w:sz w:val="16"/>
        </w:rPr>
        <w:t>otros</w:t>
      </w:r>
      <w:r>
        <w:rPr>
          <w:spacing w:val="-3"/>
          <w:sz w:val="16"/>
        </w:rPr>
        <w:t> </w:t>
      </w:r>
      <w:r>
        <w:rPr>
          <w:sz w:val="16"/>
        </w:rPr>
        <w:t>gastos?</w:t>
      </w:r>
      <w:r>
        <w:rPr>
          <w:position w:val="8"/>
          <w:sz w:val="18"/>
        </w:rPr>
        <w:tab/>
        <w:t>3.3</w:t>
      </w:r>
    </w:p>
    <w:p>
      <w:pPr>
        <w:tabs>
          <w:tab w:pos="5690" w:val="left" w:leader="none"/>
        </w:tabs>
        <w:spacing w:before="178"/>
        <w:ind w:left="2538" w:right="160" w:firstLine="0"/>
        <w:jc w:val="left"/>
        <w:rPr>
          <w:sz w:val="18"/>
        </w:rPr>
      </w:pPr>
      <w:r>
        <w:rPr>
          <w:sz w:val="16"/>
        </w:rPr>
        <w:t>más</w:t>
      </w:r>
      <w:r>
        <w:rPr>
          <w:spacing w:val="-2"/>
          <w:sz w:val="16"/>
        </w:rPr>
        <w:t> </w:t>
      </w:r>
      <w:r>
        <w:rPr>
          <w:sz w:val="16"/>
        </w:rPr>
        <w:t>tiempo?</w:t>
        <w:tab/>
      </w:r>
      <w:r>
        <w:rPr>
          <w:position w:val="8"/>
          <w:sz w:val="18"/>
        </w:rPr>
        <w:t>-</w:t>
      </w:r>
    </w:p>
    <w:p>
      <w:pPr>
        <w:tabs>
          <w:tab w:pos="4095" w:val="left" w:leader="none"/>
        </w:tabs>
        <w:spacing w:before="178"/>
        <w:ind w:left="0" w:right="1975" w:firstLine="0"/>
        <w:jc w:val="center"/>
        <w:rPr>
          <w:sz w:val="18"/>
        </w:rPr>
      </w:pPr>
      <w:r>
        <w:rPr>
          <w:sz w:val="16"/>
        </w:rPr>
        <w:t>comenzó la enfermedad de</w:t>
      </w:r>
      <w:r>
        <w:rPr>
          <w:spacing w:val="-9"/>
          <w:sz w:val="16"/>
        </w:rPr>
        <w:t> </w:t>
      </w:r>
      <w:r>
        <w:rPr>
          <w:sz w:val="16"/>
        </w:rPr>
        <w:t>su</w:t>
      </w:r>
      <w:r>
        <w:rPr>
          <w:spacing w:val="-3"/>
          <w:sz w:val="16"/>
        </w:rPr>
        <w:t> </w:t>
      </w:r>
      <w:r>
        <w:rPr>
          <w:sz w:val="16"/>
        </w:rPr>
        <w:t>familiar?</w:t>
        <w:tab/>
      </w:r>
      <w:r>
        <w:rPr>
          <w:position w:val="8"/>
          <w:sz w:val="18"/>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tabs>
          <w:tab w:pos="5690" w:val="left" w:leader="none"/>
        </w:tabs>
        <w:spacing w:before="81"/>
        <w:ind w:left="2168" w:right="160" w:firstLine="0"/>
        <w:jc w:val="left"/>
        <w:rPr>
          <w:sz w:val="18"/>
        </w:rPr>
      </w:pPr>
      <w:r>
        <w:rPr>
          <w:sz w:val="16"/>
        </w:rPr>
        <w:t>de cuidar a</w:t>
      </w:r>
      <w:r>
        <w:rPr>
          <w:spacing w:val="-3"/>
          <w:sz w:val="16"/>
        </w:rPr>
        <w:t> </w:t>
      </w:r>
      <w:r>
        <w:rPr>
          <w:sz w:val="16"/>
        </w:rPr>
        <w:t>su</w:t>
      </w:r>
      <w:r>
        <w:rPr>
          <w:spacing w:val="-3"/>
          <w:sz w:val="16"/>
        </w:rPr>
        <w:t> </w:t>
      </w:r>
      <w:r>
        <w:rPr>
          <w:sz w:val="16"/>
        </w:rPr>
        <w:t>familiar?</w:t>
        <w:tab/>
      </w:r>
      <w:r>
        <w:rPr>
          <w:position w:val="8"/>
          <w:sz w:val="18"/>
        </w:rPr>
        <w:t>-</w:t>
      </w:r>
    </w:p>
    <w:p>
      <w:pPr>
        <w:spacing w:after="0"/>
        <w:jc w:val="left"/>
        <w:rPr>
          <w:sz w:val="18"/>
        </w:rPr>
        <w:sectPr>
          <w:pgSz w:w="12250" w:h="15850"/>
          <w:pgMar w:header="748" w:footer="1122" w:top="1260" w:bottom="1320" w:left="1720" w:right="1200"/>
        </w:sectPr>
      </w:pPr>
    </w:p>
    <w:p>
      <w:pPr>
        <w:pStyle w:val="BodyText"/>
        <w:rPr>
          <w:sz w:val="20"/>
        </w:rPr>
      </w:pPr>
    </w:p>
    <w:p>
      <w:pPr>
        <w:pStyle w:val="BodyText"/>
        <w:rPr>
          <w:sz w:val="20"/>
        </w:rPr>
      </w:pPr>
    </w:p>
    <w:p>
      <w:pPr>
        <w:pStyle w:val="BodyText"/>
        <w:spacing w:before="6" w:after="1"/>
        <w:rPr>
          <w:sz w:val="21"/>
        </w:rPr>
      </w:pPr>
    </w:p>
    <w:tbl>
      <w:tblPr>
        <w:tblW w:w="0" w:type="auto"/>
        <w:jc w:val="left"/>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22"/>
        <w:gridCol w:w="2162"/>
        <w:gridCol w:w="2962"/>
      </w:tblGrid>
      <w:tr>
        <w:trPr>
          <w:trHeight w:val="586" w:hRule="exact"/>
        </w:trPr>
        <w:tc>
          <w:tcPr>
            <w:tcW w:w="8546" w:type="dxa"/>
            <w:gridSpan w:val="3"/>
            <w:tcBorders>
              <w:left w:val="nil"/>
              <w:right w:val="nil"/>
            </w:tcBorders>
          </w:tcPr>
          <w:p>
            <w:pPr>
              <w:pStyle w:val="TableParagraph"/>
              <w:spacing w:before="7"/>
              <w:ind w:left="3478" w:hanging="2756"/>
              <w:jc w:val="left"/>
              <w:rPr>
                <w:b/>
                <w:sz w:val="24"/>
              </w:rPr>
            </w:pPr>
            <w:r>
              <w:rPr>
                <w:b/>
                <w:sz w:val="24"/>
              </w:rPr>
              <w:t>Media del Puntaje obtenido en base a la escala de sobrecarga del cuidador de Zarit</w:t>
            </w:r>
          </w:p>
        </w:tc>
      </w:tr>
      <w:tr>
        <w:trPr>
          <w:trHeight w:val="667" w:hRule="exact"/>
        </w:trPr>
        <w:tc>
          <w:tcPr>
            <w:tcW w:w="3422" w:type="dxa"/>
            <w:tcBorders>
              <w:left w:val="nil"/>
              <w:right w:val="nil"/>
            </w:tcBorders>
            <w:shd w:val="clear" w:color="auto" w:fill="99CC00"/>
          </w:tcPr>
          <w:p>
            <w:pPr>
              <w:pStyle w:val="TableParagraph"/>
              <w:spacing w:before="187"/>
              <w:ind w:left="554"/>
              <w:jc w:val="left"/>
              <w:rPr>
                <w:b/>
                <w:sz w:val="24"/>
              </w:rPr>
            </w:pPr>
            <w:r>
              <w:rPr>
                <w:b/>
                <w:sz w:val="24"/>
              </w:rPr>
              <w:t>Nivel de sobrecarga</w:t>
            </w:r>
          </w:p>
        </w:tc>
        <w:tc>
          <w:tcPr>
            <w:tcW w:w="2162" w:type="dxa"/>
            <w:tcBorders>
              <w:left w:val="nil"/>
              <w:right w:val="nil"/>
            </w:tcBorders>
            <w:shd w:val="clear" w:color="auto" w:fill="99CC00"/>
          </w:tcPr>
          <w:p>
            <w:pPr>
              <w:pStyle w:val="TableParagraph"/>
              <w:spacing w:before="187"/>
              <w:ind w:left="564" w:right="1009"/>
              <w:rPr>
                <w:b/>
                <w:sz w:val="24"/>
              </w:rPr>
            </w:pPr>
            <w:r>
              <w:rPr>
                <w:b/>
                <w:sz w:val="24"/>
              </w:rPr>
              <w:t>Leve</w:t>
            </w:r>
          </w:p>
        </w:tc>
        <w:tc>
          <w:tcPr>
            <w:tcW w:w="2962" w:type="dxa"/>
            <w:tcBorders>
              <w:left w:val="nil"/>
              <w:right w:val="nil"/>
            </w:tcBorders>
            <w:shd w:val="clear" w:color="auto" w:fill="99CC00"/>
          </w:tcPr>
          <w:p>
            <w:pPr>
              <w:pStyle w:val="TableParagraph"/>
              <w:spacing w:before="187"/>
              <w:ind w:left="1014" w:right="1067"/>
              <w:rPr>
                <w:b/>
                <w:sz w:val="24"/>
              </w:rPr>
            </w:pPr>
            <w:r>
              <w:rPr>
                <w:b/>
                <w:sz w:val="24"/>
              </w:rPr>
              <w:t>Intensa</w:t>
            </w:r>
          </w:p>
        </w:tc>
      </w:tr>
      <w:tr>
        <w:trPr>
          <w:trHeight w:val="403" w:hRule="exact"/>
        </w:trPr>
        <w:tc>
          <w:tcPr>
            <w:tcW w:w="3422" w:type="dxa"/>
            <w:tcBorders>
              <w:left w:val="nil"/>
              <w:right w:val="nil"/>
            </w:tcBorders>
          </w:tcPr>
          <w:p>
            <w:pPr/>
          </w:p>
        </w:tc>
        <w:tc>
          <w:tcPr>
            <w:tcW w:w="2162" w:type="dxa"/>
            <w:tcBorders>
              <w:left w:val="nil"/>
              <w:right w:val="nil"/>
            </w:tcBorders>
          </w:tcPr>
          <w:p>
            <w:pPr>
              <w:pStyle w:val="TableParagraph"/>
              <w:spacing w:before="53"/>
              <w:ind w:left="564" w:right="1001"/>
              <w:rPr>
                <w:sz w:val="24"/>
              </w:rPr>
            </w:pPr>
            <w:r>
              <w:rPr>
                <w:sz w:val="24"/>
              </w:rPr>
              <w:t>53</w:t>
            </w:r>
          </w:p>
        </w:tc>
        <w:tc>
          <w:tcPr>
            <w:tcW w:w="2962" w:type="dxa"/>
            <w:tcBorders>
              <w:left w:val="nil"/>
              <w:right w:val="nil"/>
            </w:tcBorders>
          </w:tcPr>
          <w:p>
            <w:pPr>
              <w:pStyle w:val="TableParagraph"/>
              <w:spacing w:before="53"/>
              <w:ind w:left="1014" w:right="1064"/>
              <w:rPr>
                <w:sz w:val="24"/>
              </w:rPr>
            </w:pPr>
            <w:r>
              <w:rPr>
                <w:sz w:val="24"/>
              </w:rPr>
              <w:t>81</w:t>
            </w:r>
          </w:p>
        </w:tc>
      </w:tr>
    </w:tbl>
    <w:p>
      <w:pPr>
        <w:pStyle w:val="BodyText"/>
        <w:rPr>
          <w:sz w:val="20"/>
        </w:rPr>
      </w:pPr>
    </w:p>
    <w:p>
      <w:pPr>
        <w:pStyle w:val="BodyText"/>
        <w:spacing w:before="3"/>
        <w:rPr>
          <w:sz w:val="19"/>
        </w:rPr>
      </w:pPr>
    </w:p>
    <w:p>
      <w:pPr>
        <w:pStyle w:val="BodyText"/>
        <w:spacing w:line="348" w:lineRule="auto" w:before="70"/>
        <w:ind w:left="625" w:right="202"/>
        <w:jc w:val="both"/>
      </w:pPr>
      <w:r>
        <w:rPr/>
        <w:t>Con base en las respuestas obtenidas luego de la aplicación de la escala de sobrecarga del cuidador de Zarit, se observó que el mayor porcentaje de las respuestas obtenidas por los cuidadores oscilan entre “algunas veces” equivalente a 3 puntos por respuesta y “bastantes veces”, lo que equivale a 4 puntos por respuesta, encontrando una media de 53 puntos para los cuidadores que experimentan una sobrecarga leve y 81 puntos para los que sobrellevan una sobrecarga</w:t>
      </w:r>
      <w:r>
        <w:rPr>
          <w:spacing w:val="-15"/>
        </w:rPr>
        <w:t> </w:t>
      </w:r>
      <w:r>
        <w:rPr/>
        <w:t>intensa.</w:t>
      </w:r>
    </w:p>
    <w:p>
      <w:pPr>
        <w:pStyle w:val="BodyText"/>
        <w:spacing w:before="9"/>
        <w:rPr>
          <w:sz w:val="25"/>
        </w:rPr>
      </w:pPr>
    </w:p>
    <w:tbl>
      <w:tblPr>
        <w:tblW w:w="0" w:type="auto"/>
        <w:jc w:val="left"/>
        <w:tblInd w:w="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81"/>
        <w:gridCol w:w="2795"/>
        <w:gridCol w:w="1350"/>
      </w:tblGrid>
      <w:tr>
        <w:trPr>
          <w:trHeight w:val="370" w:hRule="exact"/>
        </w:trPr>
        <w:tc>
          <w:tcPr>
            <w:tcW w:w="8526" w:type="dxa"/>
            <w:gridSpan w:val="3"/>
            <w:tcBorders>
              <w:left w:val="nil"/>
              <w:bottom w:val="nil"/>
              <w:right w:val="nil"/>
            </w:tcBorders>
            <w:shd w:val="clear" w:color="auto" w:fill="99CC00"/>
          </w:tcPr>
          <w:p>
            <w:pPr>
              <w:pStyle w:val="TableParagraph"/>
              <w:spacing w:before="24"/>
              <w:ind w:left="2350"/>
              <w:jc w:val="left"/>
              <w:rPr>
                <w:b/>
                <w:sz w:val="24"/>
              </w:rPr>
            </w:pPr>
            <w:r>
              <w:rPr>
                <w:b/>
                <w:sz w:val="24"/>
              </w:rPr>
              <w:t>Carga objetiva - Impacto del cuidado</w:t>
            </w:r>
          </w:p>
        </w:tc>
      </w:tr>
      <w:tr>
        <w:trPr>
          <w:trHeight w:val="362" w:hRule="exact"/>
        </w:trPr>
        <w:tc>
          <w:tcPr>
            <w:tcW w:w="4381" w:type="dxa"/>
            <w:tcBorders>
              <w:top w:val="nil"/>
              <w:left w:val="nil"/>
              <w:bottom w:val="nil"/>
              <w:right w:val="nil"/>
            </w:tcBorders>
            <w:shd w:val="clear" w:color="auto" w:fill="99CC00"/>
          </w:tcPr>
          <w:p>
            <w:pPr>
              <w:pStyle w:val="TableParagraph"/>
              <w:spacing w:before="44"/>
              <w:ind w:left="1192" w:right="674"/>
              <w:rPr>
                <w:b/>
                <w:sz w:val="20"/>
              </w:rPr>
            </w:pPr>
            <w:r>
              <w:rPr>
                <w:b/>
                <w:sz w:val="20"/>
              </w:rPr>
              <w:t>Ítems</w:t>
            </w:r>
          </w:p>
        </w:tc>
        <w:tc>
          <w:tcPr>
            <w:tcW w:w="2795" w:type="dxa"/>
            <w:tcBorders>
              <w:top w:val="nil"/>
              <w:left w:val="nil"/>
              <w:bottom w:val="nil"/>
              <w:right w:val="nil"/>
            </w:tcBorders>
            <w:shd w:val="clear" w:color="auto" w:fill="99CC00"/>
          </w:tcPr>
          <w:p>
            <w:pPr>
              <w:pStyle w:val="TableParagraph"/>
              <w:spacing w:before="44"/>
              <w:ind w:left="678" w:right="421"/>
              <w:rPr>
                <w:b/>
                <w:sz w:val="20"/>
              </w:rPr>
            </w:pPr>
            <w:r>
              <w:rPr>
                <w:b/>
                <w:sz w:val="20"/>
              </w:rPr>
              <w:t>Alfa de Cronbach</w:t>
            </w:r>
          </w:p>
        </w:tc>
        <w:tc>
          <w:tcPr>
            <w:tcW w:w="1350" w:type="dxa"/>
            <w:tcBorders>
              <w:top w:val="nil"/>
              <w:left w:val="nil"/>
              <w:bottom w:val="nil"/>
              <w:right w:val="nil"/>
            </w:tcBorders>
            <w:shd w:val="clear" w:color="auto" w:fill="99CC00"/>
          </w:tcPr>
          <w:p>
            <w:pPr>
              <w:pStyle w:val="TableParagraph"/>
              <w:spacing w:before="44"/>
              <w:ind w:left="423" w:right="319"/>
              <w:rPr>
                <w:b/>
                <w:sz w:val="20"/>
              </w:rPr>
            </w:pPr>
            <w:r>
              <w:rPr>
                <w:b/>
                <w:sz w:val="20"/>
              </w:rPr>
              <w:t>Media</w:t>
            </w:r>
          </w:p>
        </w:tc>
      </w:tr>
      <w:tr>
        <w:trPr>
          <w:trHeight w:val="773" w:hRule="exact"/>
        </w:trPr>
        <w:tc>
          <w:tcPr>
            <w:tcW w:w="4381" w:type="dxa"/>
            <w:tcBorders>
              <w:top w:val="nil"/>
              <w:left w:val="nil"/>
              <w:right w:val="nil"/>
            </w:tcBorders>
          </w:tcPr>
          <w:p>
            <w:pPr>
              <w:pStyle w:val="TableParagraph"/>
              <w:spacing w:before="103"/>
              <w:ind w:left="1192" w:right="679"/>
              <w:rPr>
                <w:sz w:val="24"/>
              </w:rPr>
            </w:pPr>
            <w:r>
              <w:rPr>
                <w:sz w:val="24"/>
              </w:rPr>
              <w:t>2,3,7,8,10,11,12,14,16,</w:t>
            </w:r>
          </w:p>
          <w:p>
            <w:pPr>
              <w:pStyle w:val="TableParagraph"/>
              <w:ind w:left="1192" w:right="671"/>
              <w:rPr>
                <w:sz w:val="24"/>
              </w:rPr>
            </w:pPr>
            <w:r>
              <w:rPr>
                <w:sz w:val="24"/>
              </w:rPr>
              <w:t>1718,19 y 22.</w:t>
            </w:r>
          </w:p>
        </w:tc>
        <w:tc>
          <w:tcPr>
            <w:tcW w:w="2795" w:type="dxa"/>
            <w:tcBorders>
              <w:top w:val="nil"/>
              <w:left w:val="nil"/>
              <w:right w:val="nil"/>
            </w:tcBorders>
          </w:tcPr>
          <w:p>
            <w:pPr>
              <w:pStyle w:val="TableParagraph"/>
              <w:spacing w:before="10"/>
              <w:jc w:val="left"/>
              <w:rPr>
                <w:sz w:val="20"/>
              </w:rPr>
            </w:pPr>
          </w:p>
          <w:p>
            <w:pPr>
              <w:pStyle w:val="TableParagraph"/>
              <w:ind w:left="678" w:right="415"/>
              <w:rPr>
                <w:sz w:val="24"/>
              </w:rPr>
            </w:pPr>
            <w:r>
              <w:rPr>
                <w:sz w:val="24"/>
              </w:rPr>
              <w:t>0.923</w:t>
            </w:r>
          </w:p>
        </w:tc>
        <w:tc>
          <w:tcPr>
            <w:tcW w:w="1350" w:type="dxa"/>
            <w:tcBorders>
              <w:top w:val="nil"/>
              <w:left w:val="nil"/>
              <w:right w:val="nil"/>
            </w:tcBorders>
          </w:tcPr>
          <w:p>
            <w:pPr>
              <w:pStyle w:val="TableParagraph"/>
              <w:spacing w:before="10"/>
              <w:jc w:val="left"/>
              <w:rPr>
                <w:sz w:val="20"/>
              </w:rPr>
            </w:pPr>
          </w:p>
          <w:p>
            <w:pPr>
              <w:pStyle w:val="TableParagraph"/>
              <w:ind w:left="419" w:right="319"/>
              <w:rPr>
                <w:sz w:val="24"/>
              </w:rPr>
            </w:pPr>
            <w:r>
              <w:rPr>
                <w:sz w:val="24"/>
              </w:rPr>
              <w:t>3.5</w:t>
            </w:r>
          </w:p>
        </w:tc>
      </w:tr>
    </w:tbl>
    <w:p>
      <w:pPr>
        <w:pStyle w:val="BodyText"/>
        <w:spacing w:before="8"/>
        <w:rPr>
          <w:sz w:val="29"/>
        </w:rPr>
      </w:pPr>
    </w:p>
    <w:p>
      <w:pPr>
        <w:pStyle w:val="BodyText"/>
        <w:spacing w:line="360" w:lineRule="auto" w:before="69"/>
        <w:ind w:left="625" w:right="239"/>
        <w:jc w:val="both"/>
      </w:pPr>
      <w:r>
        <w:rPr/>
        <w:t>El factor de impacto del cuidado, se obtuvo una media de 3.5, reflejando que los cuidadores bastantes veces ven perjudicada su vida social, experimentan una reducción en su tiempo libre, así como un deterioro en su estado de salud.</w:t>
      </w:r>
    </w:p>
    <w:p>
      <w:pPr>
        <w:pStyle w:val="BodyText"/>
        <w:rPr>
          <w:sz w:val="20"/>
        </w:rPr>
      </w:pPr>
    </w:p>
    <w:p>
      <w:pPr>
        <w:pStyle w:val="BodyText"/>
        <w:spacing w:before="5" w:after="1"/>
        <w:rPr>
          <w:sz w:val="16"/>
        </w:rPr>
      </w:pPr>
    </w:p>
    <w:tbl>
      <w:tblPr>
        <w:tblW w:w="0" w:type="auto"/>
        <w:jc w:val="left"/>
        <w:tblInd w:w="6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7"/>
        <w:gridCol w:w="3126"/>
        <w:gridCol w:w="2136"/>
      </w:tblGrid>
      <w:tr>
        <w:trPr>
          <w:trHeight w:val="389" w:hRule="exact"/>
        </w:trPr>
        <w:tc>
          <w:tcPr>
            <w:tcW w:w="8519" w:type="dxa"/>
            <w:gridSpan w:val="3"/>
            <w:tcBorders>
              <w:left w:val="nil"/>
              <w:bottom w:val="nil"/>
              <w:right w:val="nil"/>
            </w:tcBorders>
            <w:shd w:val="clear" w:color="auto" w:fill="99CC00"/>
          </w:tcPr>
          <w:p>
            <w:pPr>
              <w:pStyle w:val="TableParagraph"/>
              <w:spacing w:before="42"/>
              <w:ind w:left="2143"/>
              <w:jc w:val="left"/>
              <w:rPr>
                <w:b/>
                <w:sz w:val="24"/>
              </w:rPr>
            </w:pPr>
            <w:r>
              <w:rPr>
                <w:b/>
                <w:sz w:val="24"/>
              </w:rPr>
              <w:t>Carga subjetiva - Relación interpersonal</w:t>
            </w:r>
          </w:p>
        </w:tc>
      </w:tr>
      <w:tr>
        <w:trPr>
          <w:trHeight w:val="348" w:hRule="exact"/>
        </w:trPr>
        <w:tc>
          <w:tcPr>
            <w:tcW w:w="3257" w:type="dxa"/>
            <w:tcBorders>
              <w:top w:val="nil"/>
              <w:left w:val="nil"/>
              <w:bottom w:val="nil"/>
              <w:right w:val="nil"/>
            </w:tcBorders>
            <w:shd w:val="clear" w:color="auto" w:fill="99CC00"/>
          </w:tcPr>
          <w:p>
            <w:pPr>
              <w:pStyle w:val="TableParagraph"/>
              <w:spacing w:before="45"/>
              <w:ind w:left="1065" w:right="695"/>
              <w:rPr>
                <w:b/>
                <w:sz w:val="20"/>
              </w:rPr>
            </w:pPr>
            <w:r>
              <w:rPr>
                <w:b/>
                <w:sz w:val="20"/>
              </w:rPr>
              <w:t>Ítems</w:t>
            </w:r>
          </w:p>
        </w:tc>
        <w:tc>
          <w:tcPr>
            <w:tcW w:w="3126" w:type="dxa"/>
            <w:tcBorders>
              <w:top w:val="nil"/>
              <w:left w:val="nil"/>
              <w:bottom w:val="nil"/>
              <w:right w:val="nil"/>
            </w:tcBorders>
            <w:shd w:val="clear" w:color="auto" w:fill="99CC00"/>
          </w:tcPr>
          <w:p>
            <w:pPr>
              <w:pStyle w:val="TableParagraph"/>
              <w:spacing w:before="45"/>
              <w:ind w:left="694" w:right="735"/>
              <w:rPr>
                <w:b/>
                <w:sz w:val="20"/>
              </w:rPr>
            </w:pPr>
            <w:r>
              <w:rPr>
                <w:b/>
                <w:sz w:val="20"/>
              </w:rPr>
              <w:t>Alfa de Cronbach</w:t>
            </w:r>
          </w:p>
        </w:tc>
        <w:tc>
          <w:tcPr>
            <w:tcW w:w="2136" w:type="dxa"/>
            <w:tcBorders>
              <w:top w:val="nil"/>
              <w:left w:val="nil"/>
              <w:bottom w:val="nil"/>
              <w:right w:val="nil"/>
            </w:tcBorders>
            <w:shd w:val="clear" w:color="auto" w:fill="99CC00"/>
          </w:tcPr>
          <w:p>
            <w:pPr>
              <w:pStyle w:val="TableParagraph"/>
              <w:spacing w:before="45"/>
              <w:ind w:left="740" w:right="788"/>
              <w:rPr>
                <w:b/>
                <w:sz w:val="20"/>
              </w:rPr>
            </w:pPr>
            <w:r>
              <w:rPr>
                <w:b/>
                <w:sz w:val="20"/>
              </w:rPr>
              <w:t>Media</w:t>
            </w:r>
          </w:p>
        </w:tc>
      </w:tr>
      <w:tr>
        <w:trPr>
          <w:trHeight w:val="749" w:hRule="exact"/>
        </w:trPr>
        <w:tc>
          <w:tcPr>
            <w:tcW w:w="3257" w:type="dxa"/>
            <w:tcBorders>
              <w:top w:val="nil"/>
              <w:left w:val="nil"/>
              <w:right w:val="nil"/>
            </w:tcBorders>
          </w:tcPr>
          <w:p>
            <w:pPr>
              <w:pStyle w:val="TableParagraph"/>
              <w:jc w:val="left"/>
              <w:rPr>
                <w:sz w:val="20"/>
              </w:rPr>
            </w:pPr>
          </w:p>
          <w:p>
            <w:pPr>
              <w:pStyle w:val="TableParagraph"/>
              <w:spacing w:before="1"/>
              <w:ind w:left="1066" w:right="695"/>
              <w:rPr>
                <w:sz w:val="24"/>
              </w:rPr>
            </w:pPr>
            <w:r>
              <w:rPr>
                <w:sz w:val="24"/>
              </w:rPr>
              <w:t>1,4,5,6,9 y 13</w:t>
            </w:r>
          </w:p>
        </w:tc>
        <w:tc>
          <w:tcPr>
            <w:tcW w:w="3126" w:type="dxa"/>
            <w:tcBorders>
              <w:top w:val="nil"/>
              <w:left w:val="nil"/>
              <w:right w:val="nil"/>
            </w:tcBorders>
          </w:tcPr>
          <w:p>
            <w:pPr>
              <w:pStyle w:val="TableParagraph"/>
              <w:jc w:val="left"/>
              <w:rPr>
                <w:sz w:val="20"/>
              </w:rPr>
            </w:pPr>
          </w:p>
          <w:p>
            <w:pPr>
              <w:pStyle w:val="TableParagraph"/>
              <w:spacing w:before="1"/>
              <w:ind w:left="694" w:right="729"/>
              <w:rPr>
                <w:sz w:val="24"/>
              </w:rPr>
            </w:pPr>
            <w:r>
              <w:rPr>
                <w:sz w:val="24"/>
              </w:rPr>
              <w:t>0.876</w:t>
            </w:r>
          </w:p>
        </w:tc>
        <w:tc>
          <w:tcPr>
            <w:tcW w:w="2136" w:type="dxa"/>
            <w:tcBorders>
              <w:top w:val="nil"/>
              <w:left w:val="nil"/>
              <w:right w:val="nil"/>
            </w:tcBorders>
          </w:tcPr>
          <w:p>
            <w:pPr>
              <w:pStyle w:val="TableParagraph"/>
              <w:jc w:val="left"/>
              <w:rPr>
                <w:sz w:val="20"/>
              </w:rPr>
            </w:pPr>
          </w:p>
          <w:p>
            <w:pPr>
              <w:pStyle w:val="TableParagraph"/>
              <w:spacing w:before="1"/>
              <w:ind w:left="740" w:right="787"/>
              <w:rPr>
                <w:sz w:val="24"/>
              </w:rPr>
            </w:pPr>
            <w:r>
              <w:rPr>
                <w:sz w:val="24"/>
              </w:rPr>
              <w:t>3.4</w:t>
            </w:r>
          </w:p>
        </w:tc>
      </w:tr>
    </w:tbl>
    <w:p>
      <w:pPr>
        <w:pStyle w:val="BodyText"/>
        <w:spacing w:before="8"/>
        <w:rPr>
          <w:sz w:val="29"/>
        </w:rPr>
      </w:pPr>
    </w:p>
    <w:p>
      <w:pPr>
        <w:pStyle w:val="BodyText"/>
        <w:spacing w:line="360" w:lineRule="auto" w:before="69"/>
        <w:ind w:left="625" w:right="235"/>
        <w:jc w:val="both"/>
      </w:pPr>
      <w:r>
        <w:rPr/>
        <w:t>En el factor interpersonal, perteneciente a la dimension de carga subjetiva, se obtuvo una media de 3.4, lo que indica que los cuidadores algunas veces, persiven sentimiento de enojo y tensión hacia su adulto mayor hospitalizado.</w:t>
      </w:r>
    </w:p>
    <w:p>
      <w:pPr>
        <w:spacing w:after="0" w:line="360" w:lineRule="auto"/>
        <w:jc w:val="both"/>
        <w:sectPr>
          <w:pgSz w:w="12250" w:h="15850"/>
          <w:pgMar w:header="748" w:footer="1122" w:top="1260" w:bottom="1320" w:left="1720" w:right="1220"/>
        </w:sectPr>
      </w:pPr>
    </w:p>
    <w:p>
      <w:pPr>
        <w:pStyle w:val="BodyText"/>
        <w:rPr>
          <w:sz w:val="20"/>
        </w:rPr>
      </w:pPr>
    </w:p>
    <w:p>
      <w:pPr>
        <w:pStyle w:val="BodyText"/>
        <w:rPr>
          <w:sz w:val="20"/>
        </w:rPr>
      </w:pPr>
    </w:p>
    <w:p>
      <w:pPr>
        <w:pStyle w:val="BodyText"/>
        <w:spacing w:before="6" w:after="1"/>
        <w:rPr>
          <w:sz w:val="21"/>
        </w:rPr>
      </w:pPr>
    </w:p>
    <w:tbl>
      <w:tblPr>
        <w:tblW w:w="0" w:type="auto"/>
        <w:jc w:val="left"/>
        <w:tblInd w:w="6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8"/>
        <w:gridCol w:w="3235"/>
        <w:gridCol w:w="2156"/>
      </w:tblGrid>
      <w:tr>
        <w:trPr>
          <w:trHeight w:val="430" w:hRule="exact"/>
        </w:trPr>
        <w:tc>
          <w:tcPr>
            <w:tcW w:w="8548" w:type="dxa"/>
            <w:gridSpan w:val="3"/>
            <w:tcBorders>
              <w:left w:val="nil"/>
              <w:bottom w:val="nil"/>
              <w:right w:val="nil"/>
            </w:tcBorders>
            <w:shd w:val="clear" w:color="auto" w:fill="99CC00"/>
          </w:tcPr>
          <w:p>
            <w:pPr>
              <w:pStyle w:val="TableParagraph"/>
              <w:spacing w:before="63"/>
              <w:ind w:left="1798"/>
              <w:jc w:val="left"/>
              <w:rPr>
                <w:b/>
                <w:sz w:val="24"/>
              </w:rPr>
            </w:pPr>
            <w:r>
              <w:rPr>
                <w:b/>
                <w:sz w:val="24"/>
              </w:rPr>
              <w:t>Carga subjetiva - Expectativas de autocuidado</w:t>
            </w:r>
          </w:p>
        </w:tc>
      </w:tr>
      <w:tr>
        <w:trPr>
          <w:trHeight w:val="390" w:hRule="exact"/>
        </w:trPr>
        <w:tc>
          <w:tcPr>
            <w:tcW w:w="3158" w:type="dxa"/>
            <w:tcBorders>
              <w:top w:val="nil"/>
              <w:left w:val="nil"/>
              <w:bottom w:val="nil"/>
              <w:right w:val="nil"/>
            </w:tcBorders>
            <w:shd w:val="clear" w:color="auto" w:fill="99CC00"/>
          </w:tcPr>
          <w:p>
            <w:pPr>
              <w:pStyle w:val="TableParagraph"/>
              <w:spacing w:before="66"/>
              <w:ind w:left="1207" w:right="786"/>
              <w:rPr>
                <w:b/>
                <w:sz w:val="20"/>
              </w:rPr>
            </w:pPr>
            <w:r>
              <w:rPr>
                <w:b/>
                <w:sz w:val="20"/>
              </w:rPr>
              <w:t>Ítems</w:t>
            </w:r>
          </w:p>
        </w:tc>
        <w:tc>
          <w:tcPr>
            <w:tcW w:w="3235" w:type="dxa"/>
            <w:tcBorders>
              <w:top w:val="nil"/>
              <w:left w:val="nil"/>
              <w:bottom w:val="nil"/>
              <w:right w:val="nil"/>
            </w:tcBorders>
            <w:shd w:val="clear" w:color="auto" w:fill="99CC00"/>
          </w:tcPr>
          <w:p>
            <w:pPr>
              <w:pStyle w:val="TableParagraph"/>
              <w:spacing w:before="66"/>
              <w:ind w:left="782" w:right="755"/>
              <w:rPr>
                <w:b/>
                <w:sz w:val="20"/>
              </w:rPr>
            </w:pPr>
            <w:r>
              <w:rPr>
                <w:b/>
                <w:sz w:val="20"/>
              </w:rPr>
              <w:t>Alfa de Cronbach</w:t>
            </w:r>
          </w:p>
        </w:tc>
        <w:tc>
          <w:tcPr>
            <w:tcW w:w="2156" w:type="dxa"/>
            <w:tcBorders>
              <w:top w:val="nil"/>
              <w:left w:val="nil"/>
              <w:bottom w:val="nil"/>
              <w:right w:val="nil"/>
            </w:tcBorders>
            <w:shd w:val="clear" w:color="auto" w:fill="99CC00"/>
          </w:tcPr>
          <w:p>
            <w:pPr>
              <w:pStyle w:val="TableParagraph"/>
              <w:spacing w:before="66"/>
              <w:ind w:left="759" w:right="788"/>
              <w:rPr>
                <w:b/>
                <w:sz w:val="20"/>
              </w:rPr>
            </w:pPr>
            <w:r>
              <w:rPr>
                <w:b/>
                <w:sz w:val="20"/>
              </w:rPr>
              <w:t>Media</w:t>
            </w:r>
          </w:p>
        </w:tc>
      </w:tr>
      <w:tr>
        <w:trPr>
          <w:trHeight w:val="833" w:hRule="exact"/>
        </w:trPr>
        <w:tc>
          <w:tcPr>
            <w:tcW w:w="3158" w:type="dxa"/>
            <w:tcBorders>
              <w:top w:val="nil"/>
              <w:left w:val="nil"/>
              <w:right w:val="nil"/>
            </w:tcBorders>
          </w:tcPr>
          <w:p>
            <w:pPr>
              <w:pStyle w:val="TableParagraph"/>
              <w:spacing w:before="7"/>
              <w:jc w:val="left"/>
              <w:rPr>
                <w:sz w:val="23"/>
              </w:rPr>
            </w:pPr>
          </w:p>
          <w:p>
            <w:pPr>
              <w:pStyle w:val="TableParagraph"/>
              <w:ind w:left="1211" w:right="786"/>
              <w:rPr>
                <w:sz w:val="24"/>
              </w:rPr>
            </w:pPr>
            <w:r>
              <w:rPr>
                <w:sz w:val="24"/>
              </w:rPr>
              <w:t>15,20 y 21</w:t>
            </w:r>
          </w:p>
        </w:tc>
        <w:tc>
          <w:tcPr>
            <w:tcW w:w="3235" w:type="dxa"/>
            <w:tcBorders>
              <w:top w:val="nil"/>
              <w:left w:val="nil"/>
              <w:right w:val="nil"/>
            </w:tcBorders>
          </w:tcPr>
          <w:p>
            <w:pPr>
              <w:pStyle w:val="TableParagraph"/>
              <w:spacing w:before="7"/>
              <w:jc w:val="left"/>
              <w:rPr>
                <w:sz w:val="23"/>
              </w:rPr>
            </w:pPr>
          </w:p>
          <w:p>
            <w:pPr>
              <w:pStyle w:val="TableParagraph"/>
              <w:ind w:left="782" w:right="749"/>
              <w:rPr>
                <w:sz w:val="24"/>
              </w:rPr>
            </w:pPr>
            <w:r>
              <w:rPr>
                <w:sz w:val="24"/>
              </w:rPr>
              <w:t>0.614</w:t>
            </w:r>
          </w:p>
        </w:tc>
        <w:tc>
          <w:tcPr>
            <w:tcW w:w="2156" w:type="dxa"/>
            <w:tcBorders>
              <w:top w:val="nil"/>
              <w:left w:val="nil"/>
              <w:right w:val="nil"/>
            </w:tcBorders>
          </w:tcPr>
          <w:p>
            <w:pPr>
              <w:pStyle w:val="TableParagraph"/>
              <w:spacing w:before="7"/>
              <w:jc w:val="left"/>
              <w:rPr>
                <w:sz w:val="23"/>
              </w:rPr>
            </w:pPr>
          </w:p>
          <w:p>
            <w:pPr>
              <w:pStyle w:val="TableParagraph"/>
              <w:ind w:left="756" w:right="788"/>
              <w:rPr>
                <w:sz w:val="24"/>
              </w:rPr>
            </w:pPr>
            <w:r>
              <w:rPr>
                <w:sz w:val="24"/>
              </w:rPr>
              <w:t>3.74</w:t>
            </w:r>
          </w:p>
        </w:tc>
      </w:tr>
    </w:tbl>
    <w:p>
      <w:pPr>
        <w:pStyle w:val="BodyText"/>
        <w:spacing w:before="8"/>
        <w:rPr>
          <w:sz w:val="29"/>
        </w:rPr>
      </w:pPr>
    </w:p>
    <w:p>
      <w:pPr>
        <w:pStyle w:val="BodyText"/>
        <w:spacing w:line="360" w:lineRule="auto" w:before="69"/>
        <w:ind w:left="625" w:right="237"/>
        <w:jc w:val="both"/>
      </w:pPr>
      <w:r>
        <w:rPr/>
        <w:t>Las expectativas del cuidador arrojaron una media de 3.74, lo que refleja que bastantes veces los cuidadores se ven afectados por el gasto económico que genera el cuidado del adulto mayor, además de la sensación de no poder cuidar más a su adulto mayor.</w:t>
      </w:r>
    </w:p>
    <w:p>
      <w:pPr>
        <w:spacing w:after="0" w:line="360" w:lineRule="auto"/>
        <w:jc w:val="both"/>
        <w:sectPr>
          <w:footerReference w:type="default" r:id="rId70"/>
          <w:pgSz w:w="12250" w:h="15850"/>
          <w:pgMar w:footer="1122" w:header="748" w:top="1260" w:bottom="1320" w:left="1720" w:right="1220"/>
        </w:sectPr>
      </w:pPr>
    </w:p>
    <w:p>
      <w:pPr>
        <w:pStyle w:val="BodyText"/>
        <w:rPr>
          <w:sz w:val="20"/>
        </w:rPr>
      </w:pPr>
    </w:p>
    <w:p>
      <w:pPr>
        <w:pStyle w:val="BodyText"/>
        <w:rPr>
          <w:sz w:val="20"/>
        </w:rPr>
      </w:pPr>
    </w:p>
    <w:p>
      <w:pPr>
        <w:pStyle w:val="BodyText"/>
        <w:spacing w:before="5"/>
        <w:rPr>
          <w:sz w:val="21"/>
        </w:rPr>
      </w:pPr>
    </w:p>
    <w:p>
      <w:pPr>
        <w:pStyle w:val="Heading3"/>
        <w:ind w:left="2809"/>
        <w:jc w:val="left"/>
        <w:rPr>
          <w:i/>
        </w:rPr>
      </w:pPr>
      <w:r>
        <w:rPr>
          <w:i/>
        </w:rPr>
        <w:t>Tablas de contingencia</w:t>
      </w:r>
    </w:p>
    <w:p>
      <w:pPr>
        <w:pStyle w:val="BodyText"/>
        <w:rPr>
          <w:b/>
          <w:i/>
          <w:sz w:val="20"/>
        </w:rPr>
      </w:pPr>
    </w:p>
    <w:p>
      <w:pPr>
        <w:pStyle w:val="BodyText"/>
        <w:spacing w:before="8"/>
        <w:rPr>
          <w:b/>
          <w:i/>
        </w:rPr>
      </w:pPr>
      <w:r>
        <w:rPr/>
        <w:pict>
          <v:line style="position:absolute;mso-position-horizontal-relative:page;mso-position-vertical-relative:paragraph;z-index:3592;mso-wrap-distance-left:0;mso-wrap-distance-right:0" from="112.699997pt,16.438021pt" to="544.769997pt,16.438021pt" stroked="true" strokeweight=".48pt" strokecolor="#000000">
            <w10:wrap type="topAndBottom"/>
          </v:line>
        </w:pict>
      </w:r>
    </w:p>
    <w:p>
      <w:pPr>
        <w:pStyle w:val="BodyText"/>
        <w:spacing w:before="8"/>
        <w:rPr>
          <w:b/>
          <w:i/>
          <w:sz w:val="19"/>
        </w:rPr>
      </w:pPr>
    </w:p>
    <w:p>
      <w:pPr>
        <w:spacing w:before="0"/>
        <w:ind w:left="1996" w:right="0" w:firstLine="0"/>
        <w:jc w:val="left"/>
        <w:rPr>
          <w:b/>
          <w:sz w:val="20"/>
        </w:rPr>
      </w:pPr>
      <w:r>
        <w:rPr>
          <w:b/>
          <w:sz w:val="20"/>
        </w:rPr>
        <w:t>Género del cuidador informal primario / Nivel de sobrecarga</w:t>
      </w:r>
    </w:p>
    <w:p>
      <w:pPr>
        <w:pStyle w:val="BodyText"/>
        <w:spacing w:before="8"/>
        <w:rPr>
          <w:b/>
          <w:sz w:val="10"/>
        </w:rPr>
      </w:pPr>
      <w:r>
        <w:rPr/>
        <w:pict>
          <v:group style="position:absolute;margin-left:112.449997pt;margin-top:8.130889pt;width:432.6pt;height:58.35pt;mso-position-horizontal-relative:page;mso-position-vertical-relative:paragraph;z-index:3712;mso-wrap-distance-left:0;mso-wrap-distance-right:0" coordorigin="2249,163" coordsize="8652,1167">
            <v:rect style="position:absolute;left:2254;top:198;width:3634;height:211" filled="true" fillcolor="#99cc00" stroked="false">
              <v:fill type="solid"/>
            </v:rect>
            <v:line style="position:absolute" from="2289,409" to="2289,1083" stroked="true" strokeweight="3.48pt" strokecolor="#99cc00"/>
            <v:line style="position:absolute" from="5853,409" to="5853,1083" stroked="true" strokeweight="3.48pt" strokecolor="#99cc00"/>
            <v:rect style="position:absolute;left:2254;top:1083;width:3634;height:211" filled="true" fillcolor="#99cc00" stroked="false">
              <v:fill type="solid"/>
            </v:rect>
            <v:rect style="position:absolute;left:2324;top:409;width:3495;height:262" filled="true" fillcolor="#99cc00" stroked="false">
              <v:fill type="solid"/>
            </v:rect>
            <v:rect style="position:absolute;left:2324;top:670;width:3495;height:413" filled="true" fillcolor="#99cc00" stroked="false">
              <v:fill type="solid"/>
            </v:rect>
            <v:line style="position:absolute" from="5923,198" to="5923,872" stroked="true" strokeweight="3.48pt" strokecolor="#99cc00"/>
            <v:line style="position:absolute" from="8167,198" to="8167,872" stroked="true" strokeweight="3.48pt" strokecolor="#99cc00"/>
            <v:rect style="position:absolute;left:5958;top:198;width:2175;height:262" filled="true" fillcolor="#99cc00" stroked="false">
              <v:fill type="solid"/>
            </v:rect>
            <v:rect style="position:absolute;left:5958;top:459;width:2175;height:413" filled="true" fillcolor="#99cc00" stroked="false">
              <v:fill type="solid"/>
            </v:rect>
            <v:rect style="position:absolute;left:8202;top:198;width:2693;height:137" filled="true" fillcolor="#99cc00" stroked="false">
              <v:fill type="solid"/>
            </v:rect>
            <v:line style="position:absolute" from="8237,334" to="8237,1160" stroked="true" strokeweight="3.48pt" strokecolor="#99cc00"/>
            <v:line style="position:absolute" from="10861,334" to="10861,1160" stroked="true" strokeweight="3.48pt" strokecolor="#99cc00"/>
            <v:rect style="position:absolute;left:8202;top:1160;width:2693;height:134" filled="true" fillcolor="#99cc00" stroked="false">
              <v:fill type="solid"/>
            </v:rect>
            <v:rect style="position:absolute;left:8272;top:334;width:2554;height:413" filled="true" fillcolor="#99cc00" stroked="false">
              <v:fill type="solid"/>
            </v:rect>
            <v:rect style="position:absolute;left:8272;top:747;width:2554;height:413" filled="true" fillcolor="#99cc00" stroked="false">
              <v:fill type="solid"/>
            </v:rect>
            <v:line style="position:absolute" from="2254,193" to="5888,193" stroked="true" strokeweight=".48pt" strokecolor="#000000"/>
            <v:line style="position:absolute" from="5888,193" to="5898,193" stroked="true" strokeweight=".48pt" strokecolor="#000000"/>
            <v:line style="position:absolute" from="5898,193" to="8202,193" stroked="true" strokeweight=".48pt" strokecolor="#000000"/>
            <v:line style="position:absolute" from="8202,193" to="8212,193" stroked="true" strokeweight=".48pt" strokecolor="#000000"/>
            <v:line style="position:absolute" from="8212,193" to="10895,193" stroked="true" strokeweight=".48pt" strokecolor="#000000"/>
            <v:line style="position:absolute" from="5923,882" to="5923,1294" stroked="true" strokeweight="3.48pt" strokecolor="#99cc00"/>
            <v:rect style="position:absolute;left:6990;top:882;width:70;height:413" filled="true" fillcolor="#99cc00" stroked="false">
              <v:fill type="solid"/>
            </v:rect>
            <v:rect style="position:absolute;left:5958;top:882;width:1032;height:413" filled="true" fillcolor="#99cc00" stroked="false">
              <v:fill type="solid"/>
            </v:rect>
            <v:rect style="position:absolute;left:7060;top:882;width:70;height:413" filled="true" fillcolor="#99cc00" stroked="false">
              <v:fill type="solid"/>
            </v:rect>
            <v:line style="position:absolute" from="8167,882" to="8167,1294" stroked="true" strokeweight="3.48pt" strokecolor="#99cc00"/>
            <v:rect style="position:absolute;left:7129;top:882;width:1003;height:413" filled="true" fillcolor="#99cc00" stroked="false">
              <v:fill type="solid"/>
            </v:rect>
            <v:line style="position:absolute" from="5888,877" to="7060,877" stroked="true" strokeweight=".48001pt" strokecolor="#99cc00"/>
            <v:line style="position:absolute" from="7060,877" to="8202,877" stroked="true" strokeweight=".48001pt" strokecolor="#99cc00"/>
            <v:line style="position:absolute" from="2254,1299" to="5888,1299" stroked="true" strokeweight=".48pt" strokecolor="#000000"/>
            <v:line style="position:absolute" from="5888,1299" to="5898,1299" stroked="true" strokeweight=".48pt" strokecolor="#000000"/>
            <v:line style="position:absolute" from="5898,1299" to="7060,1299" stroked="true" strokeweight=".48pt" strokecolor="#000000"/>
            <v:line style="position:absolute" from="7060,1299" to="7069,1299" stroked="true" strokeweight=".48pt" strokecolor="#000000"/>
            <v:line style="position:absolute" from="7069,1299" to="8202,1299" stroked="true" strokeweight=".48pt" strokecolor="#000000"/>
            <v:line style="position:absolute" from="8202,1299" to="8212,1299" stroked="true" strokeweight=".48pt" strokecolor="#000000"/>
            <v:line style="position:absolute" from="8212,1299" to="10895,1299" stroked="true" strokeweight=".48pt" strokecolor="#000000"/>
            <v:shape style="position:absolute;left:6594;top:483;width:898;height:200" type="#_x0000_t202" filled="false" stroked="false">
              <v:textbox inset="0,0,0,0">
                <w:txbxContent>
                  <w:p>
                    <w:pPr>
                      <w:spacing w:line="199" w:lineRule="exact" w:before="0"/>
                      <w:ind w:left="0" w:right="-17" w:firstLine="0"/>
                      <w:jc w:val="left"/>
                      <w:rPr>
                        <w:sz w:val="20"/>
                      </w:rPr>
                    </w:pPr>
                    <w:r>
                      <w:rPr>
                        <w:sz w:val="20"/>
                      </w:rPr>
                      <w:t>Género</w:t>
                    </w:r>
                    <w:r>
                      <w:rPr>
                        <w:spacing w:val="-6"/>
                        <w:sz w:val="20"/>
                      </w:rPr>
                      <w:t> </w:t>
                    </w:r>
                    <w:r>
                      <w:rPr>
                        <w:sz w:val="20"/>
                      </w:rPr>
                      <w:t>%</w:t>
                    </w:r>
                  </w:p>
                </w:txbxContent>
              </v:textbox>
              <w10:wrap type="none"/>
            </v:shape>
            <v:shape style="position:absolute;left:3118;top:691;width:1897;height:200" type="#_x0000_t202" filled="false" stroked="false">
              <v:textbox inset="0,0,0,0">
                <w:txbxContent>
                  <w:p>
                    <w:pPr>
                      <w:spacing w:line="199" w:lineRule="exact" w:before="0"/>
                      <w:ind w:left="0" w:right="-14" w:firstLine="0"/>
                      <w:jc w:val="left"/>
                      <w:rPr>
                        <w:b/>
                        <w:sz w:val="20"/>
                      </w:rPr>
                    </w:pPr>
                    <w:r>
                      <w:rPr>
                        <w:b/>
                        <w:sz w:val="20"/>
                      </w:rPr>
                      <w:t>Nivel de</w:t>
                    </w:r>
                    <w:r>
                      <w:rPr>
                        <w:b/>
                        <w:spacing w:val="-10"/>
                        <w:sz w:val="20"/>
                      </w:rPr>
                      <w:t> </w:t>
                    </w:r>
                    <w:r>
                      <w:rPr>
                        <w:b/>
                        <w:sz w:val="20"/>
                      </w:rPr>
                      <w:t>sobrecarga</w:t>
                    </w:r>
                  </w:p>
                </w:txbxContent>
              </v:textbox>
              <w10:wrap type="none"/>
            </v:shape>
            <v:shape style="position:absolute;left:5984;top:903;width:2114;height:200" type="#_x0000_t202" filled="false" stroked="false">
              <v:textbox inset="0,0,0,0">
                <w:txbxContent>
                  <w:p>
                    <w:pPr>
                      <w:spacing w:line="199" w:lineRule="exact" w:before="0"/>
                      <w:ind w:left="0" w:right="0" w:firstLine="0"/>
                      <w:jc w:val="left"/>
                      <w:rPr>
                        <w:b/>
                        <w:sz w:val="20"/>
                      </w:rPr>
                    </w:pPr>
                    <w:r>
                      <w:rPr>
                        <w:b/>
                        <w:sz w:val="20"/>
                      </w:rPr>
                      <w:t>Masculino   Femenino</w:t>
                    </w:r>
                  </w:p>
                </w:txbxContent>
              </v:textbox>
              <w10:wrap type="none"/>
            </v:shape>
            <v:shape style="position:absolute;left:9165;top:768;width:766;height:200" type="#_x0000_t202" filled="false" stroked="false">
              <v:textbox inset="0,0,0,0">
                <w:txbxContent>
                  <w:p>
                    <w:pPr>
                      <w:spacing w:line="199" w:lineRule="exact" w:before="0"/>
                      <w:ind w:left="0" w:right="-19" w:firstLine="0"/>
                      <w:jc w:val="left"/>
                      <w:rPr>
                        <w:b/>
                        <w:sz w:val="20"/>
                      </w:rPr>
                    </w:pPr>
                    <w:r>
                      <w:rPr>
                        <w:b/>
                        <w:sz w:val="20"/>
                      </w:rPr>
                      <w:t>Valor</w:t>
                    </w:r>
                    <w:r>
                      <w:rPr>
                        <w:b/>
                        <w:spacing w:val="-2"/>
                        <w:sz w:val="20"/>
                      </w:rPr>
                      <w:t> </w:t>
                    </w:r>
                    <w:r>
                      <w:rPr>
                        <w:b/>
                        <w:sz w:val="20"/>
                      </w:rPr>
                      <w:t>P*</w:t>
                    </w:r>
                  </w:p>
                </w:txbxContent>
              </v:textbox>
              <w10:wrap type="none"/>
            </v:shape>
            <w10:wrap type="topAndBottom"/>
          </v:group>
        </w:pict>
      </w:r>
    </w:p>
    <w:p>
      <w:pPr>
        <w:pStyle w:val="BodyText"/>
        <w:spacing w:before="1"/>
        <w:rPr>
          <w:b/>
          <w:sz w:val="11"/>
        </w:rPr>
      </w:pPr>
    </w:p>
    <w:p>
      <w:pPr>
        <w:tabs>
          <w:tab w:pos="4720" w:val="left" w:leader="none"/>
          <w:tab w:pos="5714" w:val="left" w:leader="none"/>
          <w:tab w:pos="8076" w:val="right" w:leader="none"/>
        </w:tabs>
        <w:spacing w:before="75"/>
        <w:ind w:left="2099" w:right="0" w:firstLine="0"/>
        <w:jc w:val="left"/>
        <w:rPr>
          <w:sz w:val="20"/>
        </w:rPr>
      </w:pPr>
      <w:r>
        <w:rPr>
          <w:b/>
          <w:position w:val="1"/>
          <w:sz w:val="22"/>
        </w:rPr>
        <w:t>Leve</w:t>
        <w:tab/>
      </w:r>
      <w:r>
        <w:rPr>
          <w:sz w:val="20"/>
        </w:rPr>
        <w:t>-</w:t>
        <w:tab/>
        <w:t>16.7</w:t>
      </w:r>
      <w:r>
        <w:rPr>
          <w:position w:val="-7"/>
          <w:sz w:val="20"/>
        </w:rPr>
        <w:tab/>
        <w:t>0.143</w:t>
      </w:r>
    </w:p>
    <w:p>
      <w:pPr>
        <w:tabs>
          <w:tab w:pos="4586" w:val="left" w:leader="none"/>
          <w:tab w:pos="6100" w:val="right" w:leader="none"/>
        </w:tabs>
        <w:spacing w:before="108"/>
        <w:ind w:left="1965" w:right="0" w:firstLine="0"/>
        <w:jc w:val="left"/>
        <w:rPr>
          <w:sz w:val="20"/>
        </w:rPr>
      </w:pPr>
      <w:r>
        <w:rPr/>
        <w:pict>
          <v:group style="position:absolute;margin-left:112.449997pt;margin-top:27.707878pt;width:432.6pt;height:.5pt;mso-position-horizontal-relative:page;mso-position-vertical-relative:paragraph;z-index:-172288" coordorigin="2249,554" coordsize="8652,10">
            <v:line style="position:absolute" from="2254,559" to="5888,559" stroked="true" strokeweight=".48001pt" strokecolor="#000000"/>
            <v:line style="position:absolute" from="5888,559" to="5898,559" stroked="true" strokeweight=".48001pt" strokecolor="#000000"/>
            <v:line style="position:absolute" from="5898,559" to="6474,559" stroked="true" strokeweight=".48001pt" strokecolor="#000000"/>
            <v:line style="position:absolute" from="6474,559" to="6484,559" stroked="true" strokeweight=".48001pt" strokecolor="#000000"/>
            <v:line style="position:absolute" from="6484,559" to="7060,559" stroked="true" strokeweight=".48001pt" strokecolor="#000000"/>
            <v:line style="position:absolute" from="7060,559" to="7069,559" stroked="true" strokeweight=".48001pt" strokecolor="#000000"/>
            <v:line style="position:absolute" from="7069,559" to="7629,559" stroked="true" strokeweight=".48001pt" strokecolor="#000000"/>
            <v:line style="position:absolute" from="7629,559" to="7638,559" stroked="true" strokeweight=".48001pt" strokecolor="#000000"/>
            <v:line style="position:absolute" from="7638,559" to="8202,559" stroked="true" strokeweight=".48001pt" strokecolor="#000000"/>
            <v:line style="position:absolute" from="8202,559" to="8212,559" stroked="true" strokeweight=".48001pt" strokecolor="#000000"/>
            <v:line style="position:absolute" from="8212,559" to="10895,559" stroked="true" strokeweight=".48001pt" strokecolor="#000000"/>
            <w10:wrap type="none"/>
          </v:group>
        </w:pict>
      </w:r>
      <w:r>
        <w:rPr>
          <w:b/>
          <w:sz w:val="22"/>
        </w:rPr>
        <w:t>Intensa</w:t>
        <w:tab/>
      </w:r>
      <w:r>
        <w:rPr>
          <w:sz w:val="20"/>
        </w:rPr>
        <w:t>100</w:t>
        <w:tab/>
        <w:t>83.3</w:t>
      </w:r>
    </w:p>
    <w:p>
      <w:pPr>
        <w:spacing w:before="200"/>
        <w:ind w:left="603" w:right="0" w:firstLine="0"/>
        <w:jc w:val="left"/>
        <w:rPr>
          <w:sz w:val="20"/>
        </w:rPr>
      </w:pPr>
      <w:r>
        <w:rPr>
          <w:sz w:val="20"/>
        </w:rPr>
        <w:t>* Chi-cuadrada</w:t>
      </w:r>
    </w:p>
    <w:p>
      <w:pPr>
        <w:pStyle w:val="BodyText"/>
        <w:spacing w:line="360" w:lineRule="auto" w:before="529"/>
        <w:ind w:left="625" w:right="208"/>
        <w:jc w:val="both"/>
      </w:pPr>
      <w:r>
        <w:rPr/>
        <w:t>En lo concerniente al género se encontró al hombre con un 100% de sobrecarga intensa, mientras que el género femenino, resultó ser más  tolerante ya que el 16.7% experimenta sobrecarga leve y el 83.3% sobrecarga intensa, lo anterior refleja los resultados obtenidos por Domínguez et al. (2010) y Gómez (2008), otros autores como Vaquiro y Stiepovich (2010) argumentan que el cuidado informal es una cuestión de género. Se encontró un valor de Chi-cuadrada de 2.148 y valor P de 0.143, por lo que no existen diferencias estadísticamente</w:t>
      </w:r>
      <w:r>
        <w:rPr>
          <w:spacing w:val="-12"/>
        </w:rPr>
        <w:t> </w:t>
      </w:r>
      <w:r>
        <w:rPr/>
        <w:t>significativas.</w:t>
      </w:r>
    </w:p>
    <w:p>
      <w:pPr>
        <w:spacing w:after="0" w:line="360" w:lineRule="auto"/>
        <w:jc w:val="both"/>
        <w:sectPr>
          <w:footerReference w:type="default" r:id="rId71"/>
          <w:pgSz w:w="12250" w:h="15850"/>
          <w:pgMar w:footer="1122" w:header="748" w:top="1260" w:bottom="1320" w:left="1720" w:right="1240"/>
          <w:pgNumType w:start="81"/>
        </w:sectPr>
      </w:pPr>
    </w:p>
    <w:p>
      <w:pPr>
        <w:pStyle w:val="BodyText"/>
        <w:rPr>
          <w:sz w:val="20"/>
        </w:rPr>
      </w:pPr>
    </w:p>
    <w:p>
      <w:pPr>
        <w:pStyle w:val="BodyText"/>
        <w:rPr>
          <w:sz w:val="20"/>
        </w:rPr>
      </w:pPr>
    </w:p>
    <w:p>
      <w:pPr>
        <w:pStyle w:val="BodyText"/>
        <w:spacing w:before="6" w:after="1"/>
        <w:rPr>
          <w:sz w:val="21"/>
        </w:rPr>
      </w:pPr>
    </w:p>
    <w:tbl>
      <w:tblPr>
        <w:tblW w:w="0" w:type="auto"/>
        <w:jc w:val="left"/>
        <w:tblInd w:w="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4"/>
        <w:gridCol w:w="1794"/>
        <w:gridCol w:w="1656"/>
        <w:gridCol w:w="1741"/>
        <w:gridCol w:w="1539"/>
      </w:tblGrid>
      <w:tr>
        <w:trPr>
          <w:trHeight w:val="684" w:hRule="exact"/>
        </w:trPr>
        <w:tc>
          <w:tcPr>
            <w:tcW w:w="8615" w:type="dxa"/>
            <w:gridSpan w:val="5"/>
            <w:tcBorders>
              <w:left w:val="nil"/>
              <w:right w:val="nil"/>
            </w:tcBorders>
          </w:tcPr>
          <w:p>
            <w:pPr>
              <w:pStyle w:val="TableParagraph"/>
              <w:spacing w:before="256"/>
              <w:ind w:left="2407"/>
              <w:jc w:val="left"/>
              <w:rPr>
                <w:b/>
                <w:sz w:val="20"/>
              </w:rPr>
            </w:pPr>
            <w:r>
              <w:rPr>
                <w:b/>
                <w:sz w:val="20"/>
              </w:rPr>
              <w:t>Edad del cuidador / Nivel de sobrecarga</w:t>
            </w:r>
          </w:p>
        </w:tc>
      </w:tr>
      <w:tr>
        <w:trPr>
          <w:trHeight w:val="538" w:hRule="exact"/>
        </w:trPr>
        <w:tc>
          <w:tcPr>
            <w:tcW w:w="1884" w:type="dxa"/>
            <w:vMerge w:val="restart"/>
            <w:tcBorders>
              <w:left w:val="nil"/>
              <w:right w:val="nil"/>
            </w:tcBorders>
            <w:shd w:val="clear" w:color="auto" w:fill="99CC00"/>
          </w:tcPr>
          <w:p>
            <w:pPr>
              <w:pStyle w:val="TableParagraph"/>
              <w:jc w:val="left"/>
              <w:rPr>
                <w:sz w:val="20"/>
              </w:rPr>
            </w:pPr>
          </w:p>
          <w:p>
            <w:pPr>
              <w:pStyle w:val="TableParagraph"/>
              <w:spacing w:line="266" w:lineRule="auto" w:before="122"/>
              <w:ind w:left="448" w:firstLine="156"/>
              <w:jc w:val="left"/>
              <w:rPr>
                <w:b/>
                <w:sz w:val="20"/>
              </w:rPr>
            </w:pPr>
            <w:r>
              <w:rPr>
                <w:b/>
                <w:sz w:val="20"/>
              </w:rPr>
              <w:t>Nivel de </w:t>
            </w:r>
            <w:r>
              <w:rPr>
                <w:b/>
                <w:w w:val="95"/>
                <w:sz w:val="20"/>
              </w:rPr>
              <w:t>sobrecarga</w:t>
            </w:r>
          </w:p>
        </w:tc>
        <w:tc>
          <w:tcPr>
            <w:tcW w:w="1794" w:type="dxa"/>
            <w:tcBorders>
              <w:left w:val="nil"/>
              <w:bottom w:val="nil"/>
              <w:right w:val="nil"/>
            </w:tcBorders>
            <w:shd w:val="clear" w:color="auto" w:fill="99CC00"/>
          </w:tcPr>
          <w:p>
            <w:pPr/>
          </w:p>
        </w:tc>
        <w:tc>
          <w:tcPr>
            <w:tcW w:w="1656" w:type="dxa"/>
            <w:tcBorders>
              <w:left w:val="nil"/>
              <w:bottom w:val="nil"/>
              <w:right w:val="nil"/>
            </w:tcBorders>
            <w:shd w:val="clear" w:color="auto" w:fill="99CC00"/>
          </w:tcPr>
          <w:p>
            <w:pPr>
              <w:pStyle w:val="TableParagraph"/>
              <w:spacing w:before="5"/>
              <w:jc w:val="left"/>
              <w:rPr>
                <w:sz w:val="22"/>
              </w:rPr>
            </w:pPr>
          </w:p>
          <w:p>
            <w:pPr>
              <w:pStyle w:val="TableParagraph"/>
              <w:spacing w:before="1"/>
              <w:ind w:left="127" w:right="201"/>
              <w:rPr>
                <w:sz w:val="20"/>
              </w:rPr>
            </w:pPr>
            <w:r>
              <w:rPr>
                <w:sz w:val="20"/>
              </w:rPr>
              <w:t>Edad %</w:t>
            </w:r>
          </w:p>
        </w:tc>
        <w:tc>
          <w:tcPr>
            <w:tcW w:w="1741" w:type="dxa"/>
            <w:tcBorders>
              <w:left w:val="nil"/>
              <w:bottom w:val="nil"/>
              <w:right w:val="nil"/>
            </w:tcBorders>
            <w:shd w:val="clear" w:color="auto" w:fill="99CC00"/>
          </w:tcPr>
          <w:p>
            <w:pPr/>
          </w:p>
        </w:tc>
        <w:tc>
          <w:tcPr>
            <w:tcW w:w="1539" w:type="dxa"/>
            <w:tcBorders>
              <w:left w:val="nil"/>
              <w:bottom w:val="nil"/>
              <w:right w:val="nil"/>
            </w:tcBorders>
            <w:shd w:val="clear" w:color="auto" w:fill="99CC00"/>
          </w:tcPr>
          <w:p>
            <w:pPr/>
          </w:p>
        </w:tc>
      </w:tr>
      <w:tr>
        <w:trPr>
          <w:trHeight w:val="592" w:hRule="exact"/>
        </w:trPr>
        <w:tc>
          <w:tcPr>
            <w:tcW w:w="1884" w:type="dxa"/>
            <w:vMerge/>
            <w:tcBorders>
              <w:left w:val="nil"/>
              <w:right w:val="nil"/>
            </w:tcBorders>
            <w:shd w:val="clear" w:color="auto" w:fill="99CC00"/>
          </w:tcPr>
          <w:p>
            <w:pPr/>
          </w:p>
        </w:tc>
        <w:tc>
          <w:tcPr>
            <w:tcW w:w="1794" w:type="dxa"/>
            <w:tcBorders>
              <w:top w:val="nil"/>
              <w:left w:val="nil"/>
              <w:right w:val="nil"/>
            </w:tcBorders>
            <w:shd w:val="clear" w:color="auto" w:fill="99CC00"/>
          </w:tcPr>
          <w:p>
            <w:pPr>
              <w:pStyle w:val="TableParagraph"/>
              <w:spacing w:before="157"/>
              <w:ind w:left="338" w:right="225"/>
              <w:rPr>
                <w:b/>
                <w:sz w:val="20"/>
              </w:rPr>
            </w:pPr>
            <w:r>
              <w:rPr>
                <w:b/>
                <w:sz w:val="20"/>
              </w:rPr>
              <w:t>20 a 30 años</w:t>
            </w:r>
          </w:p>
        </w:tc>
        <w:tc>
          <w:tcPr>
            <w:tcW w:w="1656" w:type="dxa"/>
            <w:tcBorders>
              <w:top w:val="nil"/>
              <w:left w:val="nil"/>
              <w:right w:val="nil"/>
            </w:tcBorders>
            <w:shd w:val="clear" w:color="auto" w:fill="99CC00"/>
          </w:tcPr>
          <w:p>
            <w:pPr>
              <w:pStyle w:val="TableParagraph"/>
              <w:spacing w:before="157"/>
              <w:ind w:left="225" w:right="201"/>
              <w:rPr>
                <w:b/>
                <w:sz w:val="20"/>
              </w:rPr>
            </w:pPr>
            <w:r>
              <w:rPr>
                <w:b/>
                <w:sz w:val="20"/>
              </w:rPr>
              <w:t>31 a 39 años</w:t>
            </w:r>
          </w:p>
        </w:tc>
        <w:tc>
          <w:tcPr>
            <w:tcW w:w="1741" w:type="dxa"/>
            <w:tcBorders>
              <w:top w:val="nil"/>
              <w:left w:val="nil"/>
              <w:right w:val="nil"/>
            </w:tcBorders>
            <w:shd w:val="clear" w:color="auto" w:fill="99CC00"/>
          </w:tcPr>
          <w:p>
            <w:pPr>
              <w:pStyle w:val="TableParagraph"/>
              <w:spacing w:before="157"/>
              <w:ind w:left="202" w:right="309"/>
              <w:rPr>
                <w:b/>
                <w:sz w:val="20"/>
              </w:rPr>
            </w:pPr>
            <w:r>
              <w:rPr>
                <w:b/>
                <w:sz w:val="20"/>
              </w:rPr>
              <w:t>40 a 50 años</w:t>
            </w:r>
          </w:p>
        </w:tc>
        <w:tc>
          <w:tcPr>
            <w:tcW w:w="1539" w:type="dxa"/>
            <w:tcBorders>
              <w:top w:val="nil"/>
              <w:left w:val="nil"/>
              <w:right w:val="nil"/>
            </w:tcBorders>
            <w:shd w:val="clear" w:color="auto" w:fill="99CC00"/>
          </w:tcPr>
          <w:p>
            <w:pPr>
              <w:pStyle w:val="TableParagraph"/>
              <w:spacing w:before="23"/>
              <w:ind w:left="312" w:right="419"/>
              <w:rPr>
                <w:b/>
                <w:sz w:val="20"/>
              </w:rPr>
            </w:pPr>
            <w:r>
              <w:rPr>
                <w:b/>
                <w:sz w:val="20"/>
              </w:rPr>
              <w:t>Valor P*</w:t>
            </w:r>
          </w:p>
        </w:tc>
      </w:tr>
      <w:tr>
        <w:trPr>
          <w:trHeight w:val="665" w:hRule="exact"/>
        </w:trPr>
        <w:tc>
          <w:tcPr>
            <w:tcW w:w="1884" w:type="dxa"/>
            <w:tcBorders>
              <w:left w:val="nil"/>
              <w:bottom w:val="nil"/>
              <w:right w:val="nil"/>
            </w:tcBorders>
          </w:tcPr>
          <w:p>
            <w:pPr>
              <w:pStyle w:val="TableParagraph"/>
              <w:spacing w:before="1"/>
              <w:jc w:val="left"/>
              <w:rPr>
                <w:sz w:val="22"/>
              </w:rPr>
            </w:pPr>
          </w:p>
          <w:p>
            <w:pPr>
              <w:pStyle w:val="TableParagraph"/>
              <w:ind w:left="715" w:right="627"/>
              <w:rPr>
                <w:b/>
                <w:sz w:val="22"/>
              </w:rPr>
            </w:pPr>
            <w:r>
              <w:rPr>
                <w:b/>
                <w:sz w:val="22"/>
              </w:rPr>
              <w:t>Leve</w:t>
            </w:r>
          </w:p>
        </w:tc>
        <w:tc>
          <w:tcPr>
            <w:tcW w:w="1794" w:type="dxa"/>
            <w:tcBorders>
              <w:left w:val="nil"/>
              <w:bottom w:val="nil"/>
              <w:right w:val="nil"/>
            </w:tcBorders>
          </w:tcPr>
          <w:p>
            <w:pPr>
              <w:pStyle w:val="TableParagraph"/>
              <w:spacing w:before="9"/>
              <w:jc w:val="left"/>
              <w:rPr>
                <w:sz w:val="24"/>
              </w:rPr>
            </w:pPr>
          </w:p>
          <w:p>
            <w:pPr>
              <w:pStyle w:val="TableParagraph"/>
              <w:ind w:left="116"/>
              <w:rPr>
                <w:sz w:val="20"/>
              </w:rPr>
            </w:pPr>
            <w:r>
              <w:rPr>
                <w:w w:val="99"/>
                <w:sz w:val="20"/>
              </w:rPr>
              <w:t>-</w:t>
            </w:r>
          </w:p>
        </w:tc>
        <w:tc>
          <w:tcPr>
            <w:tcW w:w="1656" w:type="dxa"/>
            <w:tcBorders>
              <w:left w:val="nil"/>
              <w:bottom w:val="nil"/>
              <w:right w:val="nil"/>
            </w:tcBorders>
          </w:tcPr>
          <w:p>
            <w:pPr>
              <w:pStyle w:val="TableParagraph"/>
              <w:spacing w:before="9"/>
              <w:jc w:val="left"/>
              <w:rPr>
                <w:sz w:val="24"/>
              </w:rPr>
            </w:pPr>
          </w:p>
          <w:p>
            <w:pPr>
              <w:pStyle w:val="TableParagraph"/>
              <w:ind w:left="225" w:right="201"/>
              <w:rPr>
                <w:sz w:val="20"/>
              </w:rPr>
            </w:pPr>
            <w:r>
              <w:rPr>
                <w:sz w:val="20"/>
              </w:rPr>
              <w:t>5.9</w:t>
            </w:r>
          </w:p>
        </w:tc>
        <w:tc>
          <w:tcPr>
            <w:tcW w:w="1741" w:type="dxa"/>
            <w:tcBorders>
              <w:left w:val="nil"/>
              <w:bottom w:val="nil"/>
              <w:right w:val="nil"/>
            </w:tcBorders>
          </w:tcPr>
          <w:p>
            <w:pPr>
              <w:pStyle w:val="TableParagraph"/>
              <w:spacing w:before="9"/>
              <w:jc w:val="left"/>
              <w:rPr>
                <w:sz w:val="24"/>
              </w:rPr>
            </w:pPr>
          </w:p>
          <w:p>
            <w:pPr>
              <w:pStyle w:val="TableParagraph"/>
              <w:ind w:left="202" w:right="309"/>
              <w:rPr>
                <w:sz w:val="20"/>
              </w:rPr>
            </w:pPr>
            <w:r>
              <w:rPr>
                <w:sz w:val="20"/>
              </w:rPr>
              <w:t>18.2</w:t>
            </w:r>
          </w:p>
        </w:tc>
        <w:tc>
          <w:tcPr>
            <w:tcW w:w="1539" w:type="dxa"/>
            <w:tcBorders>
              <w:left w:val="nil"/>
              <w:bottom w:val="nil"/>
              <w:right w:val="nil"/>
            </w:tcBorders>
          </w:tcPr>
          <w:p>
            <w:pPr>
              <w:pStyle w:val="TableParagraph"/>
              <w:jc w:val="left"/>
              <w:rPr>
                <w:sz w:val="20"/>
              </w:rPr>
            </w:pPr>
          </w:p>
          <w:p>
            <w:pPr>
              <w:pStyle w:val="TableParagraph"/>
              <w:spacing w:before="134"/>
              <w:ind w:left="309" w:right="419"/>
              <w:rPr>
                <w:sz w:val="20"/>
              </w:rPr>
            </w:pPr>
            <w:r>
              <w:rPr>
                <w:sz w:val="20"/>
              </w:rPr>
              <w:t>0.261</w:t>
            </w:r>
          </w:p>
        </w:tc>
      </w:tr>
      <w:tr>
        <w:trPr>
          <w:trHeight w:val="492" w:hRule="exact"/>
        </w:trPr>
        <w:tc>
          <w:tcPr>
            <w:tcW w:w="1884" w:type="dxa"/>
            <w:tcBorders>
              <w:top w:val="nil"/>
              <w:left w:val="nil"/>
              <w:right w:val="nil"/>
            </w:tcBorders>
          </w:tcPr>
          <w:p>
            <w:pPr>
              <w:pStyle w:val="TableParagraph"/>
              <w:spacing w:before="43"/>
              <w:ind w:right="506"/>
              <w:jc w:val="right"/>
              <w:rPr>
                <w:b/>
                <w:sz w:val="22"/>
              </w:rPr>
            </w:pPr>
            <w:r>
              <w:rPr>
                <w:b/>
                <w:sz w:val="22"/>
              </w:rPr>
              <w:t>Intensa</w:t>
            </w:r>
          </w:p>
        </w:tc>
        <w:tc>
          <w:tcPr>
            <w:tcW w:w="1794" w:type="dxa"/>
            <w:tcBorders>
              <w:top w:val="nil"/>
              <w:left w:val="nil"/>
              <w:right w:val="nil"/>
            </w:tcBorders>
          </w:tcPr>
          <w:p>
            <w:pPr>
              <w:pStyle w:val="TableParagraph"/>
              <w:spacing w:before="59"/>
              <w:ind w:left="337" w:right="225"/>
              <w:rPr>
                <w:sz w:val="20"/>
              </w:rPr>
            </w:pPr>
            <w:r>
              <w:rPr>
                <w:sz w:val="20"/>
              </w:rPr>
              <w:t>100</w:t>
            </w:r>
          </w:p>
        </w:tc>
        <w:tc>
          <w:tcPr>
            <w:tcW w:w="1656" w:type="dxa"/>
            <w:tcBorders>
              <w:top w:val="nil"/>
              <w:left w:val="nil"/>
              <w:right w:val="nil"/>
            </w:tcBorders>
          </w:tcPr>
          <w:p>
            <w:pPr>
              <w:pStyle w:val="TableParagraph"/>
              <w:spacing w:before="59"/>
              <w:ind w:left="225" w:right="201"/>
              <w:rPr>
                <w:sz w:val="20"/>
              </w:rPr>
            </w:pPr>
            <w:r>
              <w:rPr>
                <w:sz w:val="20"/>
              </w:rPr>
              <w:t>94.1</w:t>
            </w:r>
          </w:p>
        </w:tc>
        <w:tc>
          <w:tcPr>
            <w:tcW w:w="1741" w:type="dxa"/>
            <w:tcBorders>
              <w:top w:val="nil"/>
              <w:left w:val="nil"/>
              <w:right w:val="nil"/>
            </w:tcBorders>
          </w:tcPr>
          <w:p>
            <w:pPr>
              <w:pStyle w:val="TableParagraph"/>
              <w:spacing w:before="59"/>
              <w:ind w:left="202" w:right="309"/>
              <w:rPr>
                <w:sz w:val="20"/>
              </w:rPr>
            </w:pPr>
            <w:r>
              <w:rPr>
                <w:sz w:val="20"/>
              </w:rPr>
              <w:t>81.8</w:t>
            </w:r>
          </w:p>
        </w:tc>
        <w:tc>
          <w:tcPr>
            <w:tcW w:w="1539" w:type="dxa"/>
            <w:tcBorders>
              <w:top w:val="nil"/>
              <w:left w:val="nil"/>
              <w:right w:val="nil"/>
            </w:tcBorders>
          </w:tcPr>
          <w:p>
            <w:pPr/>
          </w:p>
        </w:tc>
      </w:tr>
      <w:tr>
        <w:trPr>
          <w:trHeight w:val="230" w:hRule="exact"/>
        </w:trPr>
        <w:tc>
          <w:tcPr>
            <w:tcW w:w="1884" w:type="dxa"/>
            <w:tcBorders>
              <w:left w:val="nil"/>
              <w:bottom w:val="nil"/>
              <w:right w:val="nil"/>
            </w:tcBorders>
          </w:tcPr>
          <w:p>
            <w:pPr>
              <w:pStyle w:val="TableParagraph"/>
              <w:spacing w:line="230" w:lineRule="exact"/>
              <w:ind w:right="477"/>
              <w:jc w:val="right"/>
              <w:rPr>
                <w:sz w:val="20"/>
              </w:rPr>
            </w:pPr>
            <w:r>
              <w:rPr>
                <w:sz w:val="20"/>
              </w:rPr>
              <w:t>* Chi-cuadrada</w:t>
            </w:r>
          </w:p>
        </w:tc>
        <w:tc>
          <w:tcPr>
            <w:tcW w:w="1794" w:type="dxa"/>
            <w:tcBorders>
              <w:left w:val="nil"/>
              <w:bottom w:val="nil"/>
              <w:right w:val="nil"/>
            </w:tcBorders>
          </w:tcPr>
          <w:p>
            <w:pPr/>
          </w:p>
        </w:tc>
        <w:tc>
          <w:tcPr>
            <w:tcW w:w="1656" w:type="dxa"/>
            <w:tcBorders>
              <w:left w:val="nil"/>
              <w:bottom w:val="nil"/>
              <w:right w:val="nil"/>
            </w:tcBorders>
          </w:tcPr>
          <w:p>
            <w:pPr/>
          </w:p>
        </w:tc>
        <w:tc>
          <w:tcPr>
            <w:tcW w:w="1741" w:type="dxa"/>
            <w:tcBorders>
              <w:left w:val="nil"/>
              <w:bottom w:val="nil"/>
              <w:right w:val="nil"/>
            </w:tcBorders>
          </w:tcPr>
          <w:p>
            <w:pPr/>
          </w:p>
        </w:tc>
        <w:tc>
          <w:tcPr>
            <w:tcW w:w="1539" w:type="dxa"/>
            <w:tcBorders>
              <w:left w:val="nil"/>
              <w:bottom w:val="nil"/>
              <w:right w:val="nil"/>
            </w:tcBorders>
          </w:tcPr>
          <w:p>
            <w:pPr/>
          </w:p>
        </w:tc>
      </w:tr>
    </w:tbl>
    <w:p>
      <w:pPr>
        <w:pStyle w:val="BodyText"/>
      </w:pPr>
    </w:p>
    <w:p>
      <w:pPr>
        <w:pStyle w:val="BodyText"/>
        <w:spacing w:before="3"/>
        <w:rPr>
          <w:sz w:val="28"/>
        </w:rPr>
      </w:pPr>
    </w:p>
    <w:p>
      <w:pPr>
        <w:pStyle w:val="BodyText"/>
        <w:spacing w:line="360" w:lineRule="auto"/>
        <w:ind w:left="625" w:right="213"/>
        <w:jc w:val="both"/>
      </w:pPr>
      <w:r>
        <w:rPr/>
        <w:t>El 100% grupo de edad de 20 a 30 años presento sobrecarga intensa,  mientras que el grupo de 31 a 39 años presento un 5.9% de sobrecarga leve, el 94.1% restante experimenta sobrecarga intensa, en tanto el grupo de 40 a 50 años, experimenta sobrecarga leve </w:t>
      </w:r>
      <w:r>
        <w:rPr>
          <w:spacing w:val="3"/>
        </w:rPr>
        <w:t>en </w:t>
      </w:r>
      <w:r>
        <w:rPr/>
        <w:t>un 18.2% y sobrecarga intensa en  un 81.8%. Se hallo un valor de Chi-cuadrada de 1.262 y valor P de 0.261, por lo que no encontraron diferencias estadísticamente</w:t>
      </w:r>
      <w:r>
        <w:rPr>
          <w:spacing w:val="-23"/>
        </w:rPr>
        <w:t> </w:t>
      </w:r>
      <w:r>
        <w:rPr/>
        <w:t>significativas.</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8"/>
        <w:gridCol w:w="842"/>
        <w:gridCol w:w="995"/>
        <w:gridCol w:w="1374"/>
        <w:gridCol w:w="1550"/>
        <w:gridCol w:w="1610"/>
      </w:tblGrid>
      <w:tr>
        <w:trPr>
          <w:trHeight w:val="684" w:hRule="exact"/>
        </w:trPr>
        <w:tc>
          <w:tcPr>
            <w:tcW w:w="8709" w:type="dxa"/>
            <w:gridSpan w:val="6"/>
            <w:tcBorders>
              <w:left w:val="nil"/>
              <w:right w:val="nil"/>
            </w:tcBorders>
          </w:tcPr>
          <w:p>
            <w:pPr>
              <w:pStyle w:val="TableParagraph"/>
              <w:spacing w:before="3"/>
              <w:jc w:val="left"/>
              <w:rPr>
                <w:sz w:val="22"/>
              </w:rPr>
            </w:pPr>
          </w:p>
          <w:p>
            <w:pPr>
              <w:pStyle w:val="TableParagraph"/>
              <w:ind w:left="2763"/>
              <w:jc w:val="left"/>
              <w:rPr>
                <w:b/>
                <w:sz w:val="20"/>
              </w:rPr>
            </w:pPr>
            <w:r>
              <w:rPr>
                <w:b/>
                <w:sz w:val="20"/>
              </w:rPr>
              <w:t>Estado civil / Nivel de sobrecarga</w:t>
            </w:r>
          </w:p>
        </w:tc>
      </w:tr>
      <w:tr>
        <w:trPr>
          <w:trHeight w:val="572" w:hRule="exact"/>
        </w:trPr>
        <w:tc>
          <w:tcPr>
            <w:tcW w:w="2338" w:type="dxa"/>
            <w:tcBorders>
              <w:left w:val="nil"/>
              <w:bottom w:val="nil"/>
              <w:right w:val="nil"/>
            </w:tcBorders>
            <w:shd w:val="clear" w:color="auto" w:fill="99CC00"/>
          </w:tcPr>
          <w:p>
            <w:pPr>
              <w:pStyle w:val="TableParagraph"/>
              <w:spacing w:before="4"/>
              <w:jc w:val="left"/>
              <w:rPr>
                <w:sz w:val="29"/>
              </w:rPr>
            </w:pPr>
          </w:p>
          <w:p>
            <w:pPr>
              <w:pStyle w:val="TableParagraph"/>
              <w:ind w:left="175"/>
              <w:jc w:val="left"/>
              <w:rPr>
                <w:b/>
                <w:sz w:val="20"/>
              </w:rPr>
            </w:pPr>
            <w:r>
              <w:rPr>
                <w:b/>
                <w:sz w:val="20"/>
              </w:rPr>
              <w:t>Nivel de sobrecarga</w:t>
            </w:r>
          </w:p>
        </w:tc>
        <w:tc>
          <w:tcPr>
            <w:tcW w:w="842" w:type="dxa"/>
            <w:tcBorders>
              <w:left w:val="nil"/>
              <w:bottom w:val="nil"/>
              <w:right w:val="nil"/>
            </w:tcBorders>
            <w:shd w:val="clear" w:color="auto" w:fill="99CC00"/>
          </w:tcPr>
          <w:p>
            <w:pPr/>
          </w:p>
        </w:tc>
        <w:tc>
          <w:tcPr>
            <w:tcW w:w="2369" w:type="dxa"/>
            <w:gridSpan w:val="2"/>
            <w:tcBorders>
              <w:left w:val="nil"/>
              <w:bottom w:val="nil"/>
              <w:right w:val="nil"/>
            </w:tcBorders>
            <w:shd w:val="clear" w:color="auto" w:fill="99CC00"/>
          </w:tcPr>
          <w:p>
            <w:pPr>
              <w:pStyle w:val="TableParagraph"/>
              <w:spacing w:before="5"/>
              <w:jc w:val="left"/>
              <w:rPr>
                <w:sz w:val="22"/>
              </w:rPr>
            </w:pPr>
          </w:p>
          <w:p>
            <w:pPr>
              <w:pStyle w:val="TableParagraph"/>
              <w:spacing w:before="1"/>
              <w:ind w:left="792"/>
              <w:jc w:val="left"/>
              <w:rPr>
                <w:sz w:val="20"/>
              </w:rPr>
            </w:pPr>
            <w:r>
              <w:rPr>
                <w:sz w:val="20"/>
              </w:rPr>
              <w:t>Estado civil %</w:t>
            </w:r>
          </w:p>
        </w:tc>
        <w:tc>
          <w:tcPr>
            <w:tcW w:w="1550" w:type="dxa"/>
            <w:tcBorders>
              <w:left w:val="nil"/>
              <w:bottom w:val="nil"/>
              <w:right w:val="nil"/>
            </w:tcBorders>
            <w:shd w:val="clear" w:color="auto" w:fill="99CC00"/>
          </w:tcPr>
          <w:p>
            <w:pPr/>
          </w:p>
        </w:tc>
        <w:tc>
          <w:tcPr>
            <w:tcW w:w="1610" w:type="dxa"/>
            <w:tcBorders>
              <w:left w:val="nil"/>
              <w:bottom w:val="nil"/>
              <w:right w:val="nil"/>
            </w:tcBorders>
            <w:shd w:val="clear" w:color="auto" w:fill="99CC00"/>
          </w:tcPr>
          <w:p>
            <w:pPr/>
          </w:p>
        </w:tc>
      </w:tr>
      <w:tr>
        <w:trPr>
          <w:trHeight w:val="535" w:hRule="exact"/>
        </w:trPr>
        <w:tc>
          <w:tcPr>
            <w:tcW w:w="2338" w:type="dxa"/>
            <w:tcBorders>
              <w:top w:val="nil"/>
              <w:left w:val="nil"/>
              <w:right w:val="nil"/>
            </w:tcBorders>
            <w:shd w:val="clear" w:color="auto" w:fill="99CC00"/>
          </w:tcPr>
          <w:p>
            <w:pPr/>
          </w:p>
        </w:tc>
        <w:tc>
          <w:tcPr>
            <w:tcW w:w="842" w:type="dxa"/>
            <w:tcBorders>
              <w:top w:val="nil"/>
              <w:left w:val="nil"/>
              <w:right w:val="nil"/>
            </w:tcBorders>
            <w:shd w:val="clear" w:color="auto" w:fill="99CC00"/>
          </w:tcPr>
          <w:p>
            <w:pPr>
              <w:pStyle w:val="TableParagraph"/>
              <w:spacing w:before="112"/>
              <w:ind w:left="12" w:right="99"/>
              <w:rPr>
                <w:b/>
                <w:sz w:val="20"/>
              </w:rPr>
            </w:pPr>
            <w:r>
              <w:rPr>
                <w:b/>
                <w:sz w:val="20"/>
              </w:rPr>
              <w:t>Soltero</w:t>
            </w:r>
          </w:p>
        </w:tc>
        <w:tc>
          <w:tcPr>
            <w:tcW w:w="995" w:type="dxa"/>
            <w:tcBorders>
              <w:top w:val="nil"/>
              <w:left w:val="nil"/>
              <w:right w:val="nil"/>
            </w:tcBorders>
            <w:shd w:val="clear" w:color="auto" w:fill="99CC00"/>
          </w:tcPr>
          <w:p>
            <w:pPr>
              <w:pStyle w:val="TableParagraph"/>
              <w:spacing w:before="112"/>
              <w:ind w:left="102" w:right="130"/>
              <w:rPr>
                <w:b/>
                <w:sz w:val="20"/>
              </w:rPr>
            </w:pPr>
            <w:r>
              <w:rPr>
                <w:b/>
                <w:sz w:val="20"/>
              </w:rPr>
              <w:t>Casado</w:t>
            </w:r>
          </w:p>
        </w:tc>
        <w:tc>
          <w:tcPr>
            <w:tcW w:w="1374" w:type="dxa"/>
            <w:tcBorders>
              <w:top w:val="nil"/>
              <w:left w:val="nil"/>
              <w:right w:val="nil"/>
            </w:tcBorders>
            <w:shd w:val="clear" w:color="auto" w:fill="99CC00"/>
          </w:tcPr>
          <w:p>
            <w:pPr>
              <w:pStyle w:val="TableParagraph"/>
              <w:spacing w:before="112"/>
              <w:ind w:left="133" w:right="156"/>
              <w:rPr>
                <w:b/>
                <w:sz w:val="20"/>
              </w:rPr>
            </w:pPr>
            <w:r>
              <w:rPr>
                <w:b/>
                <w:sz w:val="20"/>
              </w:rPr>
              <w:t>Unión libre</w:t>
            </w:r>
          </w:p>
        </w:tc>
        <w:tc>
          <w:tcPr>
            <w:tcW w:w="1550" w:type="dxa"/>
            <w:tcBorders>
              <w:top w:val="nil"/>
              <w:left w:val="nil"/>
              <w:right w:val="nil"/>
            </w:tcBorders>
            <w:shd w:val="clear" w:color="auto" w:fill="99CC00"/>
          </w:tcPr>
          <w:p>
            <w:pPr>
              <w:pStyle w:val="TableParagraph"/>
              <w:spacing w:before="112"/>
              <w:ind w:left="157" w:right="318"/>
              <w:rPr>
                <w:b/>
                <w:sz w:val="20"/>
              </w:rPr>
            </w:pPr>
            <w:r>
              <w:rPr>
                <w:b/>
                <w:sz w:val="20"/>
              </w:rPr>
              <w:t>Divorciado</w:t>
            </w:r>
          </w:p>
        </w:tc>
        <w:tc>
          <w:tcPr>
            <w:tcW w:w="1610" w:type="dxa"/>
            <w:tcBorders>
              <w:top w:val="nil"/>
              <w:left w:val="nil"/>
              <w:right w:val="nil"/>
            </w:tcBorders>
            <w:shd w:val="clear" w:color="auto" w:fill="99CC00"/>
          </w:tcPr>
          <w:p>
            <w:pPr>
              <w:pStyle w:val="TableParagraph"/>
              <w:spacing w:line="207" w:lineRule="exact"/>
              <w:ind w:left="321" w:right="482"/>
              <w:rPr>
                <w:b/>
                <w:sz w:val="20"/>
              </w:rPr>
            </w:pPr>
            <w:r>
              <w:rPr>
                <w:b/>
                <w:sz w:val="20"/>
              </w:rPr>
              <w:t>Valor P*</w:t>
            </w:r>
          </w:p>
        </w:tc>
      </w:tr>
      <w:tr>
        <w:trPr>
          <w:trHeight w:val="666" w:hRule="exact"/>
        </w:trPr>
        <w:tc>
          <w:tcPr>
            <w:tcW w:w="2338" w:type="dxa"/>
            <w:tcBorders>
              <w:left w:val="nil"/>
              <w:bottom w:val="nil"/>
              <w:right w:val="nil"/>
            </w:tcBorders>
          </w:tcPr>
          <w:p>
            <w:pPr>
              <w:pStyle w:val="TableParagraph"/>
              <w:spacing w:before="1"/>
              <w:jc w:val="left"/>
              <w:rPr>
                <w:sz w:val="22"/>
              </w:rPr>
            </w:pPr>
          </w:p>
          <w:p>
            <w:pPr>
              <w:pStyle w:val="TableParagraph"/>
              <w:ind w:left="856" w:right="940"/>
              <w:rPr>
                <w:b/>
                <w:sz w:val="22"/>
              </w:rPr>
            </w:pPr>
            <w:r>
              <w:rPr>
                <w:b/>
                <w:sz w:val="22"/>
              </w:rPr>
              <w:t>Leve</w:t>
            </w:r>
          </w:p>
        </w:tc>
        <w:tc>
          <w:tcPr>
            <w:tcW w:w="842" w:type="dxa"/>
            <w:tcBorders>
              <w:left w:val="nil"/>
              <w:bottom w:val="nil"/>
              <w:right w:val="nil"/>
            </w:tcBorders>
          </w:tcPr>
          <w:p>
            <w:pPr>
              <w:pStyle w:val="TableParagraph"/>
              <w:spacing w:before="9"/>
              <w:jc w:val="left"/>
              <w:rPr>
                <w:sz w:val="24"/>
              </w:rPr>
            </w:pPr>
          </w:p>
          <w:p>
            <w:pPr>
              <w:pStyle w:val="TableParagraph"/>
              <w:ind w:left="12" w:right="98"/>
              <w:rPr>
                <w:sz w:val="20"/>
              </w:rPr>
            </w:pPr>
            <w:r>
              <w:rPr>
                <w:sz w:val="20"/>
              </w:rPr>
              <w:t>22</w:t>
            </w:r>
          </w:p>
        </w:tc>
        <w:tc>
          <w:tcPr>
            <w:tcW w:w="995" w:type="dxa"/>
            <w:tcBorders>
              <w:left w:val="nil"/>
              <w:bottom w:val="nil"/>
              <w:right w:val="nil"/>
            </w:tcBorders>
          </w:tcPr>
          <w:p>
            <w:pPr>
              <w:pStyle w:val="TableParagraph"/>
              <w:spacing w:before="9"/>
              <w:jc w:val="left"/>
              <w:rPr>
                <w:sz w:val="24"/>
              </w:rPr>
            </w:pPr>
          </w:p>
          <w:p>
            <w:pPr>
              <w:pStyle w:val="TableParagraph"/>
              <w:ind w:left="102" w:right="126"/>
              <w:rPr>
                <w:sz w:val="20"/>
              </w:rPr>
            </w:pPr>
            <w:r>
              <w:rPr>
                <w:sz w:val="20"/>
              </w:rPr>
              <w:t>7.1</w:t>
            </w:r>
          </w:p>
        </w:tc>
        <w:tc>
          <w:tcPr>
            <w:tcW w:w="1374" w:type="dxa"/>
            <w:tcBorders>
              <w:left w:val="nil"/>
              <w:bottom w:val="nil"/>
              <w:right w:val="nil"/>
            </w:tcBorders>
          </w:tcPr>
          <w:p>
            <w:pPr>
              <w:pStyle w:val="TableParagraph"/>
              <w:spacing w:before="9"/>
              <w:jc w:val="left"/>
              <w:rPr>
                <w:sz w:val="24"/>
              </w:rPr>
            </w:pPr>
          </w:p>
          <w:p>
            <w:pPr>
              <w:pStyle w:val="TableParagraph"/>
              <w:ind w:right="20"/>
              <w:rPr>
                <w:sz w:val="20"/>
              </w:rPr>
            </w:pPr>
            <w:r>
              <w:rPr>
                <w:w w:val="99"/>
                <w:sz w:val="20"/>
              </w:rPr>
              <w:t>-</w:t>
            </w:r>
          </w:p>
        </w:tc>
        <w:tc>
          <w:tcPr>
            <w:tcW w:w="1550" w:type="dxa"/>
            <w:tcBorders>
              <w:left w:val="nil"/>
              <w:bottom w:val="nil"/>
              <w:right w:val="nil"/>
            </w:tcBorders>
          </w:tcPr>
          <w:p>
            <w:pPr>
              <w:pStyle w:val="TableParagraph"/>
              <w:spacing w:before="9"/>
              <w:jc w:val="left"/>
              <w:rPr>
                <w:sz w:val="24"/>
              </w:rPr>
            </w:pPr>
          </w:p>
          <w:p>
            <w:pPr>
              <w:pStyle w:val="TableParagraph"/>
              <w:ind w:right="159"/>
              <w:rPr>
                <w:sz w:val="20"/>
              </w:rPr>
            </w:pPr>
            <w:r>
              <w:rPr>
                <w:w w:val="99"/>
                <w:sz w:val="20"/>
              </w:rPr>
              <w:t>-</w:t>
            </w:r>
          </w:p>
        </w:tc>
        <w:tc>
          <w:tcPr>
            <w:tcW w:w="1610" w:type="dxa"/>
            <w:tcBorders>
              <w:left w:val="nil"/>
              <w:bottom w:val="nil"/>
              <w:right w:val="nil"/>
            </w:tcBorders>
          </w:tcPr>
          <w:p>
            <w:pPr>
              <w:pStyle w:val="TableParagraph"/>
              <w:jc w:val="left"/>
              <w:rPr>
                <w:sz w:val="20"/>
              </w:rPr>
            </w:pPr>
          </w:p>
          <w:p>
            <w:pPr>
              <w:pStyle w:val="TableParagraph"/>
              <w:spacing w:before="137"/>
              <w:ind w:left="319" w:right="482"/>
              <w:rPr>
                <w:sz w:val="20"/>
              </w:rPr>
            </w:pPr>
            <w:r>
              <w:rPr>
                <w:sz w:val="20"/>
              </w:rPr>
              <w:t>0.174</w:t>
            </w:r>
          </w:p>
        </w:tc>
      </w:tr>
      <w:tr>
        <w:trPr>
          <w:trHeight w:val="494" w:hRule="exact"/>
        </w:trPr>
        <w:tc>
          <w:tcPr>
            <w:tcW w:w="2338" w:type="dxa"/>
            <w:tcBorders>
              <w:top w:val="nil"/>
              <w:left w:val="nil"/>
              <w:right w:val="nil"/>
            </w:tcBorders>
          </w:tcPr>
          <w:p>
            <w:pPr>
              <w:pStyle w:val="TableParagraph"/>
              <w:spacing w:before="42"/>
              <w:ind w:left="741"/>
              <w:jc w:val="left"/>
              <w:rPr>
                <w:b/>
                <w:sz w:val="22"/>
              </w:rPr>
            </w:pPr>
            <w:r>
              <w:rPr>
                <w:b/>
                <w:sz w:val="22"/>
              </w:rPr>
              <w:t>Intensa</w:t>
            </w:r>
          </w:p>
        </w:tc>
        <w:tc>
          <w:tcPr>
            <w:tcW w:w="842" w:type="dxa"/>
            <w:tcBorders>
              <w:top w:val="nil"/>
              <w:left w:val="nil"/>
              <w:right w:val="nil"/>
            </w:tcBorders>
          </w:tcPr>
          <w:p>
            <w:pPr>
              <w:pStyle w:val="TableParagraph"/>
              <w:spacing w:before="60"/>
              <w:ind w:left="12" w:right="98"/>
              <w:rPr>
                <w:sz w:val="20"/>
              </w:rPr>
            </w:pPr>
            <w:r>
              <w:rPr>
                <w:sz w:val="20"/>
              </w:rPr>
              <w:t>78</w:t>
            </w:r>
          </w:p>
        </w:tc>
        <w:tc>
          <w:tcPr>
            <w:tcW w:w="995" w:type="dxa"/>
            <w:tcBorders>
              <w:top w:val="nil"/>
              <w:left w:val="nil"/>
              <w:right w:val="nil"/>
            </w:tcBorders>
          </w:tcPr>
          <w:p>
            <w:pPr>
              <w:pStyle w:val="TableParagraph"/>
              <w:spacing w:before="60"/>
              <w:ind w:left="102" w:right="126"/>
              <w:rPr>
                <w:sz w:val="20"/>
              </w:rPr>
            </w:pPr>
            <w:r>
              <w:rPr>
                <w:sz w:val="20"/>
              </w:rPr>
              <w:t>92.9</w:t>
            </w:r>
          </w:p>
        </w:tc>
        <w:tc>
          <w:tcPr>
            <w:tcW w:w="1374" w:type="dxa"/>
            <w:tcBorders>
              <w:top w:val="nil"/>
              <w:left w:val="nil"/>
              <w:right w:val="nil"/>
            </w:tcBorders>
          </w:tcPr>
          <w:p>
            <w:pPr>
              <w:pStyle w:val="TableParagraph"/>
              <w:spacing w:before="60"/>
              <w:ind w:left="133" w:right="156"/>
              <w:rPr>
                <w:sz w:val="20"/>
              </w:rPr>
            </w:pPr>
            <w:r>
              <w:rPr>
                <w:sz w:val="20"/>
              </w:rPr>
              <w:t>100</w:t>
            </w:r>
          </w:p>
        </w:tc>
        <w:tc>
          <w:tcPr>
            <w:tcW w:w="1550" w:type="dxa"/>
            <w:tcBorders>
              <w:top w:val="nil"/>
              <w:left w:val="nil"/>
              <w:right w:val="nil"/>
            </w:tcBorders>
          </w:tcPr>
          <w:p>
            <w:pPr>
              <w:pStyle w:val="TableParagraph"/>
              <w:spacing w:before="60"/>
              <w:ind w:left="157" w:right="315"/>
              <w:rPr>
                <w:sz w:val="20"/>
              </w:rPr>
            </w:pPr>
            <w:r>
              <w:rPr>
                <w:sz w:val="20"/>
              </w:rPr>
              <w:t>100</w:t>
            </w:r>
          </w:p>
        </w:tc>
        <w:tc>
          <w:tcPr>
            <w:tcW w:w="1610" w:type="dxa"/>
            <w:tcBorders>
              <w:top w:val="nil"/>
              <w:left w:val="nil"/>
              <w:right w:val="nil"/>
            </w:tcBorders>
          </w:tcPr>
          <w:p>
            <w:pPr/>
          </w:p>
        </w:tc>
      </w:tr>
      <w:tr>
        <w:trPr>
          <w:trHeight w:val="227" w:hRule="exact"/>
        </w:trPr>
        <w:tc>
          <w:tcPr>
            <w:tcW w:w="2338" w:type="dxa"/>
            <w:tcBorders>
              <w:left w:val="nil"/>
              <w:bottom w:val="nil"/>
              <w:right w:val="nil"/>
            </w:tcBorders>
          </w:tcPr>
          <w:p>
            <w:pPr>
              <w:pStyle w:val="TableParagraph"/>
              <w:spacing w:line="227" w:lineRule="exact"/>
              <w:ind w:left="69"/>
              <w:jc w:val="left"/>
              <w:rPr>
                <w:sz w:val="20"/>
              </w:rPr>
            </w:pPr>
            <w:r>
              <w:rPr>
                <w:sz w:val="20"/>
              </w:rPr>
              <w:t>* Chi-cuadrada</w:t>
            </w:r>
          </w:p>
        </w:tc>
        <w:tc>
          <w:tcPr>
            <w:tcW w:w="842" w:type="dxa"/>
            <w:tcBorders>
              <w:left w:val="nil"/>
              <w:bottom w:val="nil"/>
              <w:right w:val="nil"/>
            </w:tcBorders>
          </w:tcPr>
          <w:p>
            <w:pPr/>
          </w:p>
        </w:tc>
        <w:tc>
          <w:tcPr>
            <w:tcW w:w="995" w:type="dxa"/>
            <w:tcBorders>
              <w:left w:val="nil"/>
              <w:bottom w:val="nil"/>
              <w:right w:val="nil"/>
            </w:tcBorders>
          </w:tcPr>
          <w:p>
            <w:pPr/>
          </w:p>
        </w:tc>
        <w:tc>
          <w:tcPr>
            <w:tcW w:w="1374" w:type="dxa"/>
            <w:tcBorders>
              <w:left w:val="nil"/>
              <w:bottom w:val="nil"/>
              <w:right w:val="nil"/>
            </w:tcBorders>
          </w:tcPr>
          <w:p>
            <w:pPr/>
          </w:p>
        </w:tc>
        <w:tc>
          <w:tcPr>
            <w:tcW w:w="1550" w:type="dxa"/>
            <w:tcBorders>
              <w:left w:val="nil"/>
              <w:bottom w:val="nil"/>
              <w:right w:val="nil"/>
            </w:tcBorders>
          </w:tcPr>
          <w:p>
            <w:pPr/>
          </w:p>
        </w:tc>
        <w:tc>
          <w:tcPr>
            <w:tcW w:w="1610" w:type="dxa"/>
            <w:tcBorders>
              <w:left w:val="nil"/>
              <w:bottom w:val="nil"/>
              <w:right w:val="nil"/>
            </w:tcBorders>
          </w:tcPr>
          <w:p>
            <w:pPr/>
          </w:p>
        </w:tc>
      </w:tr>
    </w:tbl>
    <w:p>
      <w:pPr>
        <w:pStyle w:val="BodyText"/>
        <w:rPr>
          <w:sz w:val="20"/>
        </w:rPr>
      </w:pPr>
    </w:p>
    <w:p>
      <w:pPr>
        <w:pStyle w:val="BodyText"/>
        <w:spacing w:before="5"/>
        <w:rPr>
          <w:sz w:val="26"/>
        </w:rPr>
      </w:pPr>
    </w:p>
    <w:p>
      <w:pPr>
        <w:pStyle w:val="BodyText"/>
        <w:spacing w:line="360" w:lineRule="auto" w:before="69"/>
        <w:ind w:left="625" w:right="210"/>
        <w:jc w:val="both"/>
      </w:pPr>
      <w:r>
        <w:rPr/>
        <w:t>En los cuidadores solteros se encontró sobrecarga leve en un 22% y un 78% de sobrecarga intensa, por otra parte los casados también se adaptan a la sobrecarga, aunque en menor porcentaje ya que sólo el 7.1% experimentan sobrecarga leve y el 92.9% sobrecarga intensa, por otro parte la unión libre y divorciados enfrentan sobrecarga intensa en un 100%, si bien se encontraron diferencias en cuanto a la frecuencia de sobrecarga, no se pudo demostrar estadísticamente, con un valor de Chi-cuadrada de 1.851 y valor P de 0.174.</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rPr>
          <w:sz w:val="21"/>
        </w:rPr>
      </w:pPr>
    </w:p>
    <w:p>
      <w:pPr>
        <w:pStyle w:val="BodyText"/>
        <w:spacing w:line="20" w:lineRule="exact"/>
        <w:ind w:left="353"/>
        <w:rPr>
          <w:sz w:val="2"/>
        </w:rPr>
      </w:pPr>
      <w:r>
        <w:rPr>
          <w:sz w:val="2"/>
        </w:rPr>
        <w:pict>
          <v:group style="width:441.35pt;height:.5pt;mso-position-horizontal-relative:char;mso-position-vertical-relative:line" coordorigin="0,0" coordsize="8827,10">
            <v:line style="position:absolute" from="5,5" to="8822,5" stroked="true" strokeweight=".48pt" strokecolor="#000000"/>
          </v:group>
        </w:pict>
      </w:r>
      <w:r>
        <w:rPr>
          <w:sz w:val="2"/>
        </w:rPr>
      </w:r>
    </w:p>
    <w:p>
      <w:pPr>
        <w:pStyle w:val="BodyText"/>
        <w:spacing w:before="11"/>
        <w:rPr>
          <w:sz w:val="14"/>
        </w:rPr>
      </w:pPr>
    </w:p>
    <w:p>
      <w:pPr>
        <w:spacing w:before="74"/>
        <w:ind w:left="1693" w:right="0" w:firstLine="0"/>
        <w:jc w:val="left"/>
        <w:rPr>
          <w:b/>
          <w:sz w:val="20"/>
        </w:rPr>
      </w:pPr>
      <w:r>
        <w:rPr>
          <w:b/>
          <w:sz w:val="20"/>
        </w:rPr>
        <w:t>Escolaridad del cuidador informal primario / Nivel de sobrecarga</w:t>
      </w:r>
    </w:p>
    <w:p>
      <w:pPr>
        <w:pStyle w:val="BodyText"/>
        <w:rPr>
          <w:b/>
          <w:sz w:val="20"/>
        </w:rPr>
      </w:pPr>
    </w:p>
    <w:p>
      <w:pPr>
        <w:pStyle w:val="BodyText"/>
        <w:rPr>
          <w:b/>
          <w:sz w:val="20"/>
        </w:rPr>
      </w:pPr>
    </w:p>
    <w:p>
      <w:pPr>
        <w:pStyle w:val="BodyText"/>
        <w:rPr>
          <w:b/>
          <w:sz w:val="20"/>
        </w:rPr>
      </w:pPr>
    </w:p>
    <w:p>
      <w:pPr>
        <w:pStyle w:val="BodyText"/>
        <w:spacing w:before="9"/>
        <w:rPr>
          <w:b/>
          <w:sz w:val="20"/>
        </w:rPr>
      </w:pPr>
    </w:p>
    <w:p>
      <w:pPr>
        <w:tabs>
          <w:tab w:pos="3044" w:val="left" w:leader="none"/>
        </w:tabs>
        <w:spacing w:before="74"/>
        <w:ind w:left="2003" w:right="0" w:firstLine="0"/>
        <w:jc w:val="left"/>
        <w:rPr>
          <w:b/>
          <w:sz w:val="20"/>
        </w:rPr>
      </w:pPr>
      <w:r>
        <w:rPr/>
        <w:pict>
          <v:shape style="position:absolute;margin-left:103.699997pt;margin-top:-36.840118pt;width:441.35pt;height:142.3pt;mso-position-horizontal-relative:page;mso-position-vertical-relative:paragraph;z-index:37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1"/>
                    <w:gridCol w:w="981"/>
                    <w:gridCol w:w="1092"/>
                    <w:gridCol w:w="1426"/>
                    <w:gridCol w:w="1223"/>
                    <w:gridCol w:w="2454"/>
                  </w:tblGrid>
                  <w:tr>
                    <w:trPr>
                      <w:trHeight w:val="964" w:hRule="exact"/>
                    </w:trPr>
                    <w:tc>
                      <w:tcPr>
                        <w:tcW w:w="8817" w:type="dxa"/>
                        <w:gridSpan w:val="6"/>
                        <w:tcBorders>
                          <w:left w:val="nil"/>
                          <w:bottom w:val="nil"/>
                          <w:right w:val="nil"/>
                        </w:tcBorders>
                        <w:shd w:val="clear" w:color="auto" w:fill="99CC00"/>
                      </w:tcPr>
                      <w:p>
                        <w:pPr>
                          <w:pStyle w:val="TableParagraph"/>
                          <w:spacing w:before="5"/>
                          <w:jc w:val="left"/>
                          <w:rPr>
                            <w:sz w:val="22"/>
                          </w:rPr>
                        </w:pPr>
                      </w:p>
                      <w:p>
                        <w:pPr>
                          <w:pStyle w:val="TableParagraph"/>
                          <w:tabs>
                            <w:tab w:pos="3660" w:val="left" w:leader="none"/>
                          </w:tabs>
                          <w:spacing w:before="1"/>
                          <w:ind w:left="352"/>
                          <w:jc w:val="left"/>
                          <w:rPr>
                            <w:sz w:val="20"/>
                          </w:rPr>
                        </w:pPr>
                        <w:r>
                          <w:rPr>
                            <w:b/>
                            <w:position w:val="-7"/>
                            <w:sz w:val="20"/>
                          </w:rPr>
                          <w:t>Nivel</w:t>
                        </w:r>
                        <w:r>
                          <w:rPr>
                            <w:b/>
                            <w:spacing w:val="-2"/>
                            <w:position w:val="-7"/>
                            <w:sz w:val="20"/>
                          </w:rPr>
                          <w:t> </w:t>
                        </w:r>
                        <w:r>
                          <w:rPr>
                            <w:b/>
                            <w:position w:val="-7"/>
                            <w:sz w:val="20"/>
                          </w:rPr>
                          <w:t>de</w:t>
                          <w:tab/>
                        </w:r>
                        <w:r>
                          <w:rPr>
                            <w:sz w:val="20"/>
                          </w:rPr>
                          <w:t>Nivel de escolaridad</w:t>
                        </w:r>
                        <w:r>
                          <w:rPr>
                            <w:spacing w:val="-7"/>
                            <w:sz w:val="20"/>
                          </w:rPr>
                          <w:t> </w:t>
                        </w:r>
                        <w:r>
                          <w:rPr>
                            <w:sz w:val="20"/>
                          </w:rPr>
                          <w:t>%</w:t>
                        </w:r>
                      </w:p>
                      <w:p>
                        <w:pPr>
                          <w:pStyle w:val="TableParagraph"/>
                          <w:tabs>
                            <w:tab w:pos="4116" w:val="left" w:leader="none"/>
                            <w:tab w:pos="7964" w:val="left" w:leader="none"/>
                          </w:tabs>
                          <w:spacing w:before="20"/>
                          <w:ind w:left="196"/>
                          <w:jc w:val="left"/>
                          <w:rPr>
                            <w:b/>
                            <w:sz w:val="20"/>
                          </w:rPr>
                        </w:pPr>
                        <w:r>
                          <w:rPr>
                            <w:b/>
                            <w:position w:val="9"/>
                            <w:sz w:val="20"/>
                          </w:rPr>
                          <w:t>sobrecarga</w:t>
                          <w:tab/>
                        </w:r>
                        <w:r>
                          <w:rPr>
                            <w:b/>
                            <w:sz w:val="20"/>
                          </w:rPr>
                          <w:t>Medio</w:t>
                          <w:tab/>
                        </w:r>
                        <w:r>
                          <w:rPr>
                            <w:b/>
                            <w:position w:val="1"/>
                            <w:sz w:val="20"/>
                          </w:rPr>
                          <w:t>Valor</w:t>
                        </w:r>
                        <w:r>
                          <w:rPr>
                            <w:b/>
                            <w:spacing w:val="-2"/>
                            <w:position w:val="1"/>
                            <w:sz w:val="20"/>
                          </w:rPr>
                          <w:t> </w:t>
                        </w:r>
                        <w:r>
                          <w:rPr>
                            <w:b/>
                            <w:position w:val="1"/>
                            <w:sz w:val="20"/>
                          </w:rPr>
                          <w:t>P*</w:t>
                        </w:r>
                      </w:p>
                    </w:tc>
                  </w:tr>
                  <w:tr>
                    <w:trPr>
                      <w:trHeight w:val="397" w:hRule="exact"/>
                    </w:trPr>
                    <w:tc>
                      <w:tcPr>
                        <w:tcW w:w="1641" w:type="dxa"/>
                        <w:tcBorders>
                          <w:top w:val="nil"/>
                          <w:left w:val="nil"/>
                          <w:right w:val="nil"/>
                        </w:tcBorders>
                        <w:shd w:val="clear" w:color="auto" w:fill="99CC00"/>
                      </w:tcPr>
                      <w:p>
                        <w:pPr/>
                      </w:p>
                    </w:tc>
                    <w:tc>
                      <w:tcPr>
                        <w:tcW w:w="981" w:type="dxa"/>
                        <w:tcBorders>
                          <w:top w:val="nil"/>
                          <w:left w:val="nil"/>
                          <w:right w:val="nil"/>
                        </w:tcBorders>
                        <w:shd w:val="clear" w:color="auto" w:fill="99CC00"/>
                      </w:tcPr>
                      <w:p>
                        <w:pPr/>
                      </w:p>
                    </w:tc>
                    <w:tc>
                      <w:tcPr>
                        <w:tcW w:w="1092" w:type="dxa"/>
                        <w:tcBorders>
                          <w:top w:val="nil"/>
                          <w:left w:val="nil"/>
                          <w:right w:val="nil"/>
                        </w:tcBorders>
                        <w:shd w:val="clear" w:color="auto" w:fill="99CC00"/>
                      </w:tcPr>
                      <w:p>
                        <w:pPr/>
                      </w:p>
                    </w:tc>
                    <w:tc>
                      <w:tcPr>
                        <w:tcW w:w="5103" w:type="dxa"/>
                        <w:gridSpan w:val="3"/>
                        <w:tcBorders>
                          <w:top w:val="nil"/>
                          <w:left w:val="nil"/>
                          <w:right w:val="nil"/>
                        </w:tcBorders>
                        <w:shd w:val="clear" w:color="auto" w:fill="99CC00"/>
                      </w:tcPr>
                      <w:p>
                        <w:pPr>
                          <w:pStyle w:val="TableParagraph"/>
                          <w:tabs>
                            <w:tab w:pos="295" w:val="left" w:leader="none"/>
                            <w:tab w:pos="1337" w:val="left" w:leader="none"/>
                            <w:tab w:pos="2914" w:val="left" w:leader="none"/>
                          </w:tabs>
                          <w:spacing w:line="207" w:lineRule="exact"/>
                          <w:ind w:left="-64"/>
                          <w:jc w:val="left"/>
                          <w:rPr>
                            <w:b/>
                            <w:sz w:val="20"/>
                          </w:rPr>
                        </w:pPr>
                        <w:r>
                          <w:rPr>
                            <w:b/>
                            <w:sz w:val="20"/>
                          </w:rPr>
                          <w:t>a</w:t>
                          <w:tab/>
                        </w:r>
                        <w:r>
                          <w:rPr>
                            <w:b/>
                            <w:position w:val="-12"/>
                            <w:sz w:val="20"/>
                          </w:rPr>
                          <w:t>superior</w:t>
                          <w:tab/>
                        </w:r>
                        <w:r>
                          <w:rPr>
                            <w:b/>
                            <w:sz w:val="20"/>
                          </w:rPr>
                          <w:t>Licenciatura</w:t>
                          <w:tab/>
                          <w:t>Posgrado</w:t>
                        </w:r>
                      </w:p>
                    </w:tc>
                  </w:tr>
                  <w:tr>
                    <w:trPr>
                      <w:trHeight w:val="625" w:hRule="exact"/>
                    </w:trPr>
                    <w:tc>
                      <w:tcPr>
                        <w:tcW w:w="1641" w:type="dxa"/>
                        <w:tcBorders>
                          <w:left w:val="nil"/>
                          <w:bottom w:val="nil"/>
                          <w:right w:val="nil"/>
                        </w:tcBorders>
                      </w:tcPr>
                      <w:p>
                        <w:pPr>
                          <w:pStyle w:val="TableParagraph"/>
                          <w:spacing w:before="1"/>
                          <w:jc w:val="left"/>
                          <w:rPr>
                            <w:sz w:val="22"/>
                          </w:rPr>
                        </w:pPr>
                      </w:p>
                      <w:p>
                        <w:pPr>
                          <w:pStyle w:val="TableParagraph"/>
                          <w:ind w:left="47" w:right="216"/>
                          <w:rPr>
                            <w:b/>
                            <w:sz w:val="22"/>
                          </w:rPr>
                        </w:pPr>
                        <w:r>
                          <w:rPr>
                            <w:b/>
                            <w:sz w:val="22"/>
                          </w:rPr>
                          <w:t>Leve</w:t>
                        </w:r>
                      </w:p>
                    </w:tc>
                    <w:tc>
                      <w:tcPr>
                        <w:tcW w:w="981" w:type="dxa"/>
                        <w:tcBorders>
                          <w:left w:val="nil"/>
                          <w:bottom w:val="nil"/>
                          <w:right w:val="nil"/>
                        </w:tcBorders>
                      </w:tcPr>
                      <w:p>
                        <w:pPr>
                          <w:pStyle w:val="TableParagraph"/>
                          <w:spacing w:before="6"/>
                          <w:jc w:val="left"/>
                          <w:rPr>
                            <w:sz w:val="24"/>
                          </w:rPr>
                        </w:pPr>
                      </w:p>
                      <w:p>
                        <w:pPr>
                          <w:pStyle w:val="TableParagraph"/>
                          <w:spacing w:before="1"/>
                          <w:ind w:right="170"/>
                          <w:rPr>
                            <w:sz w:val="20"/>
                          </w:rPr>
                        </w:pPr>
                        <w:r>
                          <w:rPr>
                            <w:w w:val="99"/>
                            <w:sz w:val="20"/>
                          </w:rPr>
                          <w:t>-</w:t>
                        </w:r>
                      </w:p>
                    </w:tc>
                    <w:tc>
                      <w:tcPr>
                        <w:tcW w:w="1092" w:type="dxa"/>
                        <w:tcBorders>
                          <w:left w:val="nil"/>
                          <w:bottom w:val="nil"/>
                          <w:right w:val="nil"/>
                        </w:tcBorders>
                      </w:tcPr>
                      <w:p>
                        <w:pPr>
                          <w:pStyle w:val="TableParagraph"/>
                          <w:spacing w:before="6"/>
                          <w:jc w:val="left"/>
                          <w:rPr>
                            <w:sz w:val="24"/>
                          </w:rPr>
                        </w:pPr>
                      </w:p>
                      <w:p>
                        <w:pPr>
                          <w:pStyle w:val="TableParagraph"/>
                          <w:spacing w:before="1"/>
                          <w:ind w:right="293"/>
                          <w:jc w:val="right"/>
                          <w:rPr>
                            <w:sz w:val="20"/>
                          </w:rPr>
                        </w:pPr>
                        <w:r>
                          <w:rPr>
                            <w:sz w:val="20"/>
                          </w:rPr>
                          <w:t>14.3</w:t>
                        </w:r>
                      </w:p>
                    </w:tc>
                    <w:tc>
                      <w:tcPr>
                        <w:tcW w:w="1426" w:type="dxa"/>
                        <w:tcBorders>
                          <w:left w:val="nil"/>
                          <w:bottom w:val="nil"/>
                          <w:right w:val="nil"/>
                        </w:tcBorders>
                      </w:tcPr>
                      <w:p>
                        <w:pPr>
                          <w:pStyle w:val="TableParagraph"/>
                          <w:spacing w:before="6"/>
                          <w:jc w:val="left"/>
                          <w:rPr>
                            <w:sz w:val="24"/>
                          </w:rPr>
                        </w:pPr>
                      </w:p>
                      <w:p>
                        <w:pPr>
                          <w:pStyle w:val="TableParagraph"/>
                          <w:spacing w:before="1"/>
                          <w:ind w:left="564" w:right="599"/>
                          <w:rPr>
                            <w:sz w:val="20"/>
                          </w:rPr>
                        </w:pPr>
                        <w:r>
                          <w:rPr>
                            <w:sz w:val="20"/>
                          </w:rPr>
                          <w:t>15</w:t>
                        </w:r>
                      </w:p>
                    </w:tc>
                    <w:tc>
                      <w:tcPr>
                        <w:tcW w:w="1223" w:type="dxa"/>
                        <w:tcBorders>
                          <w:left w:val="nil"/>
                          <w:bottom w:val="nil"/>
                          <w:right w:val="nil"/>
                        </w:tcBorders>
                      </w:tcPr>
                      <w:p>
                        <w:pPr>
                          <w:pStyle w:val="TableParagraph"/>
                          <w:spacing w:before="6"/>
                          <w:jc w:val="left"/>
                          <w:rPr>
                            <w:sz w:val="24"/>
                          </w:rPr>
                        </w:pPr>
                      </w:p>
                      <w:p>
                        <w:pPr>
                          <w:pStyle w:val="TableParagraph"/>
                          <w:spacing w:before="1"/>
                          <w:ind w:right="223"/>
                          <w:rPr>
                            <w:sz w:val="20"/>
                          </w:rPr>
                        </w:pPr>
                        <w:r>
                          <w:rPr>
                            <w:w w:val="99"/>
                            <w:sz w:val="20"/>
                          </w:rPr>
                          <w:t>-</w:t>
                        </w:r>
                      </w:p>
                    </w:tc>
                    <w:tc>
                      <w:tcPr>
                        <w:tcW w:w="2454" w:type="dxa"/>
                        <w:tcBorders>
                          <w:left w:val="nil"/>
                          <w:bottom w:val="nil"/>
                          <w:right w:val="nil"/>
                        </w:tcBorders>
                      </w:tcPr>
                      <w:p>
                        <w:pPr>
                          <w:pStyle w:val="TableParagraph"/>
                          <w:spacing w:before="8"/>
                          <w:jc w:val="left"/>
                          <w:rPr>
                            <w:sz w:val="24"/>
                          </w:rPr>
                        </w:pPr>
                      </w:p>
                      <w:p>
                        <w:pPr>
                          <w:pStyle w:val="TableParagraph"/>
                          <w:tabs>
                            <w:tab w:pos="1734" w:val="left" w:leader="none"/>
                          </w:tabs>
                          <w:ind w:left="692"/>
                          <w:jc w:val="left"/>
                          <w:rPr>
                            <w:sz w:val="20"/>
                          </w:rPr>
                        </w:pPr>
                        <w:r>
                          <w:rPr>
                            <w:position w:val="8"/>
                            <w:sz w:val="20"/>
                          </w:rPr>
                          <w:t>-</w:t>
                          <w:tab/>
                        </w:r>
                        <w:r>
                          <w:rPr>
                            <w:sz w:val="20"/>
                          </w:rPr>
                          <w:t>0.584</w:t>
                        </w:r>
                      </w:p>
                    </w:tc>
                  </w:tr>
                  <w:tr>
                    <w:trPr>
                      <w:trHeight w:val="533" w:hRule="exact"/>
                    </w:trPr>
                    <w:tc>
                      <w:tcPr>
                        <w:tcW w:w="1641" w:type="dxa"/>
                        <w:tcBorders>
                          <w:top w:val="nil"/>
                          <w:left w:val="nil"/>
                          <w:right w:val="nil"/>
                        </w:tcBorders>
                      </w:tcPr>
                      <w:p>
                        <w:pPr>
                          <w:pStyle w:val="TableParagraph"/>
                          <w:spacing w:before="84"/>
                          <w:ind w:left="49" w:right="214"/>
                          <w:rPr>
                            <w:b/>
                            <w:sz w:val="22"/>
                          </w:rPr>
                        </w:pPr>
                        <w:r>
                          <w:rPr>
                            <w:b/>
                            <w:sz w:val="22"/>
                          </w:rPr>
                          <w:t>Intensa</w:t>
                        </w:r>
                      </w:p>
                    </w:tc>
                    <w:tc>
                      <w:tcPr>
                        <w:tcW w:w="981" w:type="dxa"/>
                        <w:tcBorders>
                          <w:top w:val="nil"/>
                          <w:left w:val="nil"/>
                          <w:right w:val="nil"/>
                        </w:tcBorders>
                      </w:tcPr>
                      <w:p>
                        <w:pPr>
                          <w:pStyle w:val="TableParagraph"/>
                          <w:spacing w:before="100"/>
                          <w:ind w:left="218" w:right="387"/>
                          <w:rPr>
                            <w:sz w:val="20"/>
                          </w:rPr>
                        </w:pPr>
                        <w:r>
                          <w:rPr>
                            <w:sz w:val="20"/>
                          </w:rPr>
                          <w:t>100</w:t>
                        </w:r>
                      </w:p>
                    </w:tc>
                    <w:tc>
                      <w:tcPr>
                        <w:tcW w:w="1092" w:type="dxa"/>
                        <w:tcBorders>
                          <w:top w:val="nil"/>
                          <w:left w:val="nil"/>
                          <w:right w:val="nil"/>
                        </w:tcBorders>
                      </w:tcPr>
                      <w:p>
                        <w:pPr>
                          <w:pStyle w:val="TableParagraph"/>
                          <w:spacing w:before="100"/>
                          <w:ind w:right="293"/>
                          <w:jc w:val="right"/>
                          <w:rPr>
                            <w:sz w:val="20"/>
                          </w:rPr>
                        </w:pPr>
                        <w:r>
                          <w:rPr>
                            <w:sz w:val="20"/>
                          </w:rPr>
                          <w:t>85.7</w:t>
                        </w:r>
                      </w:p>
                    </w:tc>
                    <w:tc>
                      <w:tcPr>
                        <w:tcW w:w="1426" w:type="dxa"/>
                        <w:tcBorders>
                          <w:top w:val="nil"/>
                          <w:left w:val="nil"/>
                          <w:right w:val="nil"/>
                        </w:tcBorders>
                      </w:tcPr>
                      <w:p>
                        <w:pPr>
                          <w:pStyle w:val="TableParagraph"/>
                          <w:spacing w:before="100"/>
                          <w:ind w:left="564" w:right="599"/>
                          <w:rPr>
                            <w:sz w:val="20"/>
                          </w:rPr>
                        </w:pPr>
                        <w:r>
                          <w:rPr>
                            <w:sz w:val="20"/>
                          </w:rPr>
                          <w:t>85</w:t>
                        </w:r>
                      </w:p>
                    </w:tc>
                    <w:tc>
                      <w:tcPr>
                        <w:tcW w:w="1223" w:type="dxa"/>
                        <w:tcBorders>
                          <w:top w:val="nil"/>
                          <w:left w:val="nil"/>
                          <w:right w:val="nil"/>
                        </w:tcBorders>
                      </w:tcPr>
                      <w:p>
                        <w:pPr>
                          <w:pStyle w:val="TableParagraph"/>
                          <w:spacing w:before="100"/>
                          <w:ind w:left="313" w:right="535"/>
                          <w:rPr>
                            <w:sz w:val="20"/>
                          </w:rPr>
                        </w:pPr>
                        <w:r>
                          <w:rPr>
                            <w:sz w:val="20"/>
                          </w:rPr>
                          <w:t>100</w:t>
                        </w:r>
                      </w:p>
                    </w:tc>
                    <w:tc>
                      <w:tcPr>
                        <w:tcW w:w="2454" w:type="dxa"/>
                        <w:tcBorders>
                          <w:top w:val="nil"/>
                          <w:left w:val="nil"/>
                          <w:right w:val="nil"/>
                        </w:tcBorders>
                      </w:tcPr>
                      <w:p>
                        <w:pPr>
                          <w:pStyle w:val="TableParagraph"/>
                          <w:spacing w:before="100"/>
                          <w:ind w:left="558"/>
                          <w:jc w:val="left"/>
                          <w:rPr>
                            <w:sz w:val="20"/>
                          </w:rPr>
                        </w:pPr>
                        <w:r>
                          <w:rPr>
                            <w:sz w:val="20"/>
                          </w:rPr>
                          <w:t>100</w:t>
                        </w:r>
                      </w:p>
                    </w:tc>
                  </w:tr>
                  <w:tr>
                    <w:trPr>
                      <w:trHeight w:val="327" w:hRule="exact"/>
                    </w:trPr>
                    <w:tc>
                      <w:tcPr>
                        <w:tcW w:w="1641" w:type="dxa"/>
                        <w:tcBorders>
                          <w:left w:val="nil"/>
                          <w:bottom w:val="nil"/>
                          <w:right w:val="nil"/>
                        </w:tcBorders>
                      </w:tcPr>
                      <w:p>
                        <w:pPr>
                          <w:pStyle w:val="TableParagraph"/>
                          <w:spacing w:line="227" w:lineRule="exact"/>
                          <w:ind w:left="49" w:right="216"/>
                          <w:rPr>
                            <w:sz w:val="20"/>
                          </w:rPr>
                        </w:pPr>
                        <w:r>
                          <w:rPr>
                            <w:sz w:val="20"/>
                          </w:rPr>
                          <w:t>* Chi-cuadrada</w:t>
                        </w:r>
                      </w:p>
                    </w:tc>
                    <w:tc>
                      <w:tcPr>
                        <w:tcW w:w="981" w:type="dxa"/>
                        <w:tcBorders>
                          <w:left w:val="nil"/>
                          <w:bottom w:val="nil"/>
                          <w:right w:val="nil"/>
                        </w:tcBorders>
                      </w:tcPr>
                      <w:p>
                        <w:pPr/>
                      </w:p>
                    </w:tc>
                    <w:tc>
                      <w:tcPr>
                        <w:tcW w:w="1092" w:type="dxa"/>
                        <w:tcBorders>
                          <w:left w:val="nil"/>
                          <w:bottom w:val="nil"/>
                          <w:right w:val="nil"/>
                        </w:tcBorders>
                      </w:tcPr>
                      <w:p>
                        <w:pPr/>
                      </w:p>
                    </w:tc>
                    <w:tc>
                      <w:tcPr>
                        <w:tcW w:w="1426" w:type="dxa"/>
                        <w:tcBorders>
                          <w:left w:val="nil"/>
                          <w:bottom w:val="nil"/>
                          <w:right w:val="nil"/>
                        </w:tcBorders>
                      </w:tcPr>
                      <w:p>
                        <w:pPr/>
                      </w:p>
                    </w:tc>
                    <w:tc>
                      <w:tcPr>
                        <w:tcW w:w="1223" w:type="dxa"/>
                        <w:tcBorders>
                          <w:left w:val="nil"/>
                          <w:bottom w:val="nil"/>
                          <w:right w:val="nil"/>
                        </w:tcBorders>
                      </w:tcPr>
                      <w:p>
                        <w:pPr/>
                      </w:p>
                    </w:tc>
                    <w:tc>
                      <w:tcPr>
                        <w:tcW w:w="2454" w:type="dxa"/>
                        <w:tcBorders>
                          <w:left w:val="nil"/>
                          <w:bottom w:val="nil"/>
                          <w:right w:val="nil"/>
                        </w:tcBorders>
                      </w:tcPr>
                      <w:p>
                        <w:pPr/>
                      </w:p>
                    </w:tc>
                  </w:tr>
                </w:tbl>
                <w:p>
                  <w:pPr>
                    <w:pStyle w:val="BodyText"/>
                  </w:pPr>
                </w:p>
              </w:txbxContent>
            </v:textbox>
            <w10:wrap type="none"/>
          </v:shape>
        </w:pict>
      </w:r>
      <w:r>
        <w:rPr>
          <w:b/>
          <w:sz w:val="20"/>
        </w:rPr>
        <w:t>Primaria</w:t>
        <w:tab/>
        <w:t>Secundari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p>
    <w:p>
      <w:pPr>
        <w:pStyle w:val="BodyText"/>
        <w:spacing w:line="360" w:lineRule="auto"/>
        <w:ind w:left="625" w:right="208"/>
        <w:jc w:val="both"/>
      </w:pPr>
      <w:r>
        <w:rPr/>
        <w:t>En torno a la escolaridad en relación al nivel de sobrecarga se observó a los cuidadores con nivel primaria experimentan sobrecarga intensa en un 100%, el nivel de secundaria experimenta sobrecarga leve en un 14.3% mientras que el 85.7% percibe sobrecarga intensa, datos similares a lo encontrado en el nivel medio superior en un 15% de sobrecarga leve y un 85% de  sobrecarga intensa, en tanto el nivel licenciatura y posgrado aprecian un 100% de sobrecarga intensa, sin embargo, no se demostraron diferencias estadísticamente, ya que se obtuvo, un valor de Chi-cuadrada de 0.300 y un valor P de 0.584.</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rPr>
          <w:sz w:val="21"/>
        </w:rPr>
      </w:pPr>
    </w:p>
    <w:p>
      <w:pPr>
        <w:pStyle w:val="BodyText"/>
        <w:spacing w:line="20" w:lineRule="exact"/>
        <w:ind w:left="461"/>
        <w:rPr>
          <w:sz w:val="2"/>
        </w:rPr>
      </w:pPr>
      <w:r>
        <w:rPr>
          <w:sz w:val="2"/>
        </w:rPr>
        <w:pict>
          <v:group style="width:435.95pt;height:.5pt;mso-position-horizontal-relative:char;mso-position-vertical-relative:line" coordorigin="0,0" coordsize="8719,10">
            <v:line style="position:absolute" from="5,5" to="8714,5" stroked="true" strokeweight=".48pt" strokecolor="#000000"/>
          </v:group>
        </w:pict>
      </w:r>
      <w:r>
        <w:rPr>
          <w:sz w:val="2"/>
        </w:rPr>
      </w:r>
    </w:p>
    <w:p>
      <w:pPr>
        <w:pStyle w:val="BodyText"/>
        <w:spacing w:before="11"/>
        <w:rPr>
          <w:sz w:val="14"/>
        </w:rPr>
      </w:pPr>
    </w:p>
    <w:p>
      <w:pPr>
        <w:spacing w:before="74"/>
        <w:ind w:left="3402" w:right="0" w:firstLine="0"/>
        <w:jc w:val="left"/>
        <w:rPr>
          <w:b/>
          <w:sz w:val="20"/>
        </w:rPr>
      </w:pPr>
      <w:r>
        <w:rPr>
          <w:b/>
          <w:sz w:val="20"/>
        </w:rPr>
        <w:t>Religión / nivel de sobrecarga</w:t>
      </w:r>
    </w:p>
    <w:p>
      <w:pPr>
        <w:pStyle w:val="BodyText"/>
        <w:spacing w:before="8" w:after="1"/>
        <w:rPr>
          <w:b/>
          <w:sz w:val="16"/>
        </w:rPr>
      </w:pPr>
    </w:p>
    <w:tbl>
      <w:tblPr>
        <w:tblW w:w="0" w:type="auto"/>
        <w:jc w:val="left"/>
        <w:tblInd w:w="4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6"/>
        <w:gridCol w:w="1410"/>
        <w:gridCol w:w="1646"/>
        <w:gridCol w:w="2798"/>
      </w:tblGrid>
      <w:tr>
        <w:trPr>
          <w:trHeight w:val="1106" w:hRule="exact"/>
        </w:trPr>
        <w:tc>
          <w:tcPr>
            <w:tcW w:w="2856" w:type="dxa"/>
            <w:tcBorders>
              <w:left w:val="nil"/>
              <w:right w:val="nil"/>
            </w:tcBorders>
            <w:shd w:val="clear" w:color="auto" w:fill="99CC00"/>
          </w:tcPr>
          <w:p>
            <w:pPr>
              <w:pStyle w:val="TableParagraph"/>
              <w:jc w:val="left"/>
              <w:rPr>
                <w:b/>
                <w:sz w:val="20"/>
              </w:rPr>
            </w:pPr>
          </w:p>
          <w:p>
            <w:pPr>
              <w:pStyle w:val="TableParagraph"/>
              <w:spacing w:before="7"/>
              <w:jc w:val="left"/>
              <w:rPr>
                <w:b/>
                <w:sz w:val="20"/>
              </w:rPr>
            </w:pPr>
          </w:p>
          <w:p>
            <w:pPr>
              <w:pStyle w:val="TableParagraph"/>
              <w:ind w:left="503" w:right="411"/>
              <w:rPr>
                <w:b/>
                <w:sz w:val="20"/>
              </w:rPr>
            </w:pPr>
            <w:r>
              <w:rPr>
                <w:b/>
                <w:sz w:val="20"/>
              </w:rPr>
              <w:t>Nivel de sobrecarga</w:t>
            </w:r>
          </w:p>
        </w:tc>
        <w:tc>
          <w:tcPr>
            <w:tcW w:w="1410" w:type="dxa"/>
            <w:tcBorders>
              <w:left w:val="nil"/>
              <w:right w:val="nil"/>
            </w:tcBorders>
            <w:shd w:val="clear" w:color="auto" w:fill="99CC00"/>
          </w:tcPr>
          <w:p>
            <w:pPr>
              <w:pStyle w:val="TableParagraph"/>
              <w:jc w:val="left"/>
              <w:rPr>
                <w:b/>
                <w:sz w:val="20"/>
              </w:rPr>
            </w:pPr>
          </w:p>
          <w:p>
            <w:pPr>
              <w:pStyle w:val="TableParagraph"/>
              <w:jc w:val="left"/>
              <w:rPr>
                <w:b/>
                <w:sz w:val="20"/>
              </w:rPr>
            </w:pPr>
          </w:p>
          <w:p>
            <w:pPr>
              <w:pStyle w:val="TableParagraph"/>
              <w:jc w:val="left"/>
              <w:rPr>
                <w:b/>
                <w:sz w:val="19"/>
              </w:rPr>
            </w:pPr>
          </w:p>
          <w:p>
            <w:pPr>
              <w:pStyle w:val="TableParagraph"/>
              <w:ind w:left="411" w:right="180"/>
              <w:rPr>
                <w:b/>
                <w:sz w:val="20"/>
              </w:rPr>
            </w:pPr>
            <w:r>
              <w:rPr>
                <w:b/>
                <w:sz w:val="20"/>
              </w:rPr>
              <w:t>Católica</w:t>
            </w:r>
          </w:p>
        </w:tc>
        <w:tc>
          <w:tcPr>
            <w:tcW w:w="1646" w:type="dxa"/>
            <w:tcBorders>
              <w:left w:val="nil"/>
              <w:right w:val="nil"/>
            </w:tcBorders>
            <w:shd w:val="clear" w:color="auto" w:fill="99CC00"/>
          </w:tcPr>
          <w:p>
            <w:pPr>
              <w:pStyle w:val="TableParagraph"/>
              <w:spacing w:before="5"/>
              <w:jc w:val="left"/>
              <w:rPr>
                <w:b/>
                <w:sz w:val="22"/>
              </w:rPr>
            </w:pPr>
          </w:p>
          <w:p>
            <w:pPr>
              <w:pStyle w:val="TableParagraph"/>
              <w:spacing w:before="1"/>
              <w:ind w:left="201"/>
              <w:jc w:val="left"/>
              <w:rPr>
                <w:sz w:val="20"/>
              </w:rPr>
            </w:pPr>
            <w:r>
              <w:rPr>
                <w:sz w:val="20"/>
              </w:rPr>
              <w:t>Religión %</w:t>
            </w:r>
          </w:p>
          <w:p>
            <w:pPr>
              <w:pStyle w:val="TableParagraph"/>
              <w:spacing w:before="6"/>
              <w:jc w:val="left"/>
              <w:rPr>
                <w:b/>
                <w:sz w:val="16"/>
              </w:rPr>
            </w:pPr>
          </w:p>
          <w:p>
            <w:pPr>
              <w:pStyle w:val="TableParagraph"/>
              <w:ind w:left="333"/>
              <w:jc w:val="left"/>
              <w:rPr>
                <w:b/>
                <w:sz w:val="20"/>
              </w:rPr>
            </w:pPr>
            <w:r>
              <w:rPr>
                <w:b/>
                <w:sz w:val="20"/>
              </w:rPr>
              <w:t>Evangélica</w:t>
            </w:r>
          </w:p>
        </w:tc>
        <w:tc>
          <w:tcPr>
            <w:tcW w:w="2798" w:type="dxa"/>
            <w:tcBorders>
              <w:left w:val="nil"/>
              <w:right w:val="nil"/>
            </w:tcBorders>
            <w:shd w:val="clear" w:color="auto" w:fill="99CC00"/>
          </w:tcPr>
          <w:p>
            <w:pPr>
              <w:pStyle w:val="TableParagraph"/>
              <w:jc w:val="left"/>
              <w:rPr>
                <w:b/>
                <w:sz w:val="20"/>
              </w:rPr>
            </w:pPr>
          </w:p>
          <w:p>
            <w:pPr>
              <w:pStyle w:val="TableParagraph"/>
              <w:spacing w:before="3"/>
              <w:jc w:val="left"/>
              <w:rPr>
                <w:b/>
                <w:sz w:val="27"/>
              </w:rPr>
            </w:pPr>
          </w:p>
          <w:p>
            <w:pPr>
              <w:pStyle w:val="TableParagraph"/>
              <w:spacing w:line="182" w:lineRule="exact" w:before="1"/>
              <w:ind w:left="1530"/>
              <w:jc w:val="left"/>
              <w:rPr>
                <w:b/>
                <w:sz w:val="20"/>
              </w:rPr>
            </w:pPr>
            <w:r>
              <w:rPr>
                <w:b/>
                <w:sz w:val="20"/>
              </w:rPr>
              <w:t>Valor P*</w:t>
            </w:r>
          </w:p>
          <w:p>
            <w:pPr>
              <w:pStyle w:val="TableParagraph"/>
              <w:spacing w:line="182" w:lineRule="exact"/>
              <w:ind w:left="269"/>
              <w:jc w:val="left"/>
              <w:rPr>
                <w:b/>
                <w:sz w:val="20"/>
              </w:rPr>
            </w:pPr>
            <w:r>
              <w:rPr>
                <w:b/>
                <w:sz w:val="20"/>
              </w:rPr>
              <w:t>Otro</w:t>
            </w:r>
          </w:p>
        </w:tc>
      </w:tr>
      <w:tr>
        <w:trPr>
          <w:trHeight w:val="625" w:hRule="exact"/>
        </w:trPr>
        <w:tc>
          <w:tcPr>
            <w:tcW w:w="2856" w:type="dxa"/>
            <w:tcBorders>
              <w:left w:val="nil"/>
              <w:bottom w:val="nil"/>
              <w:right w:val="nil"/>
            </w:tcBorders>
          </w:tcPr>
          <w:p>
            <w:pPr>
              <w:pStyle w:val="TableParagraph"/>
              <w:spacing w:before="1"/>
              <w:jc w:val="left"/>
              <w:rPr>
                <w:b/>
                <w:sz w:val="22"/>
              </w:rPr>
            </w:pPr>
          </w:p>
          <w:p>
            <w:pPr>
              <w:pStyle w:val="TableParagraph"/>
              <w:ind w:left="502" w:right="411"/>
              <w:rPr>
                <w:b/>
                <w:sz w:val="22"/>
              </w:rPr>
            </w:pPr>
            <w:r>
              <w:rPr>
                <w:b/>
                <w:sz w:val="22"/>
              </w:rPr>
              <w:t>Leve</w:t>
            </w:r>
          </w:p>
        </w:tc>
        <w:tc>
          <w:tcPr>
            <w:tcW w:w="1410" w:type="dxa"/>
            <w:tcBorders>
              <w:left w:val="nil"/>
              <w:bottom w:val="nil"/>
              <w:right w:val="nil"/>
            </w:tcBorders>
          </w:tcPr>
          <w:p>
            <w:pPr>
              <w:pStyle w:val="TableParagraph"/>
              <w:spacing w:before="9"/>
              <w:jc w:val="left"/>
              <w:rPr>
                <w:b/>
                <w:sz w:val="24"/>
              </w:rPr>
            </w:pPr>
          </w:p>
          <w:p>
            <w:pPr>
              <w:pStyle w:val="TableParagraph"/>
              <w:ind w:left="234"/>
              <w:rPr>
                <w:sz w:val="20"/>
              </w:rPr>
            </w:pPr>
            <w:r>
              <w:rPr>
                <w:w w:val="99"/>
                <w:sz w:val="20"/>
              </w:rPr>
              <w:t>8</w:t>
            </w:r>
          </w:p>
        </w:tc>
        <w:tc>
          <w:tcPr>
            <w:tcW w:w="1646" w:type="dxa"/>
            <w:tcBorders>
              <w:left w:val="nil"/>
              <w:bottom w:val="nil"/>
              <w:right w:val="nil"/>
            </w:tcBorders>
          </w:tcPr>
          <w:p>
            <w:pPr>
              <w:pStyle w:val="TableParagraph"/>
              <w:spacing w:before="9"/>
              <w:jc w:val="left"/>
              <w:rPr>
                <w:b/>
                <w:sz w:val="24"/>
              </w:rPr>
            </w:pPr>
          </w:p>
          <w:p>
            <w:pPr>
              <w:pStyle w:val="TableParagraph"/>
              <w:ind w:right="594"/>
              <w:jc w:val="right"/>
              <w:rPr>
                <w:sz w:val="20"/>
              </w:rPr>
            </w:pPr>
            <w:r>
              <w:rPr>
                <w:sz w:val="20"/>
              </w:rPr>
              <w:t>33.3</w:t>
            </w:r>
          </w:p>
        </w:tc>
        <w:tc>
          <w:tcPr>
            <w:tcW w:w="2798" w:type="dxa"/>
            <w:tcBorders>
              <w:left w:val="nil"/>
              <w:bottom w:val="nil"/>
              <w:right w:val="nil"/>
            </w:tcBorders>
          </w:tcPr>
          <w:p>
            <w:pPr>
              <w:pStyle w:val="TableParagraph"/>
              <w:spacing w:before="10"/>
              <w:jc w:val="left"/>
              <w:rPr>
                <w:b/>
                <w:sz w:val="24"/>
              </w:rPr>
            </w:pPr>
          </w:p>
          <w:p>
            <w:pPr>
              <w:pStyle w:val="TableParagraph"/>
              <w:tabs>
                <w:tab w:pos="1662" w:val="left" w:leader="none"/>
              </w:tabs>
              <w:spacing w:before="1"/>
              <w:ind w:left="447"/>
              <w:jc w:val="left"/>
              <w:rPr>
                <w:sz w:val="20"/>
              </w:rPr>
            </w:pPr>
            <w:r>
              <w:rPr>
                <w:position w:val="8"/>
                <w:sz w:val="20"/>
              </w:rPr>
              <w:t>-</w:t>
              <w:tab/>
            </w:r>
            <w:r>
              <w:rPr>
                <w:sz w:val="20"/>
              </w:rPr>
              <w:t>0.342</w:t>
            </w:r>
          </w:p>
        </w:tc>
      </w:tr>
      <w:tr>
        <w:trPr>
          <w:trHeight w:val="534" w:hRule="exact"/>
        </w:trPr>
        <w:tc>
          <w:tcPr>
            <w:tcW w:w="2856" w:type="dxa"/>
            <w:tcBorders>
              <w:top w:val="nil"/>
              <w:left w:val="nil"/>
              <w:right w:val="nil"/>
            </w:tcBorders>
          </w:tcPr>
          <w:p>
            <w:pPr>
              <w:pStyle w:val="TableParagraph"/>
              <w:spacing w:before="82"/>
              <w:ind w:left="503" w:right="407"/>
              <w:rPr>
                <w:b/>
                <w:sz w:val="22"/>
              </w:rPr>
            </w:pPr>
            <w:r>
              <w:rPr>
                <w:b/>
                <w:sz w:val="22"/>
              </w:rPr>
              <w:t>Intensa</w:t>
            </w:r>
          </w:p>
        </w:tc>
        <w:tc>
          <w:tcPr>
            <w:tcW w:w="1410" w:type="dxa"/>
            <w:tcBorders>
              <w:top w:val="nil"/>
              <w:left w:val="nil"/>
              <w:right w:val="nil"/>
            </w:tcBorders>
          </w:tcPr>
          <w:p>
            <w:pPr>
              <w:pStyle w:val="TableParagraph"/>
              <w:spacing w:before="101"/>
              <w:ind w:left="408" w:right="180"/>
              <w:rPr>
                <w:sz w:val="20"/>
              </w:rPr>
            </w:pPr>
            <w:r>
              <w:rPr>
                <w:sz w:val="20"/>
              </w:rPr>
              <w:t>92</w:t>
            </w:r>
          </w:p>
        </w:tc>
        <w:tc>
          <w:tcPr>
            <w:tcW w:w="1646" w:type="dxa"/>
            <w:tcBorders>
              <w:top w:val="nil"/>
              <w:left w:val="nil"/>
              <w:right w:val="nil"/>
            </w:tcBorders>
          </w:tcPr>
          <w:p>
            <w:pPr>
              <w:pStyle w:val="TableParagraph"/>
              <w:spacing w:before="101"/>
              <w:ind w:right="594"/>
              <w:jc w:val="right"/>
              <w:rPr>
                <w:sz w:val="20"/>
              </w:rPr>
            </w:pPr>
            <w:r>
              <w:rPr>
                <w:sz w:val="20"/>
              </w:rPr>
              <w:t>66.7</w:t>
            </w:r>
          </w:p>
        </w:tc>
        <w:tc>
          <w:tcPr>
            <w:tcW w:w="2798" w:type="dxa"/>
            <w:tcBorders>
              <w:top w:val="nil"/>
              <w:left w:val="nil"/>
              <w:right w:val="nil"/>
            </w:tcBorders>
          </w:tcPr>
          <w:p>
            <w:pPr>
              <w:pStyle w:val="TableParagraph"/>
              <w:spacing w:before="101"/>
              <w:ind w:left="313"/>
              <w:jc w:val="left"/>
              <w:rPr>
                <w:sz w:val="20"/>
              </w:rPr>
            </w:pPr>
            <w:r>
              <w:rPr>
                <w:sz w:val="20"/>
              </w:rPr>
              <w:t>100</w:t>
            </w:r>
          </w:p>
        </w:tc>
      </w:tr>
    </w:tbl>
    <w:p>
      <w:pPr>
        <w:spacing w:line="222" w:lineRule="exact" w:before="0"/>
        <w:ind w:left="536" w:right="0" w:firstLine="0"/>
        <w:jc w:val="left"/>
        <w:rPr>
          <w:sz w:val="20"/>
        </w:rPr>
      </w:pPr>
      <w:r>
        <w:rPr>
          <w:sz w:val="20"/>
        </w:rPr>
        <w:t>* Chi-cuadrada</w:t>
      </w:r>
    </w:p>
    <w:p>
      <w:pPr>
        <w:pStyle w:val="BodyText"/>
        <w:rPr>
          <w:sz w:val="20"/>
        </w:rPr>
      </w:pPr>
    </w:p>
    <w:p>
      <w:pPr>
        <w:pStyle w:val="BodyText"/>
        <w:rPr>
          <w:sz w:val="26"/>
        </w:rPr>
      </w:pPr>
    </w:p>
    <w:p>
      <w:pPr>
        <w:pStyle w:val="BodyText"/>
        <w:spacing w:line="360" w:lineRule="auto" w:before="70"/>
        <w:ind w:left="625" w:right="210"/>
        <w:jc w:val="both"/>
      </w:pPr>
      <w:r>
        <w:rPr/>
        <w:t>Los cuidadores que profesan la religión católica experimental sobrecarga leve en un 8%, el restante 92% sobrecarga intensa, en tanto los cuidadores que practican la religión evangélica presentan sobrecarga leve en un 33.3% y el 66.7% restante sobrecarga intensa, y los cuidadores que practican otra religión experimentan sobrecarga intensa, si bien las diferentes religiones plantean una serie de valores distintos, no se puedo establecer una diferencia de manera estadística, con una Chi-cuadrada de 0.273 y una valor P de 0.342.</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4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4"/>
        <w:gridCol w:w="1581"/>
        <w:gridCol w:w="1641"/>
        <w:gridCol w:w="1864"/>
        <w:gridCol w:w="1725"/>
      </w:tblGrid>
      <w:tr>
        <w:trPr>
          <w:trHeight w:val="684" w:hRule="exact"/>
        </w:trPr>
        <w:tc>
          <w:tcPr>
            <w:tcW w:w="8704" w:type="dxa"/>
            <w:gridSpan w:val="5"/>
            <w:tcBorders>
              <w:left w:val="nil"/>
              <w:right w:val="nil"/>
            </w:tcBorders>
          </w:tcPr>
          <w:p>
            <w:pPr>
              <w:pStyle w:val="TableParagraph"/>
              <w:spacing w:before="3"/>
              <w:jc w:val="left"/>
              <w:rPr>
                <w:sz w:val="22"/>
              </w:rPr>
            </w:pPr>
          </w:p>
          <w:p>
            <w:pPr>
              <w:pStyle w:val="TableParagraph"/>
              <w:ind w:left="1872"/>
              <w:jc w:val="left"/>
              <w:rPr>
                <w:b/>
                <w:sz w:val="20"/>
              </w:rPr>
            </w:pPr>
            <w:r>
              <w:rPr>
                <w:b/>
                <w:sz w:val="20"/>
              </w:rPr>
              <w:t>Integrantes con los que habita / Nivel de sobrecarga</w:t>
            </w:r>
          </w:p>
        </w:tc>
      </w:tr>
      <w:tr>
        <w:trPr>
          <w:trHeight w:val="532" w:hRule="exact"/>
        </w:trPr>
        <w:tc>
          <w:tcPr>
            <w:tcW w:w="1894" w:type="dxa"/>
            <w:vMerge w:val="restart"/>
            <w:tcBorders>
              <w:left w:val="nil"/>
              <w:right w:val="nil"/>
            </w:tcBorders>
            <w:shd w:val="clear" w:color="auto" w:fill="99CC00"/>
          </w:tcPr>
          <w:p>
            <w:pPr>
              <w:pStyle w:val="TableParagraph"/>
              <w:spacing w:before="9"/>
              <w:jc w:val="left"/>
              <w:rPr>
                <w:sz w:val="29"/>
              </w:rPr>
            </w:pPr>
          </w:p>
          <w:p>
            <w:pPr>
              <w:pStyle w:val="TableParagraph"/>
              <w:spacing w:line="264" w:lineRule="auto"/>
              <w:ind w:left="328" w:firstLine="156"/>
              <w:jc w:val="left"/>
              <w:rPr>
                <w:b/>
                <w:sz w:val="20"/>
              </w:rPr>
            </w:pPr>
            <w:r>
              <w:rPr>
                <w:b/>
                <w:sz w:val="20"/>
              </w:rPr>
              <w:t>Nivel de </w:t>
            </w:r>
            <w:r>
              <w:rPr>
                <w:b/>
                <w:w w:val="95"/>
                <w:sz w:val="20"/>
              </w:rPr>
              <w:t>sobrecarga</w:t>
            </w:r>
          </w:p>
        </w:tc>
        <w:tc>
          <w:tcPr>
            <w:tcW w:w="5086" w:type="dxa"/>
            <w:gridSpan w:val="3"/>
            <w:tcBorders>
              <w:left w:val="nil"/>
              <w:bottom w:val="nil"/>
              <w:right w:val="nil"/>
            </w:tcBorders>
            <w:shd w:val="clear" w:color="auto" w:fill="99CC00"/>
          </w:tcPr>
          <w:p>
            <w:pPr>
              <w:pStyle w:val="TableParagraph"/>
              <w:spacing w:before="5"/>
              <w:jc w:val="left"/>
              <w:rPr>
                <w:sz w:val="22"/>
              </w:rPr>
            </w:pPr>
          </w:p>
          <w:p>
            <w:pPr>
              <w:pStyle w:val="TableParagraph"/>
              <w:spacing w:before="1"/>
              <w:ind w:left="996"/>
              <w:jc w:val="left"/>
              <w:rPr>
                <w:sz w:val="20"/>
              </w:rPr>
            </w:pPr>
            <w:r>
              <w:rPr>
                <w:sz w:val="20"/>
              </w:rPr>
              <w:t>Integrantes con los que habita %</w:t>
            </w:r>
          </w:p>
        </w:tc>
        <w:tc>
          <w:tcPr>
            <w:tcW w:w="1725" w:type="dxa"/>
            <w:tcBorders>
              <w:left w:val="nil"/>
              <w:bottom w:val="nil"/>
              <w:right w:val="nil"/>
            </w:tcBorders>
            <w:shd w:val="clear" w:color="auto" w:fill="99CC00"/>
          </w:tcPr>
          <w:p>
            <w:pPr/>
          </w:p>
        </w:tc>
      </w:tr>
      <w:tr>
        <w:trPr>
          <w:trHeight w:val="574" w:hRule="exact"/>
        </w:trPr>
        <w:tc>
          <w:tcPr>
            <w:tcW w:w="1894" w:type="dxa"/>
            <w:vMerge/>
            <w:tcBorders>
              <w:left w:val="nil"/>
              <w:right w:val="nil"/>
            </w:tcBorders>
            <w:shd w:val="clear" w:color="auto" w:fill="99CC00"/>
          </w:tcPr>
          <w:p>
            <w:pPr/>
          </w:p>
        </w:tc>
        <w:tc>
          <w:tcPr>
            <w:tcW w:w="1581" w:type="dxa"/>
            <w:tcBorders>
              <w:top w:val="nil"/>
              <w:left w:val="nil"/>
              <w:right w:val="nil"/>
            </w:tcBorders>
            <w:shd w:val="clear" w:color="auto" w:fill="99CC00"/>
          </w:tcPr>
          <w:p>
            <w:pPr>
              <w:pStyle w:val="TableParagraph"/>
              <w:spacing w:before="151"/>
              <w:ind w:left="490"/>
              <w:jc w:val="left"/>
              <w:rPr>
                <w:b/>
                <w:sz w:val="20"/>
              </w:rPr>
            </w:pPr>
            <w:r>
              <w:rPr>
                <w:b/>
                <w:sz w:val="20"/>
              </w:rPr>
              <w:t>2 a 3</w:t>
            </w:r>
          </w:p>
        </w:tc>
        <w:tc>
          <w:tcPr>
            <w:tcW w:w="1641" w:type="dxa"/>
            <w:tcBorders>
              <w:top w:val="nil"/>
              <w:left w:val="nil"/>
              <w:right w:val="nil"/>
            </w:tcBorders>
            <w:shd w:val="clear" w:color="auto" w:fill="99CC00"/>
          </w:tcPr>
          <w:p>
            <w:pPr>
              <w:pStyle w:val="TableParagraph"/>
              <w:spacing w:before="151"/>
              <w:ind w:right="547"/>
              <w:jc w:val="right"/>
              <w:rPr>
                <w:b/>
                <w:sz w:val="20"/>
              </w:rPr>
            </w:pPr>
            <w:r>
              <w:rPr>
                <w:b/>
                <w:sz w:val="20"/>
              </w:rPr>
              <w:t>4 a 5</w:t>
            </w:r>
          </w:p>
        </w:tc>
        <w:tc>
          <w:tcPr>
            <w:tcW w:w="1864" w:type="dxa"/>
            <w:tcBorders>
              <w:top w:val="nil"/>
              <w:left w:val="nil"/>
              <w:right w:val="nil"/>
            </w:tcBorders>
            <w:shd w:val="clear" w:color="auto" w:fill="99CC00"/>
          </w:tcPr>
          <w:p>
            <w:pPr>
              <w:pStyle w:val="TableParagraph"/>
              <w:spacing w:before="151"/>
              <w:ind w:left="529" w:right="449"/>
              <w:rPr>
                <w:b/>
                <w:sz w:val="20"/>
              </w:rPr>
            </w:pPr>
            <w:r>
              <w:rPr>
                <w:b/>
                <w:sz w:val="20"/>
              </w:rPr>
              <w:t>Mas de 6</w:t>
            </w:r>
          </w:p>
        </w:tc>
        <w:tc>
          <w:tcPr>
            <w:tcW w:w="1725" w:type="dxa"/>
            <w:tcBorders>
              <w:top w:val="nil"/>
              <w:left w:val="nil"/>
              <w:right w:val="nil"/>
            </w:tcBorders>
            <w:shd w:val="clear" w:color="auto" w:fill="99CC00"/>
          </w:tcPr>
          <w:p>
            <w:pPr>
              <w:pStyle w:val="TableParagraph"/>
              <w:spacing w:before="17"/>
              <w:ind w:left="450" w:right="467"/>
              <w:rPr>
                <w:b/>
                <w:sz w:val="20"/>
              </w:rPr>
            </w:pPr>
            <w:r>
              <w:rPr>
                <w:b/>
                <w:sz w:val="20"/>
              </w:rPr>
              <w:t>Valor P*</w:t>
            </w:r>
          </w:p>
        </w:tc>
      </w:tr>
      <w:tr>
        <w:trPr>
          <w:trHeight w:val="666" w:hRule="exact"/>
        </w:trPr>
        <w:tc>
          <w:tcPr>
            <w:tcW w:w="1894" w:type="dxa"/>
            <w:tcBorders>
              <w:left w:val="nil"/>
              <w:bottom w:val="nil"/>
              <w:right w:val="nil"/>
            </w:tcBorders>
          </w:tcPr>
          <w:p>
            <w:pPr>
              <w:pStyle w:val="TableParagraph"/>
              <w:spacing w:before="1"/>
              <w:jc w:val="left"/>
              <w:rPr>
                <w:sz w:val="22"/>
              </w:rPr>
            </w:pPr>
          </w:p>
          <w:p>
            <w:pPr>
              <w:pStyle w:val="TableParagraph"/>
              <w:ind w:left="616"/>
              <w:jc w:val="left"/>
              <w:rPr>
                <w:b/>
                <w:sz w:val="22"/>
              </w:rPr>
            </w:pPr>
            <w:r>
              <w:rPr>
                <w:b/>
                <w:sz w:val="22"/>
              </w:rPr>
              <w:t>Leve</w:t>
            </w:r>
          </w:p>
        </w:tc>
        <w:tc>
          <w:tcPr>
            <w:tcW w:w="1581" w:type="dxa"/>
            <w:tcBorders>
              <w:left w:val="nil"/>
              <w:bottom w:val="nil"/>
              <w:right w:val="nil"/>
            </w:tcBorders>
          </w:tcPr>
          <w:p>
            <w:pPr>
              <w:pStyle w:val="TableParagraph"/>
              <w:spacing w:before="9"/>
              <w:jc w:val="left"/>
              <w:rPr>
                <w:sz w:val="24"/>
              </w:rPr>
            </w:pPr>
          </w:p>
          <w:p>
            <w:pPr>
              <w:pStyle w:val="TableParagraph"/>
              <w:ind w:left="516"/>
              <w:jc w:val="left"/>
              <w:rPr>
                <w:sz w:val="20"/>
              </w:rPr>
            </w:pPr>
            <w:r>
              <w:rPr>
                <w:sz w:val="20"/>
              </w:rPr>
              <w:t>21.4</w:t>
            </w:r>
          </w:p>
        </w:tc>
        <w:tc>
          <w:tcPr>
            <w:tcW w:w="1641" w:type="dxa"/>
            <w:tcBorders>
              <w:left w:val="nil"/>
              <w:bottom w:val="nil"/>
              <w:right w:val="nil"/>
            </w:tcBorders>
          </w:tcPr>
          <w:p>
            <w:pPr>
              <w:pStyle w:val="TableParagraph"/>
              <w:spacing w:before="9"/>
              <w:jc w:val="left"/>
              <w:rPr>
                <w:sz w:val="24"/>
              </w:rPr>
            </w:pPr>
          </w:p>
          <w:p>
            <w:pPr>
              <w:pStyle w:val="TableParagraph"/>
              <w:ind w:left="98"/>
              <w:rPr>
                <w:sz w:val="20"/>
              </w:rPr>
            </w:pPr>
            <w:r>
              <w:rPr>
                <w:w w:val="99"/>
                <w:sz w:val="20"/>
              </w:rPr>
              <w:t>-</w:t>
            </w:r>
          </w:p>
        </w:tc>
        <w:tc>
          <w:tcPr>
            <w:tcW w:w="1864" w:type="dxa"/>
            <w:tcBorders>
              <w:left w:val="nil"/>
              <w:bottom w:val="nil"/>
              <w:right w:val="nil"/>
            </w:tcBorders>
          </w:tcPr>
          <w:p>
            <w:pPr>
              <w:pStyle w:val="TableParagraph"/>
              <w:spacing w:before="9"/>
              <w:jc w:val="left"/>
              <w:rPr>
                <w:sz w:val="24"/>
              </w:rPr>
            </w:pPr>
          </w:p>
          <w:p>
            <w:pPr>
              <w:pStyle w:val="TableParagraph"/>
              <w:ind w:left="79"/>
              <w:rPr>
                <w:sz w:val="20"/>
              </w:rPr>
            </w:pPr>
            <w:r>
              <w:rPr>
                <w:w w:val="99"/>
                <w:sz w:val="20"/>
              </w:rPr>
              <w:t>-</w:t>
            </w:r>
          </w:p>
        </w:tc>
        <w:tc>
          <w:tcPr>
            <w:tcW w:w="1725" w:type="dxa"/>
            <w:tcBorders>
              <w:left w:val="nil"/>
              <w:bottom w:val="nil"/>
              <w:right w:val="nil"/>
            </w:tcBorders>
          </w:tcPr>
          <w:p>
            <w:pPr>
              <w:pStyle w:val="TableParagraph"/>
              <w:jc w:val="left"/>
              <w:rPr>
                <w:sz w:val="20"/>
              </w:rPr>
            </w:pPr>
          </w:p>
          <w:p>
            <w:pPr>
              <w:pStyle w:val="TableParagraph"/>
              <w:spacing w:before="137"/>
              <w:ind w:left="447" w:right="467"/>
              <w:rPr>
                <w:sz w:val="20"/>
              </w:rPr>
            </w:pPr>
            <w:r>
              <w:rPr>
                <w:sz w:val="20"/>
              </w:rPr>
              <w:t>0.174</w:t>
            </w:r>
          </w:p>
        </w:tc>
      </w:tr>
      <w:tr>
        <w:trPr>
          <w:trHeight w:val="494" w:hRule="exact"/>
        </w:trPr>
        <w:tc>
          <w:tcPr>
            <w:tcW w:w="1894" w:type="dxa"/>
            <w:tcBorders>
              <w:top w:val="nil"/>
              <w:left w:val="nil"/>
              <w:right w:val="nil"/>
            </w:tcBorders>
          </w:tcPr>
          <w:p>
            <w:pPr>
              <w:pStyle w:val="TableParagraph"/>
              <w:spacing w:before="42"/>
              <w:ind w:left="482"/>
              <w:jc w:val="left"/>
              <w:rPr>
                <w:b/>
                <w:sz w:val="22"/>
              </w:rPr>
            </w:pPr>
            <w:r>
              <w:rPr>
                <w:b/>
                <w:sz w:val="22"/>
              </w:rPr>
              <w:t>Intensa</w:t>
            </w:r>
          </w:p>
        </w:tc>
        <w:tc>
          <w:tcPr>
            <w:tcW w:w="1581" w:type="dxa"/>
            <w:tcBorders>
              <w:top w:val="nil"/>
              <w:left w:val="nil"/>
              <w:right w:val="nil"/>
            </w:tcBorders>
          </w:tcPr>
          <w:p>
            <w:pPr>
              <w:pStyle w:val="TableParagraph"/>
              <w:spacing w:before="60"/>
              <w:ind w:left="516"/>
              <w:jc w:val="left"/>
              <w:rPr>
                <w:sz w:val="20"/>
              </w:rPr>
            </w:pPr>
            <w:r>
              <w:rPr>
                <w:sz w:val="20"/>
              </w:rPr>
              <w:t>78.6</w:t>
            </w:r>
          </w:p>
        </w:tc>
        <w:tc>
          <w:tcPr>
            <w:tcW w:w="1641" w:type="dxa"/>
            <w:tcBorders>
              <w:top w:val="nil"/>
              <w:left w:val="nil"/>
              <w:right w:val="nil"/>
            </w:tcBorders>
          </w:tcPr>
          <w:p>
            <w:pPr>
              <w:pStyle w:val="TableParagraph"/>
              <w:spacing w:before="60"/>
              <w:ind w:right="602"/>
              <w:jc w:val="right"/>
              <w:rPr>
                <w:sz w:val="20"/>
              </w:rPr>
            </w:pPr>
            <w:r>
              <w:rPr>
                <w:sz w:val="20"/>
              </w:rPr>
              <w:t>100</w:t>
            </w:r>
          </w:p>
        </w:tc>
        <w:tc>
          <w:tcPr>
            <w:tcW w:w="1864" w:type="dxa"/>
            <w:tcBorders>
              <w:top w:val="nil"/>
              <w:left w:val="nil"/>
              <w:right w:val="nil"/>
            </w:tcBorders>
          </w:tcPr>
          <w:p>
            <w:pPr>
              <w:pStyle w:val="TableParagraph"/>
              <w:spacing w:before="60"/>
              <w:ind w:left="524" w:right="449"/>
              <w:rPr>
                <w:sz w:val="20"/>
              </w:rPr>
            </w:pPr>
            <w:r>
              <w:rPr>
                <w:sz w:val="20"/>
              </w:rPr>
              <w:t>100</w:t>
            </w:r>
          </w:p>
        </w:tc>
        <w:tc>
          <w:tcPr>
            <w:tcW w:w="1725" w:type="dxa"/>
            <w:tcBorders>
              <w:top w:val="nil"/>
              <w:left w:val="nil"/>
              <w:right w:val="nil"/>
            </w:tcBorders>
          </w:tcPr>
          <w:p>
            <w:pPr/>
          </w:p>
        </w:tc>
      </w:tr>
      <w:tr>
        <w:trPr>
          <w:trHeight w:val="227" w:hRule="exact"/>
        </w:trPr>
        <w:tc>
          <w:tcPr>
            <w:tcW w:w="1894" w:type="dxa"/>
            <w:tcBorders>
              <w:left w:val="nil"/>
              <w:bottom w:val="nil"/>
              <w:right w:val="nil"/>
            </w:tcBorders>
          </w:tcPr>
          <w:p>
            <w:pPr>
              <w:pStyle w:val="TableParagraph"/>
              <w:spacing w:line="227" w:lineRule="exact"/>
              <w:ind w:left="69"/>
              <w:jc w:val="left"/>
              <w:rPr>
                <w:sz w:val="20"/>
              </w:rPr>
            </w:pPr>
            <w:r>
              <w:rPr>
                <w:sz w:val="20"/>
              </w:rPr>
              <w:t>* Chi-cuadrada</w:t>
            </w:r>
          </w:p>
        </w:tc>
        <w:tc>
          <w:tcPr>
            <w:tcW w:w="1581" w:type="dxa"/>
            <w:tcBorders>
              <w:left w:val="nil"/>
              <w:bottom w:val="nil"/>
              <w:right w:val="nil"/>
            </w:tcBorders>
          </w:tcPr>
          <w:p>
            <w:pPr/>
          </w:p>
        </w:tc>
        <w:tc>
          <w:tcPr>
            <w:tcW w:w="1641" w:type="dxa"/>
            <w:tcBorders>
              <w:left w:val="nil"/>
              <w:bottom w:val="nil"/>
              <w:right w:val="nil"/>
            </w:tcBorders>
          </w:tcPr>
          <w:p>
            <w:pPr/>
          </w:p>
        </w:tc>
        <w:tc>
          <w:tcPr>
            <w:tcW w:w="1864" w:type="dxa"/>
            <w:tcBorders>
              <w:left w:val="nil"/>
              <w:bottom w:val="nil"/>
              <w:right w:val="nil"/>
            </w:tcBorders>
          </w:tcPr>
          <w:p>
            <w:pPr/>
          </w:p>
        </w:tc>
        <w:tc>
          <w:tcPr>
            <w:tcW w:w="1725" w:type="dxa"/>
            <w:tcBorders>
              <w:left w:val="nil"/>
              <w:bottom w:val="nil"/>
              <w:right w:val="nil"/>
            </w:tcBorders>
          </w:tcPr>
          <w:p>
            <w:pPr/>
          </w:p>
        </w:tc>
      </w:tr>
    </w:tbl>
    <w:p>
      <w:pPr>
        <w:pStyle w:val="BodyText"/>
        <w:rPr>
          <w:sz w:val="20"/>
        </w:rPr>
      </w:pPr>
    </w:p>
    <w:p>
      <w:pPr>
        <w:pStyle w:val="BodyText"/>
        <w:spacing w:before="5"/>
        <w:rPr>
          <w:sz w:val="26"/>
        </w:rPr>
      </w:pPr>
    </w:p>
    <w:p>
      <w:pPr>
        <w:pStyle w:val="BodyText"/>
        <w:spacing w:line="360" w:lineRule="auto" w:before="69"/>
        <w:ind w:left="625" w:right="211"/>
        <w:jc w:val="both"/>
      </w:pPr>
      <w:r>
        <w:rPr/>
        <w:t>En cuestión al número de habitantes con los que habita el cuidador ,el grupo de 2 a 3 integrantes sobrellevan sobrecarga leve en un 21.4.6%, y sobrecarga intensa el 78.6%, se encontró a los grupos de 4 a 5 integrantes al igual los de más de 6 integrantes experimentan sobrecarga intensa en un 100%, tambien se obtuvo un valor de Chi.cuadra de 3.81 y un valo de P de 0.174, no encontrando diferencias</w:t>
      </w:r>
      <w:r>
        <w:rPr>
          <w:spacing w:val="-15"/>
        </w:rPr>
        <w:t> </w:t>
      </w:r>
      <w:r>
        <w:rPr/>
        <w:t>significativas.</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rPr>
          <w:sz w:val="21"/>
        </w:rPr>
      </w:pPr>
    </w:p>
    <w:p>
      <w:pPr>
        <w:pStyle w:val="BodyText"/>
        <w:spacing w:line="20" w:lineRule="exact"/>
        <w:ind w:left="488"/>
        <w:rPr>
          <w:sz w:val="2"/>
        </w:rPr>
      </w:pPr>
      <w:r>
        <w:rPr>
          <w:sz w:val="2"/>
        </w:rPr>
        <w:pict>
          <v:group style="width:434.65pt;height:.5pt;mso-position-horizontal-relative:char;mso-position-vertical-relative:line" coordorigin="0,0" coordsize="8693,10">
            <v:line style="position:absolute" from="5,5" to="8687,5" stroked="true" strokeweight=".48pt" strokecolor="#000000"/>
          </v:group>
        </w:pict>
      </w:r>
      <w:r>
        <w:rPr>
          <w:sz w:val="2"/>
        </w:rPr>
      </w:r>
    </w:p>
    <w:p>
      <w:pPr>
        <w:pStyle w:val="BodyText"/>
        <w:spacing w:before="11"/>
        <w:rPr>
          <w:sz w:val="14"/>
        </w:rPr>
      </w:pPr>
    </w:p>
    <w:p>
      <w:pPr>
        <w:spacing w:before="74"/>
        <w:ind w:left="3282" w:right="0" w:firstLine="0"/>
        <w:jc w:val="left"/>
        <w:rPr>
          <w:b/>
          <w:sz w:val="20"/>
        </w:rPr>
      </w:pPr>
      <w:r>
        <w:rPr>
          <w:b/>
          <w:sz w:val="20"/>
        </w:rPr>
        <w:t>Ocupación / Nivel de sobrecarga</w:t>
      </w:r>
    </w:p>
    <w:p>
      <w:pPr>
        <w:pStyle w:val="BodyText"/>
        <w:spacing w:before="8" w:after="1"/>
        <w:rPr>
          <w:b/>
          <w:sz w:val="16"/>
        </w:rPr>
      </w:pPr>
    </w:p>
    <w:tbl>
      <w:tblPr>
        <w:tblW w:w="0" w:type="auto"/>
        <w:jc w:val="left"/>
        <w:tblInd w:w="4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6"/>
        <w:gridCol w:w="1728"/>
        <w:gridCol w:w="998"/>
        <w:gridCol w:w="1078"/>
        <w:gridCol w:w="2611"/>
      </w:tblGrid>
      <w:tr>
        <w:trPr>
          <w:trHeight w:val="1106" w:hRule="exact"/>
        </w:trPr>
        <w:tc>
          <w:tcPr>
            <w:tcW w:w="2266" w:type="dxa"/>
            <w:tcBorders>
              <w:left w:val="nil"/>
              <w:right w:val="nil"/>
            </w:tcBorders>
            <w:shd w:val="clear" w:color="auto" w:fill="99CC00"/>
          </w:tcPr>
          <w:p>
            <w:pPr>
              <w:pStyle w:val="TableParagraph"/>
              <w:jc w:val="left"/>
              <w:rPr>
                <w:b/>
                <w:sz w:val="20"/>
              </w:rPr>
            </w:pPr>
          </w:p>
          <w:p>
            <w:pPr>
              <w:pStyle w:val="TableParagraph"/>
              <w:spacing w:before="7"/>
              <w:jc w:val="left"/>
              <w:rPr>
                <w:b/>
                <w:sz w:val="19"/>
              </w:rPr>
            </w:pPr>
          </w:p>
          <w:p>
            <w:pPr>
              <w:pStyle w:val="TableParagraph"/>
              <w:ind w:left="147" w:right="178"/>
              <w:rPr>
                <w:b/>
                <w:sz w:val="20"/>
              </w:rPr>
            </w:pPr>
            <w:r>
              <w:rPr>
                <w:b/>
                <w:sz w:val="20"/>
              </w:rPr>
              <w:t>Nivel de sobrecarga</w:t>
            </w:r>
          </w:p>
        </w:tc>
        <w:tc>
          <w:tcPr>
            <w:tcW w:w="1728" w:type="dxa"/>
            <w:tcBorders>
              <w:left w:val="nil"/>
              <w:right w:val="nil"/>
            </w:tcBorders>
            <w:shd w:val="clear" w:color="auto" w:fill="99CC00"/>
          </w:tcPr>
          <w:p>
            <w:pPr>
              <w:pStyle w:val="TableParagraph"/>
              <w:jc w:val="left"/>
              <w:rPr>
                <w:b/>
                <w:sz w:val="20"/>
              </w:rPr>
            </w:pPr>
          </w:p>
          <w:p>
            <w:pPr>
              <w:pStyle w:val="TableParagraph"/>
              <w:jc w:val="left"/>
              <w:rPr>
                <w:b/>
                <w:sz w:val="20"/>
              </w:rPr>
            </w:pPr>
          </w:p>
          <w:p>
            <w:pPr>
              <w:pStyle w:val="TableParagraph"/>
              <w:jc w:val="left"/>
              <w:rPr>
                <w:b/>
                <w:sz w:val="19"/>
              </w:rPr>
            </w:pPr>
          </w:p>
          <w:p>
            <w:pPr>
              <w:pStyle w:val="TableParagraph"/>
              <w:ind w:left="179" w:right="141"/>
              <w:rPr>
                <w:b/>
                <w:sz w:val="20"/>
              </w:rPr>
            </w:pPr>
            <w:r>
              <w:rPr>
                <w:b/>
                <w:sz w:val="20"/>
              </w:rPr>
              <w:t>Sin ocupación</w:t>
            </w:r>
          </w:p>
        </w:tc>
        <w:tc>
          <w:tcPr>
            <w:tcW w:w="2076" w:type="dxa"/>
            <w:gridSpan w:val="2"/>
            <w:tcBorders>
              <w:left w:val="nil"/>
              <w:right w:val="nil"/>
            </w:tcBorders>
            <w:shd w:val="clear" w:color="auto" w:fill="99CC00"/>
          </w:tcPr>
          <w:p>
            <w:pPr>
              <w:pStyle w:val="TableParagraph"/>
              <w:spacing w:before="5"/>
              <w:jc w:val="left"/>
              <w:rPr>
                <w:b/>
                <w:sz w:val="22"/>
              </w:rPr>
            </w:pPr>
          </w:p>
          <w:p>
            <w:pPr>
              <w:pStyle w:val="TableParagraph"/>
              <w:spacing w:before="1"/>
              <w:ind w:left="198"/>
              <w:jc w:val="left"/>
              <w:rPr>
                <w:sz w:val="20"/>
              </w:rPr>
            </w:pPr>
            <w:r>
              <w:rPr>
                <w:sz w:val="20"/>
              </w:rPr>
              <w:t>Ocupación %</w:t>
            </w:r>
          </w:p>
          <w:p>
            <w:pPr>
              <w:pStyle w:val="TableParagraph"/>
              <w:spacing w:before="6"/>
              <w:jc w:val="left"/>
              <w:rPr>
                <w:b/>
                <w:sz w:val="16"/>
              </w:rPr>
            </w:pPr>
          </w:p>
          <w:p>
            <w:pPr>
              <w:pStyle w:val="TableParagraph"/>
              <w:tabs>
                <w:tab w:pos="1257" w:val="left" w:leader="none"/>
              </w:tabs>
              <w:ind w:left="162"/>
              <w:jc w:val="left"/>
              <w:rPr>
                <w:b/>
                <w:sz w:val="20"/>
              </w:rPr>
            </w:pPr>
            <w:r>
              <w:rPr>
                <w:b/>
                <w:sz w:val="20"/>
              </w:rPr>
              <w:t>Hogar</w:t>
              <w:tab/>
              <w:t>Oficio</w:t>
            </w:r>
          </w:p>
        </w:tc>
        <w:tc>
          <w:tcPr>
            <w:tcW w:w="2611" w:type="dxa"/>
            <w:tcBorders>
              <w:left w:val="nil"/>
              <w:right w:val="nil"/>
            </w:tcBorders>
            <w:shd w:val="clear" w:color="auto" w:fill="99CC00"/>
          </w:tcPr>
          <w:p>
            <w:pPr>
              <w:pStyle w:val="TableParagraph"/>
              <w:jc w:val="left"/>
              <w:rPr>
                <w:b/>
                <w:sz w:val="20"/>
              </w:rPr>
            </w:pPr>
          </w:p>
          <w:p>
            <w:pPr>
              <w:pStyle w:val="TableParagraph"/>
              <w:spacing w:before="3"/>
              <w:jc w:val="left"/>
              <w:rPr>
                <w:b/>
                <w:sz w:val="27"/>
              </w:rPr>
            </w:pPr>
          </w:p>
          <w:p>
            <w:pPr>
              <w:pStyle w:val="TableParagraph"/>
              <w:spacing w:line="182" w:lineRule="exact" w:before="1"/>
              <w:ind w:left="1552"/>
              <w:jc w:val="left"/>
              <w:rPr>
                <w:b/>
                <w:sz w:val="20"/>
              </w:rPr>
            </w:pPr>
            <w:r>
              <w:rPr>
                <w:b/>
                <w:sz w:val="20"/>
              </w:rPr>
              <w:t>Valor P*</w:t>
            </w:r>
          </w:p>
          <w:p>
            <w:pPr>
              <w:pStyle w:val="TableParagraph"/>
              <w:spacing w:line="182" w:lineRule="exact"/>
              <w:ind w:left="253"/>
              <w:jc w:val="left"/>
              <w:rPr>
                <w:b/>
                <w:sz w:val="20"/>
              </w:rPr>
            </w:pPr>
            <w:r>
              <w:rPr>
                <w:b/>
                <w:sz w:val="20"/>
              </w:rPr>
              <w:t>Profesión</w:t>
            </w:r>
          </w:p>
        </w:tc>
      </w:tr>
      <w:tr>
        <w:trPr>
          <w:trHeight w:val="625" w:hRule="exact"/>
        </w:trPr>
        <w:tc>
          <w:tcPr>
            <w:tcW w:w="2266" w:type="dxa"/>
            <w:tcBorders>
              <w:left w:val="nil"/>
              <w:bottom w:val="nil"/>
              <w:right w:val="nil"/>
            </w:tcBorders>
          </w:tcPr>
          <w:p>
            <w:pPr>
              <w:pStyle w:val="TableParagraph"/>
              <w:spacing w:before="1"/>
              <w:jc w:val="left"/>
              <w:rPr>
                <w:b/>
                <w:sz w:val="22"/>
              </w:rPr>
            </w:pPr>
          </w:p>
          <w:p>
            <w:pPr>
              <w:pStyle w:val="TableParagraph"/>
              <w:ind w:left="147" w:right="174"/>
              <w:rPr>
                <w:b/>
                <w:sz w:val="22"/>
              </w:rPr>
            </w:pPr>
            <w:r>
              <w:rPr>
                <w:b/>
                <w:sz w:val="22"/>
              </w:rPr>
              <w:t>Leve</w:t>
            </w:r>
          </w:p>
        </w:tc>
        <w:tc>
          <w:tcPr>
            <w:tcW w:w="1728" w:type="dxa"/>
            <w:tcBorders>
              <w:left w:val="nil"/>
              <w:bottom w:val="nil"/>
              <w:right w:val="nil"/>
            </w:tcBorders>
          </w:tcPr>
          <w:p>
            <w:pPr>
              <w:pStyle w:val="TableParagraph"/>
              <w:spacing w:before="9"/>
              <w:jc w:val="left"/>
              <w:rPr>
                <w:b/>
                <w:sz w:val="24"/>
              </w:rPr>
            </w:pPr>
          </w:p>
          <w:p>
            <w:pPr>
              <w:pStyle w:val="TableParagraph"/>
              <w:ind w:left="41"/>
              <w:rPr>
                <w:sz w:val="20"/>
              </w:rPr>
            </w:pPr>
            <w:r>
              <w:rPr>
                <w:w w:val="99"/>
                <w:sz w:val="20"/>
              </w:rPr>
              <w:t>-</w:t>
            </w:r>
          </w:p>
        </w:tc>
        <w:tc>
          <w:tcPr>
            <w:tcW w:w="998" w:type="dxa"/>
            <w:tcBorders>
              <w:left w:val="nil"/>
              <w:bottom w:val="nil"/>
              <w:right w:val="nil"/>
            </w:tcBorders>
          </w:tcPr>
          <w:p>
            <w:pPr>
              <w:pStyle w:val="TableParagraph"/>
              <w:spacing w:before="9"/>
              <w:jc w:val="left"/>
              <w:rPr>
                <w:b/>
                <w:sz w:val="24"/>
              </w:rPr>
            </w:pPr>
          </w:p>
          <w:p>
            <w:pPr>
              <w:pStyle w:val="TableParagraph"/>
              <w:ind w:left="340"/>
              <w:jc w:val="left"/>
              <w:rPr>
                <w:sz w:val="20"/>
              </w:rPr>
            </w:pPr>
            <w:r>
              <w:rPr>
                <w:sz w:val="20"/>
              </w:rPr>
              <w:t>25</w:t>
            </w:r>
          </w:p>
        </w:tc>
        <w:tc>
          <w:tcPr>
            <w:tcW w:w="1078" w:type="dxa"/>
            <w:tcBorders>
              <w:left w:val="nil"/>
              <w:bottom w:val="nil"/>
              <w:right w:val="nil"/>
            </w:tcBorders>
          </w:tcPr>
          <w:p>
            <w:pPr>
              <w:pStyle w:val="TableParagraph"/>
              <w:spacing w:before="9"/>
              <w:jc w:val="left"/>
              <w:rPr>
                <w:b/>
                <w:sz w:val="24"/>
              </w:rPr>
            </w:pPr>
          </w:p>
          <w:p>
            <w:pPr>
              <w:pStyle w:val="TableParagraph"/>
              <w:ind w:left="347"/>
              <w:jc w:val="left"/>
              <w:rPr>
                <w:sz w:val="20"/>
              </w:rPr>
            </w:pPr>
            <w:r>
              <w:rPr>
                <w:sz w:val="20"/>
              </w:rPr>
              <w:t>14.3</w:t>
            </w:r>
          </w:p>
        </w:tc>
        <w:tc>
          <w:tcPr>
            <w:tcW w:w="2611" w:type="dxa"/>
            <w:tcBorders>
              <w:left w:val="nil"/>
              <w:bottom w:val="nil"/>
              <w:right w:val="nil"/>
            </w:tcBorders>
          </w:tcPr>
          <w:p>
            <w:pPr>
              <w:pStyle w:val="TableParagraph"/>
              <w:spacing w:before="10"/>
              <w:jc w:val="left"/>
              <w:rPr>
                <w:b/>
                <w:sz w:val="24"/>
              </w:rPr>
            </w:pPr>
          </w:p>
          <w:p>
            <w:pPr>
              <w:pStyle w:val="TableParagraph"/>
              <w:tabs>
                <w:tab w:pos="1687" w:val="left" w:leader="none"/>
              </w:tabs>
              <w:spacing w:before="1"/>
              <w:ind w:left="681"/>
              <w:jc w:val="left"/>
              <w:rPr>
                <w:sz w:val="20"/>
              </w:rPr>
            </w:pPr>
            <w:r>
              <w:rPr>
                <w:position w:val="8"/>
                <w:sz w:val="20"/>
              </w:rPr>
              <w:t>-</w:t>
              <w:tab/>
            </w:r>
            <w:r>
              <w:rPr>
                <w:sz w:val="20"/>
              </w:rPr>
              <w:t>0.400</w:t>
            </w:r>
          </w:p>
        </w:tc>
      </w:tr>
      <w:tr>
        <w:trPr>
          <w:trHeight w:val="534" w:hRule="exact"/>
        </w:trPr>
        <w:tc>
          <w:tcPr>
            <w:tcW w:w="2266" w:type="dxa"/>
            <w:tcBorders>
              <w:top w:val="nil"/>
              <w:left w:val="nil"/>
              <w:right w:val="nil"/>
            </w:tcBorders>
          </w:tcPr>
          <w:p>
            <w:pPr>
              <w:pStyle w:val="TableParagraph"/>
              <w:spacing w:before="82"/>
              <w:ind w:left="147" w:right="169"/>
              <w:rPr>
                <w:b/>
                <w:sz w:val="22"/>
              </w:rPr>
            </w:pPr>
            <w:r>
              <w:rPr>
                <w:b/>
                <w:sz w:val="22"/>
              </w:rPr>
              <w:t>Intensa</w:t>
            </w:r>
          </w:p>
        </w:tc>
        <w:tc>
          <w:tcPr>
            <w:tcW w:w="1728" w:type="dxa"/>
            <w:tcBorders>
              <w:top w:val="nil"/>
              <w:left w:val="nil"/>
              <w:right w:val="nil"/>
            </w:tcBorders>
          </w:tcPr>
          <w:p>
            <w:pPr>
              <w:pStyle w:val="TableParagraph"/>
              <w:spacing w:before="101"/>
              <w:ind w:left="178" w:right="141"/>
              <w:rPr>
                <w:sz w:val="20"/>
              </w:rPr>
            </w:pPr>
            <w:r>
              <w:rPr>
                <w:sz w:val="20"/>
              </w:rPr>
              <w:t>100</w:t>
            </w:r>
          </w:p>
        </w:tc>
        <w:tc>
          <w:tcPr>
            <w:tcW w:w="998" w:type="dxa"/>
            <w:tcBorders>
              <w:top w:val="nil"/>
              <w:left w:val="nil"/>
              <w:right w:val="nil"/>
            </w:tcBorders>
          </w:tcPr>
          <w:p>
            <w:pPr>
              <w:pStyle w:val="TableParagraph"/>
              <w:spacing w:before="101"/>
              <w:ind w:left="340"/>
              <w:jc w:val="left"/>
              <w:rPr>
                <w:sz w:val="20"/>
              </w:rPr>
            </w:pPr>
            <w:r>
              <w:rPr>
                <w:sz w:val="20"/>
              </w:rPr>
              <w:t>75</w:t>
            </w:r>
          </w:p>
        </w:tc>
        <w:tc>
          <w:tcPr>
            <w:tcW w:w="1078" w:type="dxa"/>
            <w:tcBorders>
              <w:top w:val="nil"/>
              <w:left w:val="nil"/>
              <w:right w:val="nil"/>
            </w:tcBorders>
          </w:tcPr>
          <w:p>
            <w:pPr>
              <w:pStyle w:val="TableParagraph"/>
              <w:spacing w:before="101"/>
              <w:ind w:left="347"/>
              <w:jc w:val="left"/>
              <w:rPr>
                <w:sz w:val="20"/>
              </w:rPr>
            </w:pPr>
            <w:r>
              <w:rPr>
                <w:sz w:val="20"/>
              </w:rPr>
              <w:t>85.7</w:t>
            </w:r>
          </w:p>
        </w:tc>
        <w:tc>
          <w:tcPr>
            <w:tcW w:w="2611" w:type="dxa"/>
            <w:tcBorders>
              <w:top w:val="nil"/>
              <w:left w:val="nil"/>
              <w:right w:val="nil"/>
            </w:tcBorders>
          </w:tcPr>
          <w:p>
            <w:pPr>
              <w:pStyle w:val="TableParagraph"/>
              <w:spacing w:before="101"/>
              <w:ind w:left="547"/>
              <w:jc w:val="left"/>
              <w:rPr>
                <w:sz w:val="20"/>
              </w:rPr>
            </w:pPr>
            <w:r>
              <w:rPr>
                <w:sz w:val="20"/>
              </w:rPr>
              <w:t>100</w:t>
            </w:r>
          </w:p>
        </w:tc>
      </w:tr>
    </w:tbl>
    <w:p>
      <w:pPr>
        <w:spacing w:line="222" w:lineRule="exact" w:before="0"/>
        <w:ind w:left="562" w:right="0" w:firstLine="0"/>
        <w:jc w:val="left"/>
        <w:rPr>
          <w:sz w:val="20"/>
        </w:rPr>
      </w:pPr>
      <w:r>
        <w:rPr>
          <w:sz w:val="20"/>
        </w:rPr>
        <w:t>* Chi-cuadrada</w:t>
      </w:r>
    </w:p>
    <w:p>
      <w:pPr>
        <w:pStyle w:val="BodyText"/>
        <w:rPr>
          <w:sz w:val="20"/>
        </w:rPr>
      </w:pPr>
    </w:p>
    <w:p>
      <w:pPr>
        <w:pStyle w:val="BodyText"/>
        <w:rPr>
          <w:sz w:val="26"/>
        </w:rPr>
      </w:pPr>
    </w:p>
    <w:p>
      <w:pPr>
        <w:pStyle w:val="BodyText"/>
        <w:spacing w:line="360" w:lineRule="auto" w:before="70"/>
        <w:ind w:left="625" w:right="213"/>
        <w:jc w:val="both"/>
      </w:pPr>
      <w:r>
        <w:rPr/>
        <w:t>La ocupación desempeña un papel fundamental para la asistencia a los enfermos, puesto que ésta limita el tiempo y los recursos económicos que el cuidador puede destinar al adulto mayor, sin soslayar el tiempo dedicado a actividades de ocio, el 100% de los cuidadores sin ocupación sobrellevan sobrecarga intensa, en tanto los que se dedican al hogar y algún oficio resultaron los de mayor adaptación a la sobrecarga, los dedicados al hogar experimentan sobrecarga leve en un 25%, y sobrecarga intensa el 75% restante, los cuidadores que se dedican a la práctica de algún oficio experimentan sobrecarga leve en un 14.3% y 85.7% reporta sobrecarga intensa, mientras que los abocados a una profesión experimentan sobrecarga intensa en un 100%. Se encontró un valor de Chi-cuadrada de 0.707 y valor P de 0.400, por lo que no existen diferencias estadísticamente significativas.</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rPr>
          <w:sz w:val="21"/>
        </w:rPr>
      </w:pPr>
    </w:p>
    <w:p>
      <w:pPr>
        <w:pStyle w:val="BodyText"/>
        <w:spacing w:line="20" w:lineRule="exact"/>
        <w:ind w:left="502"/>
        <w:rPr>
          <w:sz w:val="2"/>
        </w:rPr>
      </w:pPr>
      <w:r>
        <w:rPr>
          <w:sz w:val="2"/>
        </w:rPr>
        <w:pict>
          <v:group style="width:433.9pt;height:.5pt;mso-position-horizontal-relative:char;mso-position-vertical-relative:line" coordorigin="0,0" coordsize="8678,10">
            <v:line style="position:absolute" from="5,5" to="8673,5" stroked="true" strokeweight=".48pt" strokecolor="#000000"/>
          </v:group>
        </w:pict>
      </w:r>
      <w:r>
        <w:rPr>
          <w:sz w:val="2"/>
        </w:rPr>
      </w:r>
    </w:p>
    <w:p>
      <w:pPr>
        <w:pStyle w:val="BodyText"/>
        <w:spacing w:before="11"/>
        <w:rPr>
          <w:sz w:val="14"/>
        </w:rPr>
      </w:pPr>
    </w:p>
    <w:p>
      <w:pPr>
        <w:spacing w:before="74"/>
        <w:ind w:left="3023" w:right="0" w:firstLine="0"/>
        <w:jc w:val="left"/>
        <w:rPr>
          <w:b/>
          <w:sz w:val="20"/>
        </w:rPr>
      </w:pPr>
      <w:r>
        <w:rPr>
          <w:b/>
          <w:sz w:val="20"/>
        </w:rPr>
        <w:t>Tipo de vivienda / Nivel de sobrecarga</w:t>
      </w:r>
    </w:p>
    <w:p>
      <w:pPr>
        <w:pStyle w:val="BodyText"/>
        <w:spacing w:before="8" w:after="1"/>
        <w:rPr>
          <w:b/>
          <w:sz w:val="16"/>
        </w:rPr>
      </w:pPr>
    </w:p>
    <w:tbl>
      <w:tblPr>
        <w:tblW w:w="0" w:type="auto"/>
        <w:jc w:val="left"/>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72"/>
        <w:gridCol w:w="1711"/>
        <w:gridCol w:w="3784"/>
      </w:tblGrid>
      <w:tr>
        <w:trPr>
          <w:trHeight w:val="1106" w:hRule="exact"/>
        </w:trPr>
        <w:tc>
          <w:tcPr>
            <w:tcW w:w="3172" w:type="dxa"/>
            <w:tcBorders>
              <w:left w:val="nil"/>
              <w:right w:val="nil"/>
            </w:tcBorders>
            <w:shd w:val="clear" w:color="auto" w:fill="99CC00"/>
          </w:tcPr>
          <w:p>
            <w:pPr>
              <w:pStyle w:val="TableParagraph"/>
              <w:jc w:val="left"/>
              <w:rPr>
                <w:b/>
                <w:sz w:val="20"/>
              </w:rPr>
            </w:pPr>
          </w:p>
          <w:p>
            <w:pPr>
              <w:pStyle w:val="TableParagraph"/>
              <w:spacing w:before="6"/>
              <w:jc w:val="left"/>
              <w:rPr>
                <w:b/>
                <w:sz w:val="18"/>
              </w:rPr>
            </w:pPr>
          </w:p>
          <w:p>
            <w:pPr>
              <w:pStyle w:val="TableParagraph"/>
              <w:ind w:left="678" w:right="552"/>
              <w:rPr>
                <w:b/>
                <w:sz w:val="20"/>
              </w:rPr>
            </w:pPr>
            <w:r>
              <w:rPr>
                <w:b/>
                <w:sz w:val="20"/>
              </w:rPr>
              <w:t>Nivel de sobrecarga</w:t>
            </w:r>
          </w:p>
        </w:tc>
        <w:tc>
          <w:tcPr>
            <w:tcW w:w="1711" w:type="dxa"/>
            <w:tcBorders>
              <w:left w:val="nil"/>
              <w:right w:val="nil"/>
            </w:tcBorders>
            <w:shd w:val="clear" w:color="auto" w:fill="99CC00"/>
          </w:tcPr>
          <w:p>
            <w:pPr>
              <w:pStyle w:val="TableParagraph"/>
              <w:spacing w:before="5"/>
              <w:jc w:val="left"/>
              <w:rPr>
                <w:b/>
                <w:sz w:val="22"/>
              </w:rPr>
            </w:pPr>
          </w:p>
          <w:p>
            <w:pPr>
              <w:pStyle w:val="TableParagraph"/>
              <w:spacing w:before="1"/>
              <w:ind w:left="1023"/>
              <w:jc w:val="left"/>
              <w:rPr>
                <w:sz w:val="20"/>
              </w:rPr>
            </w:pPr>
            <w:r>
              <w:rPr>
                <w:sz w:val="20"/>
              </w:rPr>
              <w:t>Tipo de</w:t>
            </w:r>
          </w:p>
          <w:p>
            <w:pPr>
              <w:pStyle w:val="TableParagraph"/>
              <w:spacing w:before="6"/>
              <w:jc w:val="left"/>
              <w:rPr>
                <w:b/>
                <w:sz w:val="16"/>
              </w:rPr>
            </w:pPr>
          </w:p>
          <w:p>
            <w:pPr>
              <w:pStyle w:val="TableParagraph"/>
              <w:ind w:left="574"/>
              <w:jc w:val="left"/>
              <w:rPr>
                <w:b/>
                <w:sz w:val="20"/>
              </w:rPr>
            </w:pPr>
            <w:r>
              <w:rPr>
                <w:b/>
                <w:sz w:val="20"/>
              </w:rPr>
              <w:t>Propia</w:t>
            </w:r>
          </w:p>
        </w:tc>
        <w:tc>
          <w:tcPr>
            <w:tcW w:w="3784" w:type="dxa"/>
            <w:tcBorders>
              <w:left w:val="nil"/>
              <w:right w:val="nil"/>
            </w:tcBorders>
          </w:tcPr>
          <w:p>
            <w:pPr>
              <w:pStyle w:val="TableParagraph"/>
              <w:spacing w:before="5"/>
              <w:jc w:val="left"/>
              <w:rPr>
                <w:b/>
                <w:sz w:val="22"/>
              </w:rPr>
            </w:pPr>
          </w:p>
          <w:p>
            <w:pPr>
              <w:pStyle w:val="TableParagraph"/>
              <w:spacing w:before="1"/>
              <w:ind w:left="34"/>
              <w:jc w:val="left"/>
              <w:rPr>
                <w:sz w:val="20"/>
              </w:rPr>
            </w:pPr>
            <w:r>
              <w:rPr>
                <w:sz w:val="20"/>
              </w:rPr>
              <w:t>vivienda %</w:t>
            </w:r>
          </w:p>
          <w:p>
            <w:pPr>
              <w:pStyle w:val="TableParagraph"/>
              <w:spacing w:line="182" w:lineRule="exact" w:before="55"/>
              <w:ind w:left="2454"/>
              <w:jc w:val="left"/>
              <w:rPr>
                <w:b/>
                <w:sz w:val="20"/>
              </w:rPr>
            </w:pPr>
            <w:r>
              <w:rPr>
                <w:b/>
                <w:sz w:val="20"/>
              </w:rPr>
              <w:t>Valor P*</w:t>
            </w:r>
          </w:p>
          <w:p>
            <w:pPr>
              <w:pStyle w:val="TableParagraph"/>
              <w:spacing w:line="182" w:lineRule="exact"/>
              <w:ind w:left="517"/>
              <w:jc w:val="left"/>
              <w:rPr>
                <w:b/>
                <w:sz w:val="20"/>
              </w:rPr>
            </w:pPr>
            <w:r>
              <w:rPr>
                <w:b/>
                <w:sz w:val="20"/>
              </w:rPr>
              <w:t>Rentada</w:t>
            </w:r>
          </w:p>
        </w:tc>
      </w:tr>
      <w:tr>
        <w:trPr>
          <w:trHeight w:val="625" w:hRule="exact"/>
        </w:trPr>
        <w:tc>
          <w:tcPr>
            <w:tcW w:w="3172" w:type="dxa"/>
            <w:tcBorders>
              <w:left w:val="nil"/>
              <w:bottom w:val="nil"/>
              <w:right w:val="nil"/>
            </w:tcBorders>
          </w:tcPr>
          <w:p>
            <w:pPr>
              <w:pStyle w:val="TableParagraph"/>
              <w:spacing w:before="1"/>
              <w:jc w:val="left"/>
              <w:rPr>
                <w:b/>
                <w:sz w:val="22"/>
              </w:rPr>
            </w:pPr>
          </w:p>
          <w:p>
            <w:pPr>
              <w:pStyle w:val="TableParagraph"/>
              <w:ind w:left="677" w:right="552"/>
              <w:rPr>
                <w:b/>
                <w:sz w:val="22"/>
              </w:rPr>
            </w:pPr>
            <w:r>
              <w:rPr>
                <w:b/>
                <w:sz w:val="22"/>
              </w:rPr>
              <w:t>Leve</w:t>
            </w:r>
          </w:p>
        </w:tc>
        <w:tc>
          <w:tcPr>
            <w:tcW w:w="1711" w:type="dxa"/>
            <w:tcBorders>
              <w:left w:val="nil"/>
              <w:bottom w:val="nil"/>
              <w:right w:val="nil"/>
            </w:tcBorders>
          </w:tcPr>
          <w:p>
            <w:pPr>
              <w:pStyle w:val="TableParagraph"/>
              <w:spacing w:before="9"/>
              <w:jc w:val="left"/>
              <w:rPr>
                <w:b/>
                <w:sz w:val="24"/>
              </w:rPr>
            </w:pPr>
          </w:p>
          <w:p>
            <w:pPr>
              <w:pStyle w:val="TableParagraph"/>
              <w:ind w:right="714"/>
              <w:jc w:val="right"/>
              <w:rPr>
                <w:sz w:val="20"/>
              </w:rPr>
            </w:pPr>
            <w:r>
              <w:rPr>
                <w:sz w:val="20"/>
              </w:rPr>
              <w:t>12</w:t>
            </w:r>
          </w:p>
        </w:tc>
        <w:tc>
          <w:tcPr>
            <w:tcW w:w="3784" w:type="dxa"/>
            <w:tcBorders>
              <w:left w:val="nil"/>
              <w:bottom w:val="nil"/>
              <w:right w:val="nil"/>
            </w:tcBorders>
          </w:tcPr>
          <w:p>
            <w:pPr>
              <w:pStyle w:val="TableParagraph"/>
              <w:spacing w:before="10"/>
              <w:jc w:val="left"/>
              <w:rPr>
                <w:b/>
                <w:sz w:val="24"/>
              </w:rPr>
            </w:pPr>
          </w:p>
          <w:p>
            <w:pPr>
              <w:pStyle w:val="TableParagraph"/>
              <w:tabs>
                <w:tab w:pos="2589" w:val="left" w:leader="none"/>
              </w:tabs>
              <w:spacing w:before="1"/>
              <w:ind w:left="877"/>
              <w:jc w:val="left"/>
              <w:rPr>
                <w:sz w:val="20"/>
              </w:rPr>
            </w:pPr>
            <w:r>
              <w:rPr>
                <w:position w:val="8"/>
                <w:sz w:val="20"/>
              </w:rPr>
              <w:t>-</w:t>
              <w:tab/>
            </w:r>
            <w:r>
              <w:rPr>
                <w:sz w:val="20"/>
              </w:rPr>
              <w:t>0.422</w:t>
            </w:r>
          </w:p>
        </w:tc>
      </w:tr>
      <w:tr>
        <w:trPr>
          <w:trHeight w:val="534" w:hRule="exact"/>
        </w:trPr>
        <w:tc>
          <w:tcPr>
            <w:tcW w:w="3172" w:type="dxa"/>
            <w:tcBorders>
              <w:top w:val="nil"/>
              <w:left w:val="nil"/>
              <w:right w:val="nil"/>
            </w:tcBorders>
          </w:tcPr>
          <w:p>
            <w:pPr>
              <w:pStyle w:val="TableParagraph"/>
              <w:spacing w:before="82"/>
              <w:ind w:left="678" w:right="548"/>
              <w:rPr>
                <w:b/>
                <w:sz w:val="22"/>
              </w:rPr>
            </w:pPr>
            <w:r>
              <w:rPr>
                <w:b/>
                <w:sz w:val="22"/>
              </w:rPr>
              <w:t>Intensa</w:t>
            </w:r>
          </w:p>
        </w:tc>
        <w:tc>
          <w:tcPr>
            <w:tcW w:w="1711" w:type="dxa"/>
            <w:tcBorders>
              <w:top w:val="nil"/>
              <w:left w:val="nil"/>
              <w:right w:val="nil"/>
            </w:tcBorders>
          </w:tcPr>
          <w:p>
            <w:pPr>
              <w:pStyle w:val="TableParagraph"/>
              <w:spacing w:before="101"/>
              <w:ind w:right="714"/>
              <w:jc w:val="right"/>
              <w:rPr>
                <w:sz w:val="20"/>
              </w:rPr>
            </w:pPr>
            <w:r>
              <w:rPr>
                <w:sz w:val="20"/>
              </w:rPr>
              <w:t>88</w:t>
            </w:r>
          </w:p>
        </w:tc>
        <w:tc>
          <w:tcPr>
            <w:tcW w:w="3784" w:type="dxa"/>
            <w:tcBorders>
              <w:top w:val="nil"/>
              <w:left w:val="nil"/>
              <w:right w:val="nil"/>
            </w:tcBorders>
          </w:tcPr>
          <w:p>
            <w:pPr>
              <w:pStyle w:val="TableParagraph"/>
              <w:spacing w:before="101"/>
              <w:ind w:left="745"/>
              <w:jc w:val="left"/>
              <w:rPr>
                <w:sz w:val="20"/>
              </w:rPr>
            </w:pPr>
            <w:r>
              <w:rPr>
                <w:sz w:val="20"/>
              </w:rPr>
              <w:t>100</w:t>
            </w:r>
          </w:p>
        </w:tc>
      </w:tr>
    </w:tbl>
    <w:p>
      <w:pPr>
        <w:spacing w:line="222" w:lineRule="exact" w:before="0"/>
        <w:ind w:left="577" w:right="0" w:firstLine="0"/>
        <w:jc w:val="left"/>
        <w:rPr>
          <w:sz w:val="20"/>
        </w:rPr>
      </w:pPr>
      <w:r>
        <w:rPr>
          <w:sz w:val="20"/>
        </w:rPr>
        <w:t>* Chi-cuadrada</w:t>
      </w:r>
    </w:p>
    <w:p>
      <w:pPr>
        <w:pStyle w:val="BodyText"/>
        <w:rPr>
          <w:sz w:val="20"/>
        </w:rPr>
      </w:pPr>
    </w:p>
    <w:p>
      <w:pPr>
        <w:pStyle w:val="BodyText"/>
        <w:rPr>
          <w:sz w:val="26"/>
        </w:rPr>
      </w:pPr>
    </w:p>
    <w:p>
      <w:pPr>
        <w:pStyle w:val="BodyText"/>
        <w:spacing w:line="360" w:lineRule="auto" w:before="70"/>
        <w:ind w:left="625" w:right="214"/>
        <w:jc w:val="both"/>
      </w:pPr>
      <w:r>
        <w:rPr/>
        <w:t>Los cuidadores que habitan en un vivienda propia presentan sobrecarga leve en un 12%, en tanto el 88% restante experimenta sobrecarga intensa, comparado con los que habitan en una vivienda rentada los cuales sobrellevan un 100% de sobrecarga intensa, lo anterior refleja la estabilidad que implica el habitar en un domicilio propio, lo cual resguarda a los cuidadores de un pago habitual, lo que coadyuva a los gastos inherentes de cuidador a un enfermo. Si bien, estás diferencias no se pudieron demostrar estadísticamente ya que se hallo una Chi-cuadrada de 0.644 y un valor de P 0.422.</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0"/>
        <w:gridCol w:w="1142"/>
        <w:gridCol w:w="1242"/>
        <w:gridCol w:w="1191"/>
        <w:gridCol w:w="1294"/>
        <w:gridCol w:w="1253"/>
        <w:gridCol w:w="1120"/>
      </w:tblGrid>
      <w:tr>
        <w:trPr>
          <w:trHeight w:val="684" w:hRule="exact"/>
        </w:trPr>
        <w:tc>
          <w:tcPr>
            <w:tcW w:w="8711" w:type="dxa"/>
            <w:gridSpan w:val="7"/>
            <w:tcBorders>
              <w:left w:val="nil"/>
              <w:right w:val="nil"/>
            </w:tcBorders>
          </w:tcPr>
          <w:p>
            <w:pPr>
              <w:pStyle w:val="TableParagraph"/>
              <w:spacing w:before="3"/>
              <w:jc w:val="left"/>
              <w:rPr>
                <w:sz w:val="22"/>
              </w:rPr>
            </w:pPr>
          </w:p>
          <w:p>
            <w:pPr>
              <w:pStyle w:val="TableParagraph"/>
              <w:ind w:left="1053"/>
              <w:jc w:val="left"/>
              <w:rPr>
                <w:b/>
                <w:sz w:val="20"/>
              </w:rPr>
            </w:pPr>
            <w:r>
              <w:rPr>
                <w:b/>
                <w:sz w:val="20"/>
              </w:rPr>
              <w:t>Ingreso mensual del cuidador informal primario / Nivel de sobrecarga</w:t>
            </w:r>
          </w:p>
        </w:tc>
      </w:tr>
      <w:tr>
        <w:trPr>
          <w:trHeight w:val="493" w:hRule="exact"/>
        </w:trPr>
        <w:tc>
          <w:tcPr>
            <w:tcW w:w="1470" w:type="dxa"/>
            <w:tcBorders>
              <w:left w:val="nil"/>
              <w:bottom w:val="nil"/>
              <w:right w:val="nil"/>
            </w:tcBorders>
            <w:shd w:val="clear" w:color="auto" w:fill="99CC00"/>
          </w:tcPr>
          <w:p>
            <w:pPr/>
          </w:p>
        </w:tc>
        <w:tc>
          <w:tcPr>
            <w:tcW w:w="1142" w:type="dxa"/>
            <w:tcBorders>
              <w:left w:val="nil"/>
              <w:bottom w:val="nil"/>
              <w:right w:val="nil"/>
            </w:tcBorders>
            <w:shd w:val="clear" w:color="auto" w:fill="99CC00"/>
          </w:tcPr>
          <w:p>
            <w:pPr/>
          </w:p>
        </w:tc>
        <w:tc>
          <w:tcPr>
            <w:tcW w:w="3726" w:type="dxa"/>
            <w:gridSpan w:val="3"/>
            <w:tcBorders>
              <w:left w:val="nil"/>
              <w:bottom w:val="nil"/>
              <w:right w:val="nil"/>
            </w:tcBorders>
            <w:shd w:val="clear" w:color="auto" w:fill="99CC00"/>
          </w:tcPr>
          <w:p>
            <w:pPr>
              <w:pStyle w:val="TableParagraph"/>
              <w:spacing w:before="5"/>
              <w:jc w:val="left"/>
              <w:rPr>
                <w:sz w:val="22"/>
              </w:rPr>
            </w:pPr>
          </w:p>
          <w:p>
            <w:pPr>
              <w:pStyle w:val="TableParagraph"/>
              <w:spacing w:before="1"/>
              <w:ind w:left="1103"/>
              <w:jc w:val="left"/>
              <w:rPr>
                <w:sz w:val="20"/>
              </w:rPr>
            </w:pPr>
            <w:r>
              <w:rPr>
                <w:sz w:val="20"/>
              </w:rPr>
              <w:t>Ingreso mensual %</w:t>
            </w:r>
          </w:p>
        </w:tc>
        <w:tc>
          <w:tcPr>
            <w:tcW w:w="1253" w:type="dxa"/>
            <w:tcBorders>
              <w:left w:val="nil"/>
              <w:bottom w:val="nil"/>
              <w:right w:val="nil"/>
            </w:tcBorders>
            <w:shd w:val="clear" w:color="auto" w:fill="99CC00"/>
          </w:tcPr>
          <w:p>
            <w:pPr/>
          </w:p>
        </w:tc>
        <w:tc>
          <w:tcPr>
            <w:tcW w:w="1120" w:type="dxa"/>
            <w:tcBorders>
              <w:left w:val="nil"/>
              <w:bottom w:val="nil"/>
              <w:right w:val="nil"/>
            </w:tcBorders>
            <w:shd w:val="clear" w:color="auto" w:fill="99CC00"/>
          </w:tcPr>
          <w:p>
            <w:pPr/>
          </w:p>
        </w:tc>
      </w:tr>
      <w:tr>
        <w:trPr>
          <w:trHeight w:val="1120" w:hRule="exact"/>
        </w:trPr>
        <w:tc>
          <w:tcPr>
            <w:tcW w:w="1470" w:type="dxa"/>
            <w:tcBorders>
              <w:top w:val="nil"/>
              <w:left w:val="nil"/>
              <w:right w:val="nil"/>
            </w:tcBorders>
            <w:shd w:val="clear" w:color="auto" w:fill="99CC00"/>
          </w:tcPr>
          <w:p>
            <w:pPr>
              <w:pStyle w:val="TableParagraph"/>
              <w:spacing w:line="207" w:lineRule="exact"/>
              <w:ind w:left="46" w:right="47"/>
              <w:rPr>
                <w:b/>
                <w:sz w:val="20"/>
              </w:rPr>
            </w:pPr>
            <w:r>
              <w:rPr>
                <w:b/>
                <w:sz w:val="20"/>
              </w:rPr>
              <w:t>Nivel de</w:t>
            </w:r>
          </w:p>
          <w:p>
            <w:pPr>
              <w:pStyle w:val="TableParagraph"/>
              <w:spacing w:before="22"/>
              <w:ind w:left="46" w:right="47"/>
              <w:rPr>
                <w:b/>
                <w:sz w:val="20"/>
              </w:rPr>
            </w:pPr>
            <w:r>
              <w:rPr>
                <w:b/>
                <w:sz w:val="20"/>
              </w:rPr>
              <w:t>sobrecarga</w:t>
            </w:r>
          </w:p>
        </w:tc>
        <w:tc>
          <w:tcPr>
            <w:tcW w:w="1142" w:type="dxa"/>
            <w:tcBorders>
              <w:top w:val="nil"/>
              <w:left w:val="nil"/>
              <w:right w:val="nil"/>
            </w:tcBorders>
            <w:shd w:val="clear" w:color="auto" w:fill="99CC00"/>
          </w:tcPr>
          <w:p>
            <w:pPr>
              <w:pStyle w:val="TableParagraph"/>
              <w:spacing w:before="7"/>
              <w:jc w:val="left"/>
              <w:rPr>
                <w:sz w:val="16"/>
              </w:rPr>
            </w:pPr>
          </w:p>
          <w:p>
            <w:pPr>
              <w:pStyle w:val="TableParagraph"/>
              <w:spacing w:line="264" w:lineRule="auto"/>
              <w:ind w:left="198" w:right="139"/>
              <w:rPr>
                <w:b/>
                <w:sz w:val="20"/>
              </w:rPr>
            </w:pPr>
            <w:r>
              <w:rPr>
                <w:b/>
                <w:sz w:val="20"/>
              </w:rPr>
              <w:t>Menos 1 salario mínimo</w:t>
            </w:r>
          </w:p>
        </w:tc>
        <w:tc>
          <w:tcPr>
            <w:tcW w:w="1242" w:type="dxa"/>
            <w:tcBorders>
              <w:top w:val="nil"/>
              <w:left w:val="nil"/>
              <w:right w:val="nil"/>
            </w:tcBorders>
            <w:shd w:val="clear" w:color="auto" w:fill="99CC00"/>
          </w:tcPr>
          <w:p>
            <w:pPr>
              <w:pStyle w:val="TableParagraph"/>
              <w:spacing w:before="7"/>
              <w:jc w:val="left"/>
              <w:rPr>
                <w:sz w:val="16"/>
              </w:rPr>
            </w:pPr>
          </w:p>
          <w:p>
            <w:pPr>
              <w:pStyle w:val="TableParagraph"/>
              <w:spacing w:line="264" w:lineRule="auto"/>
              <w:ind w:left="141" w:right="88"/>
              <w:rPr>
                <w:b/>
                <w:sz w:val="20"/>
              </w:rPr>
            </w:pPr>
            <w:r>
              <w:rPr>
                <w:b/>
                <w:sz w:val="20"/>
              </w:rPr>
              <w:t>Entre 2 a 3 salarios mínimos</w:t>
            </w:r>
          </w:p>
        </w:tc>
        <w:tc>
          <w:tcPr>
            <w:tcW w:w="1191" w:type="dxa"/>
            <w:tcBorders>
              <w:top w:val="nil"/>
              <w:left w:val="nil"/>
              <w:right w:val="nil"/>
            </w:tcBorders>
            <w:shd w:val="clear" w:color="auto" w:fill="99CC00"/>
          </w:tcPr>
          <w:p>
            <w:pPr>
              <w:pStyle w:val="TableParagraph"/>
              <w:spacing w:before="7"/>
              <w:jc w:val="left"/>
              <w:rPr>
                <w:sz w:val="16"/>
              </w:rPr>
            </w:pPr>
          </w:p>
          <w:p>
            <w:pPr>
              <w:pStyle w:val="TableParagraph"/>
              <w:spacing w:line="264" w:lineRule="auto"/>
              <w:ind w:left="90" w:right="88"/>
              <w:rPr>
                <w:b/>
                <w:sz w:val="20"/>
              </w:rPr>
            </w:pPr>
            <w:r>
              <w:rPr>
                <w:b/>
                <w:sz w:val="20"/>
              </w:rPr>
              <w:t>Entre 3 a 4 salarios mínimos</w:t>
            </w:r>
          </w:p>
        </w:tc>
        <w:tc>
          <w:tcPr>
            <w:tcW w:w="1294" w:type="dxa"/>
            <w:tcBorders>
              <w:top w:val="nil"/>
              <w:left w:val="nil"/>
              <w:right w:val="nil"/>
            </w:tcBorders>
            <w:shd w:val="clear" w:color="auto" w:fill="99CC00"/>
          </w:tcPr>
          <w:p>
            <w:pPr>
              <w:pStyle w:val="TableParagraph"/>
              <w:spacing w:before="7"/>
              <w:jc w:val="left"/>
              <w:rPr>
                <w:sz w:val="16"/>
              </w:rPr>
            </w:pPr>
          </w:p>
          <w:p>
            <w:pPr>
              <w:pStyle w:val="TableParagraph"/>
              <w:spacing w:line="264" w:lineRule="auto"/>
              <w:ind w:left="90" w:right="191"/>
              <w:rPr>
                <w:b/>
                <w:sz w:val="20"/>
              </w:rPr>
            </w:pPr>
            <w:r>
              <w:rPr>
                <w:b/>
                <w:sz w:val="20"/>
              </w:rPr>
              <w:t>Entre 1 a 2 salarios mínimos</w:t>
            </w:r>
          </w:p>
        </w:tc>
        <w:tc>
          <w:tcPr>
            <w:tcW w:w="1253" w:type="dxa"/>
            <w:tcBorders>
              <w:top w:val="nil"/>
              <w:left w:val="nil"/>
              <w:right w:val="nil"/>
            </w:tcBorders>
            <w:shd w:val="clear" w:color="auto" w:fill="99CC00"/>
          </w:tcPr>
          <w:p>
            <w:pPr>
              <w:pStyle w:val="TableParagraph"/>
              <w:spacing w:before="7"/>
              <w:jc w:val="left"/>
              <w:rPr>
                <w:sz w:val="16"/>
              </w:rPr>
            </w:pPr>
          </w:p>
          <w:p>
            <w:pPr>
              <w:pStyle w:val="TableParagraph"/>
              <w:spacing w:line="264" w:lineRule="auto"/>
              <w:ind w:left="203" w:right="212" w:hanging="10"/>
              <w:jc w:val="both"/>
              <w:rPr>
                <w:b/>
                <w:sz w:val="20"/>
              </w:rPr>
            </w:pPr>
            <w:r>
              <w:rPr>
                <w:b/>
                <w:sz w:val="20"/>
              </w:rPr>
              <w:t>Más de 4 salarios mínimos</w:t>
            </w:r>
          </w:p>
        </w:tc>
        <w:tc>
          <w:tcPr>
            <w:tcW w:w="1120" w:type="dxa"/>
            <w:tcBorders>
              <w:top w:val="nil"/>
              <w:left w:val="nil"/>
              <w:right w:val="nil"/>
            </w:tcBorders>
            <w:shd w:val="clear" w:color="auto" w:fill="99CC00"/>
          </w:tcPr>
          <w:p>
            <w:pPr>
              <w:pStyle w:val="TableParagraph"/>
              <w:spacing w:before="9"/>
              <w:jc w:val="left"/>
              <w:rPr>
                <w:sz w:val="26"/>
              </w:rPr>
            </w:pPr>
          </w:p>
          <w:p>
            <w:pPr>
              <w:pStyle w:val="TableParagraph"/>
              <w:ind w:left="193" w:right="118"/>
              <w:rPr>
                <w:b/>
                <w:sz w:val="20"/>
              </w:rPr>
            </w:pPr>
            <w:r>
              <w:rPr>
                <w:b/>
                <w:sz w:val="20"/>
              </w:rPr>
              <w:t>Valor P*</w:t>
            </w:r>
          </w:p>
        </w:tc>
      </w:tr>
      <w:tr>
        <w:trPr>
          <w:trHeight w:val="667" w:hRule="exact"/>
        </w:trPr>
        <w:tc>
          <w:tcPr>
            <w:tcW w:w="1470" w:type="dxa"/>
            <w:tcBorders>
              <w:left w:val="nil"/>
              <w:bottom w:val="nil"/>
              <w:right w:val="nil"/>
            </w:tcBorders>
          </w:tcPr>
          <w:p>
            <w:pPr>
              <w:pStyle w:val="TableParagraph"/>
              <w:spacing w:before="2"/>
              <w:jc w:val="left"/>
              <w:rPr>
                <w:sz w:val="22"/>
              </w:rPr>
            </w:pPr>
          </w:p>
          <w:p>
            <w:pPr>
              <w:pStyle w:val="TableParagraph"/>
              <w:ind w:left="46" w:right="47"/>
              <w:rPr>
                <w:b/>
                <w:sz w:val="22"/>
              </w:rPr>
            </w:pPr>
            <w:r>
              <w:rPr>
                <w:b/>
                <w:sz w:val="22"/>
              </w:rPr>
              <w:t>Leve</w:t>
            </w:r>
          </w:p>
        </w:tc>
        <w:tc>
          <w:tcPr>
            <w:tcW w:w="1142" w:type="dxa"/>
            <w:tcBorders>
              <w:left w:val="nil"/>
              <w:bottom w:val="nil"/>
              <w:right w:val="nil"/>
            </w:tcBorders>
          </w:tcPr>
          <w:p>
            <w:pPr>
              <w:pStyle w:val="TableParagraph"/>
              <w:spacing w:before="9"/>
              <w:jc w:val="left"/>
              <w:rPr>
                <w:sz w:val="24"/>
              </w:rPr>
            </w:pPr>
          </w:p>
          <w:p>
            <w:pPr>
              <w:pStyle w:val="TableParagraph"/>
              <w:spacing w:before="1"/>
              <w:ind w:left="55"/>
              <w:rPr>
                <w:sz w:val="20"/>
              </w:rPr>
            </w:pPr>
            <w:r>
              <w:rPr>
                <w:w w:val="99"/>
                <w:sz w:val="20"/>
              </w:rPr>
              <w:t>-</w:t>
            </w:r>
          </w:p>
        </w:tc>
        <w:tc>
          <w:tcPr>
            <w:tcW w:w="1242" w:type="dxa"/>
            <w:tcBorders>
              <w:left w:val="nil"/>
              <w:bottom w:val="nil"/>
              <w:right w:val="nil"/>
            </w:tcBorders>
          </w:tcPr>
          <w:p>
            <w:pPr>
              <w:pStyle w:val="TableParagraph"/>
              <w:spacing w:before="9"/>
              <w:jc w:val="left"/>
              <w:rPr>
                <w:sz w:val="24"/>
              </w:rPr>
            </w:pPr>
          </w:p>
          <w:p>
            <w:pPr>
              <w:pStyle w:val="TableParagraph"/>
              <w:spacing w:before="1"/>
              <w:ind w:right="400"/>
              <w:jc w:val="right"/>
              <w:rPr>
                <w:sz w:val="20"/>
              </w:rPr>
            </w:pPr>
            <w:r>
              <w:rPr>
                <w:sz w:val="20"/>
              </w:rPr>
              <w:t>11.1</w:t>
            </w:r>
          </w:p>
        </w:tc>
        <w:tc>
          <w:tcPr>
            <w:tcW w:w="1191" w:type="dxa"/>
            <w:tcBorders>
              <w:left w:val="nil"/>
              <w:bottom w:val="nil"/>
              <w:right w:val="nil"/>
            </w:tcBorders>
          </w:tcPr>
          <w:p>
            <w:pPr>
              <w:pStyle w:val="TableParagraph"/>
              <w:spacing w:before="9"/>
              <w:jc w:val="left"/>
              <w:rPr>
                <w:sz w:val="24"/>
              </w:rPr>
            </w:pPr>
          </w:p>
          <w:p>
            <w:pPr>
              <w:pStyle w:val="TableParagraph"/>
              <w:spacing w:before="1"/>
              <w:ind w:right="399"/>
              <w:jc w:val="right"/>
              <w:rPr>
                <w:sz w:val="20"/>
              </w:rPr>
            </w:pPr>
            <w:r>
              <w:rPr>
                <w:sz w:val="20"/>
              </w:rPr>
              <w:t>16.7</w:t>
            </w:r>
          </w:p>
        </w:tc>
        <w:tc>
          <w:tcPr>
            <w:tcW w:w="1294" w:type="dxa"/>
            <w:tcBorders>
              <w:left w:val="nil"/>
              <w:bottom w:val="nil"/>
              <w:right w:val="nil"/>
            </w:tcBorders>
          </w:tcPr>
          <w:p>
            <w:pPr>
              <w:pStyle w:val="TableParagraph"/>
              <w:spacing w:before="9"/>
              <w:jc w:val="left"/>
              <w:rPr>
                <w:sz w:val="24"/>
              </w:rPr>
            </w:pPr>
          </w:p>
          <w:p>
            <w:pPr>
              <w:pStyle w:val="TableParagraph"/>
              <w:spacing w:before="1"/>
              <w:ind w:right="558"/>
              <w:jc w:val="right"/>
              <w:rPr>
                <w:sz w:val="20"/>
              </w:rPr>
            </w:pPr>
            <w:r>
              <w:rPr>
                <w:sz w:val="20"/>
              </w:rPr>
              <w:t>7.1</w:t>
            </w:r>
          </w:p>
        </w:tc>
        <w:tc>
          <w:tcPr>
            <w:tcW w:w="1253" w:type="dxa"/>
            <w:tcBorders>
              <w:left w:val="nil"/>
              <w:bottom w:val="nil"/>
              <w:right w:val="nil"/>
            </w:tcBorders>
          </w:tcPr>
          <w:p>
            <w:pPr>
              <w:pStyle w:val="TableParagraph"/>
              <w:spacing w:before="9"/>
              <w:jc w:val="left"/>
              <w:rPr>
                <w:sz w:val="24"/>
              </w:rPr>
            </w:pPr>
          </w:p>
          <w:p>
            <w:pPr>
              <w:pStyle w:val="TableParagraph"/>
              <w:spacing w:before="1"/>
              <w:ind w:left="483" w:right="506"/>
              <w:rPr>
                <w:sz w:val="20"/>
              </w:rPr>
            </w:pPr>
            <w:r>
              <w:rPr>
                <w:sz w:val="20"/>
              </w:rPr>
              <w:t>10</w:t>
            </w:r>
          </w:p>
        </w:tc>
        <w:tc>
          <w:tcPr>
            <w:tcW w:w="1120" w:type="dxa"/>
            <w:tcBorders>
              <w:left w:val="nil"/>
              <w:bottom w:val="nil"/>
              <w:right w:val="nil"/>
            </w:tcBorders>
          </w:tcPr>
          <w:p>
            <w:pPr>
              <w:pStyle w:val="TableParagraph"/>
              <w:jc w:val="left"/>
              <w:rPr>
                <w:sz w:val="20"/>
              </w:rPr>
            </w:pPr>
          </w:p>
          <w:p>
            <w:pPr>
              <w:pStyle w:val="TableParagraph"/>
              <w:spacing w:before="137"/>
              <w:ind w:left="193" w:right="115"/>
              <w:rPr>
                <w:sz w:val="20"/>
              </w:rPr>
            </w:pPr>
            <w:r>
              <w:rPr>
                <w:sz w:val="20"/>
              </w:rPr>
              <w:t>0.909</w:t>
            </w:r>
          </w:p>
        </w:tc>
      </w:tr>
      <w:tr>
        <w:trPr>
          <w:trHeight w:val="493" w:hRule="exact"/>
        </w:trPr>
        <w:tc>
          <w:tcPr>
            <w:tcW w:w="1470" w:type="dxa"/>
            <w:tcBorders>
              <w:top w:val="nil"/>
              <w:left w:val="nil"/>
              <w:right w:val="nil"/>
            </w:tcBorders>
          </w:tcPr>
          <w:p>
            <w:pPr>
              <w:pStyle w:val="TableParagraph"/>
              <w:spacing w:before="42"/>
              <w:ind w:left="48" w:right="45"/>
              <w:rPr>
                <w:b/>
                <w:sz w:val="22"/>
              </w:rPr>
            </w:pPr>
            <w:r>
              <w:rPr>
                <w:b/>
                <w:sz w:val="22"/>
              </w:rPr>
              <w:t>Intensa</w:t>
            </w:r>
          </w:p>
        </w:tc>
        <w:tc>
          <w:tcPr>
            <w:tcW w:w="1142" w:type="dxa"/>
            <w:tcBorders>
              <w:top w:val="nil"/>
              <w:left w:val="nil"/>
              <w:right w:val="nil"/>
            </w:tcBorders>
          </w:tcPr>
          <w:p>
            <w:pPr>
              <w:pStyle w:val="TableParagraph"/>
              <w:spacing w:before="58"/>
              <w:ind w:left="195" w:right="139"/>
              <w:rPr>
                <w:sz w:val="20"/>
              </w:rPr>
            </w:pPr>
            <w:r>
              <w:rPr>
                <w:sz w:val="20"/>
              </w:rPr>
              <w:t>100</w:t>
            </w:r>
          </w:p>
        </w:tc>
        <w:tc>
          <w:tcPr>
            <w:tcW w:w="1242" w:type="dxa"/>
            <w:tcBorders>
              <w:top w:val="nil"/>
              <w:left w:val="nil"/>
              <w:right w:val="nil"/>
            </w:tcBorders>
          </w:tcPr>
          <w:p>
            <w:pPr>
              <w:pStyle w:val="TableParagraph"/>
              <w:spacing w:before="58"/>
              <w:ind w:right="400"/>
              <w:jc w:val="right"/>
              <w:rPr>
                <w:sz w:val="20"/>
              </w:rPr>
            </w:pPr>
            <w:r>
              <w:rPr>
                <w:sz w:val="20"/>
              </w:rPr>
              <w:t>88.9</w:t>
            </w:r>
          </w:p>
        </w:tc>
        <w:tc>
          <w:tcPr>
            <w:tcW w:w="1191" w:type="dxa"/>
            <w:tcBorders>
              <w:top w:val="nil"/>
              <w:left w:val="nil"/>
              <w:right w:val="nil"/>
            </w:tcBorders>
          </w:tcPr>
          <w:p>
            <w:pPr>
              <w:pStyle w:val="TableParagraph"/>
              <w:spacing w:before="58"/>
              <w:ind w:right="399"/>
              <w:jc w:val="right"/>
              <w:rPr>
                <w:sz w:val="20"/>
              </w:rPr>
            </w:pPr>
            <w:r>
              <w:rPr>
                <w:sz w:val="20"/>
              </w:rPr>
              <w:t>83.3</w:t>
            </w:r>
          </w:p>
        </w:tc>
        <w:tc>
          <w:tcPr>
            <w:tcW w:w="1294" w:type="dxa"/>
            <w:tcBorders>
              <w:top w:val="nil"/>
              <w:left w:val="nil"/>
              <w:right w:val="nil"/>
            </w:tcBorders>
          </w:tcPr>
          <w:p>
            <w:pPr>
              <w:pStyle w:val="TableParagraph"/>
              <w:spacing w:before="58"/>
              <w:ind w:right="503"/>
              <w:jc w:val="right"/>
              <w:rPr>
                <w:sz w:val="20"/>
              </w:rPr>
            </w:pPr>
            <w:r>
              <w:rPr>
                <w:sz w:val="20"/>
              </w:rPr>
              <w:t>92.9</w:t>
            </w:r>
          </w:p>
        </w:tc>
        <w:tc>
          <w:tcPr>
            <w:tcW w:w="1253" w:type="dxa"/>
            <w:tcBorders>
              <w:top w:val="nil"/>
              <w:left w:val="nil"/>
              <w:right w:val="nil"/>
            </w:tcBorders>
          </w:tcPr>
          <w:p>
            <w:pPr>
              <w:pStyle w:val="TableParagraph"/>
              <w:spacing w:before="58"/>
              <w:ind w:left="483" w:right="506"/>
              <w:rPr>
                <w:sz w:val="20"/>
              </w:rPr>
            </w:pPr>
            <w:r>
              <w:rPr>
                <w:sz w:val="20"/>
              </w:rPr>
              <w:t>90</w:t>
            </w:r>
          </w:p>
        </w:tc>
        <w:tc>
          <w:tcPr>
            <w:tcW w:w="1120" w:type="dxa"/>
            <w:tcBorders>
              <w:top w:val="nil"/>
              <w:left w:val="nil"/>
              <w:right w:val="nil"/>
            </w:tcBorders>
          </w:tcPr>
          <w:p>
            <w:pPr/>
          </w:p>
        </w:tc>
      </w:tr>
      <w:tr>
        <w:trPr>
          <w:trHeight w:val="227" w:hRule="exact"/>
        </w:trPr>
        <w:tc>
          <w:tcPr>
            <w:tcW w:w="1470" w:type="dxa"/>
            <w:tcBorders>
              <w:left w:val="nil"/>
              <w:bottom w:val="nil"/>
              <w:right w:val="nil"/>
            </w:tcBorders>
          </w:tcPr>
          <w:p>
            <w:pPr>
              <w:pStyle w:val="TableParagraph"/>
              <w:spacing w:line="227" w:lineRule="exact"/>
              <w:ind w:left="48" w:right="47"/>
              <w:rPr>
                <w:sz w:val="20"/>
              </w:rPr>
            </w:pPr>
            <w:r>
              <w:rPr>
                <w:sz w:val="20"/>
              </w:rPr>
              <w:t>* Chi-cuadrada</w:t>
            </w:r>
          </w:p>
        </w:tc>
        <w:tc>
          <w:tcPr>
            <w:tcW w:w="1142" w:type="dxa"/>
            <w:tcBorders>
              <w:left w:val="nil"/>
              <w:bottom w:val="nil"/>
              <w:right w:val="nil"/>
            </w:tcBorders>
          </w:tcPr>
          <w:p>
            <w:pPr/>
          </w:p>
        </w:tc>
        <w:tc>
          <w:tcPr>
            <w:tcW w:w="1242" w:type="dxa"/>
            <w:tcBorders>
              <w:left w:val="nil"/>
              <w:bottom w:val="nil"/>
              <w:right w:val="nil"/>
            </w:tcBorders>
          </w:tcPr>
          <w:p>
            <w:pPr/>
          </w:p>
        </w:tc>
        <w:tc>
          <w:tcPr>
            <w:tcW w:w="1191" w:type="dxa"/>
            <w:tcBorders>
              <w:left w:val="nil"/>
              <w:bottom w:val="nil"/>
              <w:right w:val="nil"/>
            </w:tcBorders>
          </w:tcPr>
          <w:p>
            <w:pPr/>
          </w:p>
        </w:tc>
        <w:tc>
          <w:tcPr>
            <w:tcW w:w="1294" w:type="dxa"/>
            <w:tcBorders>
              <w:left w:val="nil"/>
              <w:bottom w:val="nil"/>
              <w:right w:val="nil"/>
            </w:tcBorders>
          </w:tcPr>
          <w:p>
            <w:pPr/>
          </w:p>
        </w:tc>
        <w:tc>
          <w:tcPr>
            <w:tcW w:w="1253" w:type="dxa"/>
            <w:tcBorders>
              <w:left w:val="nil"/>
              <w:bottom w:val="nil"/>
              <w:right w:val="nil"/>
            </w:tcBorders>
          </w:tcPr>
          <w:p>
            <w:pPr/>
          </w:p>
        </w:tc>
        <w:tc>
          <w:tcPr>
            <w:tcW w:w="1120" w:type="dxa"/>
            <w:tcBorders>
              <w:left w:val="nil"/>
              <w:bottom w:val="nil"/>
              <w:right w:val="nil"/>
            </w:tcBorders>
          </w:tcPr>
          <w:p>
            <w:pPr/>
          </w:p>
        </w:tc>
      </w:tr>
    </w:tbl>
    <w:p>
      <w:pPr>
        <w:pStyle w:val="BodyText"/>
        <w:rPr>
          <w:sz w:val="20"/>
        </w:rPr>
      </w:pPr>
    </w:p>
    <w:p>
      <w:pPr>
        <w:pStyle w:val="BodyText"/>
        <w:spacing w:before="2"/>
        <w:rPr>
          <w:sz w:val="26"/>
        </w:rPr>
      </w:pPr>
    </w:p>
    <w:p>
      <w:pPr>
        <w:pStyle w:val="BodyText"/>
        <w:spacing w:line="360" w:lineRule="auto" w:before="70"/>
        <w:ind w:left="625" w:right="209"/>
        <w:jc w:val="both"/>
      </w:pPr>
      <w:r>
        <w:rPr/>
        <w:t>El ingreso económico que percibe el cuidador puede resultar crucial para sobrellevar los gastos que genera el cuidar a un adulto mayor, se encontró que los cuidadores que perciben menos de un salario mínimo experimentan 100% de sobrecarga intensa, existe similitud en el resto de los resultados, el grupo  de cuidadores recibe de 1 a 2 salarios mínimos toleran un 88.9% de sobrecarga intensa y un 11.1% de sobrecarga leve, los que perciben de 2 a 3 salarios es el grupo con menor sobrecarga intensa en un 83.3% y 16.7% de sobrecarga leve, en tanto los que perciben de 3 a 4 salarios mínimos reportan 92.9% de sobrecarga intensa y un 7.1% de sobrecarga leve, mientras el grupo de más de 4 salarios sobrelleva 90% de sobrecarga intensa y el 10% restante experimenta sobrecarga leve, si bien, no se demostró significancia entre los grupos, ya que se obtuvo un valor de Chi-cuadra de 0.574 y un valor P de 0.909.</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4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2"/>
        <w:gridCol w:w="919"/>
        <w:gridCol w:w="888"/>
        <w:gridCol w:w="827"/>
        <w:gridCol w:w="804"/>
        <w:gridCol w:w="781"/>
        <w:gridCol w:w="872"/>
        <w:gridCol w:w="1140"/>
        <w:gridCol w:w="926"/>
      </w:tblGrid>
      <w:tr>
        <w:trPr>
          <w:trHeight w:val="684" w:hRule="exact"/>
        </w:trPr>
        <w:tc>
          <w:tcPr>
            <w:tcW w:w="8680" w:type="dxa"/>
            <w:gridSpan w:val="9"/>
            <w:tcBorders>
              <w:left w:val="nil"/>
              <w:right w:val="nil"/>
            </w:tcBorders>
          </w:tcPr>
          <w:p>
            <w:pPr>
              <w:pStyle w:val="TableParagraph"/>
              <w:spacing w:before="3"/>
              <w:jc w:val="left"/>
              <w:rPr>
                <w:sz w:val="22"/>
              </w:rPr>
            </w:pPr>
          </w:p>
          <w:p>
            <w:pPr>
              <w:pStyle w:val="TableParagraph"/>
              <w:ind w:left="1903"/>
              <w:jc w:val="left"/>
              <w:rPr>
                <w:b/>
                <w:sz w:val="20"/>
              </w:rPr>
            </w:pPr>
            <w:r>
              <w:rPr>
                <w:b/>
                <w:sz w:val="20"/>
              </w:rPr>
              <w:t>Días de estancia hospitalaria – Nivel de sobrecarga</w:t>
            </w:r>
          </w:p>
        </w:tc>
      </w:tr>
      <w:tr>
        <w:trPr>
          <w:trHeight w:val="459" w:hRule="exact"/>
        </w:trPr>
        <w:tc>
          <w:tcPr>
            <w:tcW w:w="8680" w:type="dxa"/>
            <w:gridSpan w:val="9"/>
            <w:tcBorders>
              <w:left w:val="nil"/>
              <w:bottom w:val="nil"/>
              <w:right w:val="nil"/>
            </w:tcBorders>
            <w:shd w:val="clear" w:color="auto" w:fill="99CC00"/>
          </w:tcPr>
          <w:p>
            <w:pPr>
              <w:pStyle w:val="TableParagraph"/>
              <w:jc w:val="left"/>
              <w:rPr>
                <w:sz w:val="16"/>
              </w:rPr>
            </w:pPr>
          </w:p>
          <w:p>
            <w:pPr>
              <w:pStyle w:val="TableParagraph"/>
              <w:ind w:left="3286"/>
              <w:jc w:val="left"/>
              <w:rPr>
                <w:sz w:val="20"/>
              </w:rPr>
            </w:pPr>
            <w:r>
              <w:rPr>
                <w:sz w:val="20"/>
              </w:rPr>
              <w:t>Días de estancia hospitalaria %</w:t>
            </w:r>
          </w:p>
        </w:tc>
      </w:tr>
      <w:tr>
        <w:trPr>
          <w:trHeight w:val="986" w:hRule="exact"/>
        </w:trPr>
        <w:tc>
          <w:tcPr>
            <w:tcW w:w="1522" w:type="dxa"/>
            <w:tcBorders>
              <w:top w:val="nil"/>
              <w:left w:val="nil"/>
              <w:right w:val="nil"/>
            </w:tcBorders>
            <w:shd w:val="clear" w:color="auto" w:fill="99CC00"/>
          </w:tcPr>
          <w:p>
            <w:pPr>
              <w:pStyle w:val="TableParagraph"/>
              <w:spacing w:line="264" w:lineRule="auto" w:before="18"/>
              <w:ind w:left="273" w:firstLine="156"/>
              <w:jc w:val="left"/>
              <w:rPr>
                <w:b/>
                <w:sz w:val="20"/>
              </w:rPr>
            </w:pPr>
            <w:r>
              <w:rPr>
                <w:b/>
                <w:sz w:val="20"/>
              </w:rPr>
              <w:t>Nivel de </w:t>
            </w:r>
            <w:r>
              <w:rPr>
                <w:b/>
                <w:w w:val="95"/>
                <w:sz w:val="20"/>
              </w:rPr>
              <w:t>sobrecarga</w:t>
            </w:r>
          </w:p>
        </w:tc>
        <w:tc>
          <w:tcPr>
            <w:tcW w:w="919" w:type="dxa"/>
            <w:tcBorders>
              <w:top w:val="nil"/>
              <w:left w:val="nil"/>
              <w:right w:val="nil"/>
            </w:tcBorders>
            <w:shd w:val="clear" w:color="auto" w:fill="99CC00"/>
          </w:tcPr>
          <w:p>
            <w:pPr>
              <w:pStyle w:val="TableParagraph"/>
              <w:spacing w:before="9"/>
              <w:jc w:val="left"/>
              <w:rPr>
                <w:sz w:val="29"/>
              </w:rPr>
            </w:pPr>
          </w:p>
          <w:p>
            <w:pPr>
              <w:pStyle w:val="TableParagraph"/>
              <w:ind w:left="154" w:right="100"/>
              <w:rPr>
                <w:b/>
                <w:sz w:val="22"/>
              </w:rPr>
            </w:pPr>
            <w:r>
              <w:rPr>
                <w:b/>
                <w:sz w:val="22"/>
              </w:rPr>
              <w:t>5 días</w:t>
            </w:r>
          </w:p>
        </w:tc>
        <w:tc>
          <w:tcPr>
            <w:tcW w:w="888" w:type="dxa"/>
            <w:tcBorders>
              <w:top w:val="nil"/>
              <w:left w:val="nil"/>
              <w:right w:val="nil"/>
            </w:tcBorders>
            <w:shd w:val="clear" w:color="auto" w:fill="99CC00"/>
          </w:tcPr>
          <w:p>
            <w:pPr>
              <w:pStyle w:val="TableParagraph"/>
              <w:spacing w:before="9"/>
              <w:jc w:val="left"/>
              <w:rPr>
                <w:sz w:val="29"/>
              </w:rPr>
            </w:pPr>
          </w:p>
          <w:p>
            <w:pPr>
              <w:pStyle w:val="TableParagraph"/>
              <w:ind w:left="101" w:right="123"/>
              <w:rPr>
                <w:b/>
                <w:sz w:val="22"/>
              </w:rPr>
            </w:pPr>
            <w:r>
              <w:rPr>
                <w:b/>
                <w:sz w:val="22"/>
              </w:rPr>
              <w:t>6 días</w:t>
            </w:r>
          </w:p>
        </w:tc>
        <w:tc>
          <w:tcPr>
            <w:tcW w:w="827" w:type="dxa"/>
            <w:tcBorders>
              <w:top w:val="nil"/>
              <w:left w:val="nil"/>
              <w:right w:val="nil"/>
            </w:tcBorders>
            <w:shd w:val="clear" w:color="auto" w:fill="99CC00"/>
          </w:tcPr>
          <w:p>
            <w:pPr>
              <w:pStyle w:val="TableParagraph"/>
              <w:jc w:val="left"/>
              <w:rPr>
                <w:sz w:val="20"/>
              </w:rPr>
            </w:pPr>
          </w:p>
          <w:p>
            <w:pPr>
              <w:pStyle w:val="TableParagraph"/>
              <w:spacing w:before="126"/>
              <w:ind w:left="121" w:right="99"/>
              <w:rPr>
                <w:b/>
                <w:sz w:val="20"/>
              </w:rPr>
            </w:pPr>
            <w:r>
              <w:rPr>
                <w:b/>
                <w:sz w:val="20"/>
              </w:rPr>
              <w:t>7 días</w:t>
            </w:r>
          </w:p>
        </w:tc>
        <w:tc>
          <w:tcPr>
            <w:tcW w:w="804" w:type="dxa"/>
            <w:tcBorders>
              <w:top w:val="nil"/>
              <w:left w:val="nil"/>
              <w:right w:val="nil"/>
            </w:tcBorders>
            <w:shd w:val="clear" w:color="auto" w:fill="99CC00"/>
          </w:tcPr>
          <w:p>
            <w:pPr>
              <w:pStyle w:val="TableParagraph"/>
              <w:jc w:val="left"/>
              <w:rPr>
                <w:sz w:val="20"/>
              </w:rPr>
            </w:pPr>
          </w:p>
          <w:p>
            <w:pPr>
              <w:pStyle w:val="TableParagraph"/>
              <w:spacing w:before="126"/>
              <w:ind w:left="98" w:right="98"/>
              <w:rPr>
                <w:b/>
                <w:sz w:val="20"/>
              </w:rPr>
            </w:pPr>
            <w:r>
              <w:rPr>
                <w:b/>
                <w:sz w:val="20"/>
              </w:rPr>
              <w:t>8 días</w:t>
            </w:r>
          </w:p>
        </w:tc>
        <w:tc>
          <w:tcPr>
            <w:tcW w:w="781" w:type="dxa"/>
            <w:tcBorders>
              <w:top w:val="nil"/>
              <w:left w:val="nil"/>
              <w:right w:val="nil"/>
            </w:tcBorders>
            <w:shd w:val="clear" w:color="auto" w:fill="99CC00"/>
          </w:tcPr>
          <w:p>
            <w:pPr>
              <w:pStyle w:val="TableParagraph"/>
              <w:jc w:val="left"/>
              <w:rPr>
                <w:sz w:val="20"/>
              </w:rPr>
            </w:pPr>
          </w:p>
          <w:p>
            <w:pPr>
              <w:pStyle w:val="TableParagraph"/>
              <w:spacing w:before="126"/>
              <w:ind w:left="98" w:right="76"/>
              <w:rPr>
                <w:b/>
                <w:sz w:val="20"/>
              </w:rPr>
            </w:pPr>
            <w:r>
              <w:rPr>
                <w:b/>
                <w:sz w:val="20"/>
              </w:rPr>
              <w:t>9 días</w:t>
            </w:r>
          </w:p>
        </w:tc>
        <w:tc>
          <w:tcPr>
            <w:tcW w:w="872" w:type="dxa"/>
            <w:tcBorders>
              <w:top w:val="nil"/>
              <w:left w:val="nil"/>
              <w:right w:val="nil"/>
            </w:tcBorders>
            <w:shd w:val="clear" w:color="auto" w:fill="99CC00"/>
          </w:tcPr>
          <w:p>
            <w:pPr>
              <w:pStyle w:val="TableParagraph"/>
              <w:jc w:val="left"/>
              <w:rPr>
                <w:sz w:val="20"/>
              </w:rPr>
            </w:pPr>
          </w:p>
          <w:p>
            <w:pPr>
              <w:pStyle w:val="TableParagraph"/>
              <w:spacing w:before="126"/>
              <w:ind w:left="76" w:right="77"/>
              <w:rPr>
                <w:b/>
                <w:sz w:val="20"/>
              </w:rPr>
            </w:pPr>
            <w:r>
              <w:rPr>
                <w:b/>
                <w:sz w:val="20"/>
              </w:rPr>
              <w:t>10 días</w:t>
            </w:r>
          </w:p>
        </w:tc>
        <w:tc>
          <w:tcPr>
            <w:tcW w:w="1140" w:type="dxa"/>
            <w:tcBorders>
              <w:top w:val="nil"/>
              <w:left w:val="nil"/>
              <w:right w:val="nil"/>
            </w:tcBorders>
            <w:shd w:val="clear" w:color="auto" w:fill="99CC00"/>
          </w:tcPr>
          <w:p>
            <w:pPr>
              <w:pStyle w:val="TableParagraph"/>
              <w:spacing w:before="150"/>
              <w:ind w:left="29" w:right="55"/>
              <w:rPr>
                <w:b/>
                <w:sz w:val="20"/>
              </w:rPr>
            </w:pPr>
            <w:r>
              <w:rPr>
                <w:b/>
                <w:sz w:val="20"/>
              </w:rPr>
              <w:t>Más</w:t>
            </w:r>
          </w:p>
          <w:p>
            <w:pPr>
              <w:pStyle w:val="TableParagraph"/>
              <w:spacing w:before="10"/>
              <w:jc w:val="left"/>
              <w:rPr>
                <w:sz w:val="15"/>
              </w:rPr>
            </w:pPr>
          </w:p>
          <w:p>
            <w:pPr>
              <w:pStyle w:val="TableParagraph"/>
              <w:ind w:left="77" w:right="55"/>
              <w:rPr>
                <w:b/>
                <w:sz w:val="20"/>
              </w:rPr>
            </w:pPr>
            <w:r>
              <w:rPr>
                <w:b/>
                <w:sz w:val="20"/>
              </w:rPr>
              <w:t>de 10 días</w:t>
            </w:r>
          </w:p>
        </w:tc>
        <w:tc>
          <w:tcPr>
            <w:tcW w:w="926" w:type="dxa"/>
            <w:tcBorders>
              <w:top w:val="nil"/>
              <w:left w:val="nil"/>
              <w:right w:val="nil"/>
            </w:tcBorders>
            <w:shd w:val="clear" w:color="auto" w:fill="99CC00"/>
          </w:tcPr>
          <w:p>
            <w:pPr>
              <w:pStyle w:val="TableParagraph"/>
              <w:spacing w:before="5"/>
              <w:jc w:val="left"/>
              <w:rPr>
                <w:sz w:val="22"/>
              </w:rPr>
            </w:pPr>
          </w:p>
          <w:p>
            <w:pPr>
              <w:pStyle w:val="TableParagraph"/>
              <w:ind w:left="57" w:right="62"/>
              <w:rPr>
                <w:b/>
                <w:sz w:val="20"/>
              </w:rPr>
            </w:pPr>
            <w:r>
              <w:rPr>
                <w:b/>
                <w:sz w:val="20"/>
              </w:rPr>
              <w:t>Valor P*</w:t>
            </w:r>
          </w:p>
        </w:tc>
      </w:tr>
      <w:tr>
        <w:trPr>
          <w:trHeight w:val="665" w:hRule="exact"/>
        </w:trPr>
        <w:tc>
          <w:tcPr>
            <w:tcW w:w="1522" w:type="dxa"/>
            <w:tcBorders>
              <w:left w:val="nil"/>
              <w:bottom w:val="nil"/>
              <w:right w:val="nil"/>
            </w:tcBorders>
          </w:tcPr>
          <w:p>
            <w:pPr>
              <w:pStyle w:val="TableParagraph"/>
              <w:spacing w:before="1"/>
              <w:jc w:val="left"/>
              <w:rPr>
                <w:sz w:val="22"/>
              </w:rPr>
            </w:pPr>
          </w:p>
          <w:p>
            <w:pPr>
              <w:pStyle w:val="TableParagraph"/>
              <w:ind w:left="124" w:right="24"/>
              <w:rPr>
                <w:b/>
                <w:sz w:val="22"/>
              </w:rPr>
            </w:pPr>
            <w:r>
              <w:rPr>
                <w:b/>
                <w:sz w:val="22"/>
              </w:rPr>
              <w:t>Leve</w:t>
            </w:r>
          </w:p>
        </w:tc>
        <w:tc>
          <w:tcPr>
            <w:tcW w:w="919" w:type="dxa"/>
            <w:tcBorders>
              <w:left w:val="nil"/>
              <w:bottom w:val="nil"/>
              <w:right w:val="nil"/>
            </w:tcBorders>
          </w:tcPr>
          <w:p>
            <w:pPr>
              <w:pStyle w:val="TableParagraph"/>
              <w:spacing w:before="6"/>
              <w:jc w:val="left"/>
              <w:rPr>
                <w:sz w:val="24"/>
              </w:rPr>
            </w:pPr>
          </w:p>
          <w:p>
            <w:pPr>
              <w:pStyle w:val="TableParagraph"/>
              <w:spacing w:before="1"/>
              <w:ind w:left="149" w:right="100"/>
              <w:rPr>
                <w:sz w:val="20"/>
              </w:rPr>
            </w:pPr>
            <w:r>
              <w:rPr>
                <w:sz w:val="20"/>
              </w:rPr>
              <w:t>16.7</w:t>
            </w:r>
          </w:p>
        </w:tc>
        <w:tc>
          <w:tcPr>
            <w:tcW w:w="888" w:type="dxa"/>
            <w:tcBorders>
              <w:left w:val="nil"/>
              <w:bottom w:val="nil"/>
              <w:right w:val="nil"/>
            </w:tcBorders>
          </w:tcPr>
          <w:p>
            <w:pPr>
              <w:pStyle w:val="TableParagraph"/>
              <w:spacing w:before="6"/>
              <w:jc w:val="left"/>
              <w:rPr>
                <w:sz w:val="24"/>
              </w:rPr>
            </w:pPr>
          </w:p>
          <w:p>
            <w:pPr>
              <w:pStyle w:val="TableParagraph"/>
              <w:spacing w:before="1"/>
              <w:ind w:left="96" w:right="123"/>
              <w:rPr>
                <w:sz w:val="20"/>
              </w:rPr>
            </w:pPr>
            <w:r>
              <w:rPr>
                <w:sz w:val="20"/>
              </w:rPr>
              <w:t>14.3</w:t>
            </w:r>
          </w:p>
        </w:tc>
        <w:tc>
          <w:tcPr>
            <w:tcW w:w="827" w:type="dxa"/>
            <w:tcBorders>
              <w:left w:val="nil"/>
              <w:bottom w:val="nil"/>
              <w:right w:val="nil"/>
            </w:tcBorders>
          </w:tcPr>
          <w:p>
            <w:pPr>
              <w:pStyle w:val="TableParagraph"/>
              <w:spacing w:before="6"/>
              <w:jc w:val="left"/>
              <w:rPr>
                <w:sz w:val="24"/>
              </w:rPr>
            </w:pPr>
          </w:p>
          <w:p>
            <w:pPr>
              <w:pStyle w:val="TableParagraph"/>
              <w:spacing w:before="1"/>
              <w:ind w:left="120" w:right="99"/>
              <w:rPr>
                <w:sz w:val="20"/>
              </w:rPr>
            </w:pPr>
            <w:r>
              <w:rPr>
                <w:sz w:val="20"/>
              </w:rPr>
              <w:t>14.3</w:t>
            </w:r>
          </w:p>
        </w:tc>
        <w:tc>
          <w:tcPr>
            <w:tcW w:w="804" w:type="dxa"/>
            <w:tcBorders>
              <w:left w:val="nil"/>
              <w:bottom w:val="nil"/>
              <w:right w:val="nil"/>
            </w:tcBorders>
          </w:tcPr>
          <w:p>
            <w:pPr>
              <w:pStyle w:val="TableParagraph"/>
              <w:spacing w:before="6"/>
              <w:jc w:val="left"/>
              <w:rPr>
                <w:sz w:val="24"/>
              </w:rPr>
            </w:pPr>
          </w:p>
          <w:p>
            <w:pPr>
              <w:pStyle w:val="TableParagraph"/>
              <w:spacing w:before="1"/>
              <w:ind w:left="1"/>
              <w:rPr>
                <w:sz w:val="20"/>
              </w:rPr>
            </w:pPr>
            <w:r>
              <w:rPr>
                <w:w w:val="99"/>
                <w:sz w:val="20"/>
              </w:rPr>
              <w:t>-</w:t>
            </w:r>
          </w:p>
        </w:tc>
        <w:tc>
          <w:tcPr>
            <w:tcW w:w="781" w:type="dxa"/>
            <w:tcBorders>
              <w:left w:val="nil"/>
              <w:bottom w:val="nil"/>
              <w:right w:val="nil"/>
            </w:tcBorders>
          </w:tcPr>
          <w:p>
            <w:pPr>
              <w:pStyle w:val="TableParagraph"/>
              <w:spacing w:before="6"/>
              <w:jc w:val="left"/>
              <w:rPr>
                <w:sz w:val="24"/>
              </w:rPr>
            </w:pPr>
          </w:p>
          <w:p>
            <w:pPr>
              <w:pStyle w:val="TableParagraph"/>
              <w:spacing w:before="1"/>
              <w:ind w:left="23"/>
              <w:rPr>
                <w:sz w:val="20"/>
              </w:rPr>
            </w:pPr>
            <w:r>
              <w:rPr>
                <w:w w:val="99"/>
                <w:sz w:val="20"/>
              </w:rPr>
              <w:t>-</w:t>
            </w:r>
          </w:p>
        </w:tc>
        <w:tc>
          <w:tcPr>
            <w:tcW w:w="872" w:type="dxa"/>
            <w:tcBorders>
              <w:left w:val="nil"/>
              <w:bottom w:val="nil"/>
              <w:right w:val="nil"/>
            </w:tcBorders>
          </w:tcPr>
          <w:p>
            <w:pPr>
              <w:pStyle w:val="TableParagraph"/>
              <w:spacing w:before="6"/>
              <w:jc w:val="left"/>
              <w:rPr>
                <w:sz w:val="24"/>
              </w:rPr>
            </w:pPr>
          </w:p>
          <w:p>
            <w:pPr>
              <w:pStyle w:val="TableParagraph"/>
              <w:spacing w:before="1"/>
              <w:rPr>
                <w:sz w:val="20"/>
              </w:rPr>
            </w:pPr>
            <w:r>
              <w:rPr>
                <w:w w:val="99"/>
                <w:sz w:val="20"/>
              </w:rPr>
              <w:t>-</w:t>
            </w:r>
          </w:p>
        </w:tc>
        <w:tc>
          <w:tcPr>
            <w:tcW w:w="1140" w:type="dxa"/>
            <w:tcBorders>
              <w:left w:val="nil"/>
              <w:bottom w:val="nil"/>
              <w:right w:val="nil"/>
            </w:tcBorders>
          </w:tcPr>
          <w:p>
            <w:pPr>
              <w:pStyle w:val="TableParagraph"/>
              <w:spacing w:before="6"/>
              <w:jc w:val="left"/>
              <w:rPr>
                <w:sz w:val="24"/>
              </w:rPr>
            </w:pPr>
          </w:p>
          <w:p>
            <w:pPr>
              <w:pStyle w:val="TableParagraph"/>
              <w:spacing w:before="1"/>
              <w:ind w:right="29"/>
              <w:rPr>
                <w:sz w:val="20"/>
              </w:rPr>
            </w:pPr>
            <w:r>
              <w:rPr>
                <w:w w:val="99"/>
                <w:sz w:val="20"/>
              </w:rPr>
              <w:t>-</w:t>
            </w:r>
          </w:p>
        </w:tc>
        <w:tc>
          <w:tcPr>
            <w:tcW w:w="926" w:type="dxa"/>
            <w:tcBorders>
              <w:left w:val="nil"/>
              <w:bottom w:val="nil"/>
              <w:right w:val="nil"/>
            </w:tcBorders>
          </w:tcPr>
          <w:p>
            <w:pPr>
              <w:pStyle w:val="TableParagraph"/>
              <w:jc w:val="left"/>
              <w:rPr>
                <w:sz w:val="20"/>
              </w:rPr>
            </w:pPr>
          </w:p>
          <w:p>
            <w:pPr>
              <w:pStyle w:val="TableParagraph"/>
              <w:spacing w:before="134"/>
              <w:ind w:left="57" w:right="59"/>
              <w:rPr>
                <w:sz w:val="20"/>
              </w:rPr>
            </w:pPr>
            <w:r>
              <w:rPr>
                <w:sz w:val="20"/>
              </w:rPr>
              <w:t>0.301</w:t>
            </w:r>
          </w:p>
        </w:tc>
      </w:tr>
      <w:tr>
        <w:trPr>
          <w:trHeight w:val="492" w:hRule="exact"/>
        </w:trPr>
        <w:tc>
          <w:tcPr>
            <w:tcW w:w="1522" w:type="dxa"/>
            <w:tcBorders>
              <w:top w:val="nil"/>
              <w:left w:val="nil"/>
              <w:right w:val="nil"/>
            </w:tcBorders>
          </w:tcPr>
          <w:p>
            <w:pPr>
              <w:pStyle w:val="TableParagraph"/>
              <w:spacing w:before="43"/>
              <w:ind w:left="189" w:right="24"/>
              <w:rPr>
                <w:b/>
                <w:sz w:val="22"/>
              </w:rPr>
            </w:pPr>
            <w:r>
              <w:rPr>
                <w:b/>
                <w:sz w:val="22"/>
              </w:rPr>
              <w:t>Intensa</w:t>
            </w:r>
          </w:p>
        </w:tc>
        <w:tc>
          <w:tcPr>
            <w:tcW w:w="919" w:type="dxa"/>
            <w:tcBorders>
              <w:top w:val="nil"/>
              <w:left w:val="nil"/>
              <w:right w:val="nil"/>
            </w:tcBorders>
          </w:tcPr>
          <w:p>
            <w:pPr>
              <w:pStyle w:val="TableParagraph"/>
              <w:spacing w:before="71"/>
              <w:ind w:left="149" w:right="100"/>
              <w:rPr>
                <w:sz w:val="20"/>
              </w:rPr>
            </w:pPr>
            <w:r>
              <w:rPr>
                <w:sz w:val="20"/>
              </w:rPr>
              <w:t>83.3</w:t>
            </w:r>
          </w:p>
        </w:tc>
        <w:tc>
          <w:tcPr>
            <w:tcW w:w="888" w:type="dxa"/>
            <w:tcBorders>
              <w:top w:val="nil"/>
              <w:left w:val="nil"/>
              <w:right w:val="nil"/>
            </w:tcBorders>
          </w:tcPr>
          <w:p>
            <w:pPr>
              <w:pStyle w:val="TableParagraph"/>
              <w:spacing w:before="71"/>
              <w:ind w:left="96" w:right="123"/>
              <w:rPr>
                <w:sz w:val="20"/>
              </w:rPr>
            </w:pPr>
            <w:r>
              <w:rPr>
                <w:sz w:val="20"/>
              </w:rPr>
              <w:t>85.7</w:t>
            </w:r>
          </w:p>
        </w:tc>
        <w:tc>
          <w:tcPr>
            <w:tcW w:w="827" w:type="dxa"/>
            <w:tcBorders>
              <w:top w:val="nil"/>
              <w:left w:val="nil"/>
              <w:right w:val="nil"/>
            </w:tcBorders>
          </w:tcPr>
          <w:p>
            <w:pPr>
              <w:pStyle w:val="TableParagraph"/>
              <w:spacing w:before="71"/>
              <w:ind w:left="120" w:right="99"/>
              <w:rPr>
                <w:sz w:val="20"/>
              </w:rPr>
            </w:pPr>
            <w:r>
              <w:rPr>
                <w:sz w:val="20"/>
              </w:rPr>
              <w:t>85.7</w:t>
            </w:r>
          </w:p>
        </w:tc>
        <w:tc>
          <w:tcPr>
            <w:tcW w:w="804" w:type="dxa"/>
            <w:tcBorders>
              <w:top w:val="nil"/>
              <w:left w:val="nil"/>
              <w:right w:val="nil"/>
            </w:tcBorders>
          </w:tcPr>
          <w:p>
            <w:pPr>
              <w:pStyle w:val="TableParagraph"/>
              <w:spacing w:before="71"/>
              <w:ind w:left="98" w:right="97"/>
              <w:rPr>
                <w:sz w:val="20"/>
              </w:rPr>
            </w:pPr>
            <w:r>
              <w:rPr>
                <w:sz w:val="20"/>
              </w:rPr>
              <w:t>100</w:t>
            </w:r>
          </w:p>
        </w:tc>
        <w:tc>
          <w:tcPr>
            <w:tcW w:w="781" w:type="dxa"/>
            <w:tcBorders>
              <w:top w:val="nil"/>
              <w:left w:val="nil"/>
              <w:right w:val="nil"/>
            </w:tcBorders>
          </w:tcPr>
          <w:p>
            <w:pPr>
              <w:pStyle w:val="TableParagraph"/>
              <w:spacing w:before="71"/>
              <w:ind w:left="98" w:right="74"/>
              <w:rPr>
                <w:sz w:val="20"/>
              </w:rPr>
            </w:pPr>
            <w:r>
              <w:rPr>
                <w:sz w:val="20"/>
              </w:rPr>
              <w:t>100</w:t>
            </w:r>
          </w:p>
        </w:tc>
        <w:tc>
          <w:tcPr>
            <w:tcW w:w="872" w:type="dxa"/>
            <w:tcBorders>
              <w:top w:val="nil"/>
              <w:left w:val="nil"/>
              <w:right w:val="nil"/>
            </w:tcBorders>
          </w:tcPr>
          <w:p>
            <w:pPr>
              <w:pStyle w:val="TableParagraph"/>
              <w:spacing w:before="71"/>
              <w:ind w:left="76" w:right="77"/>
              <w:rPr>
                <w:sz w:val="20"/>
              </w:rPr>
            </w:pPr>
            <w:r>
              <w:rPr>
                <w:sz w:val="20"/>
              </w:rPr>
              <w:t>100</w:t>
            </w:r>
          </w:p>
        </w:tc>
        <w:tc>
          <w:tcPr>
            <w:tcW w:w="1140" w:type="dxa"/>
            <w:tcBorders>
              <w:top w:val="nil"/>
              <w:left w:val="nil"/>
              <w:right w:val="nil"/>
            </w:tcBorders>
          </w:tcPr>
          <w:p>
            <w:pPr>
              <w:pStyle w:val="TableParagraph"/>
              <w:spacing w:before="71"/>
              <w:ind w:left="22" w:right="55"/>
              <w:rPr>
                <w:sz w:val="20"/>
              </w:rPr>
            </w:pPr>
            <w:r>
              <w:rPr>
                <w:sz w:val="20"/>
              </w:rPr>
              <w:t>100</w:t>
            </w:r>
          </w:p>
        </w:tc>
        <w:tc>
          <w:tcPr>
            <w:tcW w:w="926" w:type="dxa"/>
            <w:tcBorders>
              <w:top w:val="nil"/>
              <w:left w:val="nil"/>
              <w:right w:val="nil"/>
            </w:tcBorders>
          </w:tcPr>
          <w:p>
            <w:pPr/>
          </w:p>
        </w:tc>
      </w:tr>
      <w:tr>
        <w:trPr>
          <w:trHeight w:val="227" w:hRule="exact"/>
        </w:trPr>
        <w:tc>
          <w:tcPr>
            <w:tcW w:w="1522" w:type="dxa"/>
            <w:tcBorders>
              <w:left w:val="nil"/>
              <w:bottom w:val="nil"/>
              <w:right w:val="nil"/>
            </w:tcBorders>
          </w:tcPr>
          <w:p>
            <w:pPr>
              <w:pStyle w:val="TableParagraph"/>
              <w:spacing w:line="227" w:lineRule="exact"/>
              <w:ind w:left="122" w:right="24"/>
              <w:rPr>
                <w:sz w:val="20"/>
              </w:rPr>
            </w:pPr>
            <w:r>
              <w:rPr>
                <w:sz w:val="20"/>
              </w:rPr>
              <w:t>* Chi-cuadrada</w:t>
            </w:r>
          </w:p>
        </w:tc>
        <w:tc>
          <w:tcPr>
            <w:tcW w:w="919" w:type="dxa"/>
            <w:tcBorders>
              <w:left w:val="nil"/>
              <w:bottom w:val="nil"/>
              <w:right w:val="nil"/>
            </w:tcBorders>
          </w:tcPr>
          <w:p>
            <w:pPr/>
          </w:p>
        </w:tc>
        <w:tc>
          <w:tcPr>
            <w:tcW w:w="888" w:type="dxa"/>
            <w:tcBorders>
              <w:left w:val="nil"/>
              <w:bottom w:val="nil"/>
              <w:right w:val="nil"/>
            </w:tcBorders>
          </w:tcPr>
          <w:p>
            <w:pPr/>
          </w:p>
        </w:tc>
        <w:tc>
          <w:tcPr>
            <w:tcW w:w="827" w:type="dxa"/>
            <w:tcBorders>
              <w:left w:val="nil"/>
              <w:bottom w:val="nil"/>
              <w:right w:val="nil"/>
            </w:tcBorders>
          </w:tcPr>
          <w:p>
            <w:pPr/>
          </w:p>
        </w:tc>
        <w:tc>
          <w:tcPr>
            <w:tcW w:w="804" w:type="dxa"/>
            <w:tcBorders>
              <w:left w:val="nil"/>
              <w:bottom w:val="nil"/>
              <w:right w:val="nil"/>
            </w:tcBorders>
          </w:tcPr>
          <w:p>
            <w:pPr/>
          </w:p>
        </w:tc>
        <w:tc>
          <w:tcPr>
            <w:tcW w:w="781" w:type="dxa"/>
            <w:tcBorders>
              <w:left w:val="nil"/>
              <w:bottom w:val="nil"/>
              <w:right w:val="nil"/>
            </w:tcBorders>
          </w:tcPr>
          <w:p>
            <w:pPr/>
          </w:p>
        </w:tc>
        <w:tc>
          <w:tcPr>
            <w:tcW w:w="872" w:type="dxa"/>
            <w:tcBorders>
              <w:left w:val="nil"/>
              <w:bottom w:val="nil"/>
              <w:right w:val="nil"/>
            </w:tcBorders>
          </w:tcPr>
          <w:p>
            <w:pPr/>
          </w:p>
        </w:tc>
        <w:tc>
          <w:tcPr>
            <w:tcW w:w="1140" w:type="dxa"/>
            <w:tcBorders>
              <w:left w:val="nil"/>
              <w:bottom w:val="nil"/>
              <w:right w:val="nil"/>
            </w:tcBorders>
          </w:tcPr>
          <w:p>
            <w:pPr/>
          </w:p>
        </w:tc>
        <w:tc>
          <w:tcPr>
            <w:tcW w:w="926" w:type="dxa"/>
            <w:tcBorders>
              <w:left w:val="nil"/>
              <w:bottom w:val="nil"/>
              <w:right w:val="nil"/>
            </w:tcBorders>
          </w:tcPr>
          <w:p>
            <w:pPr/>
          </w:p>
        </w:tc>
      </w:tr>
    </w:tbl>
    <w:p>
      <w:pPr>
        <w:pStyle w:val="BodyText"/>
        <w:rPr>
          <w:sz w:val="20"/>
        </w:rPr>
      </w:pPr>
    </w:p>
    <w:p>
      <w:pPr>
        <w:pStyle w:val="BodyText"/>
        <w:spacing w:before="5"/>
        <w:rPr>
          <w:sz w:val="26"/>
        </w:rPr>
      </w:pPr>
    </w:p>
    <w:p>
      <w:pPr>
        <w:pStyle w:val="BodyText"/>
        <w:spacing w:line="360" w:lineRule="auto" w:before="69"/>
        <w:ind w:left="625" w:right="208"/>
        <w:jc w:val="both"/>
      </w:pPr>
      <w:r>
        <w:rPr/>
        <w:t>En cuanto a los días de estancia hospitalaria, se observó que el nivel de sobrecarga intensa aumenta en proporción a los días de hospitalización, ya que de los cuidadores que se encuentran en el quinto día de hospitalización de su paciente experimentan 16.7% de sobrecarga leve y el 83.3% sobrecarga intensa, los que se encuentran en el sexto día sobrellevan un 14.3% de sobrecarga leve en tanto el 85.7% experimenta sobrecarga intensa, los que se encuentran en el día 7 experimentan 14.3% de sobrecarga leve en tanto el 85.7% sobrelleva sobrecarga intensa, a partir del día 8 hasta más de 10 días de hospitalización la sobrecarga se mantiene en sobrecarga intensa, si bien no se puede demostrar significancia estadísticamente, es visible el incremento del nivel de sobrecarga al prolongarse la estancia hospitalaria. Se encontró un valor de Chi-cuadrada de 1.07 y valor P de 0.301, por lo que no existen diferencias estadísticamente</w:t>
      </w:r>
      <w:r>
        <w:rPr>
          <w:spacing w:val="-14"/>
        </w:rPr>
        <w:t> </w:t>
      </w:r>
      <w:r>
        <w:rPr/>
        <w:t>significativas.</w:t>
      </w:r>
    </w:p>
    <w:p>
      <w:pPr>
        <w:spacing w:after="0" w:line="360" w:lineRule="auto"/>
        <w:jc w:val="both"/>
        <w:sectPr>
          <w:footerReference w:type="default" r:id="rId72"/>
          <w:pgSz w:w="12250" w:h="15850"/>
          <w:pgMar w:footer="1122" w:header="748"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6"/>
        <w:gridCol w:w="776"/>
        <w:gridCol w:w="715"/>
        <w:gridCol w:w="887"/>
        <w:gridCol w:w="1040"/>
        <w:gridCol w:w="1429"/>
        <w:gridCol w:w="822"/>
        <w:gridCol w:w="1167"/>
      </w:tblGrid>
      <w:tr>
        <w:trPr>
          <w:trHeight w:val="684" w:hRule="exact"/>
        </w:trPr>
        <w:tc>
          <w:tcPr>
            <w:tcW w:w="8642" w:type="dxa"/>
            <w:gridSpan w:val="8"/>
            <w:tcBorders>
              <w:left w:val="nil"/>
              <w:right w:val="nil"/>
            </w:tcBorders>
          </w:tcPr>
          <w:p>
            <w:pPr>
              <w:pStyle w:val="TableParagraph"/>
              <w:spacing w:before="3"/>
              <w:jc w:val="left"/>
              <w:rPr>
                <w:sz w:val="22"/>
              </w:rPr>
            </w:pPr>
          </w:p>
          <w:p>
            <w:pPr>
              <w:pStyle w:val="TableParagraph"/>
              <w:ind w:left="2335"/>
              <w:jc w:val="left"/>
              <w:rPr>
                <w:b/>
                <w:sz w:val="20"/>
              </w:rPr>
            </w:pPr>
            <w:r>
              <w:rPr>
                <w:b/>
                <w:sz w:val="20"/>
              </w:rPr>
              <w:t>Diagnóstico médico / Nivel de sobrecarga</w:t>
            </w:r>
          </w:p>
        </w:tc>
      </w:tr>
      <w:tr>
        <w:trPr>
          <w:trHeight w:val="538" w:hRule="exact"/>
        </w:trPr>
        <w:tc>
          <w:tcPr>
            <w:tcW w:w="1806" w:type="dxa"/>
            <w:vMerge w:val="restart"/>
            <w:tcBorders>
              <w:left w:val="nil"/>
              <w:right w:val="nil"/>
            </w:tcBorders>
            <w:shd w:val="clear" w:color="auto" w:fill="99CC00"/>
          </w:tcPr>
          <w:p>
            <w:pPr>
              <w:pStyle w:val="TableParagraph"/>
              <w:spacing w:before="6"/>
              <w:jc w:val="left"/>
              <w:rPr>
                <w:sz w:val="28"/>
              </w:rPr>
            </w:pPr>
          </w:p>
          <w:p>
            <w:pPr>
              <w:pStyle w:val="TableParagraph"/>
              <w:spacing w:line="266" w:lineRule="auto"/>
              <w:ind w:left="463" w:firstLine="156"/>
              <w:jc w:val="left"/>
              <w:rPr>
                <w:b/>
                <w:sz w:val="20"/>
              </w:rPr>
            </w:pPr>
            <w:r>
              <w:rPr>
                <w:b/>
                <w:sz w:val="20"/>
              </w:rPr>
              <w:t>Nivel de </w:t>
            </w:r>
            <w:r>
              <w:rPr>
                <w:b/>
                <w:w w:val="95"/>
                <w:sz w:val="20"/>
              </w:rPr>
              <w:t>sobrecarga</w:t>
            </w:r>
          </w:p>
        </w:tc>
        <w:tc>
          <w:tcPr>
            <w:tcW w:w="776" w:type="dxa"/>
            <w:tcBorders>
              <w:left w:val="nil"/>
              <w:bottom w:val="nil"/>
              <w:right w:val="nil"/>
            </w:tcBorders>
            <w:shd w:val="clear" w:color="auto" w:fill="99CC00"/>
          </w:tcPr>
          <w:p>
            <w:pPr/>
          </w:p>
        </w:tc>
        <w:tc>
          <w:tcPr>
            <w:tcW w:w="715" w:type="dxa"/>
            <w:tcBorders>
              <w:left w:val="nil"/>
              <w:bottom w:val="nil"/>
              <w:right w:val="nil"/>
            </w:tcBorders>
            <w:shd w:val="clear" w:color="auto" w:fill="99CC00"/>
          </w:tcPr>
          <w:p>
            <w:pPr/>
          </w:p>
        </w:tc>
        <w:tc>
          <w:tcPr>
            <w:tcW w:w="3356" w:type="dxa"/>
            <w:gridSpan w:val="3"/>
            <w:tcBorders>
              <w:left w:val="nil"/>
              <w:bottom w:val="nil"/>
              <w:right w:val="nil"/>
            </w:tcBorders>
            <w:shd w:val="clear" w:color="auto" w:fill="99CC00"/>
          </w:tcPr>
          <w:p>
            <w:pPr>
              <w:pStyle w:val="TableParagraph"/>
              <w:spacing w:before="5"/>
              <w:jc w:val="left"/>
              <w:rPr>
                <w:sz w:val="22"/>
              </w:rPr>
            </w:pPr>
          </w:p>
          <w:p>
            <w:pPr>
              <w:pStyle w:val="TableParagraph"/>
              <w:spacing w:before="1"/>
              <w:ind w:left="433"/>
              <w:jc w:val="left"/>
              <w:rPr>
                <w:sz w:val="20"/>
              </w:rPr>
            </w:pPr>
            <w:r>
              <w:rPr>
                <w:sz w:val="20"/>
              </w:rPr>
              <w:t>Diagnóstico médico %</w:t>
            </w:r>
          </w:p>
        </w:tc>
        <w:tc>
          <w:tcPr>
            <w:tcW w:w="822" w:type="dxa"/>
            <w:tcBorders>
              <w:left w:val="nil"/>
              <w:bottom w:val="nil"/>
              <w:right w:val="nil"/>
            </w:tcBorders>
            <w:shd w:val="clear" w:color="auto" w:fill="99CC00"/>
          </w:tcPr>
          <w:p>
            <w:pPr/>
          </w:p>
        </w:tc>
        <w:tc>
          <w:tcPr>
            <w:tcW w:w="1167" w:type="dxa"/>
            <w:tcBorders>
              <w:left w:val="nil"/>
              <w:bottom w:val="nil"/>
              <w:right w:val="nil"/>
            </w:tcBorders>
            <w:shd w:val="clear" w:color="auto" w:fill="99CC00"/>
          </w:tcPr>
          <w:p>
            <w:pPr/>
          </w:p>
        </w:tc>
      </w:tr>
      <w:tr>
        <w:trPr>
          <w:trHeight w:val="595" w:hRule="exact"/>
        </w:trPr>
        <w:tc>
          <w:tcPr>
            <w:tcW w:w="1806" w:type="dxa"/>
            <w:vMerge/>
            <w:tcBorders>
              <w:left w:val="nil"/>
              <w:right w:val="nil"/>
            </w:tcBorders>
            <w:shd w:val="clear" w:color="auto" w:fill="99CC00"/>
          </w:tcPr>
          <w:p>
            <w:pPr/>
          </w:p>
        </w:tc>
        <w:tc>
          <w:tcPr>
            <w:tcW w:w="776" w:type="dxa"/>
            <w:tcBorders>
              <w:top w:val="nil"/>
              <w:left w:val="nil"/>
              <w:right w:val="nil"/>
            </w:tcBorders>
            <w:shd w:val="clear" w:color="auto" w:fill="99CC00"/>
          </w:tcPr>
          <w:p>
            <w:pPr>
              <w:pStyle w:val="TableParagraph"/>
              <w:spacing w:before="143"/>
              <w:ind w:left="248" w:right="108"/>
              <w:rPr>
                <w:b/>
                <w:sz w:val="22"/>
              </w:rPr>
            </w:pPr>
            <w:r>
              <w:rPr>
                <w:b/>
                <w:sz w:val="22"/>
              </w:rPr>
              <w:t>IRC</w:t>
            </w:r>
          </w:p>
        </w:tc>
        <w:tc>
          <w:tcPr>
            <w:tcW w:w="715" w:type="dxa"/>
            <w:tcBorders>
              <w:top w:val="nil"/>
              <w:left w:val="nil"/>
              <w:right w:val="nil"/>
            </w:tcBorders>
            <w:shd w:val="clear" w:color="auto" w:fill="99CC00"/>
          </w:tcPr>
          <w:p>
            <w:pPr>
              <w:pStyle w:val="TableParagraph"/>
              <w:spacing w:before="143"/>
              <w:ind w:left="108" w:right="113"/>
              <w:rPr>
                <w:b/>
                <w:sz w:val="22"/>
              </w:rPr>
            </w:pPr>
            <w:r>
              <w:rPr>
                <w:b/>
                <w:sz w:val="22"/>
              </w:rPr>
              <w:t>EVC</w:t>
            </w:r>
          </w:p>
        </w:tc>
        <w:tc>
          <w:tcPr>
            <w:tcW w:w="887" w:type="dxa"/>
            <w:tcBorders>
              <w:top w:val="nil"/>
              <w:left w:val="nil"/>
              <w:right w:val="nil"/>
            </w:tcBorders>
            <w:shd w:val="clear" w:color="auto" w:fill="99CC00"/>
          </w:tcPr>
          <w:p>
            <w:pPr>
              <w:pStyle w:val="TableParagraph"/>
              <w:spacing w:before="160"/>
              <w:ind w:left="114" w:right="87"/>
              <w:rPr>
                <w:b/>
                <w:sz w:val="20"/>
              </w:rPr>
            </w:pPr>
            <w:r>
              <w:rPr>
                <w:b/>
                <w:sz w:val="20"/>
              </w:rPr>
              <w:t>Sepsis</w:t>
            </w:r>
          </w:p>
        </w:tc>
        <w:tc>
          <w:tcPr>
            <w:tcW w:w="1040" w:type="dxa"/>
            <w:tcBorders>
              <w:top w:val="nil"/>
              <w:left w:val="nil"/>
              <w:right w:val="nil"/>
            </w:tcBorders>
            <w:shd w:val="clear" w:color="auto" w:fill="99CC00"/>
          </w:tcPr>
          <w:p>
            <w:pPr>
              <w:pStyle w:val="TableParagraph"/>
              <w:spacing w:before="160"/>
              <w:ind w:left="86" w:right="79"/>
              <w:rPr>
                <w:b/>
                <w:sz w:val="20"/>
              </w:rPr>
            </w:pPr>
            <w:r>
              <w:rPr>
                <w:b/>
                <w:sz w:val="20"/>
              </w:rPr>
              <w:t>Diabetes</w:t>
            </w:r>
          </w:p>
        </w:tc>
        <w:tc>
          <w:tcPr>
            <w:tcW w:w="1429" w:type="dxa"/>
            <w:tcBorders>
              <w:top w:val="nil"/>
              <w:left w:val="nil"/>
              <w:right w:val="nil"/>
            </w:tcBorders>
            <w:shd w:val="clear" w:color="auto" w:fill="99CC00"/>
          </w:tcPr>
          <w:p>
            <w:pPr>
              <w:pStyle w:val="TableParagraph"/>
              <w:spacing w:before="160"/>
              <w:ind w:left="80" w:right="86"/>
              <w:rPr>
                <w:b/>
                <w:sz w:val="20"/>
              </w:rPr>
            </w:pPr>
            <w:r>
              <w:rPr>
                <w:b/>
                <w:sz w:val="20"/>
              </w:rPr>
              <w:t>Hipertensión</w:t>
            </w:r>
          </w:p>
        </w:tc>
        <w:tc>
          <w:tcPr>
            <w:tcW w:w="822" w:type="dxa"/>
            <w:tcBorders>
              <w:top w:val="nil"/>
              <w:left w:val="nil"/>
              <w:right w:val="nil"/>
            </w:tcBorders>
            <w:shd w:val="clear" w:color="auto" w:fill="99CC00"/>
          </w:tcPr>
          <w:p>
            <w:pPr>
              <w:pStyle w:val="TableParagraph"/>
              <w:spacing w:before="160"/>
              <w:ind w:left="90" w:right="158"/>
              <w:rPr>
                <w:b/>
                <w:sz w:val="20"/>
              </w:rPr>
            </w:pPr>
            <w:r>
              <w:rPr>
                <w:b/>
                <w:sz w:val="20"/>
              </w:rPr>
              <w:t>Otros</w:t>
            </w:r>
          </w:p>
        </w:tc>
        <w:tc>
          <w:tcPr>
            <w:tcW w:w="1167" w:type="dxa"/>
            <w:tcBorders>
              <w:top w:val="nil"/>
              <w:left w:val="nil"/>
              <w:right w:val="nil"/>
            </w:tcBorders>
            <w:shd w:val="clear" w:color="auto" w:fill="99CC00"/>
          </w:tcPr>
          <w:p>
            <w:pPr>
              <w:pStyle w:val="TableParagraph"/>
              <w:spacing w:before="23"/>
              <w:ind w:left="160" w:right="198"/>
              <w:rPr>
                <w:b/>
                <w:sz w:val="20"/>
              </w:rPr>
            </w:pPr>
            <w:r>
              <w:rPr>
                <w:b/>
                <w:sz w:val="20"/>
              </w:rPr>
              <w:t>Valor P*</w:t>
            </w:r>
          </w:p>
        </w:tc>
      </w:tr>
      <w:tr>
        <w:trPr>
          <w:trHeight w:val="665" w:hRule="exact"/>
        </w:trPr>
        <w:tc>
          <w:tcPr>
            <w:tcW w:w="1806" w:type="dxa"/>
            <w:tcBorders>
              <w:left w:val="nil"/>
              <w:bottom w:val="nil"/>
              <w:right w:val="nil"/>
            </w:tcBorders>
          </w:tcPr>
          <w:p>
            <w:pPr>
              <w:pStyle w:val="TableParagraph"/>
              <w:spacing w:before="1"/>
              <w:jc w:val="left"/>
              <w:rPr>
                <w:sz w:val="22"/>
              </w:rPr>
            </w:pPr>
          </w:p>
          <w:p>
            <w:pPr>
              <w:pStyle w:val="TableParagraph"/>
              <w:ind w:left="751"/>
              <w:jc w:val="left"/>
              <w:rPr>
                <w:b/>
                <w:sz w:val="22"/>
              </w:rPr>
            </w:pPr>
            <w:r>
              <w:rPr>
                <w:b/>
                <w:sz w:val="22"/>
              </w:rPr>
              <w:t>Leve</w:t>
            </w:r>
          </w:p>
        </w:tc>
        <w:tc>
          <w:tcPr>
            <w:tcW w:w="776" w:type="dxa"/>
            <w:tcBorders>
              <w:left w:val="nil"/>
              <w:bottom w:val="nil"/>
              <w:right w:val="nil"/>
            </w:tcBorders>
          </w:tcPr>
          <w:p>
            <w:pPr>
              <w:pStyle w:val="TableParagraph"/>
              <w:spacing w:before="9"/>
              <w:jc w:val="left"/>
              <w:rPr>
                <w:sz w:val="24"/>
              </w:rPr>
            </w:pPr>
          </w:p>
          <w:p>
            <w:pPr>
              <w:pStyle w:val="TableParagraph"/>
              <w:ind w:left="139"/>
              <w:rPr>
                <w:sz w:val="20"/>
              </w:rPr>
            </w:pPr>
            <w:r>
              <w:rPr>
                <w:w w:val="99"/>
                <w:sz w:val="20"/>
              </w:rPr>
              <w:t>8</w:t>
            </w:r>
          </w:p>
        </w:tc>
        <w:tc>
          <w:tcPr>
            <w:tcW w:w="715" w:type="dxa"/>
            <w:tcBorders>
              <w:left w:val="nil"/>
              <w:bottom w:val="nil"/>
              <w:right w:val="nil"/>
            </w:tcBorders>
          </w:tcPr>
          <w:p>
            <w:pPr>
              <w:pStyle w:val="TableParagraph"/>
              <w:spacing w:before="9"/>
              <w:jc w:val="left"/>
              <w:rPr>
                <w:sz w:val="24"/>
              </w:rPr>
            </w:pPr>
          </w:p>
          <w:p>
            <w:pPr>
              <w:pStyle w:val="TableParagraph"/>
              <w:ind w:left="105" w:right="113"/>
              <w:rPr>
                <w:sz w:val="20"/>
              </w:rPr>
            </w:pPr>
            <w:r>
              <w:rPr>
                <w:sz w:val="20"/>
              </w:rPr>
              <w:t>16.7</w:t>
            </w:r>
          </w:p>
        </w:tc>
        <w:tc>
          <w:tcPr>
            <w:tcW w:w="887" w:type="dxa"/>
            <w:tcBorders>
              <w:left w:val="nil"/>
              <w:bottom w:val="nil"/>
              <w:right w:val="nil"/>
            </w:tcBorders>
          </w:tcPr>
          <w:p>
            <w:pPr>
              <w:pStyle w:val="TableParagraph"/>
              <w:spacing w:before="9"/>
              <w:jc w:val="left"/>
              <w:rPr>
                <w:sz w:val="24"/>
              </w:rPr>
            </w:pPr>
          </w:p>
          <w:p>
            <w:pPr>
              <w:pStyle w:val="TableParagraph"/>
              <w:ind w:left="31"/>
              <w:rPr>
                <w:sz w:val="20"/>
              </w:rPr>
            </w:pPr>
            <w:r>
              <w:rPr>
                <w:w w:val="99"/>
                <w:sz w:val="20"/>
              </w:rPr>
              <w:t>-</w:t>
            </w:r>
          </w:p>
        </w:tc>
        <w:tc>
          <w:tcPr>
            <w:tcW w:w="1040" w:type="dxa"/>
            <w:tcBorders>
              <w:left w:val="nil"/>
              <w:bottom w:val="nil"/>
              <w:right w:val="nil"/>
            </w:tcBorders>
          </w:tcPr>
          <w:p>
            <w:pPr>
              <w:pStyle w:val="TableParagraph"/>
              <w:spacing w:before="9"/>
              <w:jc w:val="left"/>
              <w:rPr>
                <w:sz w:val="24"/>
              </w:rPr>
            </w:pPr>
          </w:p>
          <w:p>
            <w:pPr>
              <w:pStyle w:val="TableParagraph"/>
              <w:ind w:left="86" w:right="79"/>
              <w:rPr>
                <w:sz w:val="20"/>
              </w:rPr>
            </w:pPr>
            <w:r>
              <w:rPr>
                <w:sz w:val="20"/>
              </w:rPr>
              <w:t>13</w:t>
            </w:r>
          </w:p>
        </w:tc>
        <w:tc>
          <w:tcPr>
            <w:tcW w:w="1429" w:type="dxa"/>
            <w:tcBorders>
              <w:left w:val="nil"/>
              <w:bottom w:val="nil"/>
              <w:right w:val="nil"/>
            </w:tcBorders>
          </w:tcPr>
          <w:p>
            <w:pPr>
              <w:pStyle w:val="TableParagraph"/>
              <w:spacing w:before="9"/>
              <w:jc w:val="left"/>
              <w:rPr>
                <w:sz w:val="24"/>
              </w:rPr>
            </w:pPr>
          </w:p>
          <w:p>
            <w:pPr>
              <w:pStyle w:val="TableParagraph"/>
              <w:ind w:right="3"/>
              <w:rPr>
                <w:sz w:val="20"/>
              </w:rPr>
            </w:pPr>
            <w:r>
              <w:rPr>
                <w:w w:val="99"/>
                <w:sz w:val="20"/>
              </w:rPr>
              <w:t>-</w:t>
            </w:r>
          </w:p>
        </w:tc>
        <w:tc>
          <w:tcPr>
            <w:tcW w:w="822" w:type="dxa"/>
            <w:tcBorders>
              <w:left w:val="nil"/>
              <w:bottom w:val="nil"/>
              <w:right w:val="nil"/>
            </w:tcBorders>
          </w:tcPr>
          <w:p>
            <w:pPr>
              <w:pStyle w:val="TableParagraph"/>
              <w:spacing w:before="9"/>
              <w:jc w:val="left"/>
              <w:rPr>
                <w:sz w:val="24"/>
              </w:rPr>
            </w:pPr>
          </w:p>
          <w:p>
            <w:pPr>
              <w:pStyle w:val="TableParagraph"/>
              <w:ind w:right="69"/>
              <w:rPr>
                <w:sz w:val="20"/>
              </w:rPr>
            </w:pPr>
            <w:r>
              <w:rPr>
                <w:w w:val="99"/>
                <w:sz w:val="20"/>
              </w:rPr>
              <w:t>-</w:t>
            </w:r>
          </w:p>
        </w:tc>
        <w:tc>
          <w:tcPr>
            <w:tcW w:w="1167" w:type="dxa"/>
            <w:tcBorders>
              <w:left w:val="nil"/>
              <w:bottom w:val="nil"/>
              <w:right w:val="nil"/>
            </w:tcBorders>
          </w:tcPr>
          <w:p>
            <w:pPr>
              <w:pStyle w:val="TableParagraph"/>
              <w:jc w:val="left"/>
              <w:rPr>
                <w:sz w:val="20"/>
              </w:rPr>
            </w:pPr>
          </w:p>
          <w:p>
            <w:pPr>
              <w:pStyle w:val="TableParagraph"/>
              <w:spacing w:before="134"/>
              <w:ind w:left="160" w:right="196"/>
              <w:rPr>
                <w:sz w:val="20"/>
              </w:rPr>
            </w:pPr>
            <w:r>
              <w:rPr>
                <w:sz w:val="20"/>
              </w:rPr>
              <w:t>0.903</w:t>
            </w:r>
          </w:p>
        </w:tc>
      </w:tr>
      <w:tr>
        <w:trPr>
          <w:trHeight w:val="492" w:hRule="exact"/>
        </w:trPr>
        <w:tc>
          <w:tcPr>
            <w:tcW w:w="1806" w:type="dxa"/>
            <w:tcBorders>
              <w:top w:val="nil"/>
              <w:left w:val="nil"/>
              <w:right w:val="nil"/>
            </w:tcBorders>
          </w:tcPr>
          <w:p>
            <w:pPr>
              <w:pStyle w:val="TableParagraph"/>
              <w:spacing w:before="43"/>
              <w:ind w:right="414"/>
              <w:jc w:val="right"/>
              <w:rPr>
                <w:b/>
                <w:sz w:val="22"/>
              </w:rPr>
            </w:pPr>
            <w:r>
              <w:rPr>
                <w:b/>
                <w:sz w:val="22"/>
              </w:rPr>
              <w:t>Intensa</w:t>
            </w:r>
          </w:p>
        </w:tc>
        <w:tc>
          <w:tcPr>
            <w:tcW w:w="776" w:type="dxa"/>
            <w:tcBorders>
              <w:top w:val="nil"/>
              <w:left w:val="nil"/>
              <w:right w:val="nil"/>
            </w:tcBorders>
          </w:tcPr>
          <w:p>
            <w:pPr>
              <w:pStyle w:val="TableParagraph"/>
              <w:spacing w:before="59"/>
              <w:ind w:left="242" w:right="108"/>
              <w:rPr>
                <w:sz w:val="20"/>
              </w:rPr>
            </w:pPr>
            <w:r>
              <w:rPr>
                <w:sz w:val="20"/>
              </w:rPr>
              <w:t>92</w:t>
            </w:r>
          </w:p>
        </w:tc>
        <w:tc>
          <w:tcPr>
            <w:tcW w:w="715" w:type="dxa"/>
            <w:tcBorders>
              <w:top w:val="nil"/>
              <w:left w:val="nil"/>
              <w:right w:val="nil"/>
            </w:tcBorders>
          </w:tcPr>
          <w:p>
            <w:pPr>
              <w:pStyle w:val="TableParagraph"/>
              <w:spacing w:before="59"/>
              <w:ind w:left="105" w:right="113"/>
              <w:rPr>
                <w:sz w:val="20"/>
              </w:rPr>
            </w:pPr>
            <w:r>
              <w:rPr>
                <w:sz w:val="20"/>
              </w:rPr>
              <w:t>83.3</w:t>
            </w:r>
          </w:p>
        </w:tc>
        <w:tc>
          <w:tcPr>
            <w:tcW w:w="887" w:type="dxa"/>
            <w:tcBorders>
              <w:top w:val="nil"/>
              <w:left w:val="nil"/>
              <w:right w:val="nil"/>
            </w:tcBorders>
          </w:tcPr>
          <w:p>
            <w:pPr>
              <w:pStyle w:val="TableParagraph"/>
              <w:spacing w:before="59"/>
              <w:ind w:left="114" w:right="87"/>
              <w:rPr>
                <w:sz w:val="20"/>
              </w:rPr>
            </w:pPr>
            <w:r>
              <w:rPr>
                <w:sz w:val="20"/>
              </w:rPr>
              <w:t>100</w:t>
            </w:r>
          </w:p>
        </w:tc>
        <w:tc>
          <w:tcPr>
            <w:tcW w:w="1040" w:type="dxa"/>
            <w:tcBorders>
              <w:top w:val="nil"/>
              <w:left w:val="nil"/>
              <w:right w:val="nil"/>
            </w:tcBorders>
          </w:tcPr>
          <w:p>
            <w:pPr>
              <w:pStyle w:val="TableParagraph"/>
              <w:spacing w:before="59"/>
              <w:ind w:left="86" w:right="77"/>
              <w:rPr>
                <w:sz w:val="20"/>
              </w:rPr>
            </w:pPr>
            <w:r>
              <w:rPr>
                <w:sz w:val="20"/>
              </w:rPr>
              <w:t>87.5</w:t>
            </w:r>
          </w:p>
        </w:tc>
        <w:tc>
          <w:tcPr>
            <w:tcW w:w="1429" w:type="dxa"/>
            <w:tcBorders>
              <w:top w:val="nil"/>
              <w:left w:val="nil"/>
              <w:right w:val="nil"/>
            </w:tcBorders>
          </w:tcPr>
          <w:p>
            <w:pPr>
              <w:pStyle w:val="TableParagraph"/>
              <w:spacing w:before="59"/>
              <w:ind w:left="79" w:right="86"/>
              <w:rPr>
                <w:sz w:val="20"/>
              </w:rPr>
            </w:pPr>
            <w:r>
              <w:rPr>
                <w:sz w:val="20"/>
              </w:rPr>
              <w:t>100</w:t>
            </w:r>
          </w:p>
        </w:tc>
        <w:tc>
          <w:tcPr>
            <w:tcW w:w="822" w:type="dxa"/>
            <w:tcBorders>
              <w:top w:val="nil"/>
              <w:left w:val="nil"/>
              <w:right w:val="nil"/>
            </w:tcBorders>
          </w:tcPr>
          <w:p>
            <w:pPr>
              <w:pStyle w:val="TableParagraph"/>
              <w:spacing w:before="59"/>
              <w:ind w:left="90" w:right="158"/>
              <w:rPr>
                <w:sz w:val="20"/>
              </w:rPr>
            </w:pPr>
            <w:r>
              <w:rPr>
                <w:sz w:val="20"/>
              </w:rPr>
              <w:t>100</w:t>
            </w:r>
          </w:p>
        </w:tc>
        <w:tc>
          <w:tcPr>
            <w:tcW w:w="1167" w:type="dxa"/>
            <w:tcBorders>
              <w:top w:val="nil"/>
              <w:left w:val="nil"/>
              <w:right w:val="nil"/>
            </w:tcBorders>
          </w:tcPr>
          <w:p>
            <w:pPr/>
          </w:p>
        </w:tc>
      </w:tr>
      <w:tr>
        <w:trPr>
          <w:trHeight w:val="230" w:hRule="exact"/>
        </w:trPr>
        <w:tc>
          <w:tcPr>
            <w:tcW w:w="1806" w:type="dxa"/>
            <w:tcBorders>
              <w:left w:val="nil"/>
              <w:bottom w:val="nil"/>
              <w:right w:val="nil"/>
            </w:tcBorders>
          </w:tcPr>
          <w:p>
            <w:pPr>
              <w:pStyle w:val="TableParagraph"/>
              <w:spacing w:line="230" w:lineRule="exact"/>
              <w:ind w:right="402"/>
              <w:jc w:val="right"/>
              <w:rPr>
                <w:sz w:val="20"/>
              </w:rPr>
            </w:pPr>
            <w:r>
              <w:rPr>
                <w:sz w:val="20"/>
              </w:rPr>
              <w:t>* Chi-cuadrada</w:t>
            </w:r>
          </w:p>
        </w:tc>
        <w:tc>
          <w:tcPr>
            <w:tcW w:w="776" w:type="dxa"/>
            <w:tcBorders>
              <w:left w:val="nil"/>
              <w:bottom w:val="nil"/>
              <w:right w:val="nil"/>
            </w:tcBorders>
          </w:tcPr>
          <w:p>
            <w:pPr/>
          </w:p>
        </w:tc>
        <w:tc>
          <w:tcPr>
            <w:tcW w:w="715" w:type="dxa"/>
            <w:tcBorders>
              <w:left w:val="nil"/>
              <w:bottom w:val="nil"/>
              <w:right w:val="nil"/>
            </w:tcBorders>
          </w:tcPr>
          <w:p>
            <w:pPr/>
          </w:p>
        </w:tc>
        <w:tc>
          <w:tcPr>
            <w:tcW w:w="887" w:type="dxa"/>
            <w:tcBorders>
              <w:left w:val="nil"/>
              <w:bottom w:val="nil"/>
              <w:right w:val="nil"/>
            </w:tcBorders>
          </w:tcPr>
          <w:p>
            <w:pPr/>
          </w:p>
        </w:tc>
        <w:tc>
          <w:tcPr>
            <w:tcW w:w="1040" w:type="dxa"/>
            <w:tcBorders>
              <w:left w:val="nil"/>
              <w:bottom w:val="nil"/>
              <w:right w:val="nil"/>
            </w:tcBorders>
          </w:tcPr>
          <w:p>
            <w:pPr/>
          </w:p>
        </w:tc>
        <w:tc>
          <w:tcPr>
            <w:tcW w:w="1429" w:type="dxa"/>
            <w:tcBorders>
              <w:left w:val="nil"/>
              <w:bottom w:val="nil"/>
              <w:right w:val="nil"/>
            </w:tcBorders>
          </w:tcPr>
          <w:p>
            <w:pPr/>
          </w:p>
        </w:tc>
        <w:tc>
          <w:tcPr>
            <w:tcW w:w="822" w:type="dxa"/>
            <w:tcBorders>
              <w:left w:val="nil"/>
              <w:bottom w:val="nil"/>
              <w:right w:val="nil"/>
            </w:tcBorders>
          </w:tcPr>
          <w:p>
            <w:pPr/>
          </w:p>
        </w:tc>
        <w:tc>
          <w:tcPr>
            <w:tcW w:w="1167" w:type="dxa"/>
            <w:tcBorders>
              <w:left w:val="nil"/>
              <w:bottom w:val="nil"/>
              <w:right w:val="nil"/>
            </w:tcBorders>
          </w:tcPr>
          <w:p>
            <w:pPr/>
          </w:p>
        </w:tc>
      </w:tr>
    </w:tbl>
    <w:p>
      <w:pPr>
        <w:pStyle w:val="BodyText"/>
        <w:rPr>
          <w:sz w:val="20"/>
        </w:rPr>
      </w:pPr>
    </w:p>
    <w:p>
      <w:pPr>
        <w:pStyle w:val="BodyText"/>
        <w:spacing w:before="2"/>
        <w:rPr>
          <w:sz w:val="26"/>
        </w:rPr>
      </w:pPr>
    </w:p>
    <w:p>
      <w:pPr>
        <w:pStyle w:val="BodyText"/>
        <w:spacing w:line="360" w:lineRule="auto" w:before="70"/>
        <w:ind w:left="625" w:right="209"/>
        <w:jc w:val="both"/>
      </w:pPr>
      <w:r>
        <w:rPr/>
        <w:t>De acuerdo a los 6 diagnósticos médicos encontrados, los más representativos son la insuficiencia renal crónica en la cual se encontró 8% de casos de sobrecarga leve en contraste con un 92% de sobrecarga intensa, lo anterior refleja la cronicidad que caracteriza a la enfermedad renal en etapas avanzadas, en tanto la sepsis presentó un 100% de sobrecarga intensa, lo   cual se apega a la agudeza y gravedad del estado séptico, la hipertensión y otros diagnósticos se encontró un 100% de sobrecarga intensa, sin embargo la frecuencia de casos fue de uno respectivamente; si bien la etiología, tratamiento, etc., de los diferentes padecimientos son distintos y generan sobrecarga</w:t>
      </w:r>
      <w:r>
        <w:rPr>
          <w:spacing w:val="43"/>
        </w:rPr>
        <w:t> </w:t>
      </w:r>
      <w:r>
        <w:rPr/>
        <w:t>en</w:t>
      </w:r>
      <w:r>
        <w:rPr>
          <w:spacing w:val="41"/>
        </w:rPr>
        <w:t> </w:t>
      </w:r>
      <w:r>
        <w:rPr/>
        <w:t>diversas</w:t>
      </w:r>
      <w:r>
        <w:rPr>
          <w:spacing w:val="43"/>
        </w:rPr>
        <w:t> </w:t>
      </w:r>
      <w:r>
        <w:rPr/>
        <w:t>medidas.</w:t>
      </w:r>
      <w:r>
        <w:rPr>
          <w:spacing w:val="46"/>
        </w:rPr>
        <w:t> </w:t>
      </w:r>
      <w:r>
        <w:rPr/>
        <w:t>Se</w:t>
      </w:r>
      <w:r>
        <w:rPr>
          <w:spacing w:val="41"/>
        </w:rPr>
        <w:t> </w:t>
      </w:r>
      <w:r>
        <w:rPr/>
        <w:t>encontró</w:t>
      </w:r>
      <w:r>
        <w:rPr>
          <w:spacing w:val="43"/>
        </w:rPr>
        <w:t> </w:t>
      </w:r>
      <w:r>
        <w:rPr/>
        <w:t>un</w:t>
      </w:r>
      <w:r>
        <w:rPr>
          <w:spacing w:val="43"/>
        </w:rPr>
        <w:t> </w:t>
      </w:r>
      <w:r>
        <w:rPr/>
        <w:t>valor</w:t>
      </w:r>
      <w:r>
        <w:rPr>
          <w:spacing w:val="42"/>
        </w:rPr>
        <w:t> </w:t>
      </w:r>
      <w:r>
        <w:rPr/>
        <w:t>de</w:t>
      </w:r>
      <w:r>
        <w:rPr>
          <w:spacing w:val="41"/>
        </w:rPr>
        <w:t> </w:t>
      </w:r>
      <w:r>
        <w:rPr/>
        <w:t>Chi-cuadrada</w:t>
      </w:r>
      <w:r>
        <w:rPr>
          <w:spacing w:val="39"/>
        </w:rPr>
        <w:t> </w:t>
      </w:r>
      <w:r>
        <w:rPr/>
        <w:t>de</w:t>
      </w:r>
    </w:p>
    <w:p>
      <w:pPr>
        <w:pStyle w:val="BodyText"/>
        <w:spacing w:line="360" w:lineRule="auto" w:before="5"/>
        <w:ind w:left="625" w:right="215"/>
        <w:jc w:val="both"/>
      </w:pPr>
      <w:r>
        <w:rPr/>
        <w:t>0.015 y valor P de 0903, por lo que no existen diferencias estadísticamente significativas.</w:t>
      </w:r>
    </w:p>
    <w:p>
      <w:pPr>
        <w:spacing w:after="0" w:line="360" w:lineRule="auto"/>
        <w:jc w:val="both"/>
        <w:sectPr>
          <w:footerReference w:type="default" r:id="rId73"/>
          <w:pgSz w:w="12250" w:h="15850"/>
          <w:pgMar w:footer="1122" w:header="748" w:top="1260" w:bottom="1320" w:left="1720" w:right="1240"/>
          <w:pgNumType w:start="91"/>
        </w:sectPr>
      </w:pPr>
    </w:p>
    <w:p>
      <w:pPr>
        <w:pStyle w:val="BodyText"/>
        <w:rPr>
          <w:sz w:val="20"/>
        </w:rPr>
      </w:pPr>
    </w:p>
    <w:p>
      <w:pPr>
        <w:pStyle w:val="BodyText"/>
        <w:rPr>
          <w:sz w:val="20"/>
        </w:rPr>
      </w:pPr>
    </w:p>
    <w:p>
      <w:pPr>
        <w:pStyle w:val="BodyText"/>
        <w:spacing w:before="6"/>
        <w:rPr>
          <w:sz w:val="21"/>
        </w:rPr>
      </w:pPr>
    </w:p>
    <w:p>
      <w:pPr>
        <w:pStyle w:val="BodyText"/>
        <w:spacing w:line="20" w:lineRule="exact"/>
        <w:ind w:left="555"/>
        <w:rPr>
          <w:sz w:val="2"/>
        </w:rPr>
      </w:pPr>
      <w:r>
        <w:rPr>
          <w:sz w:val="2"/>
        </w:rPr>
        <w:pict>
          <v:group style="width:431.25pt;height:.5pt;mso-position-horizontal-relative:char;mso-position-vertical-relative:line" coordorigin="0,0" coordsize="8625,10">
            <v:line style="position:absolute" from="5,5" to="8620,5" stroked="true" strokeweight=".48pt" strokecolor="#000000"/>
          </v:group>
        </w:pict>
      </w:r>
      <w:r>
        <w:rPr>
          <w:sz w:val="2"/>
        </w:rPr>
      </w:r>
    </w:p>
    <w:p>
      <w:pPr>
        <w:pStyle w:val="BodyText"/>
        <w:spacing w:before="11"/>
        <w:rPr>
          <w:sz w:val="14"/>
        </w:rPr>
      </w:pPr>
    </w:p>
    <w:p>
      <w:pPr>
        <w:spacing w:before="74"/>
        <w:ind w:left="1172" w:right="0" w:firstLine="0"/>
        <w:jc w:val="left"/>
        <w:rPr>
          <w:b/>
          <w:sz w:val="20"/>
        </w:rPr>
      </w:pPr>
      <w:r>
        <w:rPr>
          <w:b/>
          <w:sz w:val="20"/>
        </w:rPr>
        <w:t>Veces que ha sido hospitalizado en los últimos 6 meses / Nivel de sobrecarga</w:t>
      </w:r>
    </w:p>
    <w:p>
      <w:pPr>
        <w:pStyle w:val="BodyText"/>
        <w:spacing w:before="8" w:after="1"/>
        <w:rPr>
          <w:b/>
          <w:sz w:val="16"/>
        </w:rPr>
      </w:pPr>
    </w:p>
    <w:tbl>
      <w:tblPr>
        <w:tblW w:w="0" w:type="auto"/>
        <w:jc w:val="left"/>
        <w:tblInd w:w="5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8"/>
        <w:gridCol w:w="1096"/>
        <w:gridCol w:w="1429"/>
        <w:gridCol w:w="1356"/>
        <w:gridCol w:w="3076"/>
      </w:tblGrid>
      <w:tr>
        <w:trPr>
          <w:trHeight w:val="1106" w:hRule="exact"/>
        </w:trPr>
        <w:tc>
          <w:tcPr>
            <w:tcW w:w="1658" w:type="dxa"/>
            <w:tcBorders>
              <w:left w:val="nil"/>
              <w:right w:val="nil"/>
            </w:tcBorders>
            <w:shd w:val="clear" w:color="auto" w:fill="99CC00"/>
          </w:tcPr>
          <w:p>
            <w:pPr>
              <w:pStyle w:val="TableParagraph"/>
              <w:spacing w:before="3"/>
              <w:jc w:val="left"/>
              <w:rPr>
                <w:b/>
                <w:sz w:val="18"/>
              </w:rPr>
            </w:pPr>
          </w:p>
          <w:p>
            <w:pPr>
              <w:pStyle w:val="TableParagraph"/>
              <w:spacing w:line="266" w:lineRule="auto" w:before="1"/>
              <w:ind w:left="223" w:firstLine="156"/>
              <w:jc w:val="left"/>
              <w:rPr>
                <w:b/>
                <w:sz w:val="20"/>
              </w:rPr>
            </w:pPr>
            <w:r>
              <w:rPr>
                <w:b/>
                <w:sz w:val="20"/>
              </w:rPr>
              <w:t>Nivel de </w:t>
            </w:r>
            <w:r>
              <w:rPr>
                <w:b/>
                <w:w w:val="95"/>
                <w:sz w:val="20"/>
              </w:rPr>
              <w:t>sobrecarga</w:t>
            </w:r>
          </w:p>
        </w:tc>
        <w:tc>
          <w:tcPr>
            <w:tcW w:w="2525" w:type="dxa"/>
            <w:gridSpan w:val="2"/>
            <w:tcBorders>
              <w:left w:val="nil"/>
              <w:right w:val="nil"/>
            </w:tcBorders>
            <w:shd w:val="clear" w:color="auto" w:fill="99CC00"/>
          </w:tcPr>
          <w:p>
            <w:pPr>
              <w:pStyle w:val="TableParagraph"/>
              <w:spacing w:before="5"/>
              <w:jc w:val="left"/>
              <w:rPr>
                <w:b/>
                <w:sz w:val="22"/>
              </w:rPr>
            </w:pPr>
          </w:p>
          <w:p>
            <w:pPr>
              <w:pStyle w:val="TableParagraph"/>
              <w:spacing w:before="1"/>
              <w:ind w:left="202" w:right="-33"/>
              <w:jc w:val="left"/>
              <w:rPr>
                <w:sz w:val="20"/>
              </w:rPr>
            </w:pPr>
            <w:r>
              <w:rPr>
                <w:sz w:val="20"/>
              </w:rPr>
              <w:t>Veces que ha sido</w:t>
            </w:r>
            <w:r>
              <w:rPr>
                <w:spacing w:val="-10"/>
                <w:sz w:val="20"/>
              </w:rPr>
              <w:t> </w:t>
            </w:r>
            <w:r>
              <w:rPr>
                <w:sz w:val="20"/>
              </w:rPr>
              <w:t>hospita</w:t>
            </w:r>
          </w:p>
          <w:p>
            <w:pPr>
              <w:pStyle w:val="TableParagraph"/>
              <w:spacing w:before="6"/>
              <w:jc w:val="left"/>
              <w:rPr>
                <w:b/>
                <w:sz w:val="16"/>
              </w:rPr>
            </w:pPr>
          </w:p>
          <w:p>
            <w:pPr>
              <w:pStyle w:val="TableParagraph"/>
              <w:tabs>
                <w:tab w:pos="1450" w:val="left" w:leader="none"/>
              </w:tabs>
              <w:ind w:left="253"/>
              <w:jc w:val="left"/>
              <w:rPr>
                <w:b/>
                <w:sz w:val="20"/>
              </w:rPr>
            </w:pPr>
            <w:r>
              <w:rPr>
                <w:b/>
                <w:sz w:val="20"/>
              </w:rPr>
              <w:t>1</w:t>
            </w:r>
            <w:r>
              <w:rPr>
                <w:b/>
                <w:spacing w:val="-2"/>
                <w:sz w:val="20"/>
              </w:rPr>
              <w:t> </w:t>
            </w:r>
            <w:r>
              <w:rPr>
                <w:b/>
                <w:sz w:val="20"/>
              </w:rPr>
              <w:t>vez</w:t>
              <w:tab/>
              <w:t>2</w:t>
            </w:r>
            <w:r>
              <w:rPr>
                <w:b/>
                <w:spacing w:val="-4"/>
                <w:sz w:val="20"/>
              </w:rPr>
              <w:t> </w:t>
            </w:r>
            <w:r>
              <w:rPr>
                <w:b/>
                <w:sz w:val="20"/>
              </w:rPr>
              <w:t>veces</w:t>
            </w:r>
          </w:p>
        </w:tc>
        <w:tc>
          <w:tcPr>
            <w:tcW w:w="1356" w:type="dxa"/>
            <w:tcBorders>
              <w:left w:val="nil"/>
              <w:right w:val="nil"/>
            </w:tcBorders>
            <w:shd w:val="clear" w:color="auto" w:fill="99CC00"/>
          </w:tcPr>
          <w:p>
            <w:pPr>
              <w:pStyle w:val="TableParagraph"/>
              <w:spacing w:before="5"/>
              <w:jc w:val="left"/>
              <w:rPr>
                <w:b/>
                <w:sz w:val="22"/>
              </w:rPr>
            </w:pPr>
          </w:p>
          <w:p>
            <w:pPr>
              <w:pStyle w:val="TableParagraph"/>
              <w:spacing w:before="1"/>
              <w:ind w:left="8"/>
              <w:rPr>
                <w:sz w:val="20"/>
              </w:rPr>
            </w:pPr>
            <w:r>
              <w:rPr>
                <w:sz w:val="20"/>
              </w:rPr>
              <w:t>lizado en los úl</w:t>
            </w:r>
          </w:p>
          <w:p>
            <w:pPr>
              <w:pStyle w:val="TableParagraph"/>
              <w:spacing w:before="6"/>
              <w:jc w:val="left"/>
              <w:rPr>
                <w:b/>
                <w:sz w:val="16"/>
              </w:rPr>
            </w:pPr>
          </w:p>
          <w:p>
            <w:pPr>
              <w:pStyle w:val="TableParagraph"/>
              <w:ind w:left="72"/>
              <w:rPr>
                <w:b/>
                <w:sz w:val="20"/>
              </w:rPr>
            </w:pPr>
            <w:r>
              <w:rPr>
                <w:b/>
                <w:sz w:val="20"/>
              </w:rPr>
              <w:t>3 veces</w:t>
            </w:r>
          </w:p>
        </w:tc>
        <w:tc>
          <w:tcPr>
            <w:tcW w:w="3076" w:type="dxa"/>
            <w:tcBorders>
              <w:left w:val="nil"/>
              <w:right w:val="nil"/>
            </w:tcBorders>
            <w:shd w:val="clear" w:color="auto" w:fill="99CC00"/>
          </w:tcPr>
          <w:p>
            <w:pPr>
              <w:pStyle w:val="TableParagraph"/>
              <w:spacing w:before="5"/>
              <w:jc w:val="left"/>
              <w:rPr>
                <w:b/>
                <w:sz w:val="22"/>
              </w:rPr>
            </w:pPr>
          </w:p>
          <w:p>
            <w:pPr>
              <w:pStyle w:val="TableParagraph"/>
              <w:spacing w:before="1"/>
              <w:ind w:left="-15"/>
              <w:jc w:val="left"/>
              <w:rPr>
                <w:sz w:val="20"/>
              </w:rPr>
            </w:pPr>
            <w:r>
              <w:rPr>
                <w:sz w:val="20"/>
              </w:rPr>
              <w:t>timos 6 meses</w:t>
            </w:r>
            <w:r>
              <w:rPr>
                <w:spacing w:val="54"/>
                <w:sz w:val="20"/>
              </w:rPr>
              <w:t> </w:t>
            </w:r>
            <w:r>
              <w:rPr>
                <w:sz w:val="20"/>
              </w:rPr>
              <w:t>%</w:t>
            </w:r>
          </w:p>
          <w:p>
            <w:pPr>
              <w:pStyle w:val="TableParagraph"/>
              <w:spacing w:line="182" w:lineRule="exact" w:before="55"/>
              <w:ind w:right="199"/>
              <w:jc w:val="right"/>
              <w:rPr>
                <w:b/>
                <w:sz w:val="20"/>
              </w:rPr>
            </w:pPr>
            <w:r>
              <w:rPr>
                <w:b/>
                <w:sz w:val="20"/>
              </w:rPr>
              <w:t>Valor P*</w:t>
            </w:r>
          </w:p>
          <w:p>
            <w:pPr>
              <w:pStyle w:val="TableParagraph"/>
              <w:spacing w:line="182" w:lineRule="exact"/>
              <w:ind w:left="281"/>
              <w:jc w:val="left"/>
              <w:rPr>
                <w:b/>
                <w:sz w:val="20"/>
              </w:rPr>
            </w:pPr>
            <w:r>
              <w:rPr>
                <w:b/>
                <w:sz w:val="20"/>
              </w:rPr>
              <w:t>Más de 5 veces</w:t>
            </w:r>
          </w:p>
        </w:tc>
      </w:tr>
      <w:tr>
        <w:trPr>
          <w:trHeight w:val="625" w:hRule="exact"/>
        </w:trPr>
        <w:tc>
          <w:tcPr>
            <w:tcW w:w="1658" w:type="dxa"/>
            <w:tcBorders>
              <w:left w:val="nil"/>
              <w:bottom w:val="nil"/>
              <w:right w:val="nil"/>
            </w:tcBorders>
          </w:tcPr>
          <w:p>
            <w:pPr>
              <w:pStyle w:val="TableParagraph"/>
              <w:spacing w:before="1"/>
              <w:jc w:val="left"/>
              <w:rPr>
                <w:b/>
                <w:sz w:val="22"/>
              </w:rPr>
            </w:pPr>
          </w:p>
          <w:p>
            <w:pPr>
              <w:pStyle w:val="TableParagraph"/>
              <w:ind w:left="52" w:right="185"/>
              <w:rPr>
                <w:b/>
                <w:sz w:val="22"/>
              </w:rPr>
            </w:pPr>
            <w:r>
              <w:rPr>
                <w:b/>
                <w:sz w:val="22"/>
              </w:rPr>
              <w:t>Leve</w:t>
            </w:r>
          </w:p>
        </w:tc>
        <w:tc>
          <w:tcPr>
            <w:tcW w:w="1096" w:type="dxa"/>
            <w:tcBorders>
              <w:left w:val="nil"/>
              <w:bottom w:val="nil"/>
              <w:right w:val="nil"/>
            </w:tcBorders>
          </w:tcPr>
          <w:p>
            <w:pPr>
              <w:pStyle w:val="TableParagraph"/>
              <w:spacing w:before="9"/>
              <w:jc w:val="left"/>
              <w:rPr>
                <w:b/>
                <w:sz w:val="24"/>
              </w:rPr>
            </w:pPr>
          </w:p>
          <w:p>
            <w:pPr>
              <w:pStyle w:val="TableParagraph"/>
              <w:ind w:left="303"/>
              <w:jc w:val="left"/>
              <w:rPr>
                <w:sz w:val="20"/>
              </w:rPr>
            </w:pPr>
            <w:r>
              <w:rPr>
                <w:sz w:val="20"/>
              </w:rPr>
              <w:t>18.2</w:t>
            </w:r>
          </w:p>
        </w:tc>
        <w:tc>
          <w:tcPr>
            <w:tcW w:w="1429" w:type="dxa"/>
            <w:tcBorders>
              <w:left w:val="nil"/>
              <w:bottom w:val="nil"/>
              <w:right w:val="nil"/>
            </w:tcBorders>
          </w:tcPr>
          <w:p>
            <w:pPr>
              <w:pStyle w:val="TableParagraph"/>
              <w:spacing w:before="9"/>
              <w:jc w:val="left"/>
              <w:rPr>
                <w:b/>
                <w:sz w:val="24"/>
              </w:rPr>
            </w:pPr>
          </w:p>
          <w:p>
            <w:pPr>
              <w:pStyle w:val="TableParagraph"/>
              <w:ind w:right="573"/>
              <w:jc w:val="right"/>
              <w:rPr>
                <w:sz w:val="20"/>
              </w:rPr>
            </w:pPr>
            <w:r>
              <w:rPr>
                <w:sz w:val="20"/>
              </w:rPr>
              <w:t>7.1</w:t>
            </w:r>
          </w:p>
        </w:tc>
        <w:tc>
          <w:tcPr>
            <w:tcW w:w="1356" w:type="dxa"/>
            <w:tcBorders>
              <w:left w:val="nil"/>
              <w:bottom w:val="nil"/>
              <w:right w:val="nil"/>
            </w:tcBorders>
          </w:tcPr>
          <w:p>
            <w:pPr>
              <w:pStyle w:val="TableParagraph"/>
              <w:spacing w:before="9"/>
              <w:jc w:val="left"/>
              <w:rPr>
                <w:b/>
                <w:sz w:val="24"/>
              </w:rPr>
            </w:pPr>
          </w:p>
          <w:p>
            <w:pPr>
              <w:pStyle w:val="TableParagraph"/>
              <w:ind w:left="70"/>
              <w:rPr>
                <w:sz w:val="20"/>
              </w:rPr>
            </w:pPr>
            <w:r>
              <w:rPr>
                <w:w w:val="99"/>
                <w:sz w:val="20"/>
              </w:rPr>
              <w:t>-</w:t>
            </w:r>
          </w:p>
        </w:tc>
        <w:tc>
          <w:tcPr>
            <w:tcW w:w="3076" w:type="dxa"/>
            <w:tcBorders>
              <w:left w:val="nil"/>
              <w:bottom w:val="nil"/>
              <w:right w:val="nil"/>
            </w:tcBorders>
          </w:tcPr>
          <w:p>
            <w:pPr>
              <w:pStyle w:val="TableParagraph"/>
              <w:spacing w:before="10"/>
              <w:jc w:val="left"/>
              <w:rPr>
                <w:b/>
                <w:sz w:val="24"/>
              </w:rPr>
            </w:pPr>
          </w:p>
          <w:p>
            <w:pPr>
              <w:pStyle w:val="TableParagraph"/>
              <w:tabs>
                <w:tab w:pos="2240" w:val="left" w:leader="none"/>
              </w:tabs>
              <w:spacing w:before="1"/>
              <w:ind w:left="976"/>
              <w:jc w:val="left"/>
              <w:rPr>
                <w:sz w:val="20"/>
              </w:rPr>
            </w:pPr>
            <w:r>
              <w:rPr>
                <w:position w:val="8"/>
                <w:sz w:val="20"/>
              </w:rPr>
              <w:t>-</w:t>
              <w:tab/>
            </w:r>
            <w:r>
              <w:rPr>
                <w:sz w:val="20"/>
              </w:rPr>
              <w:t>0.279</w:t>
            </w:r>
          </w:p>
        </w:tc>
      </w:tr>
      <w:tr>
        <w:trPr>
          <w:trHeight w:val="534" w:hRule="exact"/>
        </w:trPr>
        <w:tc>
          <w:tcPr>
            <w:tcW w:w="1658" w:type="dxa"/>
            <w:tcBorders>
              <w:top w:val="nil"/>
              <w:left w:val="nil"/>
              <w:right w:val="nil"/>
            </w:tcBorders>
          </w:tcPr>
          <w:p>
            <w:pPr>
              <w:pStyle w:val="TableParagraph"/>
              <w:spacing w:before="82"/>
              <w:ind w:left="52" w:right="181"/>
              <w:rPr>
                <w:b/>
                <w:sz w:val="22"/>
              </w:rPr>
            </w:pPr>
            <w:r>
              <w:rPr>
                <w:b/>
                <w:sz w:val="22"/>
              </w:rPr>
              <w:t>Intensa</w:t>
            </w:r>
          </w:p>
        </w:tc>
        <w:tc>
          <w:tcPr>
            <w:tcW w:w="1096" w:type="dxa"/>
            <w:tcBorders>
              <w:top w:val="nil"/>
              <w:left w:val="nil"/>
              <w:right w:val="nil"/>
            </w:tcBorders>
          </w:tcPr>
          <w:p>
            <w:pPr>
              <w:pStyle w:val="TableParagraph"/>
              <w:spacing w:before="101"/>
              <w:ind w:left="303"/>
              <w:jc w:val="left"/>
              <w:rPr>
                <w:sz w:val="20"/>
              </w:rPr>
            </w:pPr>
            <w:r>
              <w:rPr>
                <w:sz w:val="20"/>
              </w:rPr>
              <w:t>81.8</w:t>
            </w:r>
          </w:p>
        </w:tc>
        <w:tc>
          <w:tcPr>
            <w:tcW w:w="1429" w:type="dxa"/>
            <w:tcBorders>
              <w:top w:val="nil"/>
              <w:left w:val="nil"/>
              <w:right w:val="nil"/>
            </w:tcBorders>
          </w:tcPr>
          <w:p>
            <w:pPr>
              <w:pStyle w:val="TableParagraph"/>
              <w:spacing w:before="101"/>
              <w:ind w:right="518"/>
              <w:jc w:val="right"/>
              <w:rPr>
                <w:sz w:val="20"/>
              </w:rPr>
            </w:pPr>
            <w:r>
              <w:rPr>
                <w:sz w:val="20"/>
              </w:rPr>
              <w:t>92.9</w:t>
            </w:r>
          </w:p>
        </w:tc>
        <w:tc>
          <w:tcPr>
            <w:tcW w:w="1356" w:type="dxa"/>
            <w:tcBorders>
              <w:top w:val="nil"/>
              <w:left w:val="nil"/>
              <w:right w:val="nil"/>
            </w:tcBorders>
          </w:tcPr>
          <w:p>
            <w:pPr>
              <w:pStyle w:val="TableParagraph"/>
              <w:spacing w:before="101"/>
              <w:ind w:left="71"/>
              <w:rPr>
                <w:sz w:val="20"/>
              </w:rPr>
            </w:pPr>
            <w:r>
              <w:rPr>
                <w:sz w:val="20"/>
              </w:rPr>
              <w:t>100</w:t>
            </w:r>
          </w:p>
        </w:tc>
        <w:tc>
          <w:tcPr>
            <w:tcW w:w="3076" w:type="dxa"/>
            <w:tcBorders>
              <w:top w:val="nil"/>
              <w:left w:val="nil"/>
              <w:right w:val="nil"/>
            </w:tcBorders>
          </w:tcPr>
          <w:p>
            <w:pPr>
              <w:pStyle w:val="TableParagraph"/>
              <w:spacing w:before="101"/>
              <w:ind w:left="844"/>
              <w:jc w:val="left"/>
              <w:rPr>
                <w:sz w:val="20"/>
              </w:rPr>
            </w:pPr>
            <w:r>
              <w:rPr>
                <w:sz w:val="20"/>
              </w:rPr>
              <w:t>100</w:t>
            </w:r>
          </w:p>
        </w:tc>
      </w:tr>
      <w:tr>
        <w:trPr>
          <w:trHeight w:val="327" w:hRule="exact"/>
        </w:trPr>
        <w:tc>
          <w:tcPr>
            <w:tcW w:w="1658" w:type="dxa"/>
            <w:tcBorders>
              <w:left w:val="nil"/>
              <w:bottom w:val="nil"/>
              <w:right w:val="nil"/>
            </w:tcBorders>
          </w:tcPr>
          <w:p>
            <w:pPr>
              <w:pStyle w:val="TableParagraph"/>
              <w:spacing w:line="227" w:lineRule="exact"/>
              <w:ind w:left="52" w:right="231"/>
              <w:rPr>
                <w:sz w:val="20"/>
              </w:rPr>
            </w:pPr>
            <w:r>
              <w:rPr>
                <w:sz w:val="20"/>
              </w:rPr>
              <w:t>* Chi-cuadrada</w:t>
            </w:r>
          </w:p>
        </w:tc>
        <w:tc>
          <w:tcPr>
            <w:tcW w:w="1096" w:type="dxa"/>
            <w:tcBorders>
              <w:left w:val="nil"/>
              <w:bottom w:val="nil"/>
              <w:right w:val="nil"/>
            </w:tcBorders>
          </w:tcPr>
          <w:p>
            <w:pPr/>
          </w:p>
        </w:tc>
        <w:tc>
          <w:tcPr>
            <w:tcW w:w="1429" w:type="dxa"/>
            <w:tcBorders>
              <w:left w:val="nil"/>
              <w:bottom w:val="nil"/>
              <w:right w:val="nil"/>
            </w:tcBorders>
          </w:tcPr>
          <w:p>
            <w:pPr/>
          </w:p>
        </w:tc>
        <w:tc>
          <w:tcPr>
            <w:tcW w:w="1356" w:type="dxa"/>
            <w:tcBorders>
              <w:left w:val="nil"/>
              <w:bottom w:val="nil"/>
              <w:right w:val="nil"/>
            </w:tcBorders>
          </w:tcPr>
          <w:p>
            <w:pPr/>
          </w:p>
        </w:tc>
        <w:tc>
          <w:tcPr>
            <w:tcW w:w="3076" w:type="dxa"/>
            <w:tcBorders>
              <w:left w:val="nil"/>
              <w:bottom w:val="nil"/>
              <w:right w:val="nil"/>
            </w:tcBorders>
          </w:tcPr>
          <w:p>
            <w:pPr/>
          </w:p>
        </w:tc>
      </w:tr>
    </w:tbl>
    <w:p>
      <w:pPr>
        <w:pStyle w:val="BodyText"/>
        <w:rPr>
          <w:b/>
          <w:sz w:val="20"/>
        </w:rPr>
      </w:pPr>
    </w:p>
    <w:p>
      <w:pPr>
        <w:pStyle w:val="BodyText"/>
        <w:spacing w:before="8"/>
        <w:rPr>
          <w:b/>
          <w:sz w:val="17"/>
        </w:rPr>
      </w:pPr>
    </w:p>
    <w:p>
      <w:pPr>
        <w:pStyle w:val="BodyText"/>
        <w:spacing w:line="360" w:lineRule="auto" w:before="70"/>
        <w:ind w:left="625" w:right="211"/>
        <w:jc w:val="both"/>
      </w:pPr>
      <w:r>
        <w:rPr/>
        <w:t>El número de veces que el adulto mayor requiere ser hospitalizado constituye un factor importante de estrés para el cuidador, de los resultados obtenidos se aprecia que el nivel de sobrecarga intensa aumenta conforme la reinserción hospitalaria, los resultados reflejan que el nivel de sobrecarga intensa comienza en un 81.8% en contraste con un 18.2% de sobrecarga leve en la primera vez que requiere ser hospitalizado el adulto mayor, en la segunda vez la sobrecarga leve representa 7.1%, mientras que la sobrecarga intensa el 92.9%, en tanto la tercera vez presenta sobrecarga intensa en un 100% y manteniéndose, así hasta la quinta vez que se requiere la hospitalización, en cuanto a los días de estancia se obtuvo una Chi-cuadrada de 1.172 y un valor de P de 0.279, por lo que, no se pudo demostrar diferencias estadísticamente significativas.</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0"/>
        <w:gridCol w:w="2186"/>
        <w:gridCol w:w="1940"/>
        <w:gridCol w:w="1863"/>
      </w:tblGrid>
      <w:tr>
        <w:trPr>
          <w:trHeight w:val="684" w:hRule="exact"/>
        </w:trPr>
        <w:tc>
          <w:tcPr>
            <w:tcW w:w="8519" w:type="dxa"/>
            <w:gridSpan w:val="4"/>
            <w:tcBorders>
              <w:left w:val="nil"/>
              <w:right w:val="nil"/>
            </w:tcBorders>
          </w:tcPr>
          <w:p>
            <w:pPr>
              <w:pStyle w:val="TableParagraph"/>
              <w:spacing w:before="3"/>
              <w:jc w:val="left"/>
              <w:rPr>
                <w:sz w:val="22"/>
              </w:rPr>
            </w:pPr>
          </w:p>
          <w:p>
            <w:pPr>
              <w:pStyle w:val="TableParagraph"/>
              <w:ind w:left="1320"/>
              <w:jc w:val="left"/>
              <w:rPr>
                <w:b/>
                <w:sz w:val="20"/>
              </w:rPr>
            </w:pPr>
            <w:r>
              <w:rPr>
                <w:b/>
                <w:sz w:val="20"/>
              </w:rPr>
              <w:t>Participación en un programa educativo / Nivel de sobrecarga</w:t>
            </w:r>
          </w:p>
        </w:tc>
      </w:tr>
      <w:tr>
        <w:trPr>
          <w:trHeight w:val="572" w:hRule="exact"/>
        </w:trPr>
        <w:tc>
          <w:tcPr>
            <w:tcW w:w="2530" w:type="dxa"/>
            <w:tcBorders>
              <w:left w:val="nil"/>
              <w:bottom w:val="nil"/>
              <w:right w:val="nil"/>
            </w:tcBorders>
            <w:shd w:val="clear" w:color="auto" w:fill="99CC00"/>
          </w:tcPr>
          <w:p>
            <w:pPr>
              <w:pStyle w:val="TableParagraph"/>
              <w:spacing w:before="4"/>
              <w:jc w:val="left"/>
              <w:rPr>
                <w:sz w:val="29"/>
              </w:rPr>
            </w:pPr>
          </w:p>
          <w:p>
            <w:pPr>
              <w:pStyle w:val="TableParagraph"/>
              <w:ind w:left="324"/>
              <w:jc w:val="left"/>
              <w:rPr>
                <w:b/>
                <w:sz w:val="20"/>
              </w:rPr>
            </w:pPr>
            <w:r>
              <w:rPr>
                <w:b/>
                <w:sz w:val="20"/>
              </w:rPr>
              <w:t>Nivel de sobrecarga</w:t>
            </w:r>
          </w:p>
        </w:tc>
        <w:tc>
          <w:tcPr>
            <w:tcW w:w="4126" w:type="dxa"/>
            <w:gridSpan w:val="2"/>
            <w:tcBorders>
              <w:left w:val="nil"/>
              <w:bottom w:val="nil"/>
              <w:right w:val="nil"/>
            </w:tcBorders>
            <w:shd w:val="clear" w:color="auto" w:fill="99CC00"/>
          </w:tcPr>
          <w:p>
            <w:pPr>
              <w:pStyle w:val="TableParagraph"/>
              <w:spacing w:before="5"/>
              <w:jc w:val="left"/>
              <w:rPr>
                <w:sz w:val="22"/>
              </w:rPr>
            </w:pPr>
          </w:p>
          <w:p>
            <w:pPr>
              <w:pStyle w:val="TableParagraph"/>
              <w:spacing w:before="1"/>
              <w:ind w:left="309"/>
              <w:jc w:val="left"/>
              <w:rPr>
                <w:sz w:val="20"/>
              </w:rPr>
            </w:pPr>
            <w:r>
              <w:rPr>
                <w:sz w:val="20"/>
              </w:rPr>
              <w:t>Participación en un programa educativo %</w:t>
            </w:r>
          </w:p>
        </w:tc>
        <w:tc>
          <w:tcPr>
            <w:tcW w:w="1863" w:type="dxa"/>
            <w:tcBorders>
              <w:left w:val="nil"/>
              <w:bottom w:val="nil"/>
              <w:right w:val="nil"/>
            </w:tcBorders>
            <w:shd w:val="clear" w:color="auto" w:fill="99CC00"/>
          </w:tcPr>
          <w:p>
            <w:pPr/>
          </w:p>
        </w:tc>
      </w:tr>
      <w:tr>
        <w:trPr>
          <w:trHeight w:val="535" w:hRule="exact"/>
        </w:trPr>
        <w:tc>
          <w:tcPr>
            <w:tcW w:w="2530" w:type="dxa"/>
            <w:tcBorders>
              <w:top w:val="nil"/>
              <w:left w:val="nil"/>
              <w:right w:val="nil"/>
            </w:tcBorders>
            <w:shd w:val="clear" w:color="auto" w:fill="99CC00"/>
          </w:tcPr>
          <w:p>
            <w:pPr/>
          </w:p>
        </w:tc>
        <w:tc>
          <w:tcPr>
            <w:tcW w:w="2186" w:type="dxa"/>
            <w:tcBorders>
              <w:top w:val="nil"/>
              <w:left w:val="nil"/>
              <w:right w:val="nil"/>
            </w:tcBorders>
            <w:shd w:val="clear" w:color="auto" w:fill="99CC00"/>
          </w:tcPr>
          <w:p>
            <w:pPr>
              <w:pStyle w:val="TableParagraph"/>
              <w:spacing w:before="112"/>
              <w:ind w:left="1010"/>
              <w:jc w:val="left"/>
              <w:rPr>
                <w:b/>
                <w:sz w:val="20"/>
              </w:rPr>
            </w:pPr>
            <w:r>
              <w:rPr>
                <w:b/>
                <w:sz w:val="20"/>
              </w:rPr>
              <w:t>Si</w:t>
            </w:r>
          </w:p>
        </w:tc>
        <w:tc>
          <w:tcPr>
            <w:tcW w:w="1940" w:type="dxa"/>
            <w:tcBorders>
              <w:top w:val="nil"/>
              <w:left w:val="nil"/>
              <w:right w:val="nil"/>
            </w:tcBorders>
            <w:shd w:val="clear" w:color="auto" w:fill="99CC00"/>
          </w:tcPr>
          <w:p>
            <w:pPr>
              <w:pStyle w:val="TableParagraph"/>
              <w:spacing w:before="112"/>
              <w:ind w:left="868" w:right="636"/>
              <w:rPr>
                <w:b/>
                <w:sz w:val="20"/>
              </w:rPr>
            </w:pPr>
            <w:r>
              <w:rPr>
                <w:b/>
                <w:sz w:val="20"/>
              </w:rPr>
              <w:t>No</w:t>
            </w:r>
          </w:p>
        </w:tc>
        <w:tc>
          <w:tcPr>
            <w:tcW w:w="1863" w:type="dxa"/>
            <w:tcBorders>
              <w:top w:val="nil"/>
              <w:left w:val="nil"/>
              <w:right w:val="nil"/>
            </w:tcBorders>
            <w:shd w:val="clear" w:color="auto" w:fill="99CC00"/>
          </w:tcPr>
          <w:p>
            <w:pPr>
              <w:pStyle w:val="TableParagraph"/>
              <w:spacing w:line="207" w:lineRule="exact"/>
              <w:ind w:left="641" w:right="413"/>
              <w:rPr>
                <w:b/>
                <w:sz w:val="20"/>
              </w:rPr>
            </w:pPr>
            <w:r>
              <w:rPr>
                <w:b/>
                <w:sz w:val="20"/>
              </w:rPr>
              <w:t>Valor P*</w:t>
            </w:r>
          </w:p>
        </w:tc>
      </w:tr>
      <w:tr>
        <w:trPr>
          <w:trHeight w:val="666" w:hRule="exact"/>
        </w:trPr>
        <w:tc>
          <w:tcPr>
            <w:tcW w:w="2530" w:type="dxa"/>
            <w:tcBorders>
              <w:left w:val="nil"/>
              <w:bottom w:val="nil"/>
              <w:right w:val="nil"/>
            </w:tcBorders>
          </w:tcPr>
          <w:p>
            <w:pPr>
              <w:pStyle w:val="TableParagraph"/>
              <w:spacing w:before="1"/>
              <w:jc w:val="left"/>
              <w:rPr>
                <w:sz w:val="22"/>
              </w:rPr>
            </w:pPr>
          </w:p>
          <w:p>
            <w:pPr>
              <w:pStyle w:val="TableParagraph"/>
              <w:ind w:left="1034" w:right="953"/>
              <w:rPr>
                <w:b/>
                <w:sz w:val="22"/>
              </w:rPr>
            </w:pPr>
            <w:r>
              <w:rPr>
                <w:b/>
                <w:sz w:val="22"/>
              </w:rPr>
              <w:t>Leve</w:t>
            </w:r>
          </w:p>
        </w:tc>
        <w:tc>
          <w:tcPr>
            <w:tcW w:w="2186" w:type="dxa"/>
            <w:tcBorders>
              <w:left w:val="nil"/>
              <w:bottom w:val="nil"/>
              <w:right w:val="nil"/>
            </w:tcBorders>
          </w:tcPr>
          <w:p>
            <w:pPr>
              <w:pStyle w:val="TableParagraph"/>
              <w:spacing w:before="9"/>
              <w:jc w:val="left"/>
              <w:rPr>
                <w:sz w:val="24"/>
              </w:rPr>
            </w:pPr>
          </w:p>
          <w:p>
            <w:pPr>
              <w:pStyle w:val="TableParagraph"/>
              <w:ind w:left="964"/>
              <w:jc w:val="left"/>
              <w:rPr>
                <w:sz w:val="20"/>
              </w:rPr>
            </w:pPr>
            <w:r>
              <w:rPr>
                <w:sz w:val="20"/>
              </w:rPr>
              <w:t>9.1</w:t>
            </w:r>
          </w:p>
        </w:tc>
        <w:tc>
          <w:tcPr>
            <w:tcW w:w="1940" w:type="dxa"/>
            <w:tcBorders>
              <w:left w:val="nil"/>
              <w:bottom w:val="nil"/>
              <w:right w:val="nil"/>
            </w:tcBorders>
          </w:tcPr>
          <w:p>
            <w:pPr>
              <w:pStyle w:val="TableParagraph"/>
              <w:spacing w:before="9"/>
              <w:jc w:val="left"/>
              <w:rPr>
                <w:sz w:val="24"/>
              </w:rPr>
            </w:pPr>
          </w:p>
          <w:p>
            <w:pPr>
              <w:pStyle w:val="TableParagraph"/>
              <w:ind w:left="868" w:right="641"/>
              <w:rPr>
                <w:sz w:val="20"/>
              </w:rPr>
            </w:pPr>
            <w:r>
              <w:rPr>
                <w:sz w:val="20"/>
              </w:rPr>
              <w:t>90.9</w:t>
            </w:r>
          </w:p>
        </w:tc>
        <w:tc>
          <w:tcPr>
            <w:tcW w:w="1863" w:type="dxa"/>
            <w:tcBorders>
              <w:left w:val="nil"/>
              <w:bottom w:val="nil"/>
              <w:right w:val="nil"/>
            </w:tcBorders>
          </w:tcPr>
          <w:p>
            <w:pPr>
              <w:pStyle w:val="TableParagraph"/>
              <w:jc w:val="left"/>
              <w:rPr>
                <w:sz w:val="20"/>
              </w:rPr>
            </w:pPr>
          </w:p>
          <w:p>
            <w:pPr>
              <w:pStyle w:val="TableParagraph"/>
              <w:spacing w:before="137"/>
              <w:ind w:left="641" w:right="411"/>
              <w:rPr>
                <w:sz w:val="20"/>
              </w:rPr>
            </w:pPr>
            <w:r>
              <w:rPr>
                <w:sz w:val="20"/>
              </w:rPr>
              <w:t>0.621</w:t>
            </w:r>
          </w:p>
        </w:tc>
      </w:tr>
      <w:tr>
        <w:trPr>
          <w:trHeight w:val="494" w:hRule="exact"/>
        </w:trPr>
        <w:tc>
          <w:tcPr>
            <w:tcW w:w="2530" w:type="dxa"/>
            <w:tcBorders>
              <w:top w:val="nil"/>
              <w:left w:val="nil"/>
              <w:right w:val="nil"/>
            </w:tcBorders>
          </w:tcPr>
          <w:p>
            <w:pPr>
              <w:pStyle w:val="TableParagraph"/>
              <w:spacing w:before="42"/>
              <w:ind w:left="921"/>
              <w:jc w:val="left"/>
              <w:rPr>
                <w:b/>
                <w:sz w:val="22"/>
              </w:rPr>
            </w:pPr>
            <w:r>
              <w:rPr>
                <w:b/>
                <w:sz w:val="22"/>
              </w:rPr>
              <w:t>Intensa</w:t>
            </w:r>
          </w:p>
        </w:tc>
        <w:tc>
          <w:tcPr>
            <w:tcW w:w="2186" w:type="dxa"/>
            <w:tcBorders>
              <w:top w:val="nil"/>
              <w:left w:val="nil"/>
              <w:right w:val="nil"/>
            </w:tcBorders>
          </w:tcPr>
          <w:p>
            <w:pPr>
              <w:pStyle w:val="TableParagraph"/>
              <w:spacing w:before="72"/>
              <w:ind w:left="909"/>
              <w:jc w:val="left"/>
              <w:rPr>
                <w:sz w:val="20"/>
              </w:rPr>
            </w:pPr>
            <w:r>
              <w:rPr>
                <w:sz w:val="20"/>
              </w:rPr>
              <w:t>12.5</w:t>
            </w:r>
          </w:p>
        </w:tc>
        <w:tc>
          <w:tcPr>
            <w:tcW w:w="1940" w:type="dxa"/>
            <w:tcBorders>
              <w:top w:val="nil"/>
              <w:left w:val="nil"/>
              <w:right w:val="nil"/>
            </w:tcBorders>
          </w:tcPr>
          <w:p>
            <w:pPr>
              <w:pStyle w:val="TableParagraph"/>
              <w:spacing w:before="72"/>
              <w:ind w:left="868" w:right="641"/>
              <w:rPr>
                <w:sz w:val="20"/>
              </w:rPr>
            </w:pPr>
            <w:r>
              <w:rPr>
                <w:sz w:val="20"/>
              </w:rPr>
              <w:t>87.5</w:t>
            </w:r>
          </w:p>
        </w:tc>
        <w:tc>
          <w:tcPr>
            <w:tcW w:w="1863" w:type="dxa"/>
            <w:tcBorders>
              <w:top w:val="nil"/>
              <w:left w:val="nil"/>
              <w:right w:val="nil"/>
            </w:tcBorders>
          </w:tcPr>
          <w:p>
            <w:pPr/>
          </w:p>
        </w:tc>
      </w:tr>
      <w:tr>
        <w:trPr>
          <w:trHeight w:val="227" w:hRule="exact"/>
        </w:trPr>
        <w:tc>
          <w:tcPr>
            <w:tcW w:w="2530" w:type="dxa"/>
            <w:tcBorders>
              <w:left w:val="nil"/>
              <w:bottom w:val="nil"/>
              <w:right w:val="nil"/>
            </w:tcBorders>
          </w:tcPr>
          <w:p>
            <w:pPr>
              <w:pStyle w:val="TableParagraph"/>
              <w:spacing w:line="227" w:lineRule="exact"/>
              <w:ind w:left="69"/>
              <w:jc w:val="left"/>
              <w:rPr>
                <w:sz w:val="20"/>
              </w:rPr>
            </w:pPr>
            <w:r>
              <w:rPr>
                <w:sz w:val="20"/>
              </w:rPr>
              <w:t>* Chi-cuadrada</w:t>
            </w:r>
          </w:p>
        </w:tc>
        <w:tc>
          <w:tcPr>
            <w:tcW w:w="2186" w:type="dxa"/>
            <w:tcBorders>
              <w:left w:val="nil"/>
              <w:bottom w:val="nil"/>
              <w:right w:val="nil"/>
            </w:tcBorders>
          </w:tcPr>
          <w:p>
            <w:pPr/>
          </w:p>
        </w:tc>
        <w:tc>
          <w:tcPr>
            <w:tcW w:w="1940" w:type="dxa"/>
            <w:tcBorders>
              <w:left w:val="nil"/>
              <w:bottom w:val="nil"/>
              <w:right w:val="nil"/>
            </w:tcBorders>
          </w:tcPr>
          <w:p>
            <w:pPr/>
          </w:p>
        </w:tc>
        <w:tc>
          <w:tcPr>
            <w:tcW w:w="1863" w:type="dxa"/>
            <w:tcBorders>
              <w:left w:val="nil"/>
              <w:bottom w:val="nil"/>
              <w:right w:val="nil"/>
            </w:tcBorders>
          </w:tcPr>
          <w:p>
            <w:pPr/>
          </w:p>
        </w:tc>
      </w:tr>
    </w:tbl>
    <w:p>
      <w:pPr>
        <w:pStyle w:val="BodyText"/>
        <w:rPr>
          <w:sz w:val="20"/>
        </w:rPr>
      </w:pPr>
    </w:p>
    <w:p>
      <w:pPr>
        <w:pStyle w:val="BodyText"/>
        <w:spacing w:before="5"/>
        <w:rPr>
          <w:sz w:val="26"/>
        </w:rPr>
      </w:pPr>
    </w:p>
    <w:p>
      <w:pPr>
        <w:pStyle w:val="BodyText"/>
        <w:spacing w:line="360" w:lineRule="auto" w:before="69"/>
        <w:ind w:left="625" w:right="209"/>
        <w:jc w:val="both"/>
      </w:pPr>
      <w:r>
        <w:rPr/>
        <w:t>El fenómeno de sobrecarga es complejo y se compone de múltiples variables subjetivas de cada cuidador, la educación es un factor importante para intentar disminuir la sobrecarga en el cuidador, basado en lo anterior se le cuestionó al cuidador qué tanta disposición tiene para participar en un programa educativo, se obtuvo que el 9.1% de los cuidadores que experimentan sobrecarga leve sí están dispuestos a participar en dicho programa, igualmente el 90.9% que sobrelleva sobrecarga intensa, por otra parte el 12.5% de cuidadores que reportaron sobrecarga leve y al igual que el 87.5% que reportó sobrecarga intensa, no están dispuestos a participar. Se obtuvo un valor de Chi-cuadrada de 0.076, y valor P de 0.621, por lo que no existen diferencias  estadísticamente</w:t>
      </w:r>
      <w:r>
        <w:rPr>
          <w:spacing w:val="-10"/>
        </w:rPr>
        <w:t> </w:t>
      </w:r>
      <w:r>
        <w:rPr/>
        <w:t>significativas.</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rPr>
          <w:sz w:val="21"/>
        </w:rPr>
      </w:pPr>
    </w:p>
    <w:p>
      <w:pPr>
        <w:pStyle w:val="BodyText"/>
        <w:spacing w:line="20" w:lineRule="exact"/>
        <w:ind w:left="543"/>
        <w:rPr>
          <w:sz w:val="2"/>
        </w:rPr>
      </w:pPr>
      <w:r>
        <w:rPr>
          <w:sz w:val="2"/>
        </w:rPr>
        <w:pict>
          <v:group style="width:431.85pt;height:.5pt;mso-position-horizontal-relative:char;mso-position-vertical-relative:line" coordorigin="0,0" coordsize="8637,10">
            <v:line style="position:absolute" from="5,5" to="8632,5" stroked="true" strokeweight=".48pt" strokecolor="#000000"/>
          </v:group>
        </w:pict>
      </w:r>
      <w:r>
        <w:rPr>
          <w:sz w:val="2"/>
        </w:rPr>
      </w:r>
    </w:p>
    <w:p>
      <w:pPr>
        <w:pStyle w:val="BodyText"/>
        <w:spacing w:before="11"/>
        <w:rPr>
          <w:sz w:val="14"/>
        </w:rPr>
      </w:pPr>
    </w:p>
    <w:p>
      <w:pPr>
        <w:spacing w:before="74"/>
        <w:ind w:left="1853" w:right="0" w:firstLine="0"/>
        <w:jc w:val="left"/>
        <w:rPr>
          <w:b/>
          <w:sz w:val="20"/>
        </w:rPr>
      </w:pPr>
      <w:r>
        <w:rPr>
          <w:b/>
          <w:sz w:val="20"/>
        </w:rPr>
        <w:t>Tiempo que dedica a la visita hospitalaria / Nivel de sobrecarga</w:t>
      </w:r>
    </w:p>
    <w:p>
      <w:pPr>
        <w:pStyle w:val="BodyText"/>
        <w:spacing w:before="7"/>
        <w:rPr>
          <w:b/>
          <w:sz w:val="10"/>
        </w:rPr>
      </w:pPr>
      <w:r>
        <w:rPr/>
        <w:pict>
          <v:group style="position:absolute;margin-left:113.169998pt;margin-top:8.080853pt;width:431.9pt;height:73.7pt;mso-position-horizontal-relative:page;mso-position-vertical-relative:paragraph;z-index:4120;mso-wrap-distance-left:0;mso-wrap-distance-right:0" coordorigin="2263,162" coordsize="8638,1474">
            <v:rect style="position:absolute;left:2268;top:198;width:1219;height:367" filled="true" fillcolor="#99cc00" stroked="false">
              <v:fill type="solid"/>
            </v:rect>
            <v:line style="position:absolute" from="2304,565" to="2304,1232" stroked="true" strokeweight="3.6pt" strokecolor="#99cc00"/>
            <v:line style="position:absolute" from="3453,565" to="3453,1232" stroked="true" strokeweight="3.48pt" strokecolor="#99cc00"/>
            <v:rect style="position:absolute;left:2268;top:1232;width:1219;height:367" filled="true" fillcolor="#99cc00" stroked="false">
              <v:fill type="solid"/>
            </v:rect>
            <v:rect style="position:absolute;left:2340;top:565;width:1078;height:254" filled="true" fillcolor="#99cc00" stroked="false">
              <v:fill type="solid"/>
            </v:rect>
            <v:rect style="position:absolute;left:2340;top:819;width:1078;height:413" filled="true" fillcolor="#99cc00" stroked="false">
              <v:fill type="solid"/>
            </v:rect>
            <v:line style="position:absolute" from="3522,198" to="3522,872" stroked="true" strokeweight="3.48pt" strokecolor="#99cc00"/>
            <v:line style="position:absolute" from="9866,198" to="9866,872" stroked="true" strokeweight="3.6pt" strokecolor="#99cc00"/>
            <v:rect style="position:absolute;left:3557;top:198;width:6273;height:262" filled="true" fillcolor="#99cc00" stroked="false">
              <v:fill type="solid"/>
            </v:rect>
            <v:rect style="position:absolute;left:3557;top:459;width:6273;height:413" filled="true" fillcolor="#99cc00" stroked="false">
              <v:fill type="solid"/>
            </v:rect>
            <v:rect style="position:absolute;left:9902;top:198;width:994;height:288" filled="true" fillcolor="#99cc00" stroked="false">
              <v:fill type="solid"/>
            </v:rect>
            <v:line style="position:absolute" from="9937,486" to="9937,1311" stroked="true" strokeweight="3.48pt" strokecolor="#99cc00"/>
            <v:line style="position:absolute" from="10861,486" to="10861,1311" stroked="true" strokeweight="3.48pt" strokecolor="#99cc00"/>
            <v:rect style="position:absolute;left:9902;top:1311;width:994;height:288" filled="true" fillcolor="#99cc00" stroked="false">
              <v:fill type="solid"/>
            </v:rect>
            <v:rect style="position:absolute;left:9972;top:486;width:854;height:413" filled="true" fillcolor="#99cc00" stroked="false">
              <v:fill type="solid"/>
            </v:rect>
            <v:rect style="position:absolute;left:9972;top:898;width:854;height:413" filled="true" fillcolor="#99cc00" stroked="false">
              <v:fill type="solid"/>
            </v:rect>
            <v:line style="position:absolute" from="2268,193" to="3488,193" stroked="true" strokeweight=".48pt" strokecolor="#000000"/>
            <v:line style="position:absolute" from="3488,193" to="3497,193" stroked="true" strokeweight=".48pt" strokecolor="#000000"/>
            <v:line style="position:absolute" from="3497,193" to="9902,193" stroked="true" strokeweight=".48pt" strokecolor="#000000"/>
            <v:line style="position:absolute" from="9902,193" to="9912,193" stroked="true" strokeweight=".48pt" strokecolor="#000000"/>
            <v:line style="position:absolute" from="9912,193" to="10896,193" stroked="true" strokeweight=".48pt" strokecolor="#000000"/>
            <v:rect style="position:absolute;left:3488;top:882;width:1510;height:139" filled="true" fillcolor="#99cc00" stroked="false">
              <v:fill type="solid"/>
            </v:rect>
            <v:line style="position:absolute" from="3522,1021" to="3522,1460" stroked="true" strokeweight="3.48pt" strokecolor="#99cc00"/>
            <v:line style="position:absolute" from="4963,1021" to="4963,1460" stroked="true" strokeweight="3.48pt" strokecolor="#99cc00"/>
            <v:rect style="position:absolute;left:3488;top:1460;width:1510;height:139" filled="true" fillcolor="#99cc00" stroked="false">
              <v:fill type="solid"/>
            </v:rect>
            <v:rect style="position:absolute;left:3557;top:1021;width:1371;height:439" filled="true" fillcolor="#99cc00" stroked="false">
              <v:fill type="solid"/>
            </v:rect>
            <v:line style="position:absolute" from="5034,882" to="5034,1599" stroked="true" strokeweight="3.6pt" strokecolor="#99cc00"/>
            <v:rect style="position:absolute;left:6453;top:882;width:70;height:718" filled="true" fillcolor="#99cc00" stroked="false">
              <v:fill type="solid"/>
            </v:rect>
            <v:rect style="position:absolute;left:5070;top:882;width:1383;height:278" filled="true" fillcolor="#99cc00" stroked="false">
              <v:fill type="solid"/>
            </v:rect>
            <v:rect style="position:absolute;left:5070;top:1160;width:1383;height:439" filled="true" fillcolor="#99cc00" stroked="false">
              <v:fill type="solid"/>
            </v:rect>
            <v:rect style="position:absolute;left:6525;top:882;width:70;height:718" filled="true" fillcolor="#99cc00" stroked="false">
              <v:fill type="solid"/>
            </v:rect>
            <v:line style="position:absolute" from="8014,882" to="8014,1599" stroked="true" strokeweight="3.48pt" strokecolor="#99cc00"/>
            <v:rect style="position:absolute;left:6594;top:882;width:1385;height:278" filled="true" fillcolor="#99cc00" stroked="false">
              <v:fill type="solid"/>
            </v:rect>
            <v:rect style="position:absolute;left:6594;top:1160;width:1385;height:439" filled="true" fillcolor="#99cc00" stroked="false">
              <v:fill type="solid"/>
            </v:rect>
            <v:rect style="position:absolute;left:8049;top:882;width:1853;height:139" filled="true" fillcolor="#99cc00" stroked="false">
              <v:fill type="solid"/>
            </v:rect>
            <v:line style="position:absolute" from="8083,1021" to="8083,1460" stroked="true" strokeweight="3.48pt" strokecolor="#99cc00"/>
            <v:line style="position:absolute" from="9866,1021" to="9866,1460" stroked="true" strokeweight="3.6pt" strokecolor="#99cc00"/>
            <v:rect style="position:absolute;left:8049;top:1460;width:1853;height:139" filled="true" fillcolor="#99cc00" stroked="false">
              <v:fill type="solid"/>
            </v:rect>
            <v:rect style="position:absolute;left:8118;top:1021;width:1712;height:439" filled="true" fillcolor="#99cc00" stroked="false">
              <v:fill type="solid"/>
            </v:rect>
            <v:line style="position:absolute" from="3488,877" to="4998,877" stroked="true" strokeweight=".48pt" strokecolor="#99cc00"/>
            <v:line style="position:absolute" from="4998,877" to="6522,877" stroked="true" strokeweight=".48pt" strokecolor="#99cc00"/>
            <v:line style="position:absolute" from="6522,877" to="8049,877" stroked="true" strokeweight=".48pt" strokecolor="#99cc00"/>
            <v:line style="position:absolute" from="8049,877" to="9902,877" stroked="true" strokeweight=".48pt" strokecolor="#99cc00"/>
            <v:line style="position:absolute" from="2268,1604" to="3488,1604" stroked="true" strokeweight=".48pt" strokecolor="#000000"/>
            <v:line style="position:absolute" from="3488,1604" to="3497,1604" stroked="true" strokeweight=".48pt" strokecolor="#000000"/>
            <v:line style="position:absolute" from="3497,1604" to="4998,1604" stroked="true" strokeweight=".48pt" strokecolor="#000000"/>
            <v:line style="position:absolute" from="4998,1604" to="5007,1604" stroked="true" strokeweight=".48pt" strokecolor="#000000"/>
            <v:line style="position:absolute" from="5007,1604" to="6522,1604" stroked="true" strokeweight=".48pt" strokecolor="#000000"/>
            <v:line style="position:absolute" from="6522,1604" to="6532,1604" stroked="true" strokeweight=".48pt" strokecolor="#000000"/>
            <v:line style="position:absolute" from="6532,1604" to="8049,1604" stroked="true" strokeweight=".48pt" strokecolor="#000000"/>
            <v:line style="position:absolute" from="8049,1604" to="8058,1604" stroked="true" strokeweight=".48pt" strokecolor="#000000"/>
            <v:line style="position:absolute" from="8058,1604" to="9902,1604" stroked="true" strokeweight=".48pt" strokecolor="#000000"/>
            <v:line style="position:absolute" from="9902,1604" to="9912,1604" stroked="true" strokeweight=".48pt" strokecolor="#000000"/>
            <v:line style="position:absolute" from="9912,1604" to="10896,1604" stroked="true" strokeweight=".48pt" strokecolor="#000000"/>
            <v:shape style="position:absolute;left:2340;top:586;width:1075;height:454" type="#_x0000_t202" filled="false" stroked="false">
              <v:textbox inset="0,0,0,0">
                <w:txbxContent>
                  <w:p>
                    <w:pPr>
                      <w:spacing w:line="204" w:lineRule="exact" w:before="0"/>
                      <w:ind w:left="4" w:right="5" w:firstLine="0"/>
                      <w:jc w:val="center"/>
                      <w:rPr>
                        <w:b/>
                        <w:sz w:val="20"/>
                      </w:rPr>
                    </w:pPr>
                    <w:r>
                      <w:rPr>
                        <w:b/>
                        <w:sz w:val="20"/>
                      </w:rPr>
                      <w:t>Nivel</w:t>
                    </w:r>
                    <w:r>
                      <w:rPr>
                        <w:b/>
                        <w:spacing w:val="-3"/>
                        <w:sz w:val="20"/>
                      </w:rPr>
                      <w:t> </w:t>
                    </w:r>
                    <w:r>
                      <w:rPr>
                        <w:b/>
                        <w:sz w:val="20"/>
                      </w:rPr>
                      <w:t>de</w:t>
                    </w:r>
                  </w:p>
                  <w:p>
                    <w:pPr>
                      <w:spacing w:line="225" w:lineRule="exact" w:before="24"/>
                      <w:ind w:left="4" w:right="5" w:firstLine="0"/>
                      <w:jc w:val="center"/>
                      <w:rPr>
                        <w:b/>
                        <w:sz w:val="20"/>
                      </w:rPr>
                    </w:pPr>
                    <w:r>
                      <w:rPr>
                        <w:b/>
                        <w:w w:val="95"/>
                        <w:sz w:val="20"/>
                      </w:rPr>
                      <w:t>sobrecarga</w:t>
                    </w:r>
                  </w:p>
                </w:txbxContent>
              </v:textbox>
              <w10:wrap type="none"/>
            </v:shape>
            <v:shape style="position:absolute;left:4741;top:483;width:3897;height:200" type="#_x0000_t202" filled="false" stroked="false">
              <v:textbox inset="0,0,0,0">
                <w:txbxContent>
                  <w:p>
                    <w:pPr>
                      <w:spacing w:line="199" w:lineRule="exact" w:before="0"/>
                      <w:ind w:left="0" w:right="-13" w:firstLine="0"/>
                      <w:jc w:val="left"/>
                      <w:rPr>
                        <w:sz w:val="20"/>
                      </w:rPr>
                    </w:pPr>
                    <w:r>
                      <w:rPr>
                        <w:sz w:val="20"/>
                      </w:rPr>
                      <w:t>Tiempo que dedica a la visita hospitalaria</w:t>
                    </w:r>
                    <w:r>
                      <w:rPr>
                        <w:spacing w:val="-13"/>
                        <w:sz w:val="20"/>
                      </w:rPr>
                      <w:t> </w:t>
                    </w:r>
                    <w:r>
                      <w:rPr>
                        <w:sz w:val="20"/>
                      </w:rPr>
                      <w:t>%</w:t>
                    </w:r>
                  </w:p>
                </w:txbxContent>
              </v:textbox>
              <w10:wrap type="none"/>
            </v:shape>
            <v:shape style="position:absolute;left:3726;top:1041;width:1037;height:221" type="#_x0000_t202" filled="false" stroked="false">
              <v:textbox inset="0,0,0,0">
                <w:txbxContent>
                  <w:p>
                    <w:pPr>
                      <w:spacing w:line="221" w:lineRule="exact" w:before="0"/>
                      <w:ind w:left="0" w:right="-17" w:firstLine="0"/>
                      <w:jc w:val="left"/>
                      <w:rPr>
                        <w:b/>
                        <w:sz w:val="22"/>
                      </w:rPr>
                    </w:pPr>
                    <w:r>
                      <w:rPr>
                        <w:b/>
                        <w:sz w:val="22"/>
                      </w:rPr>
                      <w:t>&gt;10 horas</w:t>
                    </w:r>
                  </w:p>
                </w:txbxContent>
              </v:textbox>
              <w10:wrap type="none"/>
            </v:shape>
            <v:shape style="position:absolute;left:5082;top:902;width:2885;height:221" type="#_x0000_t202" filled="false" stroked="false">
              <v:textbox inset="0,0,0,0">
                <w:txbxContent>
                  <w:p>
                    <w:pPr>
                      <w:spacing w:line="221" w:lineRule="exact" w:before="0"/>
                      <w:ind w:left="0" w:right="-16" w:firstLine="0"/>
                      <w:jc w:val="left"/>
                      <w:rPr>
                        <w:b/>
                        <w:sz w:val="22"/>
                      </w:rPr>
                    </w:pPr>
                    <w:r>
                      <w:rPr>
                        <w:b/>
                        <w:sz w:val="22"/>
                      </w:rPr>
                      <w:t>Entre 11 a 19   Entre 20 a</w:t>
                    </w:r>
                    <w:r>
                      <w:rPr>
                        <w:b/>
                        <w:spacing w:val="-18"/>
                        <w:sz w:val="22"/>
                      </w:rPr>
                      <w:t> </w:t>
                    </w:r>
                    <w:r>
                      <w:rPr>
                        <w:b/>
                        <w:sz w:val="22"/>
                      </w:rPr>
                      <w:t>30</w:t>
                    </w:r>
                  </w:p>
                </w:txbxContent>
              </v:textbox>
              <w10:wrap type="none"/>
            </v:shape>
            <v:shape style="position:absolute;left:10015;top:919;width:766;height:200" type="#_x0000_t202" filled="false" stroked="false">
              <v:textbox inset="0,0,0,0">
                <w:txbxContent>
                  <w:p>
                    <w:pPr>
                      <w:spacing w:line="199" w:lineRule="exact" w:before="0"/>
                      <w:ind w:left="0" w:right="-19" w:firstLine="0"/>
                      <w:jc w:val="left"/>
                      <w:rPr>
                        <w:b/>
                        <w:sz w:val="20"/>
                      </w:rPr>
                    </w:pPr>
                    <w:r>
                      <w:rPr>
                        <w:b/>
                        <w:sz w:val="20"/>
                      </w:rPr>
                      <w:t>Valor</w:t>
                    </w:r>
                    <w:r>
                      <w:rPr>
                        <w:b/>
                        <w:spacing w:val="-2"/>
                        <w:sz w:val="20"/>
                      </w:rPr>
                      <w:t> </w:t>
                    </w:r>
                    <w:r>
                      <w:rPr>
                        <w:b/>
                        <w:sz w:val="20"/>
                      </w:rPr>
                      <w:t>P*</w:t>
                    </w:r>
                  </w:p>
                </w:txbxContent>
              </v:textbox>
              <w10:wrap type="none"/>
            </v:shape>
            <v:shape style="position:absolute;left:5461;top:1180;width:601;height:221" type="#_x0000_t202" filled="false" stroked="false">
              <v:textbox inset="0,0,0,0">
                <w:txbxContent>
                  <w:p>
                    <w:pPr>
                      <w:spacing w:line="221" w:lineRule="exact" w:before="0"/>
                      <w:ind w:left="0" w:right="-19" w:firstLine="0"/>
                      <w:jc w:val="left"/>
                      <w:rPr>
                        <w:b/>
                        <w:sz w:val="22"/>
                      </w:rPr>
                    </w:pPr>
                    <w:r>
                      <w:rPr>
                        <w:b/>
                        <w:sz w:val="22"/>
                      </w:rPr>
                      <w:t>horas</w:t>
                    </w:r>
                  </w:p>
                </w:txbxContent>
              </v:textbox>
              <w10:wrap type="none"/>
            </v:shape>
            <v:shape style="position:absolute;left:6985;top:1180;width:601;height:221" type="#_x0000_t202" filled="false" stroked="false">
              <v:textbox inset="0,0,0,0">
                <w:txbxContent>
                  <w:p>
                    <w:pPr>
                      <w:spacing w:line="221" w:lineRule="exact" w:before="0"/>
                      <w:ind w:left="0" w:right="-19" w:firstLine="0"/>
                      <w:jc w:val="left"/>
                      <w:rPr>
                        <w:b/>
                        <w:sz w:val="22"/>
                      </w:rPr>
                    </w:pPr>
                    <w:r>
                      <w:rPr>
                        <w:b/>
                        <w:sz w:val="22"/>
                      </w:rPr>
                      <w:t>horas</w:t>
                    </w:r>
                  </w:p>
                </w:txbxContent>
              </v:textbox>
              <w10:wrap type="none"/>
            </v:shape>
            <v:shape style="position:absolute;left:8118;top:1041;width:1714;height:221" type="#_x0000_t202" filled="false" stroked="false">
              <v:textbox inset="0,0,0,0">
                <w:txbxContent>
                  <w:p>
                    <w:pPr>
                      <w:spacing w:line="221" w:lineRule="exact" w:before="0"/>
                      <w:ind w:left="0" w:right="-18" w:firstLine="0"/>
                      <w:jc w:val="left"/>
                      <w:rPr>
                        <w:b/>
                        <w:sz w:val="22"/>
                      </w:rPr>
                    </w:pPr>
                    <w:r>
                      <w:rPr>
                        <w:b/>
                        <w:sz w:val="22"/>
                      </w:rPr>
                      <w:t>Más de 30 horas</w:t>
                    </w:r>
                  </w:p>
                </w:txbxContent>
              </v:textbox>
              <w10:wrap type="none"/>
            </v:shape>
            <w10:wrap type="topAndBottom"/>
          </v:group>
        </w:pict>
      </w:r>
    </w:p>
    <w:p>
      <w:pPr>
        <w:pStyle w:val="BodyText"/>
        <w:spacing w:before="11"/>
        <w:rPr>
          <w:b/>
          <w:sz w:val="10"/>
        </w:rPr>
      </w:pPr>
    </w:p>
    <w:p>
      <w:pPr>
        <w:tabs>
          <w:tab w:pos="2488" w:val="left" w:leader="none"/>
          <w:tab w:pos="4007" w:val="left" w:leader="none"/>
          <w:tab w:pos="5454" w:val="left" w:leader="none"/>
          <w:tab w:pos="7058" w:val="left" w:leader="none"/>
          <w:tab w:pos="8926" w:val="right" w:leader="none"/>
        </w:tabs>
        <w:spacing w:before="72"/>
        <w:ind w:left="941" w:right="0" w:firstLine="0"/>
        <w:jc w:val="left"/>
        <w:rPr>
          <w:sz w:val="20"/>
        </w:rPr>
      </w:pPr>
      <w:r>
        <w:rPr>
          <w:b/>
          <w:position w:val="1"/>
          <w:sz w:val="22"/>
        </w:rPr>
        <w:t>Leve</w:t>
        <w:tab/>
      </w:r>
      <w:r>
        <w:rPr>
          <w:sz w:val="20"/>
        </w:rPr>
        <w:t>-</w:t>
        <w:tab/>
        <w:t>-</w:t>
        <w:tab/>
        <w:t>10</w:t>
        <w:tab/>
        <w:t>15.4</w:t>
      </w:r>
      <w:r>
        <w:rPr>
          <w:position w:val="-7"/>
          <w:sz w:val="20"/>
        </w:rPr>
        <w:tab/>
        <w:t>0.296</w:t>
      </w:r>
    </w:p>
    <w:p>
      <w:pPr>
        <w:tabs>
          <w:tab w:pos="2356" w:val="left" w:leader="none"/>
          <w:tab w:pos="3875" w:val="left" w:leader="none"/>
          <w:tab w:pos="5454" w:val="left" w:leader="none"/>
          <w:tab w:pos="7444" w:val="right" w:leader="none"/>
        </w:tabs>
        <w:spacing w:before="110"/>
        <w:ind w:left="807" w:right="0" w:firstLine="0"/>
        <w:jc w:val="left"/>
        <w:rPr>
          <w:sz w:val="20"/>
        </w:rPr>
      </w:pPr>
      <w:r>
        <w:rPr>
          <w:b/>
          <w:position w:val="1"/>
          <w:sz w:val="22"/>
        </w:rPr>
        <w:t>Intensa</w:t>
        <w:tab/>
      </w:r>
      <w:r>
        <w:rPr>
          <w:sz w:val="20"/>
        </w:rPr>
        <w:t>100</w:t>
        <w:tab/>
        <w:t>100</w:t>
        <w:tab/>
        <w:t>90</w:t>
        <w:tab/>
        <w:t>84.6</w:t>
      </w:r>
    </w:p>
    <w:p>
      <w:pPr>
        <w:spacing w:before="195"/>
        <w:ind w:left="620" w:right="0" w:firstLine="0"/>
        <w:jc w:val="left"/>
        <w:rPr>
          <w:sz w:val="20"/>
        </w:rPr>
      </w:pPr>
      <w:r>
        <w:rPr/>
        <w:pict>
          <v:group style="position:absolute;margin-left:113.169998pt;margin-top:9.279893pt;width:431.9pt;height:.5pt;mso-position-horizontal-relative:page;mso-position-vertical-relative:paragraph;z-index:-171880" coordorigin="2263,186" coordsize="8638,10">
            <v:line style="position:absolute" from="2268,191" to="3488,191" stroked="true" strokeweight=".48001pt" strokecolor="#000000"/>
            <v:line style="position:absolute" from="3488,191" to="3497,191" stroked="true" strokeweight=".48001pt" strokecolor="#000000"/>
            <v:line style="position:absolute" from="3497,191" to="4998,191" stroked="true" strokeweight=".48001pt" strokecolor="#000000"/>
            <v:line style="position:absolute" from="4998,191" to="5007,191" stroked="true" strokeweight=".48001pt" strokecolor="#000000"/>
            <v:line style="position:absolute" from="5007,191" to="6522,191" stroked="true" strokeweight=".48001pt" strokecolor="#000000"/>
            <v:line style="position:absolute" from="6522,191" to="6532,191" stroked="true" strokeweight=".48001pt" strokecolor="#000000"/>
            <v:line style="position:absolute" from="6532,191" to="8049,191" stroked="true" strokeweight=".48001pt" strokecolor="#000000"/>
            <v:line style="position:absolute" from="8049,191" to="8058,191" stroked="true" strokeweight=".48001pt" strokecolor="#000000"/>
            <v:line style="position:absolute" from="8058,191" to="9902,191" stroked="true" strokeweight=".48001pt" strokecolor="#000000"/>
            <v:line style="position:absolute" from="9902,191" to="9912,191" stroked="true" strokeweight=".48001pt" strokecolor="#000000"/>
            <v:line style="position:absolute" from="9912,191" to="10896,191" stroked="true" strokeweight=".48001pt" strokecolor="#000000"/>
            <w10:wrap type="none"/>
          </v:group>
        </w:pict>
      </w:r>
      <w:r>
        <w:rPr>
          <w:sz w:val="20"/>
        </w:rPr>
        <w:t>* Chi-cuadrada</w:t>
      </w:r>
    </w:p>
    <w:p>
      <w:pPr>
        <w:pStyle w:val="BodyText"/>
        <w:spacing w:line="360" w:lineRule="auto" w:before="596"/>
        <w:ind w:left="625" w:right="212"/>
        <w:jc w:val="both"/>
      </w:pPr>
      <w:r>
        <w:rPr/>
        <w:t>El tiempo que dedica el cuidador durante la estancia hospitalaria se ve restringido por los horarios que la institución permite para la convivencia con  su paciente adulto mayor hospitalizado, se observó que los cuidadores que dedican menos de 10 horas experimentan sobrecarga intensa en un 100%, al igual que los cuidadores que dedican entre 11 a 19 horas; sin embargo, se observa una disminución de la sobrecarga intensa en los cuidadores que dedican entre 20 a 30 horas, se encontró en un 90%, y 10% de sobrecarga leve, dato similar a los que destinan más de 30 horas, los cuales reflejan un 84.6% de sobrecarga intensa y 15.4% de sobrecarga leve, de los datos obtenidos, no se demostró diferencias estadísticamente significativas, ya que, se encontró un valor Chi-cuadrada de 1.902 y valor de P</w:t>
      </w:r>
      <w:r>
        <w:rPr>
          <w:spacing w:val="-19"/>
        </w:rPr>
        <w:t> </w:t>
      </w:r>
      <w:r>
        <w:rPr/>
        <w:t>0.296.</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6" w:after="1"/>
        <w:rPr>
          <w:sz w:val="21"/>
        </w:r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12"/>
        <w:gridCol w:w="909"/>
        <w:gridCol w:w="722"/>
        <w:gridCol w:w="798"/>
        <w:gridCol w:w="996"/>
        <w:gridCol w:w="1375"/>
        <w:gridCol w:w="678"/>
      </w:tblGrid>
      <w:tr>
        <w:trPr>
          <w:trHeight w:val="684" w:hRule="exact"/>
        </w:trPr>
        <w:tc>
          <w:tcPr>
            <w:tcW w:w="8690" w:type="dxa"/>
            <w:gridSpan w:val="7"/>
            <w:tcBorders>
              <w:left w:val="nil"/>
              <w:right w:val="nil"/>
            </w:tcBorders>
          </w:tcPr>
          <w:p>
            <w:pPr>
              <w:pStyle w:val="TableParagraph"/>
              <w:spacing w:before="256"/>
              <w:ind w:left="1334"/>
              <w:jc w:val="left"/>
              <w:rPr>
                <w:b/>
                <w:sz w:val="20"/>
              </w:rPr>
            </w:pPr>
            <w:r>
              <w:rPr>
                <w:b/>
                <w:sz w:val="20"/>
              </w:rPr>
              <w:t>Tiempo que dedica a la visita hospitalaria - Diagnóstico médico</w:t>
            </w:r>
          </w:p>
        </w:tc>
      </w:tr>
      <w:tr>
        <w:trPr>
          <w:trHeight w:val="691" w:hRule="exact"/>
        </w:trPr>
        <w:tc>
          <w:tcPr>
            <w:tcW w:w="3212" w:type="dxa"/>
            <w:vMerge w:val="restart"/>
            <w:tcBorders>
              <w:left w:val="nil"/>
              <w:right w:val="nil"/>
            </w:tcBorders>
            <w:shd w:val="clear" w:color="auto" w:fill="99CC00"/>
          </w:tcPr>
          <w:p>
            <w:pPr>
              <w:pStyle w:val="TableParagraph"/>
              <w:jc w:val="left"/>
              <w:rPr>
                <w:sz w:val="22"/>
              </w:rPr>
            </w:pPr>
          </w:p>
          <w:p>
            <w:pPr>
              <w:pStyle w:val="TableParagraph"/>
              <w:spacing w:before="174"/>
              <w:ind w:left="76"/>
              <w:jc w:val="left"/>
              <w:rPr>
                <w:b/>
                <w:sz w:val="22"/>
              </w:rPr>
            </w:pPr>
            <w:r>
              <w:rPr>
                <w:b/>
                <w:sz w:val="22"/>
              </w:rPr>
              <w:t>Tiempo que dedica a la visita</w:t>
            </w:r>
          </w:p>
        </w:tc>
        <w:tc>
          <w:tcPr>
            <w:tcW w:w="5478" w:type="dxa"/>
            <w:gridSpan w:val="6"/>
            <w:tcBorders>
              <w:left w:val="nil"/>
              <w:bottom w:val="nil"/>
              <w:right w:val="nil"/>
            </w:tcBorders>
            <w:shd w:val="clear" w:color="auto" w:fill="99CC00"/>
          </w:tcPr>
          <w:p>
            <w:pPr>
              <w:pStyle w:val="TableParagraph"/>
              <w:spacing w:before="5"/>
              <w:jc w:val="left"/>
              <w:rPr>
                <w:sz w:val="22"/>
              </w:rPr>
            </w:pPr>
          </w:p>
          <w:p>
            <w:pPr>
              <w:pStyle w:val="TableParagraph"/>
              <w:spacing w:before="1"/>
              <w:ind w:left="1747"/>
              <w:jc w:val="left"/>
              <w:rPr>
                <w:sz w:val="20"/>
              </w:rPr>
            </w:pPr>
            <w:r>
              <w:rPr>
                <w:sz w:val="20"/>
              </w:rPr>
              <w:t>Diagnóstico médico %</w:t>
            </w:r>
          </w:p>
        </w:tc>
      </w:tr>
      <w:tr>
        <w:trPr>
          <w:trHeight w:val="442" w:hRule="exact"/>
        </w:trPr>
        <w:tc>
          <w:tcPr>
            <w:tcW w:w="3212" w:type="dxa"/>
            <w:vMerge/>
            <w:tcBorders>
              <w:left w:val="nil"/>
              <w:right w:val="nil"/>
            </w:tcBorders>
            <w:shd w:val="clear" w:color="auto" w:fill="99CC00"/>
          </w:tcPr>
          <w:p>
            <w:pPr/>
          </w:p>
        </w:tc>
        <w:tc>
          <w:tcPr>
            <w:tcW w:w="909" w:type="dxa"/>
            <w:tcBorders>
              <w:top w:val="nil"/>
              <w:left w:val="nil"/>
              <w:right w:val="nil"/>
            </w:tcBorders>
            <w:shd w:val="clear" w:color="auto" w:fill="99CC00"/>
          </w:tcPr>
          <w:p>
            <w:pPr>
              <w:pStyle w:val="TableParagraph"/>
              <w:spacing w:line="243" w:lineRule="exact"/>
              <w:ind w:left="302" w:right="173"/>
              <w:rPr>
                <w:b/>
                <w:sz w:val="22"/>
              </w:rPr>
            </w:pPr>
            <w:r>
              <w:rPr>
                <w:b/>
                <w:sz w:val="22"/>
              </w:rPr>
              <w:t>IRC</w:t>
            </w:r>
          </w:p>
        </w:tc>
        <w:tc>
          <w:tcPr>
            <w:tcW w:w="722" w:type="dxa"/>
            <w:tcBorders>
              <w:top w:val="nil"/>
              <w:left w:val="nil"/>
              <w:right w:val="nil"/>
            </w:tcBorders>
            <w:shd w:val="clear" w:color="auto" w:fill="99CC00"/>
          </w:tcPr>
          <w:p>
            <w:pPr>
              <w:pStyle w:val="TableParagraph"/>
              <w:spacing w:line="243" w:lineRule="exact"/>
              <w:ind w:left="177" w:right="51"/>
              <w:rPr>
                <w:b/>
                <w:sz w:val="22"/>
              </w:rPr>
            </w:pPr>
            <w:r>
              <w:rPr>
                <w:b/>
                <w:sz w:val="22"/>
              </w:rPr>
              <w:t>EVC</w:t>
            </w:r>
          </w:p>
        </w:tc>
        <w:tc>
          <w:tcPr>
            <w:tcW w:w="798" w:type="dxa"/>
            <w:tcBorders>
              <w:top w:val="nil"/>
              <w:left w:val="nil"/>
              <w:right w:val="nil"/>
            </w:tcBorders>
            <w:shd w:val="clear" w:color="auto" w:fill="99CC00"/>
          </w:tcPr>
          <w:p>
            <w:pPr>
              <w:pStyle w:val="TableParagraph"/>
              <w:spacing w:before="7"/>
              <w:ind w:left="52" w:right="60"/>
              <w:rPr>
                <w:b/>
                <w:sz w:val="20"/>
              </w:rPr>
            </w:pPr>
            <w:r>
              <w:rPr>
                <w:b/>
                <w:sz w:val="20"/>
              </w:rPr>
              <w:t>Sepsis</w:t>
            </w:r>
          </w:p>
        </w:tc>
        <w:tc>
          <w:tcPr>
            <w:tcW w:w="996" w:type="dxa"/>
            <w:tcBorders>
              <w:top w:val="nil"/>
              <w:left w:val="nil"/>
              <w:right w:val="nil"/>
            </w:tcBorders>
            <w:shd w:val="clear" w:color="auto" w:fill="99CC00"/>
          </w:tcPr>
          <w:p>
            <w:pPr>
              <w:pStyle w:val="TableParagraph"/>
              <w:spacing w:before="7"/>
              <w:ind w:left="61" w:right="61"/>
              <w:rPr>
                <w:b/>
                <w:sz w:val="20"/>
              </w:rPr>
            </w:pPr>
            <w:r>
              <w:rPr>
                <w:b/>
                <w:sz w:val="20"/>
              </w:rPr>
              <w:t>Diabetes</w:t>
            </w:r>
          </w:p>
        </w:tc>
        <w:tc>
          <w:tcPr>
            <w:tcW w:w="1375" w:type="dxa"/>
            <w:tcBorders>
              <w:top w:val="nil"/>
              <w:left w:val="nil"/>
              <w:right w:val="nil"/>
            </w:tcBorders>
            <w:shd w:val="clear" w:color="auto" w:fill="99CC00"/>
          </w:tcPr>
          <w:p>
            <w:pPr>
              <w:pStyle w:val="TableParagraph"/>
              <w:spacing w:before="7"/>
              <w:ind w:left="61" w:right="52"/>
              <w:rPr>
                <w:b/>
                <w:sz w:val="20"/>
              </w:rPr>
            </w:pPr>
            <w:r>
              <w:rPr>
                <w:b/>
                <w:sz w:val="20"/>
              </w:rPr>
              <w:t>Hipertensión</w:t>
            </w:r>
          </w:p>
        </w:tc>
        <w:tc>
          <w:tcPr>
            <w:tcW w:w="678" w:type="dxa"/>
            <w:tcBorders>
              <w:top w:val="nil"/>
              <w:left w:val="nil"/>
              <w:right w:val="nil"/>
            </w:tcBorders>
            <w:shd w:val="clear" w:color="auto" w:fill="99CC00"/>
          </w:tcPr>
          <w:p>
            <w:pPr>
              <w:pStyle w:val="TableParagraph"/>
              <w:spacing w:before="7"/>
              <w:ind w:left="52" w:right="52"/>
              <w:rPr>
                <w:b/>
                <w:sz w:val="20"/>
              </w:rPr>
            </w:pPr>
            <w:r>
              <w:rPr>
                <w:b/>
                <w:sz w:val="20"/>
              </w:rPr>
              <w:t>Otros</w:t>
            </w:r>
          </w:p>
        </w:tc>
      </w:tr>
      <w:tr>
        <w:trPr>
          <w:trHeight w:val="622" w:hRule="exact"/>
        </w:trPr>
        <w:tc>
          <w:tcPr>
            <w:tcW w:w="3212" w:type="dxa"/>
            <w:tcBorders>
              <w:left w:val="nil"/>
              <w:bottom w:val="nil"/>
              <w:right w:val="nil"/>
            </w:tcBorders>
          </w:tcPr>
          <w:p>
            <w:pPr>
              <w:pStyle w:val="TableParagraph"/>
              <w:spacing w:before="3"/>
              <w:jc w:val="left"/>
              <w:rPr>
                <w:sz w:val="22"/>
              </w:rPr>
            </w:pPr>
          </w:p>
          <w:p>
            <w:pPr>
              <w:pStyle w:val="TableParagraph"/>
              <w:spacing w:before="1"/>
              <w:ind w:left="621" w:right="615"/>
              <w:rPr>
                <w:sz w:val="22"/>
              </w:rPr>
            </w:pPr>
            <w:r>
              <w:rPr>
                <w:sz w:val="22"/>
              </w:rPr>
              <w:t>&gt;10 horas</w:t>
            </w:r>
          </w:p>
        </w:tc>
        <w:tc>
          <w:tcPr>
            <w:tcW w:w="909" w:type="dxa"/>
            <w:tcBorders>
              <w:left w:val="nil"/>
              <w:bottom w:val="nil"/>
              <w:right w:val="nil"/>
            </w:tcBorders>
          </w:tcPr>
          <w:p>
            <w:pPr>
              <w:pStyle w:val="TableParagraph"/>
              <w:spacing w:before="9"/>
              <w:jc w:val="left"/>
              <w:rPr>
                <w:sz w:val="24"/>
              </w:rPr>
            </w:pPr>
          </w:p>
          <w:p>
            <w:pPr>
              <w:pStyle w:val="TableParagraph"/>
              <w:ind w:left="300" w:right="177"/>
              <w:rPr>
                <w:sz w:val="20"/>
              </w:rPr>
            </w:pPr>
            <w:r>
              <w:rPr>
                <w:sz w:val="20"/>
              </w:rPr>
              <w:t>50</w:t>
            </w:r>
          </w:p>
        </w:tc>
        <w:tc>
          <w:tcPr>
            <w:tcW w:w="722" w:type="dxa"/>
            <w:tcBorders>
              <w:left w:val="nil"/>
              <w:bottom w:val="nil"/>
              <w:right w:val="nil"/>
            </w:tcBorders>
          </w:tcPr>
          <w:p>
            <w:pPr>
              <w:pStyle w:val="TableParagraph"/>
              <w:spacing w:before="9"/>
              <w:jc w:val="left"/>
              <w:rPr>
                <w:sz w:val="24"/>
              </w:rPr>
            </w:pPr>
          </w:p>
          <w:p>
            <w:pPr>
              <w:pStyle w:val="TableParagraph"/>
              <w:ind w:left="177" w:right="51"/>
              <w:rPr>
                <w:sz w:val="20"/>
              </w:rPr>
            </w:pPr>
            <w:r>
              <w:rPr>
                <w:sz w:val="20"/>
              </w:rPr>
              <w:t>25</w:t>
            </w:r>
          </w:p>
        </w:tc>
        <w:tc>
          <w:tcPr>
            <w:tcW w:w="798" w:type="dxa"/>
            <w:tcBorders>
              <w:left w:val="nil"/>
              <w:bottom w:val="nil"/>
              <w:right w:val="nil"/>
            </w:tcBorders>
          </w:tcPr>
          <w:p>
            <w:pPr>
              <w:pStyle w:val="TableParagraph"/>
              <w:spacing w:before="9"/>
              <w:jc w:val="left"/>
              <w:rPr>
                <w:sz w:val="24"/>
              </w:rPr>
            </w:pPr>
          </w:p>
          <w:p>
            <w:pPr>
              <w:pStyle w:val="TableParagraph"/>
              <w:ind w:right="9"/>
              <w:rPr>
                <w:sz w:val="20"/>
              </w:rPr>
            </w:pPr>
            <w:r>
              <w:rPr>
                <w:w w:val="99"/>
                <w:sz w:val="20"/>
              </w:rPr>
              <w:t>-</w:t>
            </w:r>
          </w:p>
        </w:tc>
        <w:tc>
          <w:tcPr>
            <w:tcW w:w="996" w:type="dxa"/>
            <w:tcBorders>
              <w:left w:val="nil"/>
              <w:bottom w:val="nil"/>
              <w:right w:val="nil"/>
            </w:tcBorders>
          </w:tcPr>
          <w:p>
            <w:pPr>
              <w:pStyle w:val="TableParagraph"/>
              <w:spacing w:before="9"/>
              <w:jc w:val="left"/>
              <w:rPr>
                <w:sz w:val="24"/>
              </w:rPr>
            </w:pPr>
          </w:p>
          <w:p>
            <w:pPr>
              <w:pStyle w:val="TableParagraph"/>
              <w:ind w:left="61" w:right="61"/>
              <w:rPr>
                <w:sz w:val="20"/>
              </w:rPr>
            </w:pPr>
            <w:r>
              <w:rPr>
                <w:sz w:val="20"/>
              </w:rPr>
              <w:t>25</w:t>
            </w:r>
          </w:p>
        </w:tc>
        <w:tc>
          <w:tcPr>
            <w:tcW w:w="1375" w:type="dxa"/>
            <w:tcBorders>
              <w:left w:val="nil"/>
              <w:bottom w:val="nil"/>
              <w:right w:val="nil"/>
            </w:tcBorders>
          </w:tcPr>
          <w:p>
            <w:pPr>
              <w:pStyle w:val="TableParagraph"/>
              <w:spacing w:before="9"/>
              <w:jc w:val="left"/>
              <w:rPr>
                <w:sz w:val="24"/>
              </w:rPr>
            </w:pPr>
          </w:p>
          <w:p>
            <w:pPr>
              <w:pStyle w:val="TableParagraph"/>
              <w:ind w:left="13"/>
              <w:rPr>
                <w:sz w:val="20"/>
              </w:rPr>
            </w:pPr>
            <w:r>
              <w:rPr>
                <w:w w:val="99"/>
                <w:sz w:val="20"/>
              </w:rPr>
              <w:t>-</w:t>
            </w:r>
          </w:p>
        </w:tc>
        <w:tc>
          <w:tcPr>
            <w:tcW w:w="678" w:type="dxa"/>
            <w:tcBorders>
              <w:left w:val="nil"/>
              <w:bottom w:val="nil"/>
              <w:right w:val="nil"/>
            </w:tcBorders>
          </w:tcPr>
          <w:p>
            <w:pPr>
              <w:pStyle w:val="TableParagraph"/>
              <w:spacing w:before="9"/>
              <w:jc w:val="left"/>
              <w:rPr>
                <w:sz w:val="24"/>
              </w:rPr>
            </w:pPr>
          </w:p>
          <w:p>
            <w:pPr>
              <w:pStyle w:val="TableParagraph"/>
              <w:rPr>
                <w:sz w:val="20"/>
              </w:rPr>
            </w:pPr>
            <w:r>
              <w:rPr>
                <w:w w:val="99"/>
                <w:sz w:val="20"/>
              </w:rPr>
              <w:t>-</w:t>
            </w:r>
          </w:p>
        </w:tc>
      </w:tr>
      <w:tr>
        <w:trPr>
          <w:trHeight w:val="436" w:hRule="exact"/>
        </w:trPr>
        <w:tc>
          <w:tcPr>
            <w:tcW w:w="3212" w:type="dxa"/>
            <w:tcBorders>
              <w:top w:val="nil"/>
              <w:left w:val="nil"/>
              <w:bottom w:val="nil"/>
              <w:right w:val="nil"/>
            </w:tcBorders>
          </w:tcPr>
          <w:p>
            <w:pPr>
              <w:pStyle w:val="TableParagraph"/>
              <w:spacing w:before="79"/>
              <w:ind w:left="621" w:right="618"/>
              <w:rPr>
                <w:sz w:val="22"/>
              </w:rPr>
            </w:pPr>
            <w:r>
              <w:rPr>
                <w:sz w:val="22"/>
              </w:rPr>
              <w:t>Entre 11 a 19 horas</w:t>
            </w:r>
          </w:p>
        </w:tc>
        <w:tc>
          <w:tcPr>
            <w:tcW w:w="909" w:type="dxa"/>
            <w:tcBorders>
              <w:top w:val="nil"/>
              <w:left w:val="nil"/>
              <w:bottom w:val="nil"/>
              <w:right w:val="nil"/>
            </w:tcBorders>
          </w:tcPr>
          <w:p>
            <w:pPr>
              <w:pStyle w:val="TableParagraph"/>
              <w:spacing w:before="93"/>
              <w:ind w:left="302" w:right="177"/>
              <w:rPr>
                <w:sz w:val="20"/>
              </w:rPr>
            </w:pPr>
            <w:r>
              <w:rPr>
                <w:sz w:val="20"/>
              </w:rPr>
              <w:t>66.7</w:t>
            </w:r>
          </w:p>
        </w:tc>
        <w:tc>
          <w:tcPr>
            <w:tcW w:w="722" w:type="dxa"/>
            <w:tcBorders>
              <w:top w:val="nil"/>
              <w:left w:val="nil"/>
              <w:bottom w:val="nil"/>
              <w:right w:val="nil"/>
            </w:tcBorders>
          </w:tcPr>
          <w:p>
            <w:pPr>
              <w:pStyle w:val="TableParagraph"/>
              <w:spacing w:before="93"/>
              <w:ind w:left="174" w:right="51"/>
              <w:rPr>
                <w:sz w:val="20"/>
              </w:rPr>
            </w:pPr>
            <w:r>
              <w:rPr>
                <w:sz w:val="20"/>
              </w:rPr>
              <w:t>33.3</w:t>
            </w:r>
          </w:p>
        </w:tc>
        <w:tc>
          <w:tcPr>
            <w:tcW w:w="798" w:type="dxa"/>
            <w:tcBorders>
              <w:top w:val="nil"/>
              <w:left w:val="nil"/>
              <w:bottom w:val="nil"/>
              <w:right w:val="nil"/>
            </w:tcBorders>
          </w:tcPr>
          <w:p>
            <w:pPr>
              <w:pStyle w:val="TableParagraph"/>
              <w:spacing w:before="93"/>
              <w:ind w:right="9"/>
              <w:rPr>
                <w:sz w:val="20"/>
              </w:rPr>
            </w:pPr>
            <w:r>
              <w:rPr>
                <w:w w:val="99"/>
                <w:sz w:val="20"/>
              </w:rPr>
              <w:t>-</w:t>
            </w:r>
          </w:p>
        </w:tc>
        <w:tc>
          <w:tcPr>
            <w:tcW w:w="996" w:type="dxa"/>
            <w:tcBorders>
              <w:top w:val="nil"/>
              <w:left w:val="nil"/>
              <w:bottom w:val="nil"/>
              <w:right w:val="nil"/>
            </w:tcBorders>
          </w:tcPr>
          <w:p>
            <w:pPr>
              <w:pStyle w:val="TableParagraph"/>
              <w:spacing w:before="93"/>
              <w:rPr>
                <w:sz w:val="20"/>
              </w:rPr>
            </w:pPr>
            <w:r>
              <w:rPr>
                <w:w w:val="99"/>
                <w:sz w:val="20"/>
              </w:rPr>
              <w:t>0</w:t>
            </w:r>
          </w:p>
        </w:tc>
        <w:tc>
          <w:tcPr>
            <w:tcW w:w="1375" w:type="dxa"/>
            <w:tcBorders>
              <w:top w:val="nil"/>
              <w:left w:val="nil"/>
              <w:bottom w:val="nil"/>
              <w:right w:val="nil"/>
            </w:tcBorders>
          </w:tcPr>
          <w:p>
            <w:pPr>
              <w:pStyle w:val="TableParagraph"/>
              <w:spacing w:before="93"/>
              <w:ind w:left="13"/>
              <w:rPr>
                <w:sz w:val="20"/>
              </w:rPr>
            </w:pPr>
            <w:r>
              <w:rPr>
                <w:w w:val="99"/>
                <w:sz w:val="20"/>
              </w:rPr>
              <w:t>-</w:t>
            </w:r>
          </w:p>
        </w:tc>
        <w:tc>
          <w:tcPr>
            <w:tcW w:w="678" w:type="dxa"/>
            <w:tcBorders>
              <w:top w:val="nil"/>
              <w:left w:val="nil"/>
              <w:bottom w:val="nil"/>
              <w:right w:val="nil"/>
            </w:tcBorders>
          </w:tcPr>
          <w:p>
            <w:pPr>
              <w:pStyle w:val="TableParagraph"/>
              <w:spacing w:before="93"/>
              <w:rPr>
                <w:sz w:val="20"/>
              </w:rPr>
            </w:pPr>
            <w:r>
              <w:rPr>
                <w:w w:val="99"/>
                <w:sz w:val="20"/>
              </w:rPr>
              <w:t>-</w:t>
            </w:r>
          </w:p>
        </w:tc>
      </w:tr>
      <w:tr>
        <w:trPr>
          <w:trHeight w:val="438" w:hRule="exact"/>
        </w:trPr>
        <w:tc>
          <w:tcPr>
            <w:tcW w:w="3212" w:type="dxa"/>
            <w:tcBorders>
              <w:top w:val="nil"/>
              <w:left w:val="nil"/>
              <w:bottom w:val="nil"/>
              <w:right w:val="nil"/>
            </w:tcBorders>
          </w:tcPr>
          <w:p>
            <w:pPr>
              <w:pStyle w:val="TableParagraph"/>
              <w:spacing w:before="81"/>
              <w:ind w:left="621" w:right="618"/>
              <w:rPr>
                <w:sz w:val="22"/>
              </w:rPr>
            </w:pPr>
            <w:r>
              <w:rPr>
                <w:sz w:val="22"/>
              </w:rPr>
              <w:t>Entre 20 a 30 horas</w:t>
            </w:r>
          </w:p>
        </w:tc>
        <w:tc>
          <w:tcPr>
            <w:tcW w:w="909" w:type="dxa"/>
            <w:tcBorders>
              <w:top w:val="nil"/>
              <w:left w:val="nil"/>
              <w:bottom w:val="nil"/>
              <w:right w:val="nil"/>
            </w:tcBorders>
          </w:tcPr>
          <w:p>
            <w:pPr>
              <w:pStyle w:val="TableParagraph"/>
              <w:spacing w:before="97"/>
              <w:ind w:left="300" w:right="177"/>
              <w:rPr>
                <w:sz w:val="20"/>
              </w:rPr>
            </w:pPr>
            <w:r>
              <w:rPr>
                <w:sz w:val="20"/>
              </w:rPr>
              <w:t>40</w:t>
            </w:r>
          </w:p>
        </w:tc>
        <w:tc>
          <w:tcPr>
            <w:tcW w:w="722" w:type="dxa"/>
            <w:tcBorders>
              <w:top w:val="nil"/>
              <w:left w:val="nil"/>
              <w:bottom w:val="nil"/>
              <w:right w:val="nil"/>
            </w:tcBorders>
          </w:tcPr>
          <w:p>
            <w:pPr>
              <w:pStyle w:val="TableParagraph"/>
              <w:spacing w:before="97"/>
              <w:ind w:left="177" w:right="51"/>
              <w:rPr>
                <w:sz w:val="20"/>
              </w:rPr>
            </w:pPr>
            <w:r>
              <w:rPr>
                <w:sz w:val="20"/>
              </w:rPr>
              <w:t>20</w:t>
            </w:r>
          </w:p>
        </w:tc>
        <w:tc>
          <w:tcPr>
            <w:tcW w:w="798" w:type="dxa"/>
            <w:tcBorders>
              <w:top w:val="nil"/>
              <w:left w:val="nil"/>
              <w:bottom w:val="nil"/>
              <w:right w:val="nil"/>
            </w:tcBorders>
          </w:tcPr>
          <w:p>
            <w:pPr>
              <w:pStyle w:val="TableParagraph"/>
              <w:spacing w:before="97"/>
              <w:ind w:left="50" w:right="60"/>
              <w:rPr>
                <w:sz w:val="20"/>
              </w:rPr>
            </w:pPr>
            <w:r>
              <w:rPr>
                <w:sz w:val="20"/>
              </w:rPr>
              <w:t>10</w:t>
            </w:r>
          </w:p>
        </w:tc>
        <w:tc>
          <w:tcPr>
            <w:tcW w:w="996" w:type="dxa"/>
            <w:tcBorders>
              <w:top w:val="nil"/>
              <w:left w:val="nil"/>
              <w:bottom w:val="nil"/>
              <w:right w:val="nil"/>
            </w:tcBorders>
          </w:tcPr>
          <w:p>
            <w:pPr>
              <w:pStyle w:val="TableParagraph"/>
              <w:spacing w:before="97"/>
              <w:ind w:left="61" w:right="61"/>
              <w:rPr>
                <w:sz w:val="20"/>
              </w:rPr>
            </w:pPr>
            <w:r>
              <w:rPr>
                <w:sz w:val="20"/>
              </w:rPr>
              <w:t>20</w:t>
            </w:r>
          </w:p>
        </w:tc>
        <w:tc>
          <w:tcPr>
            <w:tcW w:w="1375" w:type="dxa"/>
            <w:tcBorders>
              <w:top w:val="nil"/>
              <w:left w:val="nil"/>
              <w:bottom w:val="nil"/>
              <w:right w:val="nil"/>
            </w:tcBorders>
          </w:tcPr>
          <w:p>
            <w:pPr>
              <w:pStyle w:val="TableParagraph"/>
              <w:spacing w:before="97"/>
              <w:ind w:left="61" w:right="52"/>
              <w:rPr>
                <w:sz w:val="20"/>
              </w:rPr>
            </w:pPr>
            <w:r>
              <w:rPr>
                <w:sz w:val="20"/>
              </w:rPr>
              <w:t>10</w:t>
            </w:r>
          </w:p>
        </w:tc>
        <w:tc>
          <w:tcPr>
            <w:tcW w:w="678" w:type="dxa"/>
            <w:tcBorders>
              <w:top w:val="nil"/>
              <w:left w:val="nil"/>
              <w:bottom w:val="nil"/>
              <w:right w:val="nil"/>
            </w:tcBorders>
          </w:tcPr>
          <w:p>
            <w:pPr>
              <w:pStyle w:val="TableParagraph"/>
              <w:spacing w:before="97"/>
              <w:rPr>
                <w:sz w:val="20"/>
              </w:rPr>
            </w:pPr>
            <w:r>
              <w:rPr>
                <w:w w:val="99"/>
                <w:sz w:val="20"/>
              </w:rPr>
              <w:t>-</w:t>
            </w:r>
          </w:p>
        </w:tc>
      </w:tr>
      <w:tr>
        <w:trPr>
          <w:trHeight w:val="531" w:hRule="exact"/>
        </w:trPr>
        <w:tc>
          <w:tcPr>
            <w:tcW w:w="3212" w:type="dxa"/>
            <w:tcBorders>
              <w:top w:val="nil"/>
              <w:left w:val="nil"/>
              <w:right w:val="nil"/>
            </w:tcBorders>
          </w:tcPr>
          <w:p>
            <w:pPr>
              <w:pStyle w:val="TableParagraph"/>
              <w:spacing w:before="81"/>
              <w:ind w:left="621" w:right="617"/>
              <w:rPr>
                <w:sz w:val="22"/>
              </w:rPr>
            </w:pPr>
            <w:r>
              <w:rPr>
                <w:sz w:val="22"/>
              </w:rPr>
              <w:t>Más de 30 horas</w:t>
            </w:r>
          </w:p>
        </w:tc>
        <w:tc>
          <w:tcPr>
            <w:tcW w:w="909" w:type="dxa"/>
            <w:tcBorders>
              <w:top w:val="nil"/>
              <w:left w:val="nil"/>
              <w:right w:val="nil"/>
            </w:tcBorders>
          </w:tcPr>
          <w:p>
            <w:pPr>
              <w:pStyle w:val="TableParagraph"/>
              <w:spacing w:before="95"/>
              <w:ind w:left="302" w:right="177"/>
              <w:rPr>
                <w:sz w:val="20"/>
              </w:rPr>
            </w:pPr>
            <w:r>
              <w:rPr>
                <w:sz w:val="20"/>
              </w:rPr>
              <w:t>30.8</w:t>
            </w:r>
          </w:p>
        </w:tc>
        <w:tc>
          <w:tcPr>
            <w:tcW w:w="722" w:type="dxa"/>
            <w:tcBorders>
              <w:top w:val="nil"/>
              <w:left w:val="nil"/>
              <w:right w:val="nil"/>
            </w:tcBorders>
          </w:tcPr>
          <w:p>
            <w:pPr>
              <w:pStyle w:val="TableParagraph"/>
              <w:spacing w:before="95"/>
              <w:ind w:left="174" w:right="51"/>
              <w:rPr>
                <w:sz w:val="20"/>
              </w:rPr>
            </w:pPr>
            <w:r>
              <w:rPr>
                <w:sz w:val="20"/>
              </w:rPr>
              <w:t>15.4</w:t>
            </w:r>
          </w:p>
        </w:tc>
        <w:tc>
          <w:tcPr>
            <w:tcW w:w="798" w:type="dxa"/>
            <w:tcBorders>
              <w:top w:val="nil"/>
              <w:left w:val="nil"/>
              <w:right w:val="nil"/>
            </w:tcBorders>
          </w:tcPr>
          <w:p>
            <w:pPr>
              <w:pStyle w:val="TableParagraph"/>
              <w:spacing w:before="95"/>
              <w:ind w:left="49" w:right="60"/>
              <w:rPr>
                <w:sz w:val="20"/>
              </w:rPr>
            </w:pPr>
            <w:r>
              <w:rPr>
                <w:sz w:val="20"/>
              </w:rPr>
              <w:t>38.5</w:t>
            </w:r>
          </w:p>
        </w:tc>
        <w:tc>
          <w:tcPr>
            <w:tcW w:w="996" w:type="dxa"/>
            <w:tcBorders>
              <w:top w:val="nil"/>
              <w:left w:val="nil"/>
              <w:right w:val="nil"/>
            </w:tcBorders>
          </w:tcPr>
          <w:p>
            <w:pPr>
              <w:pStyle w:val="TableParagraph"/>
              <w:spacing w:before="95"/>
              <w:ind w:left="60" w:right="61"/>
              <w:rPr>
                <w:sz w:val="20"/>
              </w:rPr>
            </w:pPr>
            <w:r>
              <w:rPr>
                <w:sz w:val="20"/>
              </w:rPr>
              <w:t>38.5</w:t>
            </w:r>
          </w:p>
        </w:tc>
        <w:tc>
          <w:tcPr>
            <w:tcW w:w="1375" w:type="dxa"/>
            <w:tcBorders>
              <w:top w:val="nil"/>
              <w:left w:val="nil"/>
              <w:right w:val="nil"/>
            </w:tcBorders>
          </w:tcPr>
          <w:p>
            <w:pPr>
              <w:pStyle w:val="TableParagraph"/>
              <w:spacing w:before="95"/>
              <w:ind w:left="13"/>
              <w:rPr>
                <w:sz w:val="20"/>
              </w:rPr>
            </w:pPr>
            <w:r>
              <w:rPr>
                <w:w w:val="99"/>
                <w:sz w:val="20"/>
              </w:rPr>
              <w:t>-</w:t>
            </w:r>
          </w:p>
        </w:tc>
        <w:tc>
          <w:tcPr>
            <w:tcW w:w="678" w:type="dxa"/>
            <w:tcBorders>
              <w:top w:val="nil"/>
              <w:left w:val="nil"/>
              <w:right w:val="nil"/>
            </w:tcBorders>
          </w:tcPr>
          <w:p>
            <w:pPr>
              <w:pStyle w:val="TableParagraph"/>
              <w:spacing w:before="95"/>
              <w:ind w:left="1"/>
              <w:rPr>
                <w:sz w:val="20"/>
              </w:rPr>
            </w:pPr>
            <w:r>
              <w:rPr>
                <w:w w:val="99"/>
                <w:sz w:val="20"/>
              </w:rPr>
              <w:t>7</w:t>
            </w:r>
          </w:p>
        </w:tc>
      </w:tr>
    </w:tbl>
    <w:p>
      <w:pPr>
        <w:pStyle w:val="BodyText"/>
        <w:spacing w:before="7"/>
        <w:rPr>
          <w:sz w:val="29"/>
        </w:rPr>
      </w:pPr>
    </w:p>
    <w:p>
      <w:pPr>
        <w:pStyle w:val="BodyText"/>
        <w:spacing w:line="360" w:lineRule="auto" w:before="1"/>
        <w:ind w:left="625" w:right="209"/>
        <w:jc w:val="both"/>
      </w:pPr>
      <w:r>
        <w:rPr/>
        <w:t>En la relación existente entre el tiempo que dedica el cuidador a la visita hospitalaria y el diagnóstico médico del adulto mayor, se observa que los cuidadores que dedican menos de 10 horas a la visita hospitalaria son lo que asisten a los pacientes de insuficiencia renal crónica en un 50%, el 25% cuidan a los de evento vascular cerebral, el 25% restante, asiste a los pacientes hospitalizados por diabetes y sus complicaciones, en tanto los cuidadores que dedican entre 11 a 19 horas a la visita hospitalaria acompañan a los pacientes con insuficiencia renal crónica en un 66.7% mientras que el 33.3% restante asiste a pacientes con evento vascular cerebral; así mismo los pacientes que dedican entre 20 a 30 horas, cuidan principalmente a los pacientes con IRC,  en tanto el 20% acompañan a los pacientes con sepsis y un porcentaje igual a los pacientes con diabetes y sus complicaciones, los cuidadores que dedican más de 30 horas apoyan por igual los pacientes con sepsis y con diabetes en un 38.5, y sólo el 7% asiste a los pacientes con otros</w:t>
      </w:r>
      <w:r>
        <w:rPr>
          <w:spacing w:val="-19"/>
        </w:rPr>
        <w:t> </w:t>
      </w:r>
      <w:r>
        <w:rPr/>
        <w:t>diagnósticos.</w:t>
      </w:r>
    </w:p>
    <w:p>
      <w:pPr>
        <w:spacing w:after="0" w:line="360" w:lineRule="auto"/>
        <w:jc w:val="both"/>
        <w:sectPr>
          <w:pgSz w:w="12250" w:h="15850"/>
          <w:pgMar w:header="748" w:footer="1122" w:top="1260" w:bottom="1320" w:left="1720" w:right="1240"/>
        </w:sectPr>
      </w:pPr>
    </w:p>
    <w:p>
      <w:pPr>
        <w:pStyle w:val="BodyText"/>
        <w:rPr>
          <w:sz w:val="20"/>
        </w:rPr>
      </w:pPr>
    </w:p>
    <w:p>
      <w:pPr>
        <w:pStyle w:val="BodyText"/>
        <w:rPr>
          <w:sz w:val="20"/>
        </w:rPr>
      </w:pPr>
    </w:p>
    <w:p>
      <w:pPr>
        <w:pStyle w:val="BodyText"/>
        <w:spacing w:before="5"/>
        <w:rPr>
          <w:sz w:val="21"/>
        </w:rPr>
      </w:pPr>
    </w:p>
    <w:p>
      <w:pPr>
        <w:pStyle w:val="Heading3"/>
        <w:ind w:right="2015"/>
        <w:rPr>
          <w:i/>
        </w:rPr>
      </w:pPr>
      <w:r>
        <w:rPr>
          <w:i/>
        </w:rPr>
        <w:t>Discusión</w:t>
      </w:r>
    </w:p>
    <w:p>
      <w:pPr>
        <w:pStyle w:val="BodyText"/>
        <w:rPr>
          <w:b/>
          <w:i/>
        </w:rPr>
      </w:pPr>
    </w:p>
    <w:p>
      <w:pPr>
        <w:pStyle w:val="BodyText"/>
        <w:rPr>
          <w:b/>
          <w:i/>
        </w:rPr>
      </w:pPr>
    </w:p>
    <w:p>
      <w:pPr>
        <w:pStyle w:val="BodyText"/>
        <w:spacing w:line="360" w:lineRule="auto"/>
        <w:ind w:left="625" w:right="173"/>
        <w:jc w:val="both"/>
      </w:pPr>
      <w:r>
        <w:rPr/>
        <w:t>La presente investigacion cuenta con las limitantes y alcances propios del diseño bajo el cual fue desarrollada, la principal limitante fue la homogeneidad de la muestra que limitó un análisis estadístico más detallado; sin embargo, los logros resultan más considerables, pues se logró llevar un estudio de sobrecarga dentro del contexto hospitalario, un escenario no tomado en cuenta en estudios ya realizados, se refrendó la espectativa de los resultados obtenidos; altos niveles de sobrecarga en el género femenino como principal proveedor de cuidados y un amplio margen de tiempo dedica al cuidado.</w:t>
      </w:r>
    </w:p>
    <w:p>
      <w:pPr>
        <w:pStyle w:val="BodyText"/>
      </w:pPr>
    </w:p>
    <w:p>
      <w:pPr>
        <w:pStyle w:val="Heading2"/>
        <w:spacing w:line="360" w:lineRule="auto" w:before="142"/>
        <w:ind w:right="174"/>
      </w:pPr>
      <w:r>
        <w:rPr/>
        <w:t>Variables sociodemográficas del cuidador informal primario y su relación con la sobrecarga.</w:t>
      </w:r>
    </w:p>
    <w:p>
      <w:pPr>
        <w:pStyle w:val="BodyText"/>
        <w:rPr>
          <w:b/>
        </w:rPr>
      </w:pPr>
    </w:p>
    <w:p>
      <w:pPr>
        <w:pStyle w:val="BodyText"/>
        <w:spacing w:line="360" w:lineRule="auto" w:before="142"/>
        <w:ind w:left="625" w:right="136"/>
        <w:jc w:val="both"/>
      </w:pPr>
      <w:r>
        <w:rPr>
          <w:b/>
        </w:rPr>
        <w:t>Género. </w:t>
      </w:r>
      <w:r>
        <w:rPr/>
        <w:t>Acorde a los resultados obtenidos se precisa que el cuidador informal primario es del género femenino, predominantemente, un 60% ya mencionado anteriormente, el papel del cuidado ha estado a cargo de las mujeres,  lo anterior concuerda, con lo reportado por Domínguez et al. (2010), quien identificó al genero femenino en un 69%, Gómez (2008) por su parte identificó el género femenino en un 70%, lo que resalta el papel matriarcal que aún prevalece en la sociedad mexicana.</w:t>
      </w:r>
    </w:p>
    <w:p>
      <w:pPr>
        <w:pStyle w:val="BodyText"/>
        <w:spacing w:before="9"/>
        <w:rPr>
          <w:sz w:val="31"/>
        </w:rPr>
      </w:pPr>
    </w:p>
    <w:p>
      <w:pPr>
        <w:pStyle w:val="BodyText"/>
        <w:spacing w:line="360" w:lineRule="auto"/>
        <w:ind w:left="625" w:right="172"/>
        <w:jc w:val="both"/>
      </w:pPr>
      <w:r>
        <w:rPr>
          <w:b/>
        </w:rPr>
        <w:t>Edad. </w:t>
      </w:r>
      <w:r>
        <w:rPr/>
        <w:t>La edad media obtenida fue de 37 años, identificando un rango mínimo de 20 y un máximo de 50 años de edad, refiriendo un cuidador adulto joven, lo cual discrepa con Domínguez et al, (2010), el cual encontró un cuidador de edad media 40 años, con un rango mínimo de 18 y un máximo de 75 años, Gómez (2008) identificó un cuidador de edad media de 40 años, en rango mínimo de 18 y mayor de 75 años, por su parte, Márquez (2008) reportó un cuidador mayor de 40 años. En relación con el nivel de sobrecarga se observó al  grupo  de edad  de 20  a 30 años  con  un 100% de  sobrecarga intensa, en</w:t>
      </w:r>
    </w:p>
    <w:p>
      <w:pPr>
        <w:spacing w:after="0" w:line="360" w:lineRule="auto"/>
        <w:jc w:val="both"/>
        <w:sectPr>
          <w:footerReference w:type="default" r:id="rId74"/>
          <w:pgSz w:w="12250" w:h="15850"/>
          <w:pgMar w:footer="1122" w:header="748" w:top="1260" w:bottom="1320" w:left="1720" w:right="1280"/>
          <w:pgNumType w:start="96"/>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8"/>
        <w:jc w:val="both"/>
      </w:pPr>
      <w:r>
        <w:rPr/>
        <w:t>tanto Márquez (2008) contrasta el grupo mayor de 40 años que presentó sobrecarga intensa en un 30%.</w:t>
      </w:r>
    </w:p>
    <w:p>
      <w:pPr>
        <w:pStyle w:val="BodyText"/>
      </w:pPr>
    </w:p>
    <w:p>
      <w:pPr>
        <w:pStyle w:val="BodyText"/>
        <w:spacing w:line="360" w:lineRule="auto" w:before="142"/>
        <w:ind w:left="625" w:right="172"/>
        <w:jc w:val="both"/>
      </w:pPr>
      <w:r>
        <w:rPr>
          <w:b/>
        </w:rPr>
        <w:t>Estado civil. </w:t>
      </w:r>
      <w:r>
        <w:rPr/>
        <w:t>El 46.7% de los cuidadores se encuentran casados, resultado inferior a lo referido por Gómez (2008) quien encontró que el 75% de los cuidadores estaban casados o en unión libre, Domínguez et al, (2010) reseña un 70% de casados. Con respecto a la sobrecarga intensa, el mayor índice de sobrecarga se presentó en los cuidadores en unión libre y divorciados en un 100%, mientras que los casados presentaron el 92.9 y los solteros fueron los menos afectados en un 78%, concordando con lo encontrado por Márquez (2008), quien reporto una sobrecarga intensa en los divorciados, de un 30%, los cuidadores en union libre en un 27.2% y los casados en un 23.2%, ubicando a los solteros con ausencia de</w:t>
      </w:r>
      <w:r>
        <w:rPr>
          <w:spacing w:val="-22"/>
        </w:rPr>
        <w:t> </w:t>
      </w:r>
      <w:r>
        <w:rPr/>
        <w:t>sobrecarga.</w:t>
      </w:r>
    </w:p>
    <w:p>
      <w:pPr>
        <w:pStyle w:val="BodyText"/>
      </w:pPr>
    </w:p>
    <w:p>
      <w:pPr>
        <w:pStyle w:val="BodyText"/>
        <w:spacing w:line="360" w:lineRule="auto" w:before="142"/>
        <w:ind w:left="625" w:right="168"/>
        <w:jc w:val="both"/>
      </w:pPr>
      <w:r>
        <w:rPr>
          <w:b/>
        </w:rPr>
        <w:t>Escolaridad. </w:t>
      </w:r>
      <w:r>
        <w:rPr/>
        <w:t>Se encontró, a la mayoría de los cuidadores con un nivel de escolaridad medio superior, equivalente a 12 años de estudio, dato superior al nivel promedio nacional, discrepando con lo descrito por Domínguez et al, (2010) ya que éste encontró un cuidador con nivel de escolaridad basico, primaria en un 38% y secundaria en un 32%, por su parte Gómez (2008) también hallo, un cuidador con nivel básico, primaria 45% y secundaria 30%. En lo concerniente al nivel de sobrecarga se encontró al nivel primaria, licenciatura y posgrado en un 100% de sobrecarga intensa, encontrando porcentajes similares al nivel de secundaria 85.7% y medio superior en 85%, evidenciando mayor tolerancia, los resultados son opuestos a los encontrados por Márquez (2008), ubicó al nivel primaria en un 39%, nivel secundaria 20% de sobrecarga intensa, mientras que el nivel medio superior reportó un 85.7% de no sobrecarga y el nivel superior 70%, encontrando significancia entre las variables.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3"/>
        <w:jc w:val="both"/>
      </w:pPr>
      <w:r>
        <w:rPr>
          <w:b/>
        </w:rPr>
        <w:t>Religión</w:t>
      </w:r>
      <w:r>
        <w:rPr/>
        <w:t>. La religión católica fue la mayor referida por los cuidadores en un 83.3%, con respecto Gómez (2008), también identificó a dicha religión como la de mayor predicación por los cuidadores en un 70%.</w:t>
      </w:r>
    </w:p>
    <w:p>
      <w:pPr>
        <w:pStyle w:val="BodyText"/>
      </w:pPr>
    </w:p>
    <w:p>
      <w:pPr>
        <w:pStyle w:val="BodyText"/>
        <w:spacing w:line="360" w:lineRule="auto" w:before="142"/>
        <w:ind w:left="625" w:right="169"/>
        <w:jc w:val="both"/>
      </w:pPr>
      <w:r>
        <w:rPr>
          <w:b/>
        </w:rPr>
        <w:t>Ocupación</w:t>
      </w:r>
      <w:r>
        <w:rPr/>
        <w:t>. Acorde a los resultados, el cuidador práctica algún oficio en un 46.3% como principal fuente de ingresos económicos, mientras el 13.3% se dedica a actividades del hogar; Gómez (2008), mostró que el 55% de los cuidadores se dedicaba a actividades propias del hogar. De acuerdo a los nivel de sobrecarga intensa encontrados en los cuidadores que desempeñan una profesión al igual que los desempleados, experimentan sobrecarga intensa en un 100%, en tanto los dedicados al hogar experimentan un 75% de sobrecarga intensa, los que desempeñan un oficio sobrellevan un 85.7%, por su parte Márquez (2008) reporto a los cuidadores dedicados al hogar con un 31.4% de sobrecarga intensa y a los técnicos profesionales con un 87.5% de no sobrecarga.</w:t>
      </w:r>
    </w:p>
    <w:p>
      <w:pPr>
        <w:pStyle w:val="BodyText"/>
      </w:pPr>
    </w:p>
    <w:p>
      <w:pPr>
        <w:pStyle w:val="BodyText"/>
        <w:spacing w:line="360" w:lineRule="auto" w:before="142"/>
        <w:ind w:left="625" w:right="174"/>
        <w:jc w:val="both"/>
      </w:pPr>
      <w:r>
        <w:rPr>
          <w:b/>
        </w:rPr>
        <w:t>Ingreso económico. </w:t>
      </w:r>
      <w:r>
        <w:rPr/>
        <w:t>En cuanto al ingreso económico se encontró que el 40% de los cuidadores perciben de 1 a 2 salario mínimos, como ingreso mensual medio de $4,750.00 pesos, el menor ingreso encontrado de $1,80.00 pesos   y</w:t>
      </w:r>
    </w:p>
    <w:p>
      <w:pPr>
        <w:pStyle w:val="BodyText"/>
        <w:spacing w:line="360" w:lineRule="auto" w:before="2"/>
        <w:ind w:left="625" w:right="170"/>
        <w:jc w:val="both"/>
      </w:pPr>
      <w:r>
        <w:rPr/>
        <w:t>$9,000.00 pesos como máximo, el resultado obtenido difiere con lo descrito  por Domínguez et al, (2010) reporta el 83% de los cuidadores perciben ingresos menores a los $3,000.00</w:t>
      </w:r>
      <w:r>
        <w:rPr>
          <w:spacing w:val="-13"/>
        </w:rPr>
        <w:t> </w:t>
      </w:r>
      <w:r>
        <w:rPr/>
        <w:t>pesos.</w:t>
      </w:r>
    </w:p>
    <w:p>
      <w:pPr>
        <w:pStyle w:val="BodyText"/>
      </w:pPr>
    </w:p>
    <w:p>
      <w:pPr>
        <w:pStyle w:val="Heading2"/>
        <w:spacing w:before="142"/>
        <w:ind w:right="0"/>
      </w:pPr>
      <w:r>
        <w:rPr/>
        <w:t>Perfil del adulto mayor atendido.</w:t>
      </w:r>
    </w:p>
    <w:p>
      <w:pPr>
        <w:pStyle w:val="BodyText"/>
        <w:rPr>
          <w:b/>
        </w:rPr>
      </w:pPr>
    </w:p>
    <w:p>
      <w:pPr>
        <w:pStyle w:val="BodyText"/>
        <w:rPr>
          <w:b/>
        </w:rPr>
      </w:pPr>
    </w:p>
    <w:p>
      <w:pPr>
        <w:pStyle w:val="BodyText"/>
        <w:spacing w:line="360" w:lineRule="auto"/>
        <w:ind w:left="625" w:right="175"/>
        <w:jc w:val="both"/>
      </w:pPr>
      <w:r>
        <w:rPr/>
        <w:t>El género femenino fue el predominante de los adultos mayores atendidos, los cuales oscilan en un rango de 60 a 65 años, con una edad media de 71 años, una estancia hospitalaria entre 6 a 7 dias, en promedio, han requerido ser hospitalizadas al menos 2 veces durante los últimos 6 meses, en relación a los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9"/>
        <w:jc w:val="both"/>
      </w:pPr>
      <w:r>
        <w:rPr/>
        <w:t>diagnósticos médicos, la insuficiencia renal crónica fue la de mayor presencia entre los adultos mayores hospitalizados.</w:t>
      </w:r>
    </w:p>
    <w:p>
      <w:pPr>
        <w:pStyle w:val="BodyText"/>
      </w:pPr>
    </w:p>
    <w:p>
      <w:pPr>
        <w:pStyle w:val="Heading2"/>
        <w:spacing w:before="142"/>
        <w:ind w:right="0"/>
      </w:pPr>
      <w:r>
        <w:rPr/>
        <w:t>Factores relacionados con la sobrecarga.</w:t>
      </w:r>
    </w:p>
    <w:p>
      <w:pPr>
        <w:pStyle w:val="BodyText"/>
        <w:rPr>
          <w:b/>
        </w:rPr>
      </w:pPr>
    </w:p>
    <w:p>
      <w:pPr>
        <w:pStyle w:val="BodyText"/>
        <w:rPr>
          <w:b/>
        </w:rPr>
      </w:pPr>
    </w:p>
    <w:p>
      <w:pPr>
        <w:pStyle w:val="BodyText"/>
        <w:spacing w:line="360" w:lineRule="auto"/>
        <w:ind w:left="625" w:right="167"/>
        <w:jc w:val="both"/>
      </w:pPr>
      <w:r>
        <w:rPr>
          <w:b/>
        </w:rPr>
        <w:t>Tiempo dedicado al cuidado. </w:t>
      </w:r>
      <w:r>
        <w:rPr/>
        <w:t>El tiempo dedicado al cuidador por parte del cuidador informal primario se consideró en base a los horarios establecidos durante la estancia hospitalaria, sin duda son distintos a los establecidos de una unidad a otra; sin embargo, se considera un factor importante para ser investigado más a fondo. De los resultados obtenidos se refiere el 43.4% de  los cuidadores dedican más de 30 horas a la visita hospitalaria, contrastando con Gómez (2008) quien refirió un tiempo medio dedicado de 9.63 horas al  día, dato obtenido del estudio de cuidadores de pacientes oncológicos que acuden a consulta, en otros contextos Márquez (2008) refiere de 8 a 10 horas al día, Pinto, Barrea y Sánchez (2005) citados en por Domínguez et al, (2010) refieren que el cuidador dedica un promedio de 4 a 5 horas</w:t>
      </w:r>
      <w:r>
        <w:rPr>
          <w:spacing w:val="-20"/>
        </w:rPr>
        <w:t> </w:t>
      </w:r>
      <w:r>
        <w:rPr/>
        <w:t>diarias.</w:t>
      </w:r>
    </w:p>
    <w:p>
      <w:pPr>
        <w:pStyle w:val="BodyText"/>
      </w:pPr>
    </w:p>
    <w:p>
      <w:pPr>
        <w:pStyle w:val="BodyText"/>
        <w:spacing w:line="360" w:lineRule="auto" w:before="142"/>
        <w:ind w:left="625" w:right="172"/>
        <w:jc w:val="both"/>
      </w:pPr>
      <w:r>
        <w:rPr>
          <w:b/>
        </w:rPr>
        <w:t>Apoyo económico para el cuidado. </w:t>
      </w:r>
      <w:r>
        <w:rPr/>
        <w:t>Otro factor importante que impacta en el desarrollo de sobrecarga, es el factor económico, puesto que el cuidar de una persona adulta conlleva una seria de gastos e imprevistos, que pueden dificultar la estabilidad del cuidador, basado en lo anterior se le preguntó al cuidador el tipo de apoyo económico específico para hacerse cargo del  cuidado de su paciente adulto mayor, el 83.3% respondió no contar con algún apoyo de este tipo, lo que constata lo referido por diversos autores (Barahona. 2013, Márquez. 2008, Fernández. 2007) los cuales hacen mención, a las repercusiones económicas como contribuyentes al desarrollo de sobrecarga, específicamente Barahona (2013): parece lógico que aquellos que tienen menos capacidad económica presenten mayor sobrecarga por no poder disponer de recursos para atender a sus</w:t>
      </w:r>
      <w:r>
        <w:rPr>
          <w:spacing w:val="-16"/>
        </w:rPr>
        <w:t> </w:t>
      </w:r>
      <w:r>
        <w:rPr/>
        <w:t>necesidades.</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68"/>
        <w:jc w:val="both"/>
      </w:pPr>
      <w:r>
        <w:rPr>
          <w:b/>
        </w:rPr>
        <w:t>Capacitación para el cuidado. </w:t>
      </w:r>
      <w:r>
        <w:rPr/>
        <w:t>Otro aspecto, relevante para cuestionar al cuidador, fue la alguna capacitación, para atender las diferentes necesidades de su adulto mayor, lo anterior, surge de la observación e interacción con los cuidadores estudiados, el 86.7%, no cuentan con algún tipo de capacitación, aunado a esto, también se les consultó si estarían dispuestos a participar en  un programa educativo, un 73.3% estarían dispuestos a participar, lo anterior, se basa en que la capacitación puede contribuir de manera positiva a la disminución de la sobrecarga, sin soslayar, el aporte a futuras estrategias de intervención.</w:t>
      </w:r>
    </w:p>
    <w:p>
      <w:pPr>
        <w:pStyle w:val="BodyText"/>
      </w:pPr>
    </w:p>
    <w:p>
      <w:pPr>
        <w:pStyle w:val="BodyText"/>
        <w:spacing w:line="360" w:lineRule="auto" w:before="142"/>
        <w:ind w:left="625" w:right="169"/>
        <w:jc w:val="both"/>
      </w:pPr>
      <w:r>
        <w:rPr/>
        <w:t>Barahona (2013) sostiene, que al agrupar las diversas faltas de conocimiento en conceptos comunes, la mayor sobrecarga se produce ante la falta conocimientos en cuidados básicos, mientras que la menor sobrecarga se produce ante la falta de conocimientos en cuidados sanitarios, por otra parte Alonso (2004) citado en Barahona (2013) explican que al dar formación, aumenta la satisfacción de los cuidadores en un 96% de los casos y que la consideran útil para mejorar la eficacia del cuidado.</w:t>
      </w:r>
    </w:p>
    <w:p>
      <w:pPr>
        <w:pStyle w:val="BodyText"/>
      </w:pPr>
    </w:p>
    <w:p>
      <w:pPr>
        <w:pStyle w:val="Heading2"/>
        <w:spacing w:before="142"/>
        <w:ind w:right="0"/>
      </w:pPr>
      <w:r>
        <w:rPr/>
        <w:t>Nivel de sobrecarga.</w:t>
      </w:r>
    </w:p>
    <w:p>
      <w:pPr>
        <w:pStyle w:val="BodyText"/>
        <w:rPr>
          <w:b/>
        </w:rPr>
      </w:pPr>
    </w:p>
    <w:p>
      <w:pPr>
        <w:pStyle w:val="BodyText"/>
        <w:rPr>
          <w:b/>
        </w:rPr>
      </w:pPr>
    </w:p>
    <w:p>
      <w:pPr>
        <w:pStyle w:val="BodyText"/>
        <w:spacing w:line="360" w:lineRule="auto"/>
        <w:ind w:left="625" w:right="169"/>
        <w:jc w:val="both"/>
      </w:pPr>
      <w:r>
        <w:rPr/>
        <w:t>Despues de la realizar el presente estudio, se contó con una muestra de 30 personas, que desempeñan el rol de cuidador, con un nivel de sobrecarga intensa de 90%, con un puntaje medio de 81 en la escala de Zarit, el 10% restante experimenta sobrecarga leve con una puntuación media de 53 puntos en la escala de Zarit, los resultados obtenidos del nivel de sobrecarga discrepan con Domínguez et al, (2010) en Tabasco, quienes encontrarón un 80% de sobrecarga leve y sólo un 20% de sobrecarga intensa, en una muestra de 100 cuidadores de adultos mayores, por su parte Márquez (2008) reportó  un 21.9% de sobrecarga intensa, 18.1% de sobrecarga leve y un 60% sin sobrecarga en una muestra de 105 cuidadores de pacientes con  </w:t>
      </w:r>
      <w:r>
        <w:rPr>
          <w:spacing w:val="46"/>
        </w:rPr>
        <w:t> </w:t>
      </w:r>
      <w:r>
        <w:rPr/>
        <w:t>insuficiencia</w:t>
      </w:r>
    </w:p>
    <w:p>
      <w:pPr>
        <w:spacing w:after="0" w:line="360" w:lineRule="auto"/>
        <w:jc w:val="both"/>
        <w:sectPr>
          <w:footerReference w:type="default" r:id="rId75"/>
          <w:pgSz w:w="12250" w:h="15850"/>
          <w:pgMar w:footer="1122" w:header="748" w:top="1260" w:bottom="1320" w:left="1720" w:right="1280"/>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68"/>
        <w:jc w:val="both"/>
      </w:pPr>
      <w:r>
        <w:rPr/>
        <w:t>renal crónica, Gómez (2008) refrenda una sobrecarga intensa en 25%, sobrecarga leve 22.5% y una ausencia de sobrecarga en un 52.% de una muestra de 40 cuidadores de pacientes oncológicos, estos dos últimos autores en el Estado de Veracruz. Al analizar las discrepancias anteriores resalta la diferencia en las muestras estudiadas, la limitante a 30 cuidadores al igual que la homogenidad de la muestra, limitó un análisis estadístico, más detallado en busca de significancia entre las variables, otro factor a considerar es el lugar geográfico de realización de los estudios, de acuerdo con la Organización de Naciones Unidas, desde 2012 el Distrito Federal es la tercer ciudad más poblada del mundo y acorde con Dorantes y Matus (2002) las grandes urbes favorecen el desarrollo de enfermedades, emprobece las relaciones sociales por diversos factores tales como: ruido, hacinamiento, territorialidad. Conforme con la OMS, la urbanizacion ha desproporcionado una alta gama de enfermedades tanto crónicas como transmisibles.</w:t>
      </w:r>
    </w:p>
    <w:p>
      <w:pPr>
        <w:pStyle w:val="BodyText"/>
      </w:pPr>
    </w:p>
    <w:p>
      <w:pPr>
        <w:pStyle w:val="BodyText"/>
        <w:spacing w:line="360" w:lineRule="auto" w:before="142"/>
        <w:ind w:left="625" w:right="168"/>
        <w:jc w:val="both"/>
      </w:pPr>
      <w:r>
        <w:rPr/>
        <w:t>La escala de sobrecarga del cuidador de Zarit es un instrumento validado, universalmente aceptado para investigaciones del cuidador, durante la realización del estudio se aplicó el coeficiente alfa de Cronbach, obteniendo un valor de 0.941 similar al valor de la versión original 0.91, por su parte, Gómez (2008) obtuvo un valor de 0.86 en la aplicación de la versión de 1996 por Martín et al. En el contexto Latinoamericano Torrealba y Yepez (2012) en Venezuela obtuvo un coeficiente de 0.833, mientras que Breinbauer et al, (2009) reportó 0.87 en la validación en Chile. Al abordaje de las dimensiones contenidas en la escala, se logró un coeficiente alfa de Cronbach de 0.923, en la dimensión impacto del cuidado, 0.876 en relación interpersonal y 0.614 expectativas de autocuidado, que contrastado con Jofre y Sanhueza (2010) en Chile obtuvieron para la dimensión impacto del cuidado 0.765, relación interpersonal 0.779 y para la expectativas de autocuidado 0.798, en  el  contexto nacional Alpuche et al, (2008) reporta un alfa de Cronbach de 0.88</w:t>
      </w:r>
      <w:r>
        <w:rPr>
          <w:spacing w:val="10"/>
        </w:rPr>
        <w:t> </w:t>
      </w:r>
      <w:r>
        <w:rPr/>
        <w:t>en</w:t>
      </w:r>
    </w:p>
    <w:p>
      <w:pPr>
        <w:spacing w:after="0" w:line="360" w:lineRule="auto"/>
        <w:jc w:val="both"/>
        <w:sectPr>
          <w:footerReference w:type="default" r:id="rId76"/>
          <w:pgSz w:w="12250" w:h="15850"/>
          <w:pgMar w:footer="1122" w:header="748" w:top="1260" w:bottom="1320" w:left="1720" w:right="1280"/>
          <w:pgNumType w:start="101"/>
        </w:sectPr>
      </w:pPr>
    </w:p>
    <w:p>
      <w:pPr>
        <w:pStyle w:val="BodyText"/>
        <w:rPr>
          <w:sz w:val="20"/>
        </w:rPr>
      </w:pPr>
    </w:p>
    <w:p>
      <w:pPr>
        <w:pStyle w:val="BodyText"/>
        <w:rPr>
          <w:sz w:val="20"/>
        </w:rPr>
      </w:pPr>
    </w:p>
    <w:p>
      <w:pPr>
        <w:pStyle w:val="BodyText"/>
        <w:spacing w:before="5"/>
        <w:rPr>
          <w:sz w:val="21"/>
        </w:rPr>
      </w:pPr>
    </w:p>
    <w:p>
      <w:pPr>
        <w:pStyle w:val="BodyText"/>
        <w:spacing w:line="360" w:lineRule="auto"/>
        <w:ind w:left="625" w:right="178"/>
        <w:jc w:val="both"/>
      </w:pPr>
      <w:r>
        <w:rPr/>
        <w:t>la dimensión impacto del cuidado, 0.7 en relación interpersonal y 0.64 expectativas de autocuidado.</w:t>
      </w:r>
    </w:p>
    <w:p>
      <w:pPr>
        <w:pStyle w:val="BodyText"/>
      </w:pPr>
    </w:p>
    <w:p>
      <w:pPr>
        <w:pStyle w:val="BodyText"/>
        <w:spacing w:line="360" w:lineRule="auto" w:before="142"/>
        <w:ind w:left="625" w:right="170"/>
        <w:jc w:val="both"/>
      </w:pPr>
      <w:r>
        <w:rPr/>
        <w:t>Basado en lo anterior, resalta la trascendencia de los estudios referentes al cuidador llevados a cabo en diferentes países y escenarios, así mismo, se reconoce la confiabilidad de la escala de sobrecarga del cuidador para su aplicación en el  contexto hospitalario.</w:t>
      </w:r>
    </w:p>
    <w:p>
      <w:pPr>
        <w:spacing w:after="0" w:line="360" w:lineRule="auto"/>
        <w:jc w:val="both"/>
        <w:sectPr>
          <w:pgSz w:w="12250" w:h="15850"/>
          <w:pgMar w:header="748" w:footer="1122" w:top="1260" w:bottom="1320" w:left="1720" w:right="1280"/>
        </w:sectPr>
      </w:pPr>
    </w:p>
    <w:p>
      <w:pPr>
        <w:pStyle w:val="BodyText"/>
        <w:rPr>
          <w:sz w:val="20"/>
        </w:rPr>
      </w:pPr>
    </w:p>
    <w:p>
      <w:pPr>
        <w:pStyle w:val="BodyText"/>
        <w:rPr>
          <w:sz w:val="20"/>
        </w:rPr>
      </w:pPr>
    </w:p>
    <w:p>
      <w:pPr>
        <w:pStyle w:val="BodyText"/>
        <w:spacing w:before="7"/>
        <w:rPr>
          <w:sz w:val="15"/>
        </w:rPr>
      </w:pPr>
    </w:p>
    <w:p>
      <w:pPr>
        <w:pStyle w:val="Heading1"/>
        <w:ind w:right="2020"/>
        <w:rPr>
          <w:i/>
        </w:rPr>
      </w:pPr>
      <w:r>
        <w:rPr>
          <w:i/>
        </w:rPr>
        <w:t>Conclusiones</w:t>
      </w:r>
    </w:p>
    <w:p>
      <w:pPr>
        <w:pStyle w:val="BodyText"/>
        <w:rPr>
          <w:b/>
          <w:i/>
          <w:sz w:val="28"/>
        </w:rPr>
      </w:pPr>
    </w:p>
    <w:p>
      <w:pPr>
        <w:pStyle w:val="BodyText"/>
        <w:spacing w:before="2"/>
        <w:rPr>
          <w:b/>
          <w:i/>
          <w:sz w:val="22"/>
        </w:rPr>
      </w:pPr>
    </w:p>
    <w:p>
      <w:pPr>
        <w:pStyle w:val="BodyText"/>
        <w:ind w:left="265"/>
        <w:jc w:val="both"/>
      </w:pPr>
      <w:r>
        <w:rPr/>
        <w:t>Al concluir el presente estudio se ha dado respuesta a los objetivos planteados</w:t>
      </w:r>
    </w:p>
    <w:p>
      <w:pPr>
        <w:pStyle w:val="BodyText"/>
        <w:spacing w:before="10"/>
        <w:rPr>
          <w:sz w:val="25"/>
        </w:rPr>
      </w:pPr>
    </w:p>
    <w:p>
      <w:pPr>
        <w:pStyle w:val="BodyText"/>
        <w:spacing w:line="360" w:lineRule="auto"/>
        <w:ind w:left="265" w:right="139"/>
        <w:jc w:val="both"/>
      </w:pPr>
      <w:r>
        <w:rPr/>
        <w:t>1.- El nivel de sobrecarga en los cuidadores informales primarios de pacientes adultos mayores hospitalizados, experimentan un elevado nivel de sobrecarga intensa en un 90%, por encima de otros estudios nacionales y extranjeros de  habla</w:t>
      </w:r>
      <w:r>
        <w:rPr>
          <w:spacing w:val="-3"/>
        </w:rPr>
        <w:t> </w:t>
      </w:r>
      <w:r>
        <w:rPr/>
        <w:t>hispana.</w:t>
      </w:r>
    </w:p>
    <w:p>
      <w:pPr>
        <w:pStyle w:val="BodyText"/>
        <w:spacing w:line="360" w:lineRule="auto" w:before="166"/>
        <w:ind w:left="265" w:right="137"/>
        <w:jc w:val="both"/>
      </w:pPr>
      <w:r>
        <w:rPr/>
        <w:t>2.- El perfil del cuidador informal identificado es una mujer adulta joven de edad media de 37 años, casada, con un nivel de estudios medio superior, tiene preferencia por la religión católica, habita en vivienda propia en la cual convive con al menos 4 habitantes más, desempeña un oficio como fuente ingresos el cual oscila entre 1 a 2 salarios mínimos (media $4,750.00 pesos).</w:t>
      </w:r>
    </w:p>
    <w:p>
      <w:pPr>
        <w:pStyle w:val="BodyText"/>
        <w:spacing w:line="360" w:lineRule="auto" w:before="163"/>
        <w:ind w:left="265" w:right="178"/>
        <w:jc w:val="both"/>
      </w:pPr>
      <w:r>
        <w:rPr/>
        <w:t>3.- El perfil del paciente adulto mayor atendido encontrado es de género  femenino, de edad media de 71 años, con una estancia hospitalaria entre 6 a 7 dias, las cuales en promedio han requerido ser hospitalizadas al menos 2 veces durante los últimos 6 meses, con diagnóstico médico de IRC</w:t>
      </w:r>
      <w:r>
        <w:rPr>
          <w:spacing w:val="-17"/>
        </w:rPr>
        <w:t> </w:t>
      </w:r>
      <w:r>
        <w:rPr/>
        <w:t>.</w:t>
      </w:r>
    </w:p>
    <w:p>
      <w:pPr>
        <w:pStyle w:val="BodyText"/>
        <w:spacing w:line="360" w:lineRule="auto" w:before="199"/>
        <w:ind w:left="265" w:right="141"/>
        <w:jc w:val="both"/>
      </w:pPr>
      <w:r>
        <w:rPr/>
        <w:t>4.- Dentro del horario restringido de convivencia que representa la visita hospitalaria, se encontró que el cuidador informal primario, destina más de 30 horas semanales para asistir a su adulto mayor hospitalizado.</w:t>
      </w:r>
    </w:p>
    <w:p>
      <w:pPr>
        <w:pStyle w:val="BodyText"/>
        <w:spacing w:line="360" w:lineRule="auto" w:before="163"/>
        <w:ind w:left="265" w:right="142"/>
        <w:jc w:val="both"/>
      </w:pPr>
      <w:r>
        <w:rPr/>
        <w:t>5.- Cabalmente el género masculino es quien experimenta mayores nivel de sobrecarga intensa en un 100%, el género femenino resulto ser más tolerante ya que presentó sobrecarga intensa en un 83.3%.</w:t>
      </w:r>
    </w:p>
    <w:p>
      <w:pPr>
        <w:pStyle w:val="BodyText"/>
        <w:spacing w:line="360" w:lineRule="auto" w:before="163"/>
        <w:ind w:left="265" w:right="135"/>
        <w:jc w:val="both"/>
      </w:pPr>
      <w:r>
        <w:rPr/>
        <w:t>6.- Se encontró una alta disposición del 73.3% de los cuidadores para participar en un programa educativo, dato importante para poder sugerir líneas de intervención ante las autoridades en materia de salud.</w:t>
      </w:r>
    </w:p>
    <w:p>
      <w:pPr>
        <w:spacing w:after="0" w:line="360" w:lineRule="auto"/>
        <w:jc w:val="both"/>
        <w:sectPr>
          <w:footerReference w:type="default" r:id="rId77"/>
          <w:pgSz w:w="12250" w:h="15850"/>
          <w:pgMar w:footer="1122" w:header="748" w:top="1260" w:bottom="1320" w:left="1720" w:right="1280"/>
          <w:pgNumType w:start="103"/>
        </w:sectPr>
      </w:pPr>
    </w:p>
    <w:p>
      <w:pPr>
        <w:pStyle w:val="BodyText"/>
        <w:rPr>
          <w:sz w:val="20"/>
        </w:rPr>
      </w:pPr>
    </w:p>
    <w:p>
      <w:pPr>
        <w:pStyle w:val="BodyText"/>
        <w:rPr>
          <w:sz w:val="20"/>
        </w:rPr>
      </w:pPr>
    </w:p>
    <w:p>
      <w:pPr>
        <w:pStyle w:val="BodyText"/>
        <w:spacing w:before="7"/>
        <w:rPr>
          <w:sz w:val="15"/>
        </w:rPr>
      </w:pPr>
    </w:p>
    <w:p>
      <w:pPr>
        <w:pStyle w:val="Heading1"/>
        <w:rPr>
          <w:i/>
        </w:rPr>
      </w:pPr>
      <w:r>
        <w:rPr>
          <w:i/>
        </w:rPr>
        <w:t>Sugerencias</w:t>
      </w:r>
    </w:p>
    <w:p>
      <w:pPr>
        <w:pStyle w:val="BodyText"/>
        <w:rPr>
          <w:b/>
          <w:i/>
          <w:sz w:val="28"/>
        </w:rPr>
      </w:pPr>
    </w:p>
    <w:p>
      <w:pPr>
        <w:pStyle w:val="BodyText"/>
        <w:spacing w:before="2"/>
        <w:rPr>
          <w:b/>
          <w:i/>
          <w:sz w:val="22"/>
        </w:rPr>
      </w:pPr>
    </w:p>
    <w:p>
      <w:pPr>
        <w:pStyle w:val="BodyText"/>
        <w:spacing w:line="360" w:lineRule="auto"/>
        <w:ind w:left="265" w:right="179"/>
        <w:jc w:val="both"/>
      </w:pPr>
      <w:r>
        <w:rPr/>
        <w:t>1.- Replicar el estudio bajo otras metodologías y alcances, para profundizar más en la temática del cuidador dentro de los hospitales.</w:t>
      </w:r>
    </w:p>
    <w:p>
      <w:pPr>
        <w:pStyle w:val="BodyText"/>
      </w:pPr>
    </w:p>
    <w:p>
      <w:pPr>
        <w:pStyle w:val="BodyText"/>
        <w:spacing w:line="362" w:lineRule="auto" w:before="142"/>
        <w:ind w:left="265" w:right="171"/>
        <w:jc w:val="both"/>
      </w:pPr>
      <w:r>
        <w:rPr/>
        <w:t>2.- Continuar con el estudio de la sobrecarga dentro de las instituciones hospitalarias, complementando la investigación con otros instrumentos.</w:t>
      </w:r>
    </w:p>
    <w:p>
      <w:pPr>
        <w:pStyle w:val="BodyText"/>
      </w:pPr>
    </w:p>
    <w:p>
      <w:pPr>
        <w:pStyle w:val="BodyText"/>
        <w:spacing w:line="360" w:lineRule="auto" w:before="139"/>
        <w:ind w:left="265" w:right="178"/>
        <w:jc w:val="both"/>
      </w:pPr>
      <w:r>
        <w:rPr/>
        <w:t>3.- Darle continuidad al uso de la escala de sobrecarga de Zarit para continuar explotando los conocimientos sobre las dimensiones subyacentes.</w:t>
      </w:r>
    </w:p>
    <w:p>
      <w:pPr>
        <w:pStyle w:val="BodyText"/>
      </w:pPr>
    </w:p>
    <w:p>
      <w:pPr>
        <w:pStyle w:val="BodyText"/>
        <w:spacing w:line="360" w:lineRule="auto" w:before="142"/>
        <w:ind w:left="265" w:right="177"/>
        <w:jc w:val="both"/>
      </w:pPr>
      <w:r>
        <w:rPr/>
        <w:t>4.- Explorar la creación política al interior de las instituciones hospitalarias, que norme los derechos y obligaciones de los cuidadores al interior de los  nosocomios.</w:t>
      </w:r>
    </w:p>
    <w:p>
      <w:pPr>
        <w:pStyle w:val="BodyText"/>
      </w:pPr>
    </w:p>
    <w:p>
      <w:pPr>
        <w:pStyle w:val="BodyText"/>
        <w:spacing w:line="360" w:lineRule="auto" w:before="142"/>
        <w:ind w:left="265" w:right="178"/>
        <w:jc w:val="both"/>
      </w:pPr>
      <w:r>
        <w:rPr/>
        <w:t>5.- Examinar la creación de estrategias específicas para atender la sobrecarga de los cuidadores tales como: apoyo psicológico y capacitación para el cuidado.</w:t>
      </w:r>
    </w:p>
    <w:p>
      <w:pPr>
        <w:spacing w:after="0" w:line="360" w:lineRule="auto"/>
        <w:jc w:val="both"/>
        <w:sectPr>
          <w:footerReference w:type="default" r:id="rId78"/>
          <w:pgSz w:w="12250" w:h="15850"/>
          <w:pgMar w:footer="1122" w:header="748" w:top="1260" w:bottom="1320" w:left="1720" w:right="1280"/>
          <w:pgNumType w:start="104"/>
        </w:sectPr>
      </w:pPr>
    </w:p>
    <w:p>
      <w:pPr>
        <w:pStyle w:val="BodyText"/>
        <w:rPr>
          <w:sz w:val="20"/>
        </w:rPr>
      </w:pPr>
    </w:p>
    <w:p>
      <w:pPr>
        <w:pStyle w:val="BodyText"/>
        <w:rPr>
          <w:sz w:val="20"/>
        </w:rPr>
      </w:pPr>
    </w:p>
    <w:p>
      <w:pPr>
        <w:pStyle w:val="BodyText"/>
        <w:spacing w:before="5"/>
        <w:rPr>
          <w:sz w:val="21"/>
        </w:rPr>
      </w:pPr>
    </w:p>
    <w:p>
      <w:pPr>
        <w:pStyle w:val="Heading3"/>
        <w:ind w:left="806" w:right="788"/>
        <w:rPr>
          <w:i/>
        </w:rPr>
      </w:pPr>
      <w:r>
        <w:rPr>
          <w:i/>
        </w:rPr>
        <w:t>Fuentes de información</w:t>
      </w:r>
    </w:p>
    <w:p>
      <w:pPr>
        <w:pStyle w:val="BodyText"/>
        <w:rPr>
          <w:b/>
          <w:i/>
        </w:rPr>
      </w:pPr>
    </w:p>
    <w:p>
      <w:pPr>
        <w:pStyle w:val="BodyText"/>
        <w:spacing w:before="8"/>
        <w:rPr>
          <w:b/>
          <w:i/>
          <w:sz w:val="23"/>
        </w:rPr>
      </w:pPr>
    </w:p>
    <w:p>
      <w:pPr>
        <w:pStyle w:val="ListParagraph"/>
        <w:numPr>
          <w:ilvl w:val="0"/>
          <w:numId w:val="7"/>
        </w:numPr>
        <w:tabs>
          <w:tab w:pos="626" w:val="left" w:leader="none"/>
        </w:tabs>
        <w:spacing w:line="362" w:lineRule="auto" w:before="0" w:after="0"/>
        <w:ind w:left="625" w:right="116" w:hanging="360"/>
        <w:jc w:val="left"/>
        <w:rPr>
          <w:sz w:val="20"/>
        </w:rPr>
      </w:pPr>
      <w:r>
        <w:rPr>
          <w:sz w:val="20"/>
        </w:rPr>
        <w:t>Allevato M. y Gaviria J. (2008) “Envejecimiento” en </w:t>
      </w:r>
      <w:r>
        <w:rPr>
          <w:i/>
          <w:sz w:val="20"/>
        </w:rPr>
        <w:t>Educación continua</w:t>
      </w:r>
      <w:r>
        <w:rPr>
          <w:sz w:val="20"/>
        </w:rPr>
        <w:t>. [En Línea] Disponible en: </w:t>
      </w:r>
      <w:hyperlink r:id="rId80">
        <w:r>
          <w:rPr>
            <w:sz w:val="20"/>
            <w:u w:val="single"/>
          </w:rPr>
          <w:t>http://www.atdermae.com/pdfs/atd_31_03_02.pdf </w:t>
        </w:r>
      </w:hyperlink>
      <w:r>
        <w:rPr>
          <w:sz w:val="20"/>
        </w:rPr>
        <w:t>Accesado el 3 de mayo de</w:t>
      </w:r>
      <w:r>
        <w:rPr>
          <w:spacing w:val="-22"/>
          <w:sz w:val="20"/>
        </w:rPr>
        <w:t> </w:t>
      </w:r>
      <w:r>
        <w:rPr>
          <w:sz w:val="20"/>
        </w:rPr>
        <w:t>2013]</w:t>
      </w:r>
    </w:p>
    <w:p>
      <w:pPr>
        <w:pStyle w:val="BodyText"/>
        <w:spacing w:before="6"/>
        <w:rPr>
          <w:sz w:val="23"/>
        </w:rPr>
      </w:pPr>
    </w:p>
    <w:p>
      <w:pPr>
        <w:pStyle w:val="ListParagraph"/>
        <w:numPr>
          <w:ilvl w:val="0"/>
          <w:numId w:val="7"/>
        </w:numPr>
        <w:tabs>
          <w:tab w:pos="626" w:val="left" w:leader="none"/>
          <w:tab w:pos="2120" w:val="left" w:leader="none"/>
          <w:tab w:pos="3318" w:val="left" w:leader="none"/>
          <w:tab w:pos="5302" w:val="left" w:leader="none"/>
          <w:tab w:pos="6888" w:val="left" w:leader="none"/>
          <w:tab w:pos="8905" w:val="left" w:leader="none"/>
        </w:tabs>
        <w:spacing w:line="360" w:lineRule="auto" w:before="74" w:after="0"/>
        <w:ind w:left="625" w:right="116" w:hanging="360"/>
        <w:jc w:val="both"/>
        <w:rPr>
          <w:sz w:val="20"/>
        </w:rPr>
      </w:pPr>
      <w:r>
        <w:rPr>
          <w:sz w:val="20"/>
        </w:rPr>
        <w:t>Alpuche et al. (2008) “Validez de la entrevista de carga de Zarit en una muestra de cuidadores primarios informales” en </w:t>
      </w:r>
      <w:r>
        <w:rPr>
          <w:i/>
          <w:sz w:val="20"/>
        </w:rPr>
        <w:t>Psicología y salud </w:t>
      </w:r>
      <w:r>
        <w:rPr>
          <w:sz w:val="20"/>
        </w:rPr>
        <w:t>[En Línea] Vol. 18 No. 2. México Distrito Federal  Julio</w:t>
        <w:tab/>
        <w:t>–</w:t>
        <w:tab/>
        <w:t>Diciembre</w:t>
        <w:tab/>
        <w:t>2008.</w:t>
        <w:tab/>
        <w:t>Disponible</w:t>
        <w:tab/>
        <w:t>en</w:t>
      </w:r>
      <w:hyperlink r:id="rId81">
        <w:r>
          <w:rPr>
            <w:sz w:val="20"/>
          </w:rPr>
          <w:t>:</w:t>
        </w:r>
      </w:hyperlink>
      <w:r>
        <w:rPr>
          <w:sz w:val="20"/>
        </w:rPr>
        <w:t> </w:t>
      </w:r>
      <w:hyperlink r:id="rId81">
        <w:r>
          <w:rPr>
            <w:sz w:val="20"/>
            <w:u w:val="single"/>
          </w:rPr>
          <w:t>http://www.paginaspersonales.unam.mx/files/751/Publica_20111128233012.pdfs</w:t>
        </w:r>
      </w:hyperlink>
      <w:r>
        <w:rPr>
          <w:sz w:val="20"/>
        </w:rPr>
        <w:t>Accesado el 3 de mayo de</w:t>
      </w:r>
      <w:r>
        <w:rPr>
          <w:spacing w:val="-7"/>
          <w:sz w:val="20"/>
        </w:rPr>
        <w:t> </w:t>
      </w:r>
      <w:r>
        <w:rPr>
          <w:sz w:val="20"/>
        </w:rPr>
        <w:t>2014]</w:t>
      </w:r>
    </w:p>
    <w:p>
      <w:pPr>
        <w:pStyle w:val="BodyText"/>
        <w:rPr>
          <w:sz w:val="20"/>
        </w:rPr>
      </w:pPr>
    </w:p>
    <w:p>
      <w:pPr>
        <w:pStyle w:val="ListParagraph"/>
        <w:numPr>
          <w:ilvl w:val="0"/>
          <w:numId w:val="7"/>
        </w:numPr>
        <w:tabs>
          <w:tab w:pos="626" w:val="left" w:leader="none"/>
          <w:tab w:pos="1673" w:val="left" w:leader="none"/>
          <w:tab w:pos="2244" w:val="left" w:leader="none"/>
          <w:tab w:pos="3361" w:val="left" w:leader="none"/>
          <w:tab w:pos="3812" w:val="left" w:leader="none"/>
          <w:tab w:pos="4937" w:val="left" w:leader="none"/>
          <w:tab w:pos="6069" w:val="left" w:leader="none"/>
          <w:tab w:pos="6716" w:val="left" w:leader="none"/>
          <w:tab w:pos="7621" w:val="left" w:leader="none"/>
          <w:tab w:pos="8904" w:val="left" w:leader="none"/>
        </w:tabs>
        <w:spacing w:line="360" w:lineRule="auto" w:before="119" w:after="0"/>
        <w:ind w:left="625" w:right="111" w:hanging="360"/>
        <w:jc w:val="left"/>
        <w:rPr>
          <w:sz w:val="20"/>
        </w:rPr>
      </w:pPr>
      <w:r>
        <w:rPr>
          <w:sz w:val="20"/>
        </w:rPr>
        <w:t>Aparicio M; Sánchez P; Díaz J; Cuellar I; Castellanos B. et al. (2007) “La salud </w:t>
      </w:r>
      <w:r>
        <w:rPr>
          <w:spacing w:val="2"/>
          <w:sz w:val="20"/>
        </w:rPr>
        <w:t>física </w:t>
      </w:r>
      <w:r>
        <w:rPr>
          <w:sz w:val="20"/>
        </w:rPr>
        <w:t>y psicológica de las personas cuidadoras: comparación entre cuidadores formales e informales” </w:t>
      </w:r>
      <w:r>
        <w:rPr>
          <w:i/>
          <w:sz w:val="20"/>
        </w:rPr>
        <w:t>Instituto</w:t>
        <w:tab/>
        <w:t>de</w:t>
        <w:tab/>
        <w:t>mayores</w:t>
        <w:tab/>
        <w:t>y</w:t>
        <w:tab/>
        <w:t>servicios</w:t>
        <w:tab/>
        <w:t>sociales</w:t>
      </w:r>
      <w:r>
        <w:rPr>
          <w:sz w:val="20"/>
        </w:rPr>
        <w:t>.</w:t>
        <w:tab/>
        <w:t>[En</w:t>
        <w:tab/>
        <w:t>Línea]</w:t>
        <w:tab/>
        <w:t>Disponible</w:t>
        <w:tab/>
        <w:t>en: </w:t>
      </w:r>
      <w:hyperlink r:id="rId82">
        <w:r>
          <w:rPr>
            <w:sz w:val="20"/>
            <w:u w:val="single"/>
          </w:rPr>
          <w:t>http://www.imserso.es/InterPresent2/groups/imserso/documents/binario/idi24_07saludfisica.pdf </w:t>
        </w:r>
      </w:hyperlink>
      <w:r>
        <w:rPr>
          <w:sz w:val="20"/>
        </w:rPr>
        <w:t>[Accesado el 1 de mayo de</w:t>
      </w:r>
      <w:r>
        <w:rPr>
          <w:spacing w:val="-12"/>
          <w:sz w:val="20"/>
        </w:rPr>
        <w:t> </w:t>
      </w:r>
      <w:r>
        <w:rPr>
          <w:sz w:val="20"/>
        </w:rPr>
        <w:t>2013]</w:t>
      </w:r>
    </w:p>
    <w:p>
      <w:pPr>
        <w:pStyle w:val="BodyText"/>
        <w:rPr>
          <w:sz w:val="20"/>
        </w:rPr>
      </w:pPr>
    </w:p>
    <w:p>
      <w:pPr>
        <w:pStyle w:val="ListParagraph"/>
        <w:numPr>
          <w:ilvl w:val="0"/>
          <w:numId w:val="7"/>
        </w:numPr>
        <w:tabs>
          <w:tab w:pos="626" w:val="left" w:leader="none"/>
        </w:tabs>
        <w:spacing w:line="360" w:lineRule="auto" w:before="117" w:after="0"/>
        <w:ind w:left="625" w:right="115" w:hanging="360"/>
        <w:jc w:val="both"/>
        <w:rPr>
          <w:sz w:val="20"/>
        </w:rPr>
      </w:pPr>
      <w:r>
        <w:rPr>
          <w:sz w:val="20"/>
        </w:rPr>
        <w:t>Breinbauer et al, (2009) “Validación en Chile de la Escala de Sobrecarga del Cuidador de Zarit en sus versiones original y abreviada” [En Línea] Santiago, Universidad de Chile. Disponible en: </w:t>
      </w:r>
      <w:hyperlink r:id="rId83">
        <w:r>
          <w:rPr>
            <w:sz w:val="20"/>
            <w:u w:val="single"/>
          </w:rPr>
          <w:t>http://www.scielo.cl/scielo.php?script=sci_arttext&amp;pid=S0034-98872009000500009 </w:t>
        </w:r>
      </w:hyperlink>
      <w:r>
        <w:rPr>
          <w:sz w:val="20"/>
        </w:rPr>
        <w:t>[Accesado el 20 de febrero de</w:t>
      </w:r>
      <w:r>
        <w:rPr>
          <w:spacing w:val="-11"/>
          <w:sz w:val="20"/>
        </w:rPr>
        <w:t> </w:t>
      </w:r>
      <w:r>
        <w:rPr>
          <w:sz w:val="20"/>
        </w:rPr>
        <w:t>2014]</w:t>
      </w:r>
    </w:p>
    <w:p>
      <w:pPr>
        <w:pStyle w:val="BodyText"/>
        <w:rPr>
          <w:sz w:val="20"/>
        </w:rPr>
      </w:pPr>
    </w:p>
    <w:p>
      <w:pPr>
        <w:pStyle w:val="ListParagraph"/>
        <w:numPr>
          <w:ilvl w:val="0"/>
          <w:numId w:val="7"/>
        </w:numPr>
        <w:tabs>
          <w:tab w:pos="626" w:val="left" w:leader="none"/>
          <w:tab w:pos="8907" w:val="left" w:leader="none"/>
        </w:tabs>
        <w:spacing w:line="360" w:lineRule="auto" w:before="119" w:after="0"/>
        <w:ind w:left="625" w:right="114" w:hanging="360"/>
        <w:jc w:val="both"/>
        <w:rPr>
          <w:sz w:val="20"/>
        </w:rPr>
      </w:pPr>
      <w:r>
        <w:rPr>
          <w:sz w:val="20"/>
        </w:rPr>
        <w:t>Barron B y Alvarado S (2009) “Desgaste físico y emocional del cuidador primario en cáncer” [En Línea] Instituto nacional de cancerológica, Universidad autónoma de Tamaulipas .PP 34 – </w:t>
      </w:r>
      <w:r>
        <w:rPr>
          <w:spacing w:val="2"/>
          <w:sz w:val="20"/>
        </w:rPr>
        <w:t>96. </w:t>
      </w:r>
      <w:r>
        <w:rPr>
          <w:sz w:val="20"/>
        </w:rPr>
        <w:t>Disponible</w:t>
        <w:tab/>
        <w:t>en:</w:t>
      </w:r>
    </w:p>
    <w:p>
      <w:pPr>
        <w:spacing w:line="362" w:lineRule="auto" w:before="4"/>
        <w:ind w:left="625" w:right="568" w:firstLine="0"/>
        <w:jc w:val="left"/>
        <w:rPr>
          <w:sz w:val="20"/>
        </w:rPr>
      </w:pPr>
      <w:hyperlink r:id="rId84">
        <w:r>
          <w:rPr>
            <w:w w:val="95"/>
            <w:sz w:val="20"/>
            <w:u w:val="single"/>
          </w:rPr>
          <w:t>http://www.incan.org.mx/revistaincan/elementos/documentosPortada/1257541295.pdf</w:t>
        </w:r>
      </w:hyperlink>
      <w:r>
        <w:rPr>
          <w:w w:val="95"/>
          <w:sz w:val="20"/>
          <w:u w:val="single"/>
        </w:rPr>
        <w:t> </w:t>
      </w:r>
      <w:r>
        <w:rPr>
          <w:sz w:val="20"/>
        </w:rPr>
        <w:t>[Accesado el 20 de febrero de 2014]</w:t>
      </w:r>
    </w:p>
    <w:p>
      <w:pPr>
        <w:pStyle w:val="BodyText"/>
        <w:spacing w:before="11"/>
        <w:rPr>
          <w:sz w:val="29"/>
        </w:rPr>
      </w:pPr>
    </w:p>
    <w:p>
      <w:pPr>
        <w:pStyle w:val="ListParagraph"/>
        <w:numPr>
          <w:ilvl w:val="0"/>
          <w:numId w:val="7"/>
        </w:numPr>
        <w:tabs>
          <w:tab w:pos="626" w:val="left" w:leader="none"/>
        </w:tabs>
        <w:spacing w:line="360" w:lineRule="auto" w:before="0" w:after="0"/>
        <w:ind w:left="625" w:right="125" w:hanging="360"/>
        <w:jc w:val="both"/>
        <w:rPr>
          <w:sz w:val="20"/>
        </w:rPr>
      </w:pPr>
      <w:r>
        <w:rPr>
          <w:sz w:val="20"/>
        </w:rPr>
        <w:t>Barahona H. (2013) “Sobrecarga en el cuidado del enfermo oncológico terminal en domicilio: La importancia de la prevención”  Tesis doctoral. Madrid.</w:t>
      </w:r>
      <w:r>
        <w:rPr>
          <w:spacing w:val="-20"/>
          <w:sz w:val="20"/>
        </w:rPr>
        <w:t> </w:t>
      </w:r>
      <w:r>
        <w:rPr>
          <w:sz w:val="20"/>
        </w:rPr>
        <w:t>2013</w:t>
      </w:r>
    </w:p>
    <w:p>
      <w:pPr>
        <w:pStyle w:val="BodyText"/>
        <w:rPr>
          <w:sz w:val="20"/>
        </w:rPr>
      </w:pPr>
    </w:p>
    <w:p>
      <w:pPr>
        <w:pStyle w:val="ListParagraph"/>
        <w:numPr>
          <w:ilvl w:val="0"/>
          <w:numId w:val="7"/>
        </w:numPr>
        <w:tabs>
          <w:tab w:pos="626" w:val="left" w:leader="none"/>
          <w:tab w:pos="2045" w:val="left" w:leader="none"/>
          <w:tab w:pos="2942" w:val="left" w:leader="none"/>
          <w:tab w:pos="4408" w:val="left" w:leader="none"/>
          <w:tab w:pos="5384" w:val="left" w:leader="none"/>
          <w:tab w:pos="7292" w:val="left" w:leader="none"/>
          <w:tab w:pos="8903" w:val="left" w:leader="none"/>
        </w:tabs>
        <w:spacing w:line="360" w:lineRule="auto" w:before="117" w:after="0"/>
        <w:ind w:left="625" w:right="120" w:hanging="360"/>
        <w:jc w:val="both"/>
        <w:rPr>
          <w:sz w:val="20"/>
        </w:rPr>
      </w:pPr>
      <w:r>
        <w:rPr>
          <w:sz w:val="20"/>
        </w:rPr>
        <w:t>Cárdenas C. y González C (2010) “Numeralia de los adultos mayores en México” Instituto nacional</w:t>
        <w:tab/>
        <w:t>de</w:t>
        <w:tab/>
        <w:t>geriatría.</w:t>
        <w:tab/>
        <w:t>[En</w:t>
        <w:tab/>
        <w:t>Línea]</w:t>
        <w:tab/>
        <w:t>Disponible</w:t>
        <w:tab/>
        <w:t>en:</w:t>
      </w:r>
    </w:p>
    <w:p>
      <w:pPr>
        <w:spacing w:after="0" w:line="360" w:lineRule="auto"/>
        <w:jc w:val="both"/>
        <w:rPr>
          <w:sz w:val="20"/>
        </w:rPr>
        <w:sectPr>
          <w:footerReference w:type="default" r:id="rId79"/>
          <w:pgSz w:w="12250" w:h="15850"/>
          <w:pgMar w:footer="1564" w:header="748" w:top="1260" w:bottom="1760" w:left="1720" w:right="1220"/>
          <w:pgNumType w:start="105"/>
        </w:sectPr>
      </w:pPr>
    </w:p>
    <w:p>
      <w:pPr>
        <w:pStyle w:val="BodyText"/>
        <w:rPr>
          <w:sz w:val="20"/>
        </w:rPr>
      </w:pPr>
    </w:p>
    <w:p>
      <w:pPr>
        <w:pStyle w:val="BodyText"/>
        <w:rPr>
          <w:sz w:val="20"/>
        </w:rPr>
      </w:pPr>
    </w:p>
    <w:p>
      <w:pPr>
        <w:pStyle w:val="BodyText"/>
        <w:spacing w:before="4"/>
        <w:rPr>
          <w:sz w:val="21"/>
        </w:rPr>
      </w:pPr>
    </w:p>
    <w:p>
      <w:pPr>
        <w:spacing w:line="360" w:lineRule="auto" w:before="0"/>
        <w:ind w:left="625" w:right="230" w:firstLine="0"/>
        <w:jc w:val="left"/>
        <w:rPr>
          <w:sz w:val="20"/>
        </w:rPr>
      </w:pPr>
      <w:hyperlink r:id="rId85">
        <w:r>
          <w:rPr>
            <w:w w:val="95"/>
            <w:sz w:val="20"/>
            <w:u w:val="single"/>
          </w:rPr>
          <w:t>http://www.geriatria.salud.gob.mx/descargas/doctos_institucionales/numeralia_envejecimiento_2</w:t>
        </w:r>
      </w:hyperlink>
      <w:r>
        <w:rPr>
          <w:w w:val="95"/>
          <w:sz w:val="20"/>
          <w:u w:val="single"/>
        </w:rPr>
        <w:t> </w:t>
      </w:r>
      <w:hyperlink r:id="rId85">
        <w:r>
          <w:rPr>
            <w:sz w:val="20"/>
            <w:u w:val="single"/>
          </w:rPr>
          <w:t>012.pdf </w:t>
        </w:r>
      </w:hyperlink>
      <w:r>
        <w:rPr>
          <w:sz w:val="20"/>
        </w:rPr>
        <w:t>[Accesado el 20 de abril de 2014]</w:t>
      </w:r>
    </w:p>
    <w:p>
      <w:pPr>
        <w:pStyle w:val="BodyText"/>
        <w:spacing w:before="8"/>
        <w:rPr>
          <w:sz w:val="27"/>
        </w:rPr>
      </w:pPr>
    </w:p>
    <w:p>
      <w:pPr>
        <w:pStyle w:val="ListParagraph"/>
        <w:numPr>
          <w:ilvl w:val="0"/>
          <w:numId w:val="7"/>
        </w:numPr>
        <w:tabs>
          <w:tab w:pos="626" w:val="left" w:leader="none"/>
          <w:tab w:pos="7821" w:val="left" w:leader="none"/>
        </w:tabs>
        <w:spacing w:line="360" w:lineRule="auto" w:before="74" w:after="0"/>
        <w:ind w:left="625" w:right="117" w:hanging="360"/>
        <w:jc w:val="left"/>
        <w:rPr>
          <w:sz w:val="20"/>
        </w:rPr>
      </w:pPr>
      <w:r>
        <w:rPr>
          <w:sz w:val="20"/>
        </w:rPr>
        <w:t>Carretero S; Garcés J y Rodenas F. (2004) “La sobrecarga de las cuidadoras de personas dependientes:  análisis   y  propuestas  de  intervención  social”     [En </w:t>
      </w:r>
      <w:r>
        <w:rPr>
          <w:spacing w:val="32"/>
          <w:sz w:val="20"/>
        </w:rPr>
        <w:t> </w:t>
      </w:r>
      <w:r>
        <w:rPr>
          <w:sz w:val="20"/>
        </w:rPr>
        <w:t>Línea]</w:t>
        <w:tab/>
        <w:t>Disponible </w:t>
      </w:r>
      <w:r>
        <w:rPr>
          <w:spacing w:val="29"/>
          <w:sz w:val="20"/>
        </w:rPr>
        <w:t> </w:t>
      </w:r>
      <w:r>
        <w:rPr>
          <w:sz w:val="20"/>
        </w:rPr>
        <w:t>en:</w:t>
      </w:r>
      <w:r>
        <w:rPr>
          <w:w w:val="99"/>
          <w:sz w:val="20"/>
        </w:rPr>
        <w:t> </w:t>
      </w:r>
      <w:hyperlink r:id="rId86">
        <w:r>
          <w:rPr>
            <w:sz w:val="20"/>
            <w:u w:val="single"/>
          </w:rPr>
          <w:t>http://www.imsersomayores.csic.es/documentos/documentos/polibienestar-sobrecarga-02.pdf </w:t>
        </w:r>
      </w:hyperlink>
      <w:r>
        <w:rPr>
          <w:sz w:val="20"/>
        </w:rPr>
        <w:t>Accesado el 2 de Mayo de</w:t>
      </w:r>
      <w:r>
        <w:rPr>
          <w:spacing w:val="-11"/>
          <w:sz w:val="20"/>
        </w:rPr>
        <w:t> </w:t>
      </w:r>
      <w:r>
        <w:rPr>
          <w:sz w:val="20"/>
        </w:rPr>
        <w:t>2013]</w:t>
      </w:r>
    </w:p>
    <w:p>
      <w:pPr>
        <w:pStyle w:val="BodyText"/>
        <w:rPr>
          <w:sz w:val="20"/>
        </w:rPr>
      </w:pPr>
    </w:p>
    <w:p>
      <w:pPr>
        <w:pStyle w:val="ListParagraph"/>
        <w:numPr>
          <w:ilvl w:val="0"/>
          <w:numId w:val="7"/>
        </w:numPr>
        <w:tabs>
          <w:tab w:pos="626" w:val="left" w:leader="none"/>
          <w:tab w:pos="1627" w:val="left" w:leader="none"/>
          <w:tab w:pos="2111" w:val="left" w:leader="none"/>
          <w:tab w:pos="3219" w:val="left" w:leader="none"/>
          <w:tab w:pos="3574" w:val="left" w:leader="none"/>
          <w:tab w:pos="3825" w:val="left" w:leader="none"/>
          <w:tab w:pos="4845" w:val="left" w:leader="none"/>
          <w:tab w:pos="5162" w:val="left" w:leader="none"/>
          <w:tab w:pos="5668" w:val="left" w:leader="none"/>
          <w:tab w:pos="6359" w:val="left" w:leader="none"/>
          <w:tab w:pos="6675" w:val="left" w:leader="none"/>
          <w:tab w:pos="7625" w:val="left" w:leader="none"/>
          <w:tab w:pos="8817" w:val="left" w:leader="none"/>
        </w:tabs>
        <w:spacing w:line="360" w:lineRule="auto" w:before="120" w:after="0"/>
        <w:ind w:left="625" w:right="204" w:hanging="360"/>
        <w:jc w:val="left"/>
        <w:rPr>
          <w:sz w:val="20"/>
        </w:rPr>
      </w:pPr>
      <w:r>
        <w:rPr>
          <w:sz w:val="20"/>
        </w:rPr>
        <w:t>Censo  de  población </w:t>
      </w:r>
      <w:r>
        <w:rPr>
          <w:spacing w:val="17"/>
          <w:sz w:val="20"/>
        </w:rPr>
        <w:t> </w:t>
      </w:r>
      <w:r>
        <w:rPr>
          <w:sz w:val="20"/>
        </w:rPr>
        <w:t>y </w:t>
      </w:r>
      <w:r>
        <w:rPr>
          <w:spacing w:val="2"/>
          <w:sz w:val="20"/>
        </w:rPr>
        <w:t> </w:t>
      </w:r>
      <w:r>
        <w:rPr>
          <w:sz w:val="20"/>
        </w:rPr>
        <w:t>vivienda</w:t>
        <w:tab/>
        <w:t>(2010)  Panorama  sociodemográfico  de </w:t>
      </w:r>
      <w:r>
        <w:rPr>
          <w:spacing w:val="19"/>
          <w:sz w:val="20"/>
        </w:rPr>
        <w:t> </w:t>
      </w:r>
      <w:r>
        <w:rPr>
          <w:sz w:val="20"/>
        </w:rPr>
        <w:t>México. </w:t>
      </w:r>
      <w:r>
        <w:rPr>
          <w:spacing w:val="4"/>
          <w:sz w:val="20"/>
        </w:rPr>
        <w:t> </w:t>
      </w:r>
      <w:r>
        <w:rPr>
          <w:sz w:val="20"/>
        </w:rPr>
        <w:t>Instituto</w:t>
      </w:r>
      <w:r>
        <w:rPr>
          <w:w w:val="99"/>
          <w:sz w:val="20"/>
        </w:rPr>
        <w:t> </w:t>
      </w:r>
      <w:r>
        <w:rPr>
          <w:sz w:val="20"/>
        </w:rPr>
        <w:t>nacional</w:t>
        <w:tab/>
        <w:t>de</w:t>
        <w:tab/>
        <w:t>geografía</w:t>
        <w:tab/>
        <w:t>y</w:t>
        <w:tab/>
        <w:t>estadística.</w:t>
        <w:tab/>
        <w:t>[</w:t>
        <w:tab/>
        <w:t>En</w:t>
        <w:tab/>
        <w:t>línea</w:t>
        <w:tab/>
        <w:t>]</w:t>
        <w:tab/>
        <w:t>México.</w:t>
        <w:tab/>
        <w:t>Disponible</w:t>
        <w:tab/>
        <w:t>en: </w:t>
      </w:r>
      <w:hyperlink r:id="rId87">
        <w:r>
          <w:rPr>
            <w:sz w:val="20"/>
            <w:u w:val="single"/>
          </w:rPr>
          <w:t>http://www.inegi.org.mx/prod_serv/contenidos/espanol/bvinegi/productos/censos/poblacion/201 </w:t>
        </w:r>
      </w:hyperlink>
      <w:hyperlink r:id="rId87">
        <w:r>
          <w:rPr>
            <w:sz w:val="20"/>
            <w:u w:val="single"/>
          </w:rPr>
          <w:t>0/panora_socio/cpv2010_panorama.pdf </w:t>
        </w:r>
      </w:hyperlink>
      <w:r>
        <w:rPr>
          <w:sz w:val="20"/>
        </w:rPr>
        <w:t>[Accesado 20 de Marzo de</w:t>
      </w:r>
      <w:r>
        <w:rPr>
          <w:spacing w:val="-16"/>
          <w:sz w:val="20"/>
        </w:rPr>
        <w:t> </w:t>
      </w:r>
      <w:r>
        <w:rPr>
          <w:sz w:val="20"/>
        </w:rPr>
        <w:t>2014]</w:t>
      </w:r>
    </w:p>
    <w:p>
      <w:pPr>
        <w:pStyle w:val="BodyText"/>
        <w:spacing w:before="9"/>
        <w:rPr>
          <w:sz w:val="29"/>
        </w:rPr>
      </w:pPr>
    </w:p>
    <w:p>
      <w:pPr>
        <w:pStyle w:val="ListParagraph"/>
        <w:numPr>
          <w:ilvl w:val="0"/>
          <w:numId w:val="7"/>
        </w:numPr>
        <w:tabs>
          <w:tab w:pos="626" w:val="left" w:leader="none"/>
          <w:tab w:pos="5811" w:val="left" w:leader="none"/>
          <w:tab w:pos="8827" w:val="left" w:leader="none"/>
        </w:tabs>
        <w:spacing w:line="360" w:lineRule="auto" w:before="74" w:after="0"/>
        <w:ind w:left="625" w:right="196" w:hanging="360"/>
        <w:jc w:val="both"/>
        <w:rPr>
          <w:sz w:val="20"/>
        </w:rPr>
      </w:pPr>
      <w:r>
        <w:rPr>
          <w:sz w:val="20"/>
        </w:rPr>
        <w:t>Covarrubias L y Andrade G. (2012) “Calidad de Vida de Cuidadores de Pacientes Hospitalizados, nivel de dependencia y red de apoyo” en Index de enfermería. [En Línea]  Vol.21 no.3 Granada</w:t>
      </w:r>
      <w:r>
        <w:rPr>
          <w:spacing w:val="-4"/>
          <w:sz w:val="20"/>
        </w:rPr>
        <w:t> </w:t>
      </w:r>
      <w:r>
        <w:rPr>
          <w:sz w:val="20"/>
        </w:rPr>
        <w:t>jul.-sep.</w:t>
      </w:r>
      <w:r>
        <w:rPr>
          <w:spacing w:val="-3"/>
          <w:sz w:val="20"/>
        </w:rPr>
        <w:t> </w:t>
      </w:r>
      <w:r>
        <w:rPr>
          <w:sz w:val="20"/>
        </w:rPr>
        <w:t>2012</w:t>
        <w:tab/>
        <w:t>Disponible</w:t>
        <w:tab/>
        <w:t>en: </w:t>
      </w:r>
      <w:hyperlink r:id="rId88">
        <w:r>
          <w:rPr>
            <w:sz w:val="20"/>
            <w:u w:val="single"/>
          </w:rPr>
          <w:t>http://scielo.isciii.es/scielo.php?pid=S113212962012000200005&amp;script=sci_arttext </w:t>
        </w:r>
      </w:hyperlink>
      <w:r>
        <w:rPr>
          <w:sz w:val="20"/>
        </w:rPr>
        <w:t>Accesado el 4 de Mayo de</w:t>
      </w:r>
      <w:r>
        <w:rPr>
          <w:spacing w:val="-6"/>
          <w:sz w:val="20"/>
        </w:rPr>
        <w:t> </w:t>
      </w:r>
      <w:r>
        <w:rPr>
          <w:sz w:val="20"/>
        </w:rPr>
        <w:t>2013</w:t>
      </w:r>
    </w:p>
    <w:p>
      <w:pPr>
        <w:pStyle w:val="BodyText"/>
        <w:rPr>
          <w:sz w:val="20"/>
        </w:rPr>
      </w:pPr>
    </w:p>
    <w:p>
      <w:pPr>
        <w:pStyle w:val="BodyText"/>
        <w:spacing w:before="2"/>
        <w:rPr>
          <w:sz w:val="16"/>
        </w:rPr>
      </w:pPr>
    </w:p>
    <w:p>
      <w:pPr>
        <w:pStyle w:val="ListParagraph"/>
        <w:numPr>
          <w:ilvl w:val="0"/>
          <w:numId w:val="7"/>
        </w:numPr>
        <w:tabs>
          <w:tab w:pos="626" w:val="left" w:leader="none"/>
          <w:tab w:pos="8826" w:val="left" w:leader="none"/>
        </w:tabs>
        <w:spacing w:line="360" w:lineRule="auto" w:before="0" w:after="0"/>
        <w:ind w:left="625" w:right="195" w:hanging="360"/>
        <w:jc w:val="both"/>
        <w:rPr>
          <w:sz w:val="20"/>
        </w:rPr>
      </w:pPr>
      <w:r>
        <w:rPr>
          <w:sz w:val="20"/>
        </w:rPr>
        <w:t>Crespo M y López J. (2006) “El apoyo a os cuidadores </w:t>
      </w:r>
      <w:r>
        <w:rPr>
          <w:spacing w:val="3"/>
          <w:sz w:val="20"/>
        </w:rPr>
        <w:t>de </w:t>
      </w:r>
      <w:r>
        <w:rPr>
          <w:sz w:val="20"/>
        </w:rPr>
        <w:t>familiares mayores dependientes en el hogar: desarrollo del programa Cómo mantener su bienestar” en </w:t>
      </w:r>
      <w:r>
        <w:rPr>
          <w:i/>
          <w:sz w:val="20"/>
        </w:rPr>
        <w:t>Colección estudios serie </w:t>
      </w:r>
      <w:r>
        <w:rPr>
          <w:i/>
          <w:sz w:val="20"/>
        </w:rPr>
        <w:t>dependencia </w:t>
      </w:r>
      <w:r>
        <w:rPr>
          <w:sz w:val="20"/>
        </w:rPr>
        <w:t>[En Línea] No. 12006 Ministerio de Trabajo y Asuntos Sociales. Madrid. Disponible</w:t>
        <w:tab/>
        <w:t>en:</w:t>
      </w:r>
    </w:p>
    <w:p>
      <w:pPr>
        <w:spacing w:line="360" w:lineRule="auto" w:before="1"/>
        <w:ind w:left="625" w:right="230" w:firstLine="0"/>
        <w:jc w:val="left"/>
        <w:rPr>
          <w:sz w:val="20"/>
        </w:rPr>
      </w:pPr>
      <w:hyperlink r:id="rId89">
        <w:r>
          <w:rPr>
            <w:w w:val="95"/>
            <w:sz w:val="20"/>
            <w:u w:val="single"/>
          </w:rPr>
          <w:t>http://www.imserso.es/InterPresent2/groups/imserso/documents/binario/apoyocuidadores.pdf</w:t>
        </w:r>
      </w:hyperlink>
      <w:r>
        <w:rPr>
          <w:w w:val="95"/>
          <w:sz w:val="20"/>
          <w:u w:val="single"/>
        </w:rPr>
        <w:t> </w:t>
      </w:r>
      <w:r>
        <w:rPr>
          <w:sz w:val="20"/>
        </w:rPr>
        <w:t>[Accesado el 5 de marzo de 2014]</w:t>
      </w:r>
    </w:p>
    <w:p>
      <w:pPr>
        <w:pStyle w:val="BodyText"/>
        <w:rPr>
          <w:sz w:val="20"/>
        </w:rPr>
      </w:pPr>
    </w:p>
    <w:p>
      <w:pPr>
        <w:pStyle w:val="BodyText"/>
        <w:spacing w:before="3"/>
        <w:rPr>
          <w:sz w:val="16"/>
        </w:rPr>
      </w:pPr>
    </w:p>
    <w:p>
      <w:pPr>
        <w:pStyle w:val="ListParagraph"/>
        <w:numPr>
          <w:ilvl w:val="0"/>
          <w:numId w:val="7"/>
        </w:numPr>
        <w:tabs>
          <w:tab w:pos="626" w:val="left" w:leader="none"/>
        </w:tabs>
        <w:spacing w:line="360" w:lineRule="auto" w:before="0" w:after="0"/>
        <w:ind w:left="625" w:right="198" w:hanging="360"/>
        <w:jc w:val="both"/>
        <w:rPr>
          <w:sz w:val="20"/>
        </w:rPr>
      </w:pPr>
      <w:r>
        <w:rPr>
          <w:sz w:val="20"/>
        </w:rPr>
        <w:t>Cruz J. y Ostiguin R. (2011) Cuidador: ¿Concepto operativo o preludio teórico” en Revista Enfermería Universitaria ENEO-UNAM [En Línea] Vol. 8. Año. 8 No. 1 Enero-Marzo 2011. México. Disponible en: </w:t>
      </w:r>
      <w:hyperlink r:id="rId90">
        <w:r>
          <w:rPr>
            <w:sz w:val="20"/>
            <w:u w:val="single"/>
          </w:rPr>
          <w:t>http://www.medigraphic.com/pdfs/enfuni/eu-2011/eu111g.pdf </w:t>
        </w:r>
      </w:hyperlink>
      <w:r>
        <w:rPr>
          <w:sz w:val="20"/>
        </w:rPr>
        <w:t>[Accesado el 20 de enero de</w:t>
      </w:r>
      <w:r>
        <w:rPr>
          <w:spacing w:val="-11"/>
          <w:sz w:val="20"/>
        </w:rPr>
        <w:t> </w:t>
      </w:r>
      <w:r>
        <w:rPr>
          <w:sz w:val="20"/>
        </w:rPr>
        <w:t>2013]</w:t>
      </w:r>
    </w:p>
    <w:p>
      <w:pPr>
        <w:pStyle w:val="BodyText"/>
        <w:rPr>
          <w:sz w:val="20"/>
        </w:rPr>
      </w:pPr>
    </w:p>
    <w:p>
      <w:pPr>
        <w:pStyle w:val="ListParagraph"/>
        <w:numPr>
          <w:ilvl w:val="0"/>
          <w:numId w:val="7"/>
        </w:numPr>
        <w:tabs>
          <w:tab w:pos="626" w:val="left" w:leader="none"/>
        </w:tabs>
        <w:spacing w:line="360" w:lineRule="auto" w:before="119" w:after="0"/>
        <w:ind w:left="625" w:right="197" w:hanging="360"/>
        <w:jc w:val="both"/>
        <w:rPr>
          <w:sz w:val="20"/>
        </w:rPr>
      </w:pPr>
      <w:r>
        <w:rPr>
          <w:sz w:val="20"/>
        </w:rPr>
        <w:t>Delicado M. (2000) “Cuidadoras informales: una perspectiva de género” FOFEE (Federación  de organizaciones feministas del estado español). </w:t>
      </w:r>
      <w:r>
        <w:rPr>
          <w:i/>
          <w:sz w:val="20"/>
        </w:rPr>
        <w:t>Jornadas Feministas. </w:t>
      </w:r>
      <w:r>
        <w:rPr>
          <w:sz w:val="20"/>
        </w:rPr>
        <w:t>Universidad de Córdoba. diciembre de 2000.</w:t>
      </w:r>
      <w:r>
        <w:rPr>
          <w:spacing w:val="-12"/>
          <w:sz w:val="20"/>
        </w:rPr>
        <w:t> </w:t>
      </w:r>
      <w:r>
        <w:rPr>
          <w:sz w:val="20"/>
        </w:rPr>
        <w:t>Córdoba</w:t>
      </w:r>
    </w:p>
    <w:p>
      <w:pPr>
        <w:spacing w:after="0" w:line="360" w:lineRule="auto"/>
        <w:jc w:val="both"/>
        <w:rPr>
          <w:sz w:val="20"/>
        </w:rPr>
        <w:sectPr>
          <w:pgSz w:w="12250" w:h="15850"/>
          <w:pgMar w:header="748" w:footer="1564" w:top="1260" w:bottom="1760" w:left="1720" w:right="1220"/>
        </w:sectPr>
      </w:pPr>
    </w:p>
    <w:p>
      <w:pPr>
        <w:pStyle w:val="BodyText"/>
        <w:rPr>
          <w:sz w:val="20"/>
        </w:rPr>
      </w:pPr>
    </w:p>
    <w:p>
      <w:pPr>
        <w:pStyle w:val="BodyText"/>
        <w:rPr>
          <w:sz w:val="20"/>
        </w:rPr>
      </w:pPr>
    </w:p>
    <w:p>
      <w:pPr>
        <w:pStyle w:val="BodyText"/>
        <w:spacing w:before="1"/>
        <w:rPr>
          <w:sz w:val="21"/>
        </w:rPr>
      </w:pPr>
    </w:p>
    <w:p>
      <w:pPr>
        <w:pStyle w:val="ListParagraph"/>
        <w:numPr>
          <w:ilvl w:val="0"/>
          <w:numId w:val="7"/>
        </w:numPr>
        <w:tabs>
          <w:tab w:pos="626" w:val="left" w:leader="none"/>
          <w:tab w:pos="1792" w:val="left" w:leader="none"/>
          <w:tab w:pos="2272" w:val="left" w:leader="none"/>
          <w:tab w:pos="3553" w:val="left" w:leader="none"/>
          <w:tab w:pos="4112" w:val="left" w:leader="none"/>
          <w:tab w:pos="5186" w:val="left" w:leader="none"/>
          <w:tab w:pos="5941" w:val="left" w:leader="none"/>
          <w:tab w:pos="6720" w:val="left" w:leader="none"/>
          <w:tab w:pos="7716" w:val="left" w:leader="none"/>
          <w:tab w:pos="8905" w:val="left" w:leader="none"/>
        </w:tabs>
        <w:spacing w:line="360" w:lineRule="auto" w:before="0" w:after="0"/>
        <w:ind w:left="625" w:right="115" w:hanging="360"/>
        <w:jc w:val="left"/>
        <w:rPr>
          <w:sz w:val="20"/>
        </w:rPr>
      </w:pPr>
      <w:r>
        <w:rPr>
          <w:sz w:val="20"/>
        </w:rPr>
        <w:t>De la Cuesta C. (2007) “El cuidado del otro: desafíos y posibilidades” en </w:t>
      </w:r>
      <w:r>
        <w:rPr>
          <w:i/>
          <w:sz w:val="20"/>
        </w:rPr>
        <w:t>Investigación y </w:t>
      </w:r>
      <w:r>
        <w:rPr>
          <w:i/>
          <w:sz w:val="20"/>
        </w:rPr>
        <w:t>educación</w:t>
        <w:tab/>
        <w:t>en</w:t>
        <w:tab/>
        <w:t>enfermería</w:t>
      </w:r>
      <w:r>
        <w:rPr>
          <w:sz w:val="20"/>
        </w:rPr>
        <w:t>.</w:t>
        <w:tab/>
        <w:t>[En</w:t>
        <w:tab/>
        <w:t>Línea]</w:t>
        <w:tab/>
        <w:t>2007;</w:t>
        <w:tab/>
        <w:t>(25)1:</w:t>
        <w:tab/>
        <w:t>106-112</w:t>
        <w:tab/>
        <w:t>Disponible</w:t>
        <w:tab/>
        <w:t>en: </w:t>
      </w:r>
      <w:hyperlink r:id="rId91">
        <w:r>
          <w:rPr>
            <w:sz w:val="20"/>
            <w:u w:val="single"/>
          </w:rPr>
          <w:t>http://www.scielo.org.co/scielo.php?script=sci_arttext&amp;pid=S0120-53072007000100012 </w:t>
        </w:r>
      </w:hyperlink>
      <w:r>
        <w:rPr>
          <w:sz w:val="20"/>
        </w:rPr>
        <w:t>Accesado el 4 de mayo de</w:t>
      </w:r>
      <w:r>
        <w:rPr>
          <w:spacing w:val="-12"/>
          <w:sz w:val="20"/>
        </w:rPr>
        <w:t> </w:t>
      </w:r>
      <w:r>
        <w:rPr>
          <w:sz w:val="20"/>
        </w:rPr>
        <w:t>2013</w:t>
      </w:r>
    </w:p>
    <w:p>
      <w:pPr>
        <w:pStyle w:val="BodyText"/>
        <w:rPr>
          <w:sz w:val="20"/>
        </w:rPr>
      </w:pPr>
    </w:p>
    <w:p>
      <w:pPr>
        <w:pStyle w:val="ListParagraph"/>
        <w:numPr>
          <w:ilvl w:val="0"/>
          <w:numId w:val="7"/>
        </w:numPr>
        <w:tabs>
          <w:tab w:pos="626" w:val="left" w:leader="none"/>
        </w:tabs>
        <w:spacing w:line="360" w:lineRule="auto" w:before="117" w:after="0"/>
        <w:ind w:left="625" w:right="213" w:hanging="360"/>
        <w:jc w:val="both"/>
        <w:rPr>
          <w:sz w:val="20"/>
        </w:rPr>
      </w:pPr>
      <w:r>
        <w:rPr>
          <w:sz w:val="20"/>
        </w:rPr>
        <w:t>De los Reyes. M (2001) “Construyendo el concepto de cuidador en ancianos</w:t>
      </w:r>
      <w:r>
        <w:rPr>
          <w:i/>
          <w:sz w:val="20"/>
        </w:rPr>
        <w:t>” Foro de </w:t>
      </w:r>
      <w:r>
        <w:rPr>
          <w:i/>
          <w:sz w:val="20"/>
        </w:rPr>
        <w:t>Investigación: Envejecimiento de la población en el MERCOSUR</w:t>
      </w:r>
      <w:r>
        <w:rPr>
          <w:sz w:val="20"/>
        </w:rPr>
        <w:t>. IV Reunión Antropología do MERCOSUR. Noviembre 2001 Curitiba. Brasil [En Línea] Disponible en </w:t>
      </w:r>
      <w:hyperlink r:id="rId92">
        <w:r>
          <w:rPr>
            <w:sz w:val="20"/>
            <w:u w:val="single"/>
          </w:rPr>
          <w:t>http://www.redadultosmayores.com.ar/docsPDF/Regiones/Mercosur/Brasil/06CuidadoresdeAnc </w:t>
        </w:r>
      </w:hyperlink>
      <w:hyperlink r:id="rId92">
        <w:r>
          <w:rPr>
            <w:sz w:val="20"/>
            <w:u w:val="single"/>
          </w:rPr>
          <w:t>ianos.pdf </w:t>
        </w:r>
      </w:hyperlink>
      <w:r>
        <w:rPr>
          <w:sz w:val="20"/>
        </w:rPr>
        <w:t>[Accesado el 20 de enero de</w:t>
      </w:r>
      <w:r>
        <w:rPr>
          <w:spacing w:val="-12"/>
          <w:sz w:val="20"/>
        </w:rPr>
        <w:t> </w:t>
      </w:r>
      <w:r>
        <w:rPr>
          <w:sz w:val="20"/>
        </w:rPr>
        <w:t>2013]</w:t>
      </w:r>
    </w:p>
    <w:p>
      <w:pPr>
        <w:pStyle w:val="BodyText"/>
        <w:spacing w:before="8"/>
        <w:rPr>
          <w:sz w:val="23"/>
        </w:rPr>
      </w:pPr>
    </w:p>
    <w:p>
      <w:pPr>
        <w:pStyle w:val="ListParagraph"/>
        <w:numPr>
          <w:ilvl w:val="0"/>
          <w:numId w:val="7"/>
        </w:numPr>
        <w:tabs>
          <w:tab w:pos="626" w:val="left" w:leader="none"/>
        </w:tabs>
        <w:spacing w:line="360" w:lineRule="auto" w:before="74" w:after="0"/>
        <w:ind w:left="625" w:right="216" w:hanging="360"/>
        <w:jc w:val="both"/>
        <w:rPr>
          <w:sz w:val="20"/>
        </w:rPr>
      </w:pPr>
      <w:r>
        <w:rPr>
          <w:sz w:val="20"/>
        </w:rPr>
        <w:t>Domínguez et al (2010) “Síndrome de sobrecarga de cuidadores primarios de adultos mayores de Cárdenas, Tabasco, México. Enero a Mayo de 2008” en </w:t>
      </w:r>
      <w:r>
        <w:rPr>
          <w:i/>
          <w:sz w:val="20"/>
        </w:rPr>
        <w:t>Revista de los estudiantes de </w:t>
      </w:r>
      <w:r>
        <w:rPr>
          <w:i/>
          <w:sz w:val="20"/>
        </w:rPr>
        <w:t>medicina de la Universidad industrial de Santander</w:t>
      </w:r>
      <w:r>
        <w:rPr>
          <w:sz w:val="20"/>
        </w:rPr>
        <w:t>. [En Línea] Tabasco, México. Disponible  en: </w:t>
      </w:r>
      <w:hyperlink r:id="rId93">
        <w:r>
          <w:rPr>
            <w:sz w:val="20"/>
            <w:u w:val="single"/>
          </w:rPr>
          <w:t>http://www.medicasuis.org/anteriores/volumen23.1/doc5.pdf </w:t>
        </w:r>
      </w:hyperlink>
      <w:r>
        <w:rPr>
          <w:sz w:val="20"/>
        </w:rPr>
        <w:t>[Accesado el 20 de enero de 2013]</w:t>
      </w:r>
    </w:p>
    <w:p>
      <w:pPr>
        <w:pStyle w:val="BodyText"/>
        <w:rPr>
          <w:sz w:val="20"/>
        </w:rPr>
      </w:pPr>
    </w:p>
    <w:p>
      <w:pPr>
        <w:pStyle w:val="ListParagraph"/>
        <w:numPr>
          <w:ilvl w:val="0"/>
          <w:numId w:val="7"/>
        </w:numPr>
        <w:tabs>
          <w:tab w:pos="626" w:val="left" w:leader="none"/>
        </w:tabs>
        <w:spacing w:line="360" w:lineRule="auto" w:before="117" w:after="0"/>
        <w:ind w:left="625" w:right="214" w:hanging="360"/>
        <w:jc w:val="both"/>
        <w:rPr>
          <w:sz w:val="20"/>
        </w:rPr>
      </w:pPr>
      <w:r>
        <w:rPr>
          <w:sz w:val="20"/>
        </w:rPr>
        <w:t>Dorantes C. y Matus G. (2002) “Estrés y la ciudad” en </w:t>
      </w:r>
      <w:r>
        <w:rPr>
          <w:i/>
          <w:sz w:val="20"/>
        </w:rPr>
        <w:t>Revista del centro de investigación. </w:t>
      </w:r>
      <w:r>
        <w:rPr>
          <w:i/>
          <w:sz w:val="20"/>
        </w:rPr>
        <w:t>Universidad la Salle</w:t>
      </w:r>
      <w:r>
        <w:rPr>
          <w:sz w:val="20"/>
        </w:rPr>
        <w:t>. Vol. 5 núm. 18 Junio – Julio. 2002. [En Línea] Disponible en: </w:t>
      </w:r>
      <w:hyperlink r:id="rId94">
        <w:r>
          <w:rPr>
            <w:sz w:val="20"/>
            <w:u w:val="single"/>
          </w:rPr>
          <w:t>http://www.redalyc.org/pdf/342/34251807.pdf </w:t>
        </w:r>
      </w:hyperlink>
      <w:r>
        <w:rPr>
          <w:sz w:val="20"/>
        </w:rPr>
        <w:t>[Accesado el 20 de abril de</w:t>
      </w:r>
      <w:r>
        <w:rPr>
          <w:spacing w:val="-15"/>
          <w:sz w:val="20"/>
        </w:rPr>
        <w:t> </w:t>
      </w:r>
      <w:r>
        <w:rPr>
          <w:sz w:val="20"/>
        </w:rPr>
        <w:t>2014]</w:t>
      </w:r>
    </w:p>
    <w:p>
      <w:pPr>
        <w:pStyle w:val="BodyText"/>
        <w:spacing w:before="11"/>
        <w:rPr>
          <w:sz w:val="23"/>
        </w:rPr>
      </w:pPr>
    </w:p>
    <w:p>
      <w:pPr>
        <w:pStyle w:val="ListParagraph"/>
        <w:numPr>
          <w:ilvl w:val="0"/>
          <w:numId w:val="7"/>
        </w:numPr>
        <w:tabs>
          <w:tab w:pos="626" w:val="left" w:leader="none"/>
          <w:tab w:pos="6435" w:val="left" w:leader="none"/>
        </w:tabs>
        <w:spacing w:line="360" w:lineRule="auto" w:before="74" w:after="0"/>
        <w:ind w:left="625" w:right="113" w:hanging="360"/>
        <w:jc w:val="left"/>
        <w:rPr>
          <w:sz w:val="20"/>
        </w:rPr>
      </w:pPr>
      <w:r>
        <w:rPr>
          <w:sz w:val="20"/>
        </w:rPr>
        <w:t>Escudero B. (2006) “El sistema formal de cuidados. Consecuencias de su visión sobre los cuidadores   informales”   </w:t>
      </w:r>
      <w:r>
        <w:rPr>
          <w:i/>
          <w:sz w:val="20"/>
        </w:rPr>
        <w:t>Salud   y   Sociedad</w:t>
      </w:r>
      <w:r>
        <w:rPr>
          <w:sz w:val="20"/>
        </w:rPr>
        <w:t>.   </w:t>
      </w:r>
      <w:r>
        <w:rPr>
          <w:spacing w:val="31"/>
          <w:sz w:val="20"/>
        </w:rPr>
        <w:t> </w:t>
      </w:r>
      <w:r>
        <w:rPr>
          <w:sz w:val="20"/>
        </w:rPr>
        <w:t>[En  </w:t>
      </w:r>
      <w:r>
        <w:rPr>
          <w:spacing w:val="17"/>
          <w:sz w:val="20"/>
        </w:rPr>
        <w:t> </w:t>
      </w:r>
      <w:r>
        <w:rPr>
          <w:sz w:val="20"/>
        </w:rPr>
        <w:t>Línea]</w:t>
        <w:tab/>
        <w:t>Disponible  </w:t>
      </w:r>
      <w:r>
        <w:rPr>
          <w:spacing w:val="16"/>
          <w:sz w:val="20"/>
        </w:rPr>
        <w:t> </w:t>
      </w:r>
      <w:r>
        <w:rPr>
          <w:sz w:val="20"/>
        </w:rPr>
        <w:t>en:  </w:t>
      </w:r>
      <w:r>
        <w:rPr>
          <w:spacing w:val="18"/>
          <w:sz w:val="20"/>
        </w:rPr>
        <w:t> </w:t>
      </w:r>
      <w:hyperlink r:id="rId95">
        <w:r>
          <w:rPr>
            <w:sz w:val="20"/>
            <w:u w:val="single"/>
          </w:rPr>
          <w:t>http://www.e-</w:t>
        </w:r>
      </w:hyperlink>
      <w:r>
        <w:rPr>
          <w:w w:val="99"/>
          <w:sz w:val="20"/>
        </w:rPr>
        <w:t> </w:t>
      </w:r>
      <w:hyperlink r:id="rId95">
        <w:r>
          <w:rPr>
            <w:sz w:val="20"/>
            <w:u w:val="single"/>
          </w:rPr>
          <w:t>rol.es/biblioonline/download/2006/9_Revista%20Octubre%202006- </w:t>
        </w:r>
      </w:hyperlink>
      <w:hyperlink r:id="rId95">
        <w:r>
          <w:rPr>
            <w:sz w:val="20"/>
            <w:u w:val="single"/>
          </w:rPr>
          <w:t>WEB/05_Sistema%20formal%20cuidados.pdf </w:t>
        </w:r>
      </w:hyperlink>
      <w:r>
        <w:rPr>
          <w:sz w:val="20"/>
        </w:rPr>
        <w:t>[Accesado el 1 de mayo de</w:t>
      </w:r>
      <w:r>
        <w:rPr>
          <w:spacing w:val="-14"/>
          <w:sz w:val="20"/>
        </w:rPr>
        <w:t> </w:t>
      </w:r>
      <w:r>
        <w:rPr>
          <w:sz w:val="20"/>
        </w:rPr>
        <w:t>2013]</w:t>
      </w:r>
    </w:p>
    <w:p>
      <w:pPr>
        <w:pStyle w:val="BodyText"/>
        <w:spacing w:before="10"/>
        <w:rPr>
          <w:sz w:val="29"/>
        </w:rPr>
      </w:pPr>
    </w:p>
    <w:p>
      <w:pPr>
        <w:pStyle w:val="ListParagraph"/>
        <w:numPr>
          <w:ilvl w:val="0"/>
          <w:numId w:val="7"/>
        </w:numPr>
        <w:tabs>
          <w:tab w:pos="626" w:val="left" w:leader="none"/>
        </w:tabs>
        <w:spacing w:line="360" w:lineRule="auto" w:before="74" w:after="0"/>
        <w:ind w:left="625" w:right="112" w:hanging="360"/>
        <w:jc w:val="left"/>
        <w:rPr>
          <w:sz w:val="20"/>
        </w:rPr>
      </w:pPr>
      <w:r>
        <w:rPr>
          <w:sz w:val="20"/>
        </w:rPr>
        <w:t>Escudero B. (2006) “El discurso de las enfermeras ante el cuidado de las personas mayores dependientes y sus cuidadores familiares” </w:t>
      </w:r>
      <w:r>
        <w:rPr>
          <w:i/>
          <w:sz w:val="20"/>
        </w:rPr>
        <w:t>Index de enfermería </w:t>
      </w:r>
      <w:r>
        <w:rPr>
          <w:sz w:val="20"/>
        </w:rPr>
        <w:t>[En Línea] V.15 N. 52 - 53. Granada, España. Disponible en: </w:t>
      </w:r>
      <w:hyperlink r:id="rId96">
        <w:r>
          <w:rPr>
            <w:sz w:val="20"/>
            <w:u w:val="single"/>
          </w:rPr>
          <w:t>http://scielo.isciii.es/scielo.php?pid=S113212962006000100010&amp;script=sci_arttext</w:t>
        </w:r>
        <w:r>
          <w:rPr>
            <w:sz w:val="20"/>
          </w:rPr>
          <w:t>.</w:t>
        </w:r>
      </w:hyperlink>
      <w:r>
        <w:rPr>
          <w:sz w:val="20"/>
        </w:rPr>
        <w:t> [Accesado el 30 de abril de</w:t>
      </w:r>
      <w:r>
        <w:rPr>
          <w:spacing w:val="-7"/>
          <w:sz w:val="20"/>
        </w:rPr>
        <w:t> </w:t>
      </w:r>
      <w:r>
        <w:rPr>
          <w:sz w:val="20"/>
        </w:rPr>
        <w:t>2013]</w:t>
      </w:r>
    </w:p>
    <w:p>
      <w:pPr>
        <w:pStyle w:val="BodyText"/>
        <w:rPr>
          <w:sz w:val="20"/>
        </w:rPr>
      </w:pPr>
    </w:p>
    <w:p>
      <w:pPr>
        <w:pStyle w:val="BodyText"/>
        <w:rPr>
          <w:sz w:val="16"/>
        </w:rPr>
      </w:pPr>
    </w:p>
    <w:p>
      <w:pPr>
        <w:pStyle w:val="ListParagraph"/>
        <w:numPr>
          <w:ilvl w:val="0"/>
          <w:numId w:val="7"/>
        </w:numPr>
        <w:tabs>
          <w:tab w:pos="626" w:val="left" w:leader="none"/>
        </w:tabs>
        <w:spacing w:line="360" w:lineRule="auto" w:before="0" w:after="0"/>
        <w:ind w:left="625" w:right="203" w:hanging="360"/>
        <w:jc w:val="left"/>
        <w:rPr>
          <w:sz w:val="20"/>
        </w:rPr>
      </w:pPr>
      <w:r>
        <w:rPr>
          <w:sz w:val="20"/>
        </w:rPr>
        <w:t>Estadísticas a propósito del día 14 de Febrero. Matrimonios y divorcios (2010)  Instituto  nacional</w:t>
      </w:r>
      <w:r>
        <w:rPr>
          <w:spacing w:val="22"/>
          <w:sz w:val="20"/>
        </w:rPr>
        <w:t> </w:t>
      </w:r>
      <w:r>
        <w:rPr>
          <w:sz w:val="20"/>
        </w:rPr>
        <w:t>de</w:t>
      </w:r>
      <w:r>
        <w:rPr>
          <w:spacing w:val="21"/>
          <w:sz w:val="20"/>
        </w:rPr>
        <w:t> </w:t>
      </w:r>
      <w:r>
        <w:rPr>
          <w:sz w:val="20"/>
        </w:rPr>
        <w:t>geografía</w:t>
      </w:r>
      <w:r>
        <w:rPr>
          <w:spacing w:val="22"/>
          <w:sz w:val="20"/>
        </w:rPr>
        <w:t> </w:t>
      </w:r>
      <w:r>
        <w:rPr>
          <w:sz w:val="20"/>
        </w:rPr>
        <w:t>y</w:t>
      </w:r>
      <w:r>
        <w:rPr>
          <w:spacing w:val="20"/>
          <w:sz w:val="20"/>
        </w:rPr>
        <w:t> </w:t>
      </w:r>
      <w:r>
        <w:rPr>
          <w:sz w:val="20"/>
        </w:rPr>
        <w:t>estadística.</w:t>
      </w:r>
      <w:r>
        <w:rPr>
          <w:spacing w:val="21"/>
          <w:sz w:val="20"/>
        </w:rPr>
        <w:t> </w:t>
      </w:r>
      <w:r>
        <w:rPr>
          <w:sz w:val="20"/>
        </w:rPr>
        <w:t>INEGI</w:t>
      </w:r>
      <w:r>
        <w:rPr>
          <w:spacing w:val="22"/>
          <w:sz w:val="20"/>
        </w:rPr>
        <w:t> </w:t>
      </w:r>
      <w:r>
        <w:rPr>
          <w:sz w:val="20"/>
        </w:rPr>
        <w:t>[En</w:t>
      </w:r>
      <w:r>
        <w:rPr>
          <w:spacing w:val="22"/>
          <w:sz w:val="20"/>
        </w:rPr>
        <w:t> </w:t>
      </w:r>
      <w:r>
        <w:rPr>
          <w:sz w:val="20"/>
        </w:rPr>
        <w:t>línea]</w:t>
      </w:r>
      <w:r>
        <w:rPr>
          <w:spacing w:val="22"/>
          <w:sz w:val="20"/>
        </w:rPr>
        <w:t> </w:t>
      </w:r>
      <w:r>
        <w:rPr>
          <w:sz w:val="20"/>
        </w:rPr>
        <w:t>Distrito</w:t>
      </w:r>
      <w:r>
        <w:rPr>
          <w:spacing w:val="22"/>
          <w:sz w:val="20"/>
        </w:rPr>
        <w:t> </w:t>
      </w:r>
      <w:r>
        <w:rPr>
          <w:sz w:val="20"/>
        </w:rPr>
        <w:t>Federal.</w:t>
      </w:r>
      <w:r>
        <w:rPr>
          <w:spacing w:val="22"/>
          <w:sz w:val="20"/>
        </w:rPr>
        <w:t> </w:t>
      </w:r>
      <w:r>
        <w:rPr>
          <w:sz w:val="20"/>
        </w:rPr>
        <w:t>México.</w:t>
      </w:r>
      <w:r>
        <w:rPr>
          <w:spacing w:val="22"/>
          <w:sz w:val="20"/>
        </w:rPr>
        <w:t> </w:t>
      </w:r>
      <w:r>
        <w:rPr>
          <w:sz w:val="20"/>
        </w:rPr>
        <w:t>Disponible</w:t>
      </w:r>
      <w:r>
        <w:rPr>
          <w:spacing w:val="22"/>
          <w:sz w:val="20"/>
        </w:rPr>
        <w:t> </w:t>
      </w:r>
      <w:r>
        <w:rPr>
          <w:sz w:val="20"/>
        </w:rPr>
        <w:t>en:</w:t>
      </w:r>
    </w:p>
    <w:p>
      <w:pPr>
        <w:spacing w:after="0" w:line="360" w:lineRule="auto"/>
        <w:jc w:val="left"/>
        <w:rPr>
          <w:sz w:val="20"/>
        </w:rPr>
        <w:sectPr>
          <w:pgSz w:w="12250" w:h="15850"/>
          <w:pgMar w:header="748" w:footer="1564" w:top="1260" w:bottom="1760" w:left="1720" w:right="1220"/>
        </w:sectPr>
      </w:pPr>
    </w:p>
    <w:p>
      <w:pPr>
        <w:pStyle w:val="BodyText"/>
        <w:rPr>
          <w:sz w:val="20"/>
        </w:rPr>
      </w:pPr>
    </w:p>
    <w:p>
      <w:pPr>
        <w:pStyle w:val="BodyText"/>
        <w:rPr>
          <w:sz w:val="20"/>
        </w:rPr>
      </w:pPr>
    </w:p>
    <w:p>
      <w:pPr>
        <w:pStyle w:val="BodyText"/>
        <w:spacing w:before="4"/>
        <w:rPr>
          <w:sz w:val="21"/>
        </w:rPr>
      </w:pPr>
    </w:p>
    <w:p>
      <w:pPr>
        <w:spacing w:line="360" w:lineRule="auto" w:before="0"/>
        <w:ind w:left="625" w:right="138" w:firstLine="0"/>
        <w:jc w:val="both"/>
        <w:rPr>
          <w:sz w:val="20"/>
        </w:rPr>
      </w:pPr>
      <w:hyperlink r:id="rId87">
        <w:r>
          <w:rPr>
            <w:sz w:val="20"/>
            <w:u w:val="single"/>
          </w:rPr>
          <w:t>https://accounts.google.com/ServiceLogin?service=mail&amp;passive=true&amp;rm=false&amp;continue=http</w:t>
        </w:r>
      </w:hyperlink>
      <w:r>
        <w:rPr>
          <w:sz w:val="20"/>
          <w:u w:val="single"/>
        </w:rPr>
        <w:t> </w:t>
      </w:r>
      <w:hyperlink r:id="rId87">
        <w:r>
          <w:rPr>
            <w:sz w:val="20"/>
            <w:u w:val="single"/>
          </w:rPr>
          <w:t>s://mail.google.com/mail/ca/&amp;ss=1&amp;scc=1&amp;ltmpl=default&amp;ltmplcache=2</w:t>
        </w:r>
      </w:hyperlink>
      <w:r>
        <w:rPr>
          <w:sz w:val="20"/>
          <w:u w:val="single"/>
        </w:rPr>
        <w:t> </w:t>
      </w:r>
      <w:r>
        <w:rPr>
          <w:sz w:val="20"/>
        </w:rPr>
        <w:t>[Accesado 20 de  abril de 2014]</w:t>
      </w:r>
    </w:p>
    <w:p>
      <w:pPr>
        <w:pStyle w:val="BodyText"/>
        <w:rPr>
          <w:sz w:val="20"/>
        </w:rPr>
      </w:pPr>
    </w:p>
    <w:p>
      <w:pPr>
        <w:pStyle w:val="ListParagraph"/>
        <w:numPr>
          <w:ilvl w:val="0"/>
          <w:numId w:val="7"/>
        </w:numPr>
        <w:tabs>
          <w:tab w:pos="626" w:val="left" w:leader="none"/>
        </w:tabs>
        <w:spacing w:line="360" w:lineRule="auto" w:before="117" w:after="0"/>
        <w:ind w:left="625" w:right="141" w:hanging="360"/>
        <w:jc w:val="both"/>
        <w:rPr>
          <w:sz w:val="20"/>
        </w:rPr>
      </w:pPr>
      <w:r>
        <w:rPr>
          <w:sz w:val="20"/>
        </w:rPr>
        <w:t>Estadísticas a propósito del día de la familia (2013) Instituto nacional de geografía y  estadística. INEGI [En línea] Aguascalientes. México. Disponible en: </w:t>
      </w:r>
      <w:hyperlink r:id="rId87">
        <w:r>
          <w:rPr>
            <w:sz w:val="20"/>
            <w:u w:val="single"/>
          </w:rPr>
          <w:t>http://www.inegi.org.mx/inegi/contenidos/espanol/prensa/Contenidos/estadisticas/2013/familia0. </w:t>
        </w:r>
      </w:hyperlink>
      <w:hyperlink r:id="rId87">
        <w:r>
          <w:rPr>
            <w:sz w:val="20"/>
            <w:u w:val="single"/>
          </w:rPr>
          <w:t>pdf </w:t>
        </w:r>
      </w:hyperlink>
      <w:r>
        <w:rPr>
          <w:sz w:val="20"/>
        </w:rPr>
        <w:t>[Accesado 20 de marzo de</w:t>
      </w:r>
      <w:r>
        <w:rPr>
          <w:spacing w:val="-8"/>
          <w:sz w:val="20"/>
        </w:rPr>
        <w:t> </w:t>
      </w:r>
      <w:r>
        <w:rPr>
          <w:sz w:val="20"/>
        </w:rPr>
        <w:t>2014]</w:t>
      </w:r>
    </w:p>
    <w:p>
      <w:pPr>
        <w:pStyle w:val="BodyText"/>
      </w:pPr>
    </w:p>
    <w:p>
      <w:pPr>
        <w:pStyle w:val="ListParagraph"/>
        <w:numPr>
          <w:ilvl w:val="0"/>
          <w:numId w:val="7"/>
        </w:numPr>
        <w:tabs>
          <w:tab w:pos="626" w:val="left" w:leader="none"/>
        </w:tabs>
        <w:spacing w:line="360" w:lineRule="auto" w:before="74" w:after="0"/>
        <w:ind w:left="625" w:right="141" w:hanging="360"/>
        <w:jc w:val="left"/>
        <w:rPr>
          <w:sz w:val="20"/>
        </w:rPr>
      </w:pPr>
      <w:r>
        <w:rPr>
          <w:sz w:val="20"/>
        </w:rPr>
        <w:t>Estadísticas a propósito del día internacional de las personas de edad (2013) Instituto nacional de geografía y estadística. INEGI [ En línea ] México Distrito Federal, Octubre 2013 Disponible en: </w:t>
      </w:r>
      <w:hyperlink r:id="rId97">
        <w:r>
          <w:rPr>
            <w:sz w:val="20"/>
            <w:u w:val="single"/>
          </w:rPr>
          <w:t>http://www.inegi.org.mx/inegi/contenidos/espanol/prensa/Contenidos/estadisticas/2013/adultos </w:t>
        </w:r>
      </w:hyperlink>
      <w:hyperlink r:id="rId97">
        <w:r>
          <w:rPr>
            <w:sz w:val="20"/>
            <w:u w:val="single"/>
          </w:rPr>
          <w:t>9.pdf </w:t>
        </w:r>
      </w:hyperlink>
      <w:r>
        <w:rPr>
          <w:sz w:val="20"/>
        </w:rPr>
        <w:t>[Accesado 25 de marzo de</w:t>
      </w:r>
      <w:r>
        <w:rPr>
          <w:spacing w:val="-13"/>
          <w:sz w:val="20"/>
        </w:rPr>
        <w:t> </w:t>
      </w:r>
      <w:r>
        <w:rPr>
          <w:sz w:val="20"/>
        </w:rPr>
        <w:t>2014]</w:t>
      </w:r>
    </w:p>
    <w:p>
      <w:pPr>
        <w:pStyle w:val="BodyText"/>
        <w:spacing w:before="8"/>
        <w:rPr>
          <w:sz w:val="23"/>
        </w:rPr>
      </w:pPr>
    </w:p>
    <w:p>
      <w:pPr>
        <w:pStyle w:val="ListParagraph"/>
        <w:numPr>
          <w:ilvl w:val="0"/>
          <w:numId w:val="7"/>
        </w:numPr>
        <w:tabs>
          <w:tab w:pos="626" w:val="left" w:leader="none"/>
          <w:tab w:pos="2033" w:val="left" w:leader="none"/>
          <w:tab w:pos="3877" w:val="left" w:leader="none"/>
          <w:tab w:pos="5723" w:val="left" w:leader="none"/>
          <w:tab w:pos="6453" w:val="left" w:leader="none"/>
          <w:tab w:pos="7441" w:val="left" w:leader="none"/>
          <w:tab w:pos="8805" w:val="left" w:leader="none"/>
        </w:tabs>
        <w:spacing w:line="360" w:lineRule="auto" w:before="74" w:after="0"/>
        <w:ind w:left="625" w:right="156" w:hanging="360"/>
        <w:jc w:val="left"/>
        <w:rPr>
          <w:sz w:val="20"/>
        </w:rPr>
      </w:pPr>
      <w:r>
        <w:rPr>
          <w:sz w:val="20"/>
        </w:rPr>
        <w:t>Estudio nacional de salud y envejecimiento en México (2013) INEGI. Boletín de prensa No.389/13.</w:t>
        <w:tab/>
        <w:t>Aguascalientes.</w:t>
        <w:tab/>
        <w:t>Aguascalientes.</w:t>
        <w:tab/>
        <w:t>[En</w:t>
        <w:tab/>
        <w:t>Línea]</w:t>
        <w:tab/>
        <w:t>Disponible</w:t>
        <w:tab/>
        <w:t>en: </w:t>
      </w:r>
      <w:hyperlink r:id="rId98">
        <w:r>
          <w:rPr>
            <w:sz w:val="20"/>
            <w:u w:val="single"/>
          </w:rPr>
          <w:t>http://www.inegi.org.mx/inegi/contenidos/espanol/prensa/boletines/boletin/comunicados/especi </w:t>
        </w:r>
      </w:hyperlink>
      <w:hyperlink r:id="rId98">
        <w:r>
          <w:rPr>
            <w:sz w:val="20"/>
            <w:u w:val="single"/>
          </w:rPr>
          <w:t>ales/2013/septiembre/comunica14.pdf </w:t>
        </w:r>
      </w:hyperlink>
      <w:r>
        <w:rPr>
          <w:sz w:val="20"/>
        </w:rPr>
        <w:t>[Accesado el 20 de marzo de</w:t>
      </w:r>
      <w:r>
        <w:rPr>
          <w:spacing w:val="-20"/>
          <w:sz w:val="20"/>
        </w:rPr>
        <w:t> </w:t>
      </w:r>
      <w:r>
        <w:rPr>
          <w:sz w:val="20"/>
        </w:rPr>
        <w:t>2014]</w:t>
      </w:r>
    </w:p>
    <w:p>
      <w:pPr>
        <w:pStyle w:val="BodyText"/>
        <w:spacing w:before="11"/>
        <w:rPr>
          <w:sz w:val="23"/>
        </w:rPr>
      </w:pPr>
    </w:p>
    <w:p>
      <w:pPr>
        <w:pStyle w:val="ListParagraph"/>
        <w:numPr>
          <w:ilvl w:val="0"/>
          <w:numId w:val="7"/>
        </w:numPr>
        <w:tabs>
          <w:tab w:pos="626" w:val="left" w:leader="none"/>
          <w:tab w:pos="2227" w:val="left" w:leader="none"/>
          <w:tab w:pos="3904" w:val="left" w:leader="none"/>
          <w:tab w:pos="5243" w:val="left" w:leader="none"/>
          <w:tab w:pos="6836" w:val="left" w:leader="none"/>
          <w:tab w:pos="8808" w:val="left" w:leader="none"/>
        </w:tabs>
        <w:spacing w:line="360" w:lineRule="auto" w:before="74" w:after="0"/>
        <w:ind w:left="625" w:right="156" w:hanging="360"/>
        <w:jc w:val="left"/>
        <w:rPr>
          <w:sz w:val="20"/>
        </w:rPr>
      </w:pPr>
      <w:r>
        <w:rPr>
          <w:sz w:val="20"/>
        </w:rPr>
        <w:t>Encuesta nacional de salud y nutrición (2012) Instituto nacional de salud pública. Secretaría de Salud.</w:t>
        <w:tab/>
        <w:t>México</w:t>
        <w:tab/>
        <w:t>[En</w:t>
        <w:tab/>
        <w:t>Línea]</w:t>
        <w:tab/>
        <w:t>Disponible</w:t>
        <w:tab/>
        <w:t>en: </w:t>
      </w:r>
      <w:hyperlink r:id="rId99">
        <w:r>
          <w:rPr>
            <w:sz w:val="20"/>
            <w:u w:val="single"/>
          </w:rPr>
          <w:t>http://consulta.mx/web/images/Otros%20estudios/2014/ENSANUT2012_Sint_Ejec-24oct.pdf </w:t>
        </w:r>
      </w:hyperlink>
      <w:r>
        <w:rPr>
          <w:sz w:val="20"/>
        </w:rPr>
        <w:t>[Accesado el 20 de abril de</w:t>
      </w:r>
      <w:r>
        <w:rPr>
          <w:spacing w:val="-10"/>
          <w:sz w:val="20"/>
        </w:rPr>
        <w:t> </w:t>
      </w:r>
      <w:r>
        <w:rPr>
          <w:sz w:val="20"/>
        </w:rPr>
        <w:t>2014]</w:t>
      </w:r>
    </w:p>
    <w:p>
      <w:pPr>
        <w:pStyle w:val="BodyText"/>
        <w:rPr>
          <w:sz w:val="20"/>
        </w:rPr>
      </w:pPr>
    </w:p>
    <w:p>
      <w:pPr>
        <w:pStyle w:val="ListParagraph"/>
        <w:numPr>
          <w:ilvl w:val="0"/>
          <w:numId w:val="7"/>
        </w:numPr>
        <w:tabs>
          <w:tab w:pos="626" w:val="left" w:leader="none"/>
        </w:tabs>
        <w:spacing w:line="357" w:lineRule="auto" w:before="119" w:after="0"/>
        <w:ind w:left="625" w:right="158" w:hanging="360"/>
        <w:jc w:val="left"/>
        <w:rPr>
          <w:sz w:val="20"/>
        </w:rPr>
      </w:pPr>
      <w:r>
        <w:rPr>
          <w:sz w:val="20"/>
        </w:rPr>
        <w:t>Estudio nacional de salud y envejecimiento en México (2013) INEGI. México Distrito Federal 30 Septiembre de 2013 [En Línea] Disponible en: [Accesado el 25 de abril de</w:t>
      </w:r>
      <w:r>
        <w:rPr>
          <w:spacing w:val="-17"/>
          <w:sz w:val="20"/>
        </w:rPr>
        <w:t> </w:t>
      </w:r>
      <w:r>
        <w:rPr>
          <w:sz w:val="20"/>
        </w:rPr>
        <w:t>2014]</w:t>
      </w:r>
    </w:p>
    <w:p>
      <w:pPr>
        <w:pStyle w:val="BodyText"/>
        <w:rPr>
          <w:sz w:val="20"/>
        </w:rPr>
      </w:pPr>
    </w:p>
    <w:p>
      <w:pPr>
        <w:pStyle w:val="ListParagraph"/>
        <w:numPr>
          <w:ilvl w:val="0"/>
          <w:numId w:val="7"/>
        </w:numPr>
        <w:tabs>
          <w:tab w:pos="626" w:val="left" w:leader="none"/>
        </w:tabs>
        <w:spacing w:line="360" w:lineRule="auto" w:before="119" w:after="0"/>
        <w:ind w:left="625" w:right="136" w:hanging="360"/>
        <w:jc w:val="both"/>
        <w:rPr>
          <w:sz w:val="20"/>
        </w:rPr>
      </w:pPr>
      <w:r>
        <w:rPr>
          <w:sz w:val="20"/>
        </w:rPr>
        <w:t>Félix F. (2009) “Revista Cubana de enfermería” </w:t>
      </w:r>
      <w:r>
        <w:rPr>
          <w:i/>
          <w:sz w:val="20"/>
        </w:rPr>
        <w:t>Necesidades de aprendizaje del cuidador </w:t>
      </w:r>
      <w:r>
        <w:rPr>
          <w:i/>
          <w:sz w:val="20"/>
        </w:rPr>
        <w:t>principal para el tratamiento del anciano con demencia tipo Alzheimer </w:t>
      </w:r>
      <w:r>
        <w:rPr>
          <w:sz w:val="20"/>
        </w:rPr>
        <w:t>[ En línea ] Volumen 25, n 3-4 Julio – Diciembre 2009. Habana. Disponible en: </w:t>
      </w:r>
      <w:hyperlink r:id="rId100">
        <w:r>
          <w:rPr>
            <w:sz w:val="20"/>
            <w:u w:val="single"/>
          </w:rPr>
          <w:t>http://scielo.sld.cu/scielo.php?pid=S086403192009000200006&amp;script=sci_arttext </w:t>
        </w:r>
      </w:hyperlink>
      <w:r>
        <w:rPr>
          <w:sz w:val="20"/>
        </w:rPr>
        <w:t>[Accesado 22 de octubre de 2012</w:t>
      </w:r>
      <w:r>
        <w:rPr>
          <w:spacing w:val="-7"/>
          <w:sz w:val="20"/>
        </w:rPr>
        <w:t> </w:t>
      </w:r>
      <w:r>
        <w:rPr>
          <w:sz w:val="20"/>
        </w:rPr>
        <w:t>]</w:t>
      </w:r>
    </w:p>
    <w:p>
      <w:pPr>
        <w:spacing w:after="0" w:line="360" w:lineRule="auto"/>
        <w:jc w:val="both"/>
        <w:rPr>
          <w:sz w:val="20"/>
        </w:rPr>
        <w:sectPr>
          <w:pgSz w:w="12250" w:h="15850"/>
          <w:pgMar w:header="748" w:footer="1564" w:top="1260" w:bottom="1760" w:left="1720" w:right="1280"/>
        </w:sectPr>
      </w:pPr>
    </w:p>
    <w:p>
      <w:pPr>
        <w:pStyle w:val="BodyText"/>
        <w:rPr>
          <w:sz w:val="20"/>
        </w:rPr>
      </w:pPr>
    </w:p>
    <w:p>
      <w:pPr>
        <w:pStyle w:val="BodyText"/>
        <w:rPr>
          <w:sz w:val="20"/>
        </w:rPr>
      </w:pPr>
    </w:p>
    <w:p>
      <w:pPr>
        <w:pStyle w:val="BodyText"/>
        <w:spacing w:before="4"/>
        <w:rPr>
          <w:sz w:val="21"/>
        </w:rPr>
      </w:pPr>
    </w:p>
    <w:p>
      <w:pPr>
        <w:pStyle w:val="ListParagraph"/>
        <w:numPr>
          <w:ilvl w:val="0"/>
          <w:numId w:val="7"/>
        </w:numPr>
        <w:tabs>
          <w:tab w:pos="626" w:val="left" w:leader="none"/>
        </w:tabs>
        <w:spacing w:line="360" w:lineRule="auto" w:before="0" w:after="0"/>
        <w:ind w:left="625" w:right="188" w:hanging="360"/>
        <w:jc w:val="left"/>
        <w:rPr>
          <w:sz w:val="20"/>
        </w:rPr>
      </w:pPr>
      <w:r>
        <w:rPr>
          <w:sz w:val="20"/>
        </w:rPr>
        <w:t>Fernández A. (2007) “Sobrecarga del cuidador inmigrante no profesional formal en Barcelona” Tesis doctoral. Sant Cugat. Enero de</w:t>
      </w:r>
      <w:r>
        <w:rPr>
          <w:spacing w:val="-10"/>
          <w:sz w:val="20"/>
        </w:rPr>
        <w:t> </w:t>
      </w:r>
      <w:r>
        <w:rPr>
          <w:sz w:val="20"/>
        </w:rPr>
        <w:t>2007</w:t>
      </w:r>
    </w:p>
    <w:p>
      <w:pPr>
        <w:pStyle w:val="BodyText"/>
        <w:spacing w:before="11"/>
        <w:rPr>
          <w:sz w:val="29"/>
        </w:rPr>
      </w:pPr>
    </w:p>
    <w:p>
      <w:pPr>
        <w:pStyle w:val="ListParagraph"/>
        <w:numPr>
          <w:ilvl w:val="0"/>
          <w:numId w:val="7"/>
        </w:numPr>
        <w:tabs>
          <w:tab w:pos="626" w:val="left" w:leader="none"/>
        </w:tabs>
        <w:spacing w:line="362" w:lineRule="auto" w:before="0" w:after="0"/>
        <w:ind w:left="625" w:right="174" w:hanging="360"/>
        <w:jc w:val="both"/>
        <w:rPr>
          <w:sz w:val="20"/>
        </w:rPr>
      </w:pPr>
      <w:r>
        <w:rPr>
          <w:sz w:val="20"/>
        </w:rPr>
        <w:t>García M. (2004) “El impacto de cuidar en la salud y calidad de vida de las mujeres” en </w:t>
      </w:r>
      <w:r>
        <w:rPr>
          <w:i/>
          <w:sz w:val="20"/>
        </w:rPr>
        <w:t>Gaceta </w:t>
      </w:r>
      <w:r>
        <w:rPr>
          <w:i/>
          <w:sz w:val="20"/>
        </w:rPr>
        <w:t>sanitaria </w:t>
      </w:r>
      <w:r>
        <w:rPr>
          <w:sz w:val="20"/>
        </w:rPr>
        <w:t>[ En línea ] Gac Sanit v.18 supl.2 Barcelona mayo 2004 Disponible en: </w:t>
      </w:r>
      <w:hyperlink r:id="rId101">
        <w:r>
          <w:rPr>
            <w:sz w:val="20"/>
            <w:u w:val="single"/>
          </w:rPr>
          <w:t>http://scielo.isciii.es/scielo.php?script=sci_arttext&amp;pid=S0213-91112004000500011 </w:t>
        </w:r>
      </w:hyperlink>
      <w:r>
        <w:rPr>
          <w:sz w:val="20"/>
        </w:rPr>
        <w:t>[Acezado 5 de marzo de 2014</w:t>
      </w:r>
      <w:r>
        <w:rPr>
          <w:spacing w:val="-7"/>
          <w:sz w:val="20"/>
        </w:rPr>
        <w:t> </w:t>
      </w:r>
      <w:r>
        <w:rPr>
          <w:sz w:val="20"/>
        </w:rPr>
        <w:t>]</w:t>
      </w:r>
    </w:p>
    <w:p>
      <w:pPr>
        <w:pStyle w:val="BodyText"/>
        <w:rPr>
          <w:sz w:val="20"/>
        </w:rPr>
      </w:pPr>
    </w:p>
    <w:p>
      <w:pPr>
        <w:pStyle w:val="BodyText"/>
        <w:spacing w:before="10"/>
        <w:rPr>
          <w:sz w:val="15"/>
        </w:rPr>
      </w:pPr>
    </w:p>
    <w:p>
      <w:pPr>
        <w:pStyle w:val="ListParagraph"/>
        <w:numPr>
          <w:ilvl w:val="0"/>
          <w:numId w:val="7"/>
        </w:numPr>
        <w:tabs>
          <w:tab w:pos="626" w:val="left" w:leader="none"/>
        </w:tabs>
        <w:spacing w:line="360" w:lineRule="auto" w:before="0" w:after="0"/>
        <w:ind w:left="625" w:right="183" w:hanging="360"/>
        <w:jc w:val="left"/>
        <w:rPr>
          <w:sz w:val="20"/>
        </w:rPr>
      </w:pPr>
      <w:r>
        <w:rPr>
          <w:sz w:val="20"/>
        </w:rPr>
        <w:t>García C. y Martínez M. (2001) “Historia de la enfermería, evolución histórica del cuidado enfermero” [En línea] Madrid. Harcourt. Disponible en: </w:t>
      </w:r>
      <w:hyperlink r:id="rId102">
        <w:r>
          <w:rPr>
            <w:sz w:val="20"/>
            <w:u w:val="single"/>
          </w:rPr>
          <w:t>http://es.scribd.com/doc/30180636/Historia-de-La-Enfermeria-evolucion-Del-Cuidado- </w:t>
        </w:r>
      </w:hyperlink>
      <w:hyperlink r:id="rId102">
        <w:r>
          <w:rPr>
            <w:sz w:val="20"/>
            <w:u w:val="single"/>
          </w:rPr>
          <w:t>Enfermero </w:t>
        </w:r>
      </w:hyperlink>
      <w:r>
        <w:rPr>
          <w:sz w:val="20"/>
        </w:rPr>
        <w:t>[Accesado 5 de noviembre de 2012</w:t>
      </w:r>
      <w:r>
        <w:rPr>
          <w:spacing w:val="-11"/>
          <w:sz w:val="20"/>
        </w:rPr>
        <w:t> </w:t>
      </w:r>
      <w:r>
        <w:rPr>
          <w:sz w:val="20"/>
        </w:rPr>
        <w:t>]</w:t>
      </w:r>
    </w:p>
    <w:p>
      <w:pPr>
        <w:pStyle w:val="BodyText"/>
        <w:spacing w:before="8"/>
        <w:rPr>
          <w:sz w:val="23"/>
        </w:rPr>
      </w:pPr>
    </w:p>
    <w:p>
      <w:pPr>
        <w:pStyle w:val="ListParagraph"/>
        <w:numPr>
          <w:ilvl w:val="0"/>
          <w:numId w:val="7"/>
        </w:numPr>
        <w:tabs>
          <w:tab w:pos="626" w:val="left" w:leader="none"/>
        </w:tabs>
        <w:spacing w:line="360" w:lineRule="auto" w:before="74" w:after="0"/>
        <w:ind w:left="625" w:right="177" w:hanging="360"/>
        <w:jc w:val="both"/>
        <w:rPr>
          <w:sz w:val="20"/>
        </w:rPr>
      </w:pPr>
      <w:r>
        <w:rPr>
          <w:sz w:val="20"/>
        </w:rPr>
        <w:t>Grandón et al. (2011) “Adaptación y validación de la entrevista de carga familiar objetiva y subjetiva (ECFOS) en población Chilena” en </w:t>
      </w:r>
      <w:r>
        <w:rPr>
          <w:i/>
          <w:sz w:val="20"/>
        </w:rPr>
        <w:t>Revista Chilena de neuropsiquiatría </w:t>
      </w:r>
      <w:r>
        <w:rPr>
          <w:sz w:val="20"/>
        </w:rPr>
        <w:t>Vol.49 No. 4. Santiago. Diciembre 2011 [ En línea ] Disponible en : </w:t>
      </w:r>
      <w:hyperlink r:id="rId103">
        <w:r>
          <w:rPr>
            <w:sz w:val="20"/>
            <w:u w:val="single"/>
          </w:rPr>
          <w:t>http://www.scielo.cl/scielo.php?pid=S0717-92272011000400003&amp;script=sci_arttext   </w:t>
        </w:r>
      </w:hyperlink>
      <w:r>
        <w:rPr>
          <w:sz w:val="20"/>
        </w:rPr>
        <w:t>[Accesado 1 de mayo de 2014</w:t>
      </w:r>
      <w:r>
        <w:rPr>
          <w:spacing w:val="-9"/>
          <w:sz w:val="20"/>
        </w:rPr>
        <w:t> </w:t>
      </w:r>
      <w:r>
        <w:rPr>
          <w:sz w:val="20"/>
        </w:rPr>
        <w:t>]</w:t>
      </w:r>
    </w:p>
    <w:p>
      <w:pPr>
        <w:pStyle w:val="BodyText"/>
        <w:spacing w:before="11"/>
        <w:rPr>
          <w:sz w:val="29"/>
        </w:rPr>
      </w:pPr>
    </w:p>
    <w:p>
      <w:pPr>
        <w:pStyle w:val="ListParagraph"/>
        <w:numPr>
          <w:ilvl w:val="0"/>
          <w:numId w:val="7"/>
        </w:numPr>
        <w:tabs>
          <w:tab w:pos="626" w:val="left" w:leader="none"/>
        </w:tabs>
        <w:spacing w:line="362" w:lineRule="auto" w:before="0" w:after="0"/>
        <w:ind w:left="625" w:right="178" w:hanging="360"/>
        <w:jc w:val="left"/>
        <w:rPr>
          <w:sz w:val="20"/>
        </w:rPr>
      </w:pPr>
      <w:r>
        <w:rPr>
          <w:sz w:val="20"/>
        </w:rPr>
        <w:t>Gómez E. (2008) </w:t>
      </w:r>
      <w:r>
        <w:rPr>
          <w:i/>
          <w:sz w:val="20"/>
        </w:rPr>
        <w:t>Sobrecarga del cuidador primario que asiste a un familiar con cáncer</w:t>
      </w:r>
      <w:r>
        <w:rPr>
          <w:sz w:val="20"/>
        </w:rPr>
        <w:t>. Tesis de licenciatura. Minatitlán, Universidad</w:t>
      </w:r>
      <w:r>
        <w:rPr>
          <w:spacing w:val="-15"/>
          <w:sz w:val="20"/>
        </w:rPr>
        <w:t> </w:t>
      </w:r>
      <w:r>
        <w:rPr>
          <w:sz w:val="20"/>
        </w:rPr>
        <w:t>Veracruzana</w:t>
      </w:r>
    </w:p>
    <w:p>
      <w:pPr>
        <w:pStyle w:val="BodyText"/>
        <w:rPr>
          <w:sz w:val="20"/>
        </w:rPr>
      </w:pPr>
    </w:p>
    <w:p>
      <w:pPr>
        <w:pStyle w:val="BodyText"/>
        <w:rPr>
          <w:sz w:val="16"/>
        </w:rPr>
      </w:pPr>
    </w:p>
    <w:p>
      <w:pPr>
        <w:pStyle w:val="ListParagraph"/>
        <w:numPr>
          <w:ilvl w:val="0"/>
          <w:numId w:val="7"/>
        </w:numPr>
        <w:tabs>
          <w:tab w:pos="626" w:val="left" w:leader="none"/>
        </w:tabs>
        <w:spacing w:line="360" w:lineRule="auto" w:before="0" w:after="0"/>
        <w:ind w:left="625" w:right="177" w:hanging="360"/>
        <w:jc w:val="left"/>
        <w:rPr>
          <w:sz w:val="20"/>
        </w:rPr>
      </w:pPr>
      <w:r>
        <w:rPr>
          <w:sz w:val="20"/>
        </w:rPr>
        <w:t>Hernández F et al (1997) “La enfermería en la historia, un análisis desde la perspectiva profesional</w:t>
      </w:r>
      <w:r>
        <w:rPr>
          <w:i/>
          <w:sz w:val="20"/>
        </w:rPr>
        <w:t>” Cultura de los cuidados </w:t>
      </w:r>
      <w:r>
        <w:rPr>
          <w:sz w:val="20"/>
        </w:rPr>
        <w:t>[En línea] Madrid. Disponible en: </w:t>
      </w:r>
      <w:hyperlink r:id="rId104">
        <w:r>
          <w:rPr>
            <w:sz w:val="20"/>
            <w:u w:val="single"/>
          </w:rPr>
          <w:t>http://rua.ua.es/dspace/bitstream/10045/5239/1/CC_02_05.pdf </w:t>
        </w:r>
      </w:hyperlink>
      <w:r>
        <w:rPr>
          <w:sz w:val="20"/>
        </w:rPr>
        <w:t>[Accesado 5 de noviembre de 2012</w:t>
      </w:r>
      <w:r>
        <w:rPr>
          <w:spacing w:val="-3"/>
          <w:sz w:val="20"/>
        </w:rPr>
        <w:t> </w:t>
      </w:r>
      <w:r>
        <w:rPr>
          <w:sz w:val="20"/>
        </w:rPr>
        <w:t>]</w:t>
      </w:r>
    </w:p>
    <w:p>
      <w:pPr>
        <w:pStyle w:val="BodyText"/>
        <w:rPr>
          <w:sz w:val="20"/>
        </w:rPr>
      </w:pPr>
    </w:p>
    <w:p>
      <w:pPr>
        <w:pStyle w:val="ListParagraph"/>
        <w:numPr>
          <w:ilvl w:val="0"/>
          <w:numId w:val="7"/>
        </w:numPr>
        <w:tabs>
          <w:tab w:pos="626" w:val="left" w:leader="none"/>
          <w:tab w:pos="4661" w:val="left" w:leader="none"/>
        </w:tabs>
        <w:spacing w:line="360" w:lineRule="auto" w:before="120" w:after="0"/>
        <w:ind w:left="625" w:right="104" w:hanging="360"/>
        <w:jc w:val="left"/>
        <w:rPr>
          <w:sz w:val="20"/>
        </w:rPr>
      </w:pPr>
      <w:r>
        <w:rPr>
          <w:sz w:val="20"/>
        </w:rPr>
        <w:t>Hernández  J;  Terán  O;  Navarrete  </w:t>
      </w:r>
      <w:r>
        <w:rPr>
          <w:spacing w:val="35"/>
          <w:sz w:val="20"/>
        </w:rPr>
        <w:t> </w:t>
      </w:r>
      <w:r>
        <w:rPr>
          <w:sz w:val="20"/>
        </w:rPr>
        <w:t>D </w:t>
      </w:r>
      <w:r>
        <w:rPr>
          <w:spacing w:val="22"/>
          <w:sz w:val="20"/>
        </w:rPr>
        <w:t> </w:t>
      </w:r>
      <w:r>
        <w:rPr>
          <w:sz w:val="20"/>
        </w:rPr>
        <w:t>y</w:t>
        <w:tab/>
        <w:t>León  A.  (2007)  “El  síndrome  de  </w:t>
      </w:r>
      <w:r>
        <w:rPr>
          <w:spacing w:val="51"/>
          <w:sz w:val="20"/>
        </w:rPr>
        <w:t> </w:t>
      </w:r>
      <w:r>
        <w:rPr>
          <w:sz w:val="20"/>
        </w:rPr>
        <w:t>Burnout: </w:t>
      </w:r>
      <w:r>
        <w:rPr>
          <w:spacing w:val="17"/>
          <w:sz w:val="20"/>
        </w:rPr>
        <w:t> </w:t>
      </w:r>
      <w:r>
        <w:rPr>
          <w:sz w:val="20"/>
        </w:rPr>
        <w:t>una</w:t>
      </w:r>
      <w:r>
        <w:rPr>
          <w:w w:val="99"/>
          <w:sz w:val="20"/>
        </w:rPr>
        <w:t> </w:t>
      </w:r>
      <w:r>
        <w:rPr>
          <w:sz w:val="20"/>
        </w:rPr>
        <w:t>aproximación hacia su conceptualización, antecedentes, modelos aplicativos y medición” [En Línea] Año 3, numero 5. Julio – Diciembre 2007. Disponible en: </w:t>
      </w:r>
      <w:hyperlink r:id="rId105">
        <w:r>
          <w:rPr>
            <w:sz w:val="20"/>
            <w:u w:val="single"/>
          </w:rPr>
          <w:t>http://dgsa.uaeh.edu.mx/revista/icea/IMG/pdf/4_-_No.5.pdf </w:t>
        </w:r>
      </w:hyperlink>
      <w:r>
        <w:rPr>
          <w:sz w:val="20"/>
        </w:rPr>
        <w:t>Accesado el 2 de mayo de</w:t>
      </w:r>
      <w:r>
        <w:rPr>
          <w:spacing w:val="-20"/>
          <w:sz w:val="20"/>
        </w:rPr>
        <w:t> </w:t>
      </w:r>
      <w:r>
        <w:rPr>
          <w:sz w:val="20"/>
        </w:rPr>
        <w:t>2013]</w:t>
      </w:r>
    </w:p>
    <w:p>
      <w:pPr>
        <w:pStyle w:val="BodyText"/>
        <w:spacing w:before="8"/>
        <w:rPr>
          <w:sz w:val="23"/>
        </w:rPr>
      </w:pPr>
    </w:p>
    <w:p>
      <w:pPr>
        <w:pStyle w:val="ListParagraph"/>
        <w:numPr>
          <w:ilvl w:val="0"/>
          <w:numId w:val="7"/>
        </w:numPr>
        <w:tabs>
          <w:tab w:pos="626" w:val="left" w:leader="none"/>
        </w:tabs>
        <w:spacing w:line="360" w:lineRule="auto" w:before="74" w:after="0"/>
        <w:ind w:left="625" w:right="193" w:hanging="360"/>
        <w:jc w:val="left"/>
        <w:rPr>
          <w:sz w:val="20"/>
        </w:rPr>
      </w:pPr>
      <w:r>
        <w:rPr>
          <w:sz w:val="20"/>
        </w:rPr>
        <w:t>Indicadores oportunos de ocupación y empleo (2014) INEGI. Boletín de prensa No.124/14. Aguascalientes. Aguascalientes. [En Línea] Disponible</w:t>
      </w:r>
      <w:r>
        <w:rPr>
          <w:spacing w:val="-17"/>
          <w:sz w:val="20"/>
        </w:rPr>
        <w:t> </w:t>
      </w:r>
      <w:r>
        <w:rPr>
          <w:sz w:val="20"/>
        </w:rPr>
        <w:t>en:</w:t>
      </w:r>
    </w:p>
    <w:p>
      <w:pPr>
        <w:spacing w:after="0" w:line="360" w:lineRule="auto"/>
        <w:jc w:val="left"/>
        <w:rPr>
          <w:sz w:val="20"/>
        </w:rPr>
        <w:sectPr>
          <w:pgSz w:w="12250" w:h="15850"/>
          <w:pgMar w:header="748" w:footer="1564" w:top="1260" w:bottom="1760" w:left="1720" w:right="1240"/>
        </w:sectPr>
      </w:pPr>
    </w:p>
    <w:p>
      <w:pPr>
        <w:pStyle w:val="BodyText"/>
        <w:rPr>
          <w:sz w:val="20"/>
        </w:rPr>
      </w:pPr>
    </w:p>
    <w:p>
      <w:pPr>
        <w:pStyle w:val="BodyText"/>
        <w:rPr>
          <w:sz w:val="20"/>
        </w:rPr>
      </w:pPr>
    </w:p>
    <w:p>
      <w:pPr>
        <w:pStyle w:val="BodyText"/>
        <w:spacing w:before="4"/>
        <w:rPr>
          <w:sz w:val="21"/>
        </w:rPr>
      </w:pPr>
    </w:p>
    <w:p>
      <w:pPr>
        <w:spacing w:line="360" w:lineRule="auto" w:before="0"/>
        <w:ind w:left="625" w:right="117" w:firstLine="0"/>
        <w:jc w:val="left"/>
        <w:rPr>
          <w:sz w:val="20"/>
        </w:rPr>
      </w:pPr>
      <w:hyperlink r:id="rId107">
        <w:r>
          <w:rPr>
            <w:w w:val="99"/>
            <w:sz w:val="20"/>
            <w:u w:val="single"/>
          </w:rPr>
          <w:t> </w:t>
        </w:r>
        <w:r>
          <w:rPr>
            <w:sz w:val="20"/>
            <w:u w:val="single"/>
          </w:rPr>
          <w:t>http://www.inegi.org.mx/inegi/contenidos/espanol/prensa/comunicados/ocupbol.pdf</w:t>
        </w:r>
      </w:hyperlink>
      <w:r>
        <w:rPr>
          <w:sz w:val="20"/>
          <w:u w:val="single"/>
        </w:rPr>
        <w:t> </w:t>
      </w:r>
      <w:r>
        <w:rPr>
          <w:sz w:val="20"/>
        </w:rPr>
        <w:t>[Accesado el 20 de marzo de 2014]</w:t>
      </w:r>
    </w:p>
    <w:p>
      <w:pPr>
        <w:pStyle w:val="BodyText"/>
        <w:rPr>
          <w:sz w:val="20"/>
        </w:rPr>
      </w:pPr>
    </w:p>
    <w:p>
      <w:pPr>
        <w:pStyle w:val="ListParagraph"/>
        <w:numPr>
          <w:ilvl w:val="0"/>
          <w:numId w:val="7"/>
        </w:numPr>
        <w:tabs>
          <w:tab w:pos="626" w:val="left" w:leader="none"/>
        </w:tabs>
        <w:spacing w:line="360" w:lineRule="auto" w:before="117" w:after="0"/>
        <w:ind w:left="625" w:right="145" w:hanging="360"/>
        <w:jc w:val="left"/>
        <w:rPr>
          <w:sz w:val="20"/>
        </w:rPr>
      </w:pPr>
      <w:r>
        <w:rPr>
          <w:sz w:val="20"/>
        </w:rPr>
        <w:t>Izquierdo M (2003) “El cuidado de los individuos y de los grupos: ¿Quién cuida a quien? Organización social y genero” en </w:t>
      </w:r>
      <w:r>
        <w:rPr>
          <w:i/>
          <w:sz w:val="20"/>
        </w:rPr>
        <w:t>Desde la teoría </w:t>
      </w:r>
      <w:r>
        <w:rPr>
          <w:sz w:val="20"/>
        </w:rPr>
        <w:t>[En Línea] Disponible en: </w:t>
      </w:r>
      <w:hyperlink r:id="rId108">
        <w:r>
          <w:rPr>
            <w:sz w:val="20"/>
            <w:u w:val="single"/>
          </w:rPr>
          <w:t>http://www.pueg.unam.mx/formacion/images/Documentos/Modulo1/13el_%20cuidado_mj_izqui </w:t>
        </w:r>
      </w:hyperlink>
      <w:hyperlink r:id="rId108">
        <w:r>
          <w:rPr>
            <w:sz w:val="20"/>
            <w:u w:val="single"/>
          </w:rPr>
          <w:t>erdo.pdf </w:t>
        </w:r>
      </w:hyperlink>
      <w:r>
        <w:rPr>
          <w:sz w:val="20"/>
        </w:rPr>
        <w:t>[Accesado 20 de febrero de</w:t>
      </w:r>
      <w:r>
        <w:rPr>
          <w:spacing w:val="-14"/>
          <w:sz w:val="20"/>
        </w:rPr>
        <w:t> </w:t>
      </w:r>
      <w:r>
        <w:rPr>
          <w:sz w:val="20"/>
        </w:rPr>
        <w:t>2014]</w:t>
      </w:r>
    </w:p>
    <w:p>
      <w:pPr>
        <w:pStyle w:val="BodyText"/>
        <w:spacing w:before="7"/>
        <w:rPr>
          <w:sz w:val="23"/>
        </w:rPr>
      </w:pPr>
    </w:p>
    <w:p>
      <w:pPr>
        <w:pStyle w:val="ListParagraph"/>
        <w:numPr>
          <w:ilvl w:val="0"/>
          <w:numId w:val="7"/>
        </w:numPr>
        <w:tabs>
          <w:tab w:pos="626" w:val="left" w:leader="none"/>
        </w:tabs>
        <w:spacing w:line="360" w:lineRule="auto" w:before="74" w:after="0"/>
        <w:ind w:left="625" w:right="136" w:hanging="360"/>
        <w:jc w:val="both"/>
        <w:rPr>
          <w:sz w:val="20"/>
        </w:rPr>
      </w:pPr>
      <w:r>
        <w:rPr>
          <w:sz w:val="20"/>
        </w:rPr>
        <w:t>Jofre A. y Sanhueza O. (2010) “Evaluación de la sobrecarga de cuidadores / as “en </w:t>
      </w:r>
      <w:r>
        <w:rPr>
          <w:i/>
          <w:sz w:val="20"/>
        </w:rPr>
        <w:t>Ciencia y </w:t>
      </w:r>
      <w:r>
        <w:rPr>
          <w:i/>
          <w:sz w:val="20"/>
        </w:rPr>
        <w:t>enfermería</w:t>
      </w:r>
      <w:r>
        <w:rPr>
          <w:sz w:val="20"/>
        </w:rPr>
        <w:t>. Universidad de Concepción. Chile vol.16 no.3 Concepción. Diciembre 2010 [En Línea] Disponible</w:t>
      </w:r>
      <w:r>
        <w:rPr>
          <w:spacing w:val="-8"/>
          <w:sz w:val="20"/>
        </w:rPr>
        <w:t> </w:t>
      </w:r>
      <w:r>
        <w:rPr>
          <w:sz w:val="20"/>
        </w:rPr>
        <w:t>en:</w:t>
      </w:r>
    </w:p>
    <w:p>
      <w:pPr>
        <w:tabs>
          <w:tab w:pos="8172" w:val="left" w:leader="none"/>
        </w:tabs>
        <w:spacing w:line="360" w:lineRule="auto" w:before="4"/>
        <w:ind w:left="625" w:right="137" w:firstLine="0"/>
        <w:jc w:val="left"/>
        <w:rPr>
          <w:sz w:val="20"/>
        </w:rPr>
      </w:pPr>
      <w:hyperlink r:id="rId109">
        <w:r>
          <w:rPr>
            <w:sz w:val="20"/>
            <w:u w:val="single"/>
          </w:rPr>
          <w:t>http://www.scielo.cl/scielo.php?pid=S0717-95532010000300012&amp;script=sci_arttext</w:t>
        </w:r>
      </w:hyperlink>
      <w:r>
        <w:rPr>
          <w:sz w:val="20"/>
        </w:rPr>
        <w:tab/>
        <w:t>[Accesado 20 de abril de 2014</w:t>
      </w:r>
      <w:r>
        <w:rPr>
          <w:spacing w:val="-8"/>
          <w:sz w:val="20"/>
        </w:rPr>
        <w:t> </w:t>
      </w:r>
      <w:r>
        <w:rPr>
          <w:sz w:val="20"/>
        </w:rPr>
        <w:t>]</w:t>
      </w:r>
    </w:p>
    <w:p>
      <w:pPr>
        <w:pStyle w:val="BodyText"/>
        <w:rPr>
          <w:sz w:val="20"/>
        </w:rPr>
      </w:pPr>
    </w:p>
    <w:p>
      <w:pPr>
        <w:pStyle w:val="ListParagraph"/>
        <w:numPr>
          <w:ilvl w:val="0"/>
          <w:numId w:val="7"/>
        </w:numPr>
        <w:tabs>
          <w:tab w:pos="626" w:val="left" w:leader="none"/>
          <w:tab w:pos="2740" w:val="left" w:leader="none"/>
          <w:tab w:pos="3949" w:val="left" w:leader="none"/>
          <w:tab w:pos="5343" w:val="left" w:leader="none"/>
          <w:tab w:pos="6982" w:val="left" w:leader="none"/>
          <w:tab w:pos="8829" w:val="left" w:leader="none"/>
        </w:tabs>
        <w:spacing w:line="360" w:lineRule="auto" w:before="117" w:after="0"/>
        <w:ind w:left="625" w:right="135" w:hanging="360"/>
        <w:jc w:val="both"/>
        <w:rPr>
          <w:sz w:val="20"/>
        </w:rPr>
      </w:pPr>
      <w:r>
        <w:rPr>
          <w:sz w:val="20"/>
        </w:rPr>
        <w:t>“Ley de Promoción de la Autonomía Personal y Atención a las personas en situación de dependencia”</w:t>
        <w:tab/>
        <w:t>[En</w:t>
        <w:tab/>
        <w:t>línea]</w:t>
        <w:tab/>
        <w:t>España.</w:t>
        <w:tab/>
        <w:t>Disponible</w:t>
        <w:tab/>
        <w:t>en: </w:t>
      </w:r>
      <w:hyperlink r:id="rId110">
        <w:r>
          <w:rPr>
            <w:sz w:val="20"/>
            <w:u w:val="single"/>
          </w:rPr>
          <w:t>http://www.imsersomayores.csic.es/documentos/legislacion/normas/doc-3383.pdf </w:t>
        </w:r>
      </w:hyperlink>
      <w:r>
        <w:rPr>
          <w:sz w:val="20"/>
        </w:rPr>
        <w:t>[Accesado 22 de octubre de</w:t>
      </w:r>
      <w:r>
        <w:rPr>
          <w:spacing w:val="-7"/>
          <w:sz w:val="20"/>
        </w:rPr>
        <w:t> </w:t>
      </w:r>
      <w:r>
        <w:rPr>
          <w:sz w:val="20"/>
        </w:rPr>
        <w:t>2012]</w:t>
      </w:r>
    </w:p>
    <w:p>
      <w:pPr>
        <w:pStyle w:val="BodyText"/>
        <w:rPr>
          <w:sz w:val="20"/>
        </w:rPr>
      </w:pPr>
    </w:p>
    <w:p>
      <w:pPr>
        <w:pStyle w:val="ListParagraph"/>
        <w:numPr>
          <w:ilvl w:val="0"/>
          <w:numId w:val="7"/>
        </w:numPr>
        <w:tabs>
          <w:tab w:pos="626" w:val="left" w:leader="none"/>
        </w:tabs>
        <w:spacing w:line="360" w:lineRule="auto" w:before="117" w:after="0"/>
        <w:ind w:left="625" w:right="155" w:hanging="360"/>
        <w:jc w:val="left"/>
        <w:rPr>
          <w:sz w:val="20"/>
        </w:rPr>
      </w:pPr>
      <w:r>
        <w:rPr>
          <w:sz w:val="20"/>
        </w:rPr>
        <w:t>Libro Blanco de atención a las personas en situación de dependencia en España (2004) Instituto de Mayores y Servicios Sociales 1ra. Edición. Madrid [En Línea] Disponible en: </w:t>
      </w:r>
      <w:hyperlink r:id="rId111">
        <w:r>
          <w:rPr>
            <w:w w:val="95"/>
            <w:sz w:val="20"/>
            <w:u w:val="single"/>
          </w:rPr>
          <w:t>http://www.udc.es/cufie/uadi/doc/normativa%20estatal/Libro%20blanco%20de%20atencion%20 </w:t>
        </w:r>
      </w:hyperlink>
      <w:hyperlink r:id="rId111">
        <w:r>
          <w:rPr>
            <w:sz w:val="20"/>
            <w:u w:val="single"/>
          </w:rPr>
          <w:t>a%20las%20personas%20en%20situacion%20de%20dependencia%20en%20Espana%20(20 </w:t>
        </w:r>
      </w:hyperlink>
      <w:hyperlink r:id="rId111">
        <w:r>
          <w:rPr>
            <w:sz w:val="20"/>
            <w:u w:val="single"/>
          </w:rPr>
          <w:t>04).pdf </w:t>
        </w:r>
      </w:hyperlink>
      <w:r>
        <w:rPr>
          <w:sz w:val="20"/>
        </w:rPr>
        <w:t>[Accesado el 25 de abril de</w:t>
      </w:r>
      <w:r>
        <w:rPr>
          <w:spacing w:val="-11"/>
          <w:sz w:val="20"/>
        </w:rPr>
        <w:t> </w:t>
      </w:r>
      <w:r>
        <w:rPr>
          <w:sz w:val="20"/>
        </w:rPr>
        <w:t>2014]</w:t>
      </w:r>
    </w:p>
    <w:p>
      <w:pPr>
        <w:pStyle w:val="BodyText"/>
        <w:spacing w:before="8"/>
        <w:rPr>
          <w:sz w:val="23"/>
        </w:rPr>
      </w:pPr>
    </w:p>
    <w:p>
      <w:pPr>
        <w:pStyle w:val="ListParagraph"/>
        <w:numPr>
          <w:ilvl w:val="0"/>
          <w:numId w:val="7"/>
        </w:numPr>
        <w:tabs>
          <w:tab w:pos="626" w:val="left" w:leader="none"/>
        </w:tabs>
        <w:spacing w:line="360" w:lineRule="auto" w:before="74" w:after="0"/>
        <w:ind w:left="625" w:right="138" w:hanging="360"/>
        <w:jc w:val="both"/>
        <w:rPr>
          <w:sz w:val="20"/>
        </w:rPr>
      </w:pPr>
      <w:r>
        <w:rPr>
          <w:sz w:val="20"/>
        </w:rPr>
        <w:t>López J. Et al. (2009) </w:t>
      </w:r>
      <w:r>
        <w:rPr>
          <w:i/>
          <w:sz w:val="20"/>
        </w:rPr>
        <w:t>El rol del cuidador en personas dependientes y sus repercusiones sobre </w:t>
      </w:r>
      <w:r>
        <w:rPr>
          <w:i/>
          <w:sz w:val="20"/>
        </w:rPr>
        <w:t>su calidad de vida y su salud</w:t>
      </w:r>
      <w:r>
        <w:rPr>
          <w:sz w:val="20"/>
        </w:rPr>
        <w:t>. [En línea ]Mayo, Toledo. Disponible en: </w:t>
      </w:r>
      <w:hyperlink r:id="rId112">
        <w:r>
          <w:rPr>
            <w:sz w:val="20"/>
            <w:u w:val="single"/>
          </w:rPr>
          <w:t>http://scielo.isciii.es/pdf/albacete/v2n7/original3.pdf </w:t>
        </w:r>
      </w:hyperlink>
      <w:r>
        <w:rPr>
          <w:sz w:val="20"/>
        </w:rPr>
        <w:t>. [Accesado 22 de octubre de 2012</w:t>
      </w:r>
      <w:r>
        <w:rPr>
          <w:spacing w:val="-36"/>
          <w:sz w:val="20"/>
        </w:rPr>
        <w:t> </w:t>
      </w:r>
      <w:r>
        <w:rPr>
          <w:sz w:val="20"/>
        </w:rPr>
        <w:t>]</w:t>
      </w:r>
    </w:p>
    <w:p>
      <w:pPr>
        <w:pStyle w:val="BodyText"/>
        <w:spacing w:before="8"/>
        <w:rPr>
          <w:sz w:val="23"/>
        </w:rPr>
      </w:pPr>
    </w:p>
    <w:p>
      <w:pPr>
        <w:pStyle w:val="ListParagraph"/>
        <w:numPr>
          <w:ilvl w:val="0"/>
          <w:numId w:val="7"/>
        </w:numPr>
        <w:tabs>
          <w:tab w:pos="626" w:val="left" w:leader="none"/>
          <w:tab w:pos="2141" w:val="left" w:leader="none"/>
          <w:tab w:pos="3110" w:val="left" w:leader="none"/>
          <w:tab w:pos="4691" w:val="left" w:leader="none"/>
          <w:tab w:pos="5829" w:val="left" w:leader="none"/>
          <w:tab w:pos="7091" w:val="left" w:leader="none"/>
          <w:tab w:pos="8825" w:val="left" w:leader="none"/>
        </w:tabs>
        <w:spacing w:line="360" w:lineRule="auto" w:before="74" w:after="0"/>
        <w:ind w:left="625" w:right="136" w:hanging="360"/>
        <w:jc w:val="both"/>
        <w:rPr>
          <w:sz w:val="20"/>
        </w:rPr>
      </w:pPr>
      <w:r>
        <w:rPr>
          <w:sz w:val="20"/>
        </w:rPr>
        <w:t>Martín et al (2006) “Adaptación para nuestro medio de la escala de sobrecarga del cuidador (caregiver Burden Interview) de Zarit” en </w:t>
      </w:r>
      <w:r>
        <w:rPr>
          <w:i/>
          <w:sz w:val="20"/>
        </w:rPr>
        <w:t>Revista de Gerontóloga </w:t>
      </w:r>
      <w:r>
        <w:rPr>
          <w:sz w:val="20"/>
        </w:rPr>
        <w:t>[En Línea] Volumen: 6. Numero</w:t>
        <w:tab/>
        <w:t>4.</w:t>
        <w:tab/>
        <w:t>Paginas:</w:t>
        <w:tab/>
        <w:t>338</w:t>
        <w:tab/>
        <w:t>-345.</w:t>
        <w:tab/>
        <w:t>Disponible</w:t>
        <w:tab/>
        <w:t>en: </w:t>
      </w:r>
      <w:hyperlink r:id="rId113">
        <w:r>
          <w:rPr>
            <w:sz w:val="20"/>
            <w:u w:val="single"/>
          </w:rPr>
          <w:t>http://envejecimiento.csic.es/documentacion/biblioteca/registro.htm?id=3599 </w:t>
        </w:r>
      </w:hyperlink>
      <w:r>
        <w:rPr>
          <w:sz w:val="20"/>
        </w:rPr>
        <w:t>[Accesado 5 de enero de 2013</w:t>
      </w:r>
      <w:r>
        <w:rPr>
          <w:spacing w:val="-5"/>
          <w:sz w:val="20"/>
        </w:rPr>
        <w:t> </w:t>
      </w:r>
      <w:r>
        <w:rPr>
          <w:sz w:val="20"/>
        </w:rPr>
        <w:t>]</w:t>
      </w:r>
    </w:p>
    <w:p>
      <w:pPr>
        <w:spacing w:after="0" w:line="360" w:lineRule="auto"/>
        <w:jc w:val="both"/>
        <w:rPr>
          <w:sz w:val="20"/>
        </w:rPr>
        <w:sectPr>
          <w:footerReference w:type="default" r:id="rId106"/>
          <w:pgSz w:w="12250" w:h="15850"/>
          <w:pgMar w:footer="1564" w:header="748" w:top="1260" w:bottom="1760" w:left="1720" w:right="1280"/>
        </w:sectPr>
      </w:pPr>
    </w:p>
    <w:p>
      <w:pPr>
        <w:pStyle w:val="BodyText"/>
        <w:rPr>
          <w:sz w:val="20"/>
        </w:rPr>
      </w:pPr>
    </w:p>
    <w:p>
      <w:pPr>
        <w:pStyle w:val="BodyText"/>
        <w:rPr>
          <w:sz w:val="20"/>
        </w:rPr>
      </w:pPr>
    </w:p>
    <w:p>
      <w:pPr>
        <w:pStyle w:val="BodyText"/>
        <w:spacing w:before="4"/>
        <w:rPr>
          <w:sz w:val="21"/>
        </w:rPr>
      </w:pPr>
    </w:p>
    <w:p>
      <w:pPr>
        <w:pStyle w:val="ListParagraph"/>
        <w:numPr>
          <w:ilvl w:val="0"/>
          <w:numId w:val="7"/>
        </w:numPr>
        <w:tabs>
          <w:tab w:pos="626" w:val="left" w:leader="none"/>
        </w:tabs>
        <w:spacing w:line="360" w:lineRule="auto" w:before="0" w:after="0"/>
        <w:ind w:left="625" w:right="137" w:hanging="360"/>
        <w:jc w:val="both"/>
        <w:rPr>
          <w:sz w:val="20"/>
        </w:rPr>
      </w:pPr>
      <w:r>
        <w:rPr>
          <w:sz w:val="20"/>
        </w:rPr>
        <w:t>Martínez M y Garmedia M (2008) “Inequidades en la utilización de servicios de hospitalización en personas mayores en Chile” en </w:t>
      </w:r>
      <w:r>
        <w:rPr>
          <w:i/>
          <w:sz w:val="20"/>
        </w:rPr>
        <w:t>Construyendo Políticas públicas para una sociedad que </w:t>
      </w:r>
      <w:r>
        <w:rPr>
          <w:i/>
          <w:sz w:val="20"/>
        </w:rPr>
        <w:t>envejece </w:t>
      </w:r>
      <w:r>
        <w:rPr>
          <w:sz w:val="20"/>
        </w:rPr>
        <w:t>[En Línea] Santiago de Chile, Junio 2008 Disponible en: </w:t>
      </w:r>
      <w:hyperlink r:id="rId115">
        <w:r>
          <w:rPr>
            <w:sz w:val="20"/>
            <w:u w:val="single"/>
          </w:rPr>
          <w:t>http://www.expansiva.cl/media/publicaciones/libros/pdf/6.pdf </w:t>
        </w:r>
      </w:hyperlink>
      <w:r>
        <w:rPr>
          <w:sz w:val="20"/>
        </w:rPr>
        <w:t>[Accesado 5 de mayo de 2014</w:t>
      </w:r>
      <w:r>
        <w:rPr>
          <w:spacing w:val="-18"/>
          <w:sz w:val="20"/>
        </w:rPr>
        <w:t> </w:t>
      </w:r>
      <w:r>
        <w:rPr>
          <w:sz w:val="20"/>
        </w:rPr>
        <w:t>]</w:t>
      </w:r>
    </w:p>
    <w:p>
      <w:pPr>
        <w:pStyle w:val="BodyText"/>
        <w:spacing w:before="8"/>
        <w:rPr>
          <w:sz w:val="23"/>
        </w:rPr>
      </w:pPr>
    </w:p>
    <w:p>
      <w:pPr>
        <w:pStyle w:val="ListParagraph"/>
        <w:numPr>
          <w:ilvl w:val="0"/>
          <w:numId w:val="7"/>
        </w:numPr>
        <w:tabs>
          <w:tab w:pos="626" w:val="left" w:leader="none"/>
        </w:tabs>
        <w:spacing w:line="360" w:lineRule="auto" w:before="74" w:after="0"/>
        <w:ind w:left="625" w:right="136" w:hanging="360"/>
        <w:jc w:val="both"/>
        <w:rPr>
          <w:sz w:val="20"/>
        </w:rPr>
      </w:pPr>
      <w:r>
        <w:rPr>
          <w:sz w:val="20"/>
        </w:rPr>
        <w:t>Márquez B (2008). </w:t>
      </w:r>
      <w:r>
        <w:rPr>
          <w:i/>
          <w:sz w:val="20"/>
        </w:rPr>
        <w:t>Correlación del estado de salud y la carga del cuidador en los familiares  </w:t>
      </w:r>
      <w:r>
        <w:rPr>
          <w:i/>
          <w:sz w:val="20"/>
        </w:rPr>
        <w:t>que cuidan pacientes con insuficiencia renal crónica terminal</w:t>
      </w:r>
      <w:r>
        <w:rPr>
          <w:sz w:val="20"/>
        </w:rPr>
        <w:t>. Tesis de posgrado. Orizaba, Universidad</w:t>
      </w:r>
      <w:r>
        <w:rPr>
          <w:spacing w:val="-9"/>
          <w:sz w:val="20"/>
        </w:rPr>
        <w:t> </w:t>
      </w:r>
      <w:r>
        <w:rPr>
          <w:sz w:val="20"/>
        </w:rPr>
        <w:t>Veracruzana</w:t>
      </w:r>
    </w:p>
    <w:p>
      <w:pPr>
        <w:pStyle w:val="BodyText"/>
        <w:rPr>
          <w:sz w:val="20"/>
        </w:rPr>
      </w:pPr>
    </w:p>
    <w:p>
      <w:pPr>
        <w:pStyle w:val="ListParagraph"/>
        <w:numPr>
          <w:ilvl w:val="0"/>
          <w:numId w:val="7"/>
        </w:numPr>
        <w:tabs>
          <w:tab w:pos="626" w:val="left" w:leader="none"/>
          <w:tab w:pos="1964" w:val="left" w:leader="none"/>
          <w:tab w:pos="4371" w:val="left" w:leader="none"/>
          <w:tab w:pos="5712" w:val="left" w:leader="none"/>
          <w:tab w:pos="7163" w:val="left" w:leader="none"/>
          <w:tab w:pos="8815" w:val="left" w:leader="none"/>
        </w:tabs>
        <w:spacing w:line="360" w:lineRule="auto" w:before="117" w:after="0"/>
        <w:ind w:left="625" w:right="135" w:hanging="360"/>
        <w:jc w:val="both"/>
        <w:rPr>
          <w:sz w:val="20"/>
        </w:rPr>
      </w:pPr>
      <w:r>
        <w:rPr>
          <w:sz w:val="20"/>
        </w:rPr>
        <w:t>Montes V. (2011) </w:t>
      </w:r>
      <w:r>
        <w:rPr>
          <w:i/>
          <w:sz w:val="20"/>
        </w:rPr>
        <w:t>Adultos mayores, población con mayor tasa de crecimiento. </w:t>
      </w:r>
      <w:r>
        <w:rPr>
          <w:sz w:val="20"/>
        </w:rPr>
        <w:t>[ En línea ] Boletín</w:t>
        <w:tab/>
        <w:t>UNAM-DGCS-507.</w:t>
        <w:tab/>
        <w:t>Distrito</w:t>
        <w:tab/>
        <w:t>Federal.</w:t>
        <w:tab/>
        <w:t>Disponible</w:t>
        <w:tab/>
        <w:t>en</w:t>
      </w:r>
      <w:r>
        <w:rPr>
          <w:b/>
          <w:sz w:val="20"/>
        </w:rPr>
        <w:t>: </w:t>
      </w:r>
      <w:hyperlink r:id="rId116">
        <w:r>
          <w:rPr>
            <w:sz w:val="20"/>
            <w:u w:val="single"/>
          </w:rPr>
          <w:t>http://www.dgcs.unam.mx/boletin/bdboletin/2011_507.html </w:t>
        </w:r>
      </w:hyperlink>
      <w:r>
        <w:rPr>
          <w:sz w:val="20"/>
        </w:rPr>
        <w:t>. [Accesado 02 de noviembre de 2012</w:t>
      </w:r>
      <w:r>
        <w:rPr>
          <w:spacing w:val="-3"/>
          <w:sz w:val="20"/>
        </w:rPr>
        <w:t> </w:t>
      </w:r>
      <w:r>
        <w:rPr>
          <w:sz w:val="20"/>
        </w:rPr>
        <w:t>]</w:t>
      </w:r>
    </w:p>
    <w:p>
      <w:pPr>
        <w:pStyle w:val="BodyText"/>
        <w:rPr>
          <w:sz w:val="20"/>
        </w:rPr>
      </w:pPr>
    </w:p>
    <w:p>
      <w:pPr>
        <w:pStyle w:val="ListParagraph"/>
        <w:numPr>
          <w:ilvl w:val="0"/>
          <w:numId w:val="7"/>
        </w:numPr>
        <w:tabs>
          <w:tab w:pos="626" w:val="left" w:leader="none"/>
        </w:tabs>
        <w:spacing w:line="360" w:lineRule="auto" w:before="117" w:after="0"/>
        <w:ind w:left="625" w:right="135" w:hanging="360"/>
        <w:jc w:val="both"/>
        <w:rPr>
          <w:sz w:val="20"/>
        </w:rPr>
      </w:pPr>
      <w:r>
        <w:rPr>
          <w:sz w:val="20"/>
        </w:rPr>
        <w:t>Montorio et al. (1998) “La entrevista de carga del cuidador. Utilidad y validez de concepto de carga” en Anales de Psicología [En Línea] Vol.14 No.2 Murcia 1998 Disponible en</w:t>
      </w:r>
      <w:r>
        <w:rPr>
          <w:b/>
          <w:sz w:val="20"/>
        </w:rPr>
        <w:t>: </w:t>
      </w:r>
      <w:hyperlink r:id="rId117">
        <w:r>
          <w:rPr>
            <w:sz w:val="20"/>
            <w:u w:val="single"/>
          </w:rPr>
          <w:t>http://www.um.es/analesps/v14/v14_2/09-14-2.pdf </w:t>
        </w:r>
      </w:hyperlink>
      <w:r>
        <w:rPr>
          <w:sz w:val="20"/>
        </w:rPr>
        <w:t>[Accesado 02 de mayo de 2012</w:t>
      </w:r>
      <w:r>
        <w:rPr>
          <w:spacing w:val="-21"/>
          <w:sz w:val="20"/>
        </w:rPr>
        <w:t> </w:t>
      </w:r>
      <w:r>
        <w:rPr>
          <w:sz w:val="20"/>
        </w:rPr>
        <w:t>]</w:t>
      </w:r>
    </w:p>
    <w:p>
      <w:pPr>
        <w:pStyle w:val="BodyText"/>
        <w:spacing w:before="9"/>
        <w:rPr>
          <w:sz w:val="23"/>
        </w:rPr>
      </w:pPr>
    </w:p>
    <w:p>
      <w:pPr>
        <w:pStyle w:val="ListParagraph"/>
        <w:numPr>
          <w:ilvl w:val="0"/>
          <w:numId w:val="7"/>
        </w:numPr>
        <w:tabs>
          <w:tab w:pos="626" w:val="left" w:leader="none"/>
        </w:tabs>
        <w:spacing w:line="360" w:lineRule="auto" w:before="74" w:after="0"/>
        <w:ind w:left="625" w:right="138" w:hanging="360"/>
        <w:jc w:val="both"/>
        <w:rPr>
          <w:sz w:val="20"/>
        </w:rPr>
      </w:pPr>
      <w:r>
        <w:rPr>
          <w:sz w:val="20"/>
        </w:rPr>
        <w:t>Observatorio del desempeño hospitalario (2011) Secretaría de Salud. Observatorio del Desempeño Hospitalario 2011. Dirección General de Evaluación del Desempeño. Secretaría  de Salud. México, 2012. [En línea ] Disponible en: </w:t>
      </w:r>
      <w:hyperlink r:id="rId118">
        <w:r>
          <w:rPr>
            <w:sz w:val="20"/>
            <w:u w:val="single"/>
          </w:rPr>
          <w:t>http://dged.salud.gob.mx/contenidos/dess/descargas/ODH 2011.pdf  </w:t>
        </w:r>
      </w:hyperlink>
      <w:r>
        <w:rPr>
          <w:sz w:val="20"/>
        </w:rPr>
        <w:t>[Accesado 20 de marzo  de</w:t>
      </w:r>
      <w:r>
        <w:rPr>
          <w:spacing w:val="-5"/>
          <w:sz w:val="20"/>
        </w:rPr>
        <w:t> </w:t>
      </w:r>
      <w:r>
        <w:rPr>
          <w:sz w:val="20"/>
        </w:rPr>
        <w:t>2012]</w:t>
      </w:r>
    </w:p>
    <w:p>
      <w:pPr>
        <w:pStyle w:val="BodyText"/>
        <w:rPr>
          <w:sz w:val="20"/>
        </w:rPr>
      </w:pPr>
    </w:p>
    <w:p>
      <w:pPr>
        <w:pStyle w:val="ListParagraph"/>
        <w:numPr>
          <w:ilvl w:val="0"/>
          <w:numId w:val="7"/>
        </w:numPr>
        <w:tabs>
          <w:tab w:pos="626" w:val="left" w:leader="none"/>
          <w:tab w:pos="7243" w:val="left" w:leader="none"/>
          <w:tab w:pos="8389" w:val="left" w:leader="none"/>
          <w:tab w:pos="8881" w:val="left" w:leader="none"/>
        </w:tabs>
        <w:spacing w:line="360" w:lineRule="auto" w:before="119" w:after="0"/>
        <w:ind w:left="625" w:right="137" w:hanging="360"/>
        <w:jc w:val="left"/>
        <w:rPr>
          <w:sz w:val="20"/>
        </w:rPr>
      </w:pPr>
      <w:r>
        <w:rPr>
          <w:sz w:val="20"/>
        </w:rPr>
        <w:t>Pérez A. (2006) “El cuidador primario de familiares con dependencia: Calidad de vida, apoyo social y salud mental” Departamento de psiquiatría, psicología medica, medicina legal e historia de la ciencia. [En línea] Universidad de Salamanca. Mayo de 2006. Disponible en: </w:t>
      </w:r>
      <w:r>
        <w:rPr>
          <w:sz w:val="20"/>
          <w:u w:val="single"/>
        </w:rPr>
        <w:t>file:///C:/Documents%20and%20Settings/g.G- </w:t>
      </w:r>
      <w:r>
        <w:rPr>
          <w:sz w:val="20"/>
          <w:u w:val="single"/>
        </w:rPr>
        <w:t>77795243CFC94/Mis%20documentos/Downloads/12.GC_SF_Tesis.pdf</w:t>
      </w:r>
      <w:r>
        <w:rPr>
          <w:sz w:val="20"/>
        </w:rPr>
        <w:tab/>
        <w:t>Accesado</w:t>
        <w:tab/>
        <w:t>25</w:t>
        <w:tab/>
        <w:t>de febrero de</w:t>
      </w:r>
      <w:r>
        <w:rPr>
          <w:spacing w:val="-7"/>
          <w:sz w:val="20"/>
        </w:rPr>
        <w:t> </w:t>
      </w:r>
      <w:r>
        <w:rPr>
          <w:sz w:val="20"/>
        </w:rPr>
        <w:t>2014)</w:t>
      </w:r>
    </w:p>
    <w:p>
      <w:pPr>
        <w:pStyle w:val="BodyText"/>
        <w:rPr>
          <w:sz w:val="20"/>
        </w:rPr>
      </w:pPr>
    </w:p>
    <w:p>
      <w:pPr>
        <w:pStyle w:val="ListParagraph"/>
        <w:numPr>
          <w:ilvl w:val="0"/>
          <w:numId w:val="7"/>
        </w:numPr>
        <w:tabs>
          <w:tab w:pos="626" w:val="left" w:leader="none"/>
        </w:tabs>
        <w:spacing w:line="360" w:lineRule="auto" w:before="117" w:after="0"/>
        <w:ind w:left="625" w:right="135" w:hanging="360"/>
        <w:jc w:val="both"/>
        <w:rPr>
          <w:sz w:val="20"/>
        </w:rPr>
      </w:pPr>
      <w:r>
        <w:rPr>
          <w:sz w:val="20"/>
        </w:rPr>
        <w:t>Pita F y Perteagas S. (2002) “Investigación cuantitativa y cualitativa” en </w:t>
      </w:r>
      <w:r>
        <w:rPr>
          <w:i/>
          <w:sz w:val="20"/>
        </w:rPr>
        <w:t>Atención primaria en la </w:t>
      </w:r>
      <w:r>
        <w:rPr>
          <w:i/>
          <w:sz w:val="20"/>
        </w:rPr>
        <w:t>red </w:t>
      </w:r>
      <w:r>
        <w:rPr>
          <w:sz w:val="20"/>
        </w:rPr>
        <w:t>[En Línea] Cad Aten Primaria 2002; 9: 76-78.Complexo Hospitalario-Universitario Juan Canalejo. A Coruña</w:t>
      </w:r>
      <w:r>
        <w:rPr>
          <w:spacing w:val="-6"/>
          <w:sz w:val="20"/>
        </w:rPr>
        <w:t> </w:t>
      </w:r>
      <w:r>
        <w:rPr>
          <w:sz w:val="20"/>
        </w:rPr>
        <w:t>(España)</w:t>
      </w:r>
    </w:p>
    <w:p>
      <w:pPr>
        <w:spacing w:after="0" w:line="360" w:lineRule="auto"/>
        <w:jc w:val="both"/>
        <w:rPr>
          <w:sz w:val="20"/>
        </w:rPr>
        <w:sectPr>
          <w:footerReference w:type="default" r:id="rId114"/>
          <w:pgSz w:w="12250" w:h="15850"/>
          <w:pgMar w:footer="1564" w:header="748" w:top="1260" w:bottom="1760" w:left="1720" w:right="1280"/>
          <w:pgNumType w:start="111"/>
        </w:sectPr>
      </w:pPr>
    </w:p>
    <w:p>
      <w:pPr>
        <w:pStyle w:val="BodyText"/>
        <w:rPr>
          <w:sz w:val="20"/>
        </w:rPr>
      </w:pPr>
    </w:p>
    <w:p>
      <w:pPr>
        <w:pStyle w:val="BodyText"/>
        <w:rPr>
          <w:sz w:val="20"/>
        </w:rPr>
      </w:pPr>
    </w:p>
    <w:p>
      <w:pPr>
        <w:pStyle w:val="BodyText"/>
        <w:spacing w:before="4"/>
        <w:rPr>
          <w:sz w:val="21"/>
        </w:rPr>
      </w:pPr>
    </w:p>
    <w:p>
      <w:pPr>
        <w:spacing w:line="360" w:lineRule="auto" w:before="0"/>
        <w:ind w:left="625" w:right="230" w:firstLine="0"/>
        <w:jc w:val="left"/>
        <w:rPr>
          <w:sz w:val="20"/>
        </w:rPr>
      </w:pPr>
      <w:r>
        <w:rPr>
          <w:sz w:val="20"/>
        </w:rPr>
        <w:t>Disponible en: </w:t>
      </w:r>
      <w:hyperlink r:id="rId119">
        <w:r>
          <w:rPr>
            <w:sz w:val="20"/>
            <w:u w:val="single"/>
          </w:rPr>
          <w:t>http://www.fisterra.com/mbe/investiga/cuanti_cuali/cuanti_cuali2.pdf</w:t>
        </w:r>
      </w:hyperlink>
      <w:r>
        <w:rPr>
          <w:sz w:val="20"/>
          <w:u w:val="single"/>
        </w:rPr>
        <w:t> </w:t>
      </w:r>
      <w:r>
        <w:rPr>
          <w:sz w:val="20"/>
        </w:rPr>
        <w:t>[Accesado 10 de diciembre de 2012]</w:t>
      </w:r>
    </w:p>
    <w:p>
      <w:pPr>
        <w:pStyle w:val="BodyText"/>
        <w:spacing w:before="11"/>
        <w:rPr>
          <w:sz w:val="29"/>
        </w:rPr>
      </w:pPr>
    </w:p>
    <w:p>
      <w:pPr>
        <w:pStyle w:val="ListParagraph"/>
        <w:numPr>
          <w:ilvl w:val="0"/>
          <w:numId w:val="7"/>
        </w:numPr>
        <w:tabs>
          <w:tab w:pos="626" w:val="left" w:leader="none"/>
        </w:tabs>
        <w:spacing w:line="362" w:lineRule="auto" w:before="0" w:after="0"/>
        <w:ind w:left="625" w:right="198" w:hanging="360"/>
        <w:jc w:val="left"/>
        <w:rPr>
          <w:sz w:val="20"/>
        </w:rPr>
      </w:pPr>
      <w:r>
        <w:rPr>
          <w:sz w:val="20"/>
        </w:rPr>
        <w:t>Quero A. (2007) </w:t>
      </w:r>
      <w:r>
        <w:rPr>
          <w:i/>
          <w:sz w:val="20"/>
        </w:rPr>
        <w:t>Los cuidadores familiares en el hospital Ruiz de Alda de Granada</w:t>
      </w:r>
      <w:r>
        <w:rPr>
          <w:sz w:val="20"/>
        </w:rPr>
        <w:t>. Tesis doctoral. Granda. Universidad de</w:t>
      </w:r>
      <w:r>
        <w:rPr>
          <w:spacing w:val="-15"/>
          <w:sz w:val="20"/>
        </w:rPr>
        <w:t> </w:t>
      </w:r>
      <w:r>
        <w:rPr>
          <w:sz w:val="20"/>
        </w:rPr>
        <w:t>Granda.</w:t>
      </w:r>
    </w:p>
    <w:p>
      <w:pPr>
        <w:pStyle w:val="BodyText"/>
        <w:rPr>
          <w:sz w:val="20"/>
        </w:rPr>
      </w:pPr>
    </w:p>
    <w:p>
      <w:pPr>
        <w:pStyle w:val="ListParagraph"/>
        <w:numPr>
          <w:ilvl w:val="0"/>
          <w:numId w:val="7"/>
        </w:numPr>
        <w:tabs>
          <w:tab w:pos="626" w:val="left" w:leader="none"/>
        </w:tabs>
        <w:spacing w:line="360" w:lineRule="auto" w:before="117" w:after="0"/>
        <w:ind w:left="625" w:right="194" w:hanging="360"/>
        <w:jc w:val="left"/>
        <w:rPr>
          <w:sz w:val="20"/>
        </w:rPr>
      </w:pPr>
      <w:r>
        <w:rPr>
          <w:sz w:val="20"/>
        </w:rPr>
        <w:t>Roca A. y Blanco K. (2007) “Carga en familiares cuidadores de ancianos dementes” Correo Científico Médico de Holguín 2007 [En Línea] Disponible en: </w:t>
      </w:r>
      <w:hyperlink r:id="rId120">
        <w:r>
          <w:rPr>
            <w:sz w:val="20"/>
            <w:u w:val="single"/>
          </w:rPr>
          <w:t>http://www.cocmed.sld.cu/no114sp/ns114rev4.htm </w:t>
        </w:r>
      </w:hyperlink>
      <w:r>
        <w:rPr>
          <w:sz w:val="20"/>
        </w:rPr>
        <w:t>[Accesado el 30 de abril de</w:t>
      </w:r>
      <w:r>
        <w:rPr>
          <w:spacing w:val="-20"/>
          <w:sz w:val="20"/>
        </w:rPr>
        <w:t> </w:t>
      </w:r>
      <w:r>
        <w:rPr>
          <w:sz w:val="20"/>
        </w:rPr>
        <w:t>2014]</w:t>
      </w:r>
    </w:p>
    <w:p>
      <w:pPr>
        <w:pStyle w:val="BodyText"/>
        <w:spacing w:before="6"/>
        <w:rPr>
          <w:sz w:val="23"/>
        </w:rPr>
      </w:pPr>
    </w:p>
    <w:p>
      <w:pPr>
        <w:pStyle w:val="ListParagraph"/>
        <w:numPr>
          <w:ilvl w:val="0"/>
          <w:numId w:val="7"/>
        </w:numPr>
        <w:tabs>
          <w:tab w:pos="626" w:val="left" w:leader="none"/>
          <w:tab w:pos="7983" w:val="left" w:leader="none"/>
        </w:tabs>
        <w:spacing w:line="362" w:lineRule="auto" w:before="74" w:after="0"/>
        <w:ind w:left="625" w:right="114" w:hanging="360"/>
        <w:jc w:val="left"/>
        <w:rPr>
          <w:sz w:val="20"/>
        </w:rPr>
      </w:pPr>
      <w:r>
        <w:rPr>
          <w:sz w:val="20"/>
        </w:rPr>
        <w:t>Rodríguez  J.  y  Zurriaga  R.  (1997)  “Estrés,  enfermedad   </w:t>
      </w:r>
      <w:r>
        <w:rPr>
          <w:spacing w:val="20"/>
          <w:sz w:val="20"/>
        </w:rPr>
        <w:t> </w:t>
      </w:r>
      <w:r>
        <w:rPr>
          <w:sz w:val="20"/>
        </w:rPr>
        <w:t>y </w:t>
      </w:r>
      <w:r>
        <w:rPr>
          <w:spacing w:val="12"/>
          <w:sz w:val="20"/>
        </w:rPr>
        <w:t> </w:t>
      </w:r>
      <w:r>
        <w:rPr>
          <w:sz w:val="20"/>
        </w:rPr>
        <w:t>hospitalización”</w:t>
        <w:tab/>
        <w:t>en </w:t>
      </w:r>
      <w:r>
        <w:rPr>
          <w:spacing w:val="19"/>
          <w:sz w:val="20"/>
        </w:rPr>
        <w:t> </w:t>
      </w:r>
      <w:r>
        <w:rPr>
          <w:sz w:val="20"/>
        </w:rPr>
        <w:t>J</w:t>
      </w:r>
      <w:r>
        <w:rPr>
          <w:i/>
          <w:sz w:val="20"/>
        </w:rPr>
        <w:t>unta </w:t>
      </w:r>
      <w:r>
        <w:rPr>
          <w:i/>
          <w:spacing w:val="22"/>
          <w:sz w:val="20"/>
        </w:rPr>
        <w:t> </w:t>
      </w:r>
      <w:r>
        <w:rPr>
          <w:i/>
          <w:sz w:val="20"/>
        </w:rPr>
        <w:t>de</w:t>
      </w:r>
      <w:r>
        <w:rPr>
          <w:i/>
          <w:w w:val="99"/>
          <w:sz w:val="20"/>
        </w:rPr>
        <w:t> </w:t>
      </w:r>
      <w:r>
        <w:rPr>
          <w:i/>
          <w:sz w:val="20"/>
        </w:rPr>
        <w:t>Andalucía, conserjería de salud</w:t>
      </w:r>
      <w:r>
        <w:rPr>
          <w:sz w:val="20"/>
        </w:rPr>
        <w:t>. [En Línea] Serie de monografías No. 17 Disponible en: </w:t>
      </w:r>
      <w:hyperlink r:id="rId121">
        <w:r>
          <w:rPr>
            <w:sz w:val="20"/>
            <w:u w:val="single"/>
          </w:rPr>
          <w:t>http://www.easp.es/es/system/files/EASP_Estres_enfermedad_y_hospitalizacion_0.pdf </w:t>
        </w:r>
      </w:hyperlink>
      <w:r>
        <w:rPr>
          <w:sz w:val="20"/>
        </w:rPr>
        <w:t>[Accesado el 4 de mayo de</w:t>
      </w:r>
      <w:r>
        <w:rPr>
          <w:spacing w:val="-12"/>
          <w:sz w:val="20"/>
        </w:rPr>
        <w:t> </w:t>
      </w:r>
      <w:r>
        <w:rPr>
          <w:sz w:val="20"/>
        </w:rPr>
        <w:t>2013]</w:t>
      </w:r>
    </w:p>
    <w:p>
      <w:pPr>
        <w:pStyle w:val="BodyText"/>
        <w:spacing w:before="11"/>
        <w:rPr>
          <w:sz w:val="29"/>
        </w:rPr>
      </w:pPr>
    </w:p>
    <w:p>
      <w:pPr>
        <w:pStyle w:val="ListParagraph"/>
        <w:numPr>
          <w:ilvl w:val="0"/>
          <w:numId w:val="7"/>
        </w:numPr>
        <w:tabs>
          <w:tab w:pos="626" w:val="left" w:leader="none"/>
        </w:tabs>
        <w:spacing w:line="360" w:lineRule="auto" w:before="0" w:after="0"/>
        <w:ind w:left="625" w:right="113" w:hanging="360"/>
        <w:jc w:val="left"/>
        <w:rPr>
          <w:sz w:val="20"/>
        </w:rPr>
      </w:pPr>
      <w:r>
        <w:rPr>
          <w:sz w:val="20"/>
        </w:rPr>
        <w:t>Rosas S. (2003) “Síndrome de desgaste profesional (Burnout) en personal de enfermería </w:t>
      </w:r>
      <w:r>
        <w:rPr>
          <w:spacing w:val="2"/>
          <w:sz w:val="20"/>
        </w:rPr>
        <w:t>del </w:t>
      </w:r>
      <w:r>
        <w:rPr>
          <w:sz w:val="20"/>
        </w:rPr>
        <w:t>hospital general de Pachuca” en </w:t>
      </w:r>
      <w:r>
        <w:rPr>
          <w:i/>
          <w:sz w:val="20"/>
        </w:rPr>
        <w:t>Revista científica electrónica de Psicología ICSa-UAEH </w:t>
      </w:r>
      <w:r>
        <w:rPr>
          <w:sz w:val="20"/>
        </w:rPr>
        <w:t>[En Línea] No.3 Pachuca, Hidalgo. Disponible en: </w:t>
      </w:r>
      <w:hyperlink r:id="rId122">
        <w:r>
          <w:rPr>
            <w:sz w:val="20"/>
            <w:u w:val="single"/>
          </w:rPr>
          <w:t>http://dgsa.uaeh.edu.mx/revista/psicologia/IMG/pdf/8-No.3.pdf </w:t>
        </w:r>
      </w:hyperlink>
      <w:r>
        <w:rPr>
          <w:sz w:val="20"/>
        </w:rPr>
        <w:t>[Accesado el 2 de mayo de</w:t>
      </w:r>
      <w:r>
        <w:rPr>
          <w:spacing w:val="-22"/>
          <w:sz w:val="20"/>
        </w:rPr>
        <w:t> </w:t>
      </w:r>
      <w:r>
        <w:rPr>
          <w:sz w:val="20"/>
        </w:rPr>
        <w:t>2013]</w:t>
      </w:r>
    </w:p>
    <w:p>
      <w:pPr>
        <w:pStyle w:val="BodyText"/>
        <w:spacing w:before="11"/>
        <w:rPr>
          <w:sz w:val="23"/>
        </w:rPr>
      </w:pPr>
    </w:p>
    <w:p>
      <w:pPr>
        <w:pStyle w:val="ListParagraph"/>
        <w:numPr>
          <w:ilvl w:val="0"/>
          <w:numId w:val="7"/>
        </w:numPr>
        <w:tabs>
          <w:tab w:pos="626" w:val="left" w:leader="none"/>
        </w:tabs>
        <w:spacing w:line="360" w:lineRule="auto" w:before="74" w:after="0"/>
        <w:ind w:left="625" w:right="123" w:hanging="360"/>
        <w:jc w:val="left"/>
        <w:rPr>
          <w:sz w:val="20"/>
        </w:rPr>
      </w:pPr>
      <w:r>
        <w:rPr>
          <w:sz w:val="20"/>
        </w:rPr>
        <w:t>Sin Autor (2013) “Síndrome de Burnout en profesionales de enfermería” En Línea] Disponible en: </w:t>
      </w:r>
      <w:hyperlink r:id="rId123">
        <w:r>
          <w:rPr>
            <w:sz w:val="20"/>
            <w:u w:val="single"/>
          </w:rPr>
          <w:t>http://www.carloshaya.net/biblioteca/contenidos/docs/nefrologia/predialisis/antonioporras.PDF</w:t>
        </w:r>
        <w:r>
          <w:rPr>
            <w:spacing w:val="-16"/>
            <w:sz w:val="20"/>
            <w:u w:val="single"/>
          </w:rPr>
          <w:t> </w:t>
        </w:r>
      </w:hyperlink>
      <w:r>
        <w:rPr>
          <w:sz w:val="20"/>
        </w:rPr>
        <w:t>[</w:t>
      </w:r>
    </w:p>
    <w:p>
      <w:pPr>
        <w:pStyle w:val="BodyText"/>
        <w:spacing w:before="9"/>
        <w:rPr>
          <w:sz w:val="29"/>
        </w:rPr>
      </w:pPr>
    </w:p>
    <w:p>
      <w:pPr>
        <w:pStyle w:val="ListParagraph"/>
        <w:numPr>
          <w:ilvl w:val="0"/>
          <w:numId w:val="7"/>
        </w:numPr>
        <w:tabs>
          <w:tab w:pos="626" w:val="left" w:leader="none"/>
        </w:tabs>
        <w:spacing w:line="360" w:lineRule="auto" w:before="74" w:after="0"/>
        <w:ind w:left="625" w:right="199" w:hanging="360"/>
        <w:jc w:val="both"/>
        <w:rPr>
          <w:sz w:val="20"/>
        </w:rPr>
      </w:pPr>
      <w:r>
        <w:rPr>
          <w:sz w:val="20"/>
        </w:rPr>
        <w:t>Steel H. (2010) “Prevalencia del síndrome de sobrecarga del cuidador en cuidadores  informales de pacientes del Hospital Diurno del Hospital Nacional Psiquiátrico durante los meses de octubre y noviembre de 2009” Tesis sometida a la consideración de la Comisión del Programa de Estudios de Posgrado de la Especialidad de Psiquiatría para optar por el grado  de</w:t>
      </w:r>
      <w:r>
        <w:rPr>
          <w:spacing w:val="-7"/>
          <w:sz w:val="20"/>
        </w:rPr>
        <w:t> </w:t>
      </w:r>
      <w:r>
        <w:rPr>
          <w:sz w:val="20"/>
        </w:rPr>
        <w:t>especialista.</w:t>
      </w:r>
    </w:p>
    <w:p>
      <w:pPr>
        <w:pStyle w:val="BodyText"/>
        <w:rPr>
          <w:sz w:val="20"/>
        </w:rPr>
      </w:pPr>
    </w:p>
    <w:p>
      <w:pPr>
        <w:pStyle w:val="BodyText"/>
        <w:spacing w:before="3"/>
        <w:rPr>
          <w:sz w:val="17"/>
        </w:rPr>
      </w:pPr>
    </w:p>
    <w:p>
      <w:pPr>
        <w:pStyle w:val="ListParagraph"/>
        <w:numPr>
          <w:ilvl w:val="0"/>
          <w:numId w:val="7"/>
        </w:numPr>
        <w:tabs>
          <w:tab w:pos="626" w:val="left" w:leader="none"/>
        </w:tabs>
        <w:spacing w:line="360" w:lineRule="auto" w:before="0" w:after="0"/>
        <w:ind w:left="625" w:right="222" w:hanging="360"/>
        <w:jc w:val="both"/>
        <w:rPr>
          <w:sz w:val="20"/>
        </w:rPr>
      </w:pPr>
      <w:r>
        <w:rPr>
          <w:sz w:val="20"/>
        </w:rPr>
        <w:t>Torrealba </w:t>
      </w:r>
      <w:r>
        <w:rPr>
          <w:spacing w:val="4"/>
          <w:sz w:val="20"/>
        </w:rPr>
        <w:t>W. </w:t>
      </w:r>
      <w:r>
        <w:rPr>
          <w:sz w:val="20"/>
        </w:rPr>
        <w:t>y Yepez N. (2012) “Estrategias de afrontamiento y sobrecarga en cuidadores / as informales de paciente con insuficiencia renal crónica” Universidad Centroocidental Lisandro Alvarado. Barquisimeto, Julio 2012 [En Línea] Disponible</w:t>
      </w:r>
      <w:r>
        <w:rPr>
          <w:spacing w:val="-21"/>
          <w:sz w:val="20"/>
        </w:rPr>
        <w:t> </w:t>
      </w:r>
      <w:r>
        <w:rPr>
          <w:sz w:val="20"/>
        </w:rPr>
        <w:t>en:</w:t>
      </w:r>
    </w:p>
    <w:p>
      <w:pPr>
        <w:spacing w:after="0" w:line="360" w:lineRule="auto"/>
        <w:jc w:val="both"/>
        <w:rPr>
          <w:sz w:val="20"/>
        </w:rPr>
        <w:sectPr>
          <w:pgSz w:w="12250" w:h="15850"/>
          <w:pgMar w:header="748" w:footer="1564" w:top="1260" w:bottom="1760" w:left="1720" w:right="1220"/>
        </w:sectPr>
      </w:pPr>
    </w:p>
    <w:p>
      <w:pPr>
        <w:pStyle w:val="BodyText"/>
        <w:rPr>
          <w:sz w:val="20"/>
        </w:rPr>
      </w:pPr>
    </w:p>
    <w:p>
      <w:pPr>
        <w:pStyle w:val="BodyText"/>
        <w:rPr>
          <w:sz w:val="20"/>
        </w:rPr>
      </w:pPr>
    </w:p>
    <w:p>
      <w:pPr>
        <w:pStyle w:val="BodyText"/>
        <w:spacing w:before="4"/>
        <w:rPr>
          <w:sz w:val="21"/>
        </w:rPr>
      </w:pPr>
    </w:p>
    <w:p>
      <w:pPr>
        <w:spacing w:line="360" w:lineRule="auto" w:before="0"/>
        <w:ind w:left="625" w:right="568" w:firstLine="0"/>
        <w:jc w:val="left"/>
        <w:rPr>
          <w:sz w:val="20"/>
        </w:rPr>
      </w:pPr>
      <w:hyperlink r:id="rId124">
        <w:r>
          <w:rPr>
            <w:w w:val="95"/>
            <w:sz w:val="20"/>
            <w:u w:val="single"/>
          </w:rPr>
          <w:t>http://bibhumartes.ucla.edu.ve/DB/bcucla/edocs/repositorio/TEGRC918R4E882012.pdf</w:t>
        </w:r>
      </w:hyperlink>
      <w:r>
        <w:rPr>
          <w:w w:val="95"/>
          <w:sz w:val="20"/>
          <w:u w:val="single"/>
        </w:rPr>
        <w:t> </w:t>
      </w:r>
      <w:r>
        <w:rPr>
          <w:sz w:val="20"/>
        </w:rPr>
        <w:t>[Accesado el 30 de abril de 2014]</w:t>
      </w:r>
    </w:p>
    <w:p>
      <w:pPr>
        <w:pStyle w:val="BodyText"/>
        <w:spacing w:before="11"/>
        <w:rPr>
          <w:sz w:val="29"/>
        </w:rPr>
      </w:pPr>
    </w:p>
    <w:p>
      <w:pPr>
        <w:pStyle w:val="ListParagraph"/>
        <w:numPr>
          <w:ilvl w:val="0"/>
          <w:numId w:val="7"/>
        </w:numPr>
        <w:tabs>
          <w:tab w:pos="626" w:val="left" w:leader="none"/>
        </w:tabs>
        <w:spacing w:line="362" w:lineRule="auto" w:before="0" w:after="0"/>
        <w:ind w:left="625" w:right="215" w:hanging="360"/>
        <w:jc w:val="left"/>
        <w:rPr>
          <w:sz w:val="20"/>
        </w:rPr>
      </w:pPr>
      <w:r>
        <w:rPr>
          <w:sz w:val="20"/>
        </w:rPr>
        <w:t>Vaquiro S. y Stiepovich J. (2010) “Cuidador informal un reto asumido por la mujer” en </w:t>
      </w:r>
      <w:r>
        <w:rPr>
          <w:i/>
          <w:sz w:val="20"/>
        </w:rPr>
        <w:t>Ciencia y </w:t>
      </w:r>
      <w:r>
        <w:rPr>
          <w:i/>
          <w:sz w:val="20"/>
        </w:rPr>
        <w:t>enfermería </w:t>
      </w:r>
      <w:r>
        <w:rPr>
          <w:sz w:val="20"/>
        </w:rPr>
        <w:t>[En Línea] V.16 N. 2. Concepción, Chile. Disponible en: </w:t>
      </w:r>
      <w:hyperlink r:id="rId125">
        <w:r>
          <w:rPr>
            <w:sz w:val="20"/>
            <w:u w:val="single"/>
          </w:rPr>
          <w:t>http://www.scielo.cl/scielo.php?script=sci_arttext&amp;pid=S0717-95532010000200002</w:t>
        </w:r>
      </w:hyperlink>
    </w:p>
    <w:p>
      <w:pPr>
        <w:pStyle w:val="BodyText"/>
        <w:spacing w:before="7"/>
        <w:rPr>
          <w:sz w:val="29"/>
        </w:rPr>
      </w:pPr>
    </w:p>
    <w:p>
      <w:pPr>
        <w:pStyle w:val="ListParagraph"/>
        <w:numPr>
          <w:ilvl w:val="0"/>
          <w:numId w:val="7"/>
        </w:numPr>
        <w:tabs>
          <w:tab w:pos="626" w:val="left" w:leader="none"/>
        </w:tabs>
        <w:spacing w:line="360" w:lineRule="auto" w:before="74" w:after="0"/>
        <w:ind w:left="625" w:right="115" w:hanging="360"/>
        <w:jc w:val="both"/>
        <w:rPr>
          <w:sz w:val="20"/>
        </w:rPr>
      </w:pPr>
      <w:r>
        <w:rPr>
          <w:sz w:val="20"/>
        </w:rPr>
        <w:t>Villagómez P. (2010) “El envejecimiento demográfico en México: Niveles, tendencias y reflexiones en torno a poblaciones de adultos mayores”. </w:t>
      </w:r>
      <w:r>
        <w:rPr>
          <w:i/>
          <w:sz w:val="20"/>
        </w:rPr>
        <w:t>Instituto de Geriatría </w:t>
      </w:r>
      <w:r>
        <w:rPr>
          <w:sz w:val="20"/>
        </w:rPr>
        <w:t>[En Línea] Disponible en: </w:t>
      </w:r>
      <w:hyperlink r:id="rId126">
        <w:r>
          <w:rPr>
            <w:sz w:val="20"/>
            <w:u w:val="single"/>
          </w:rPr>
          <w:t>http://www.geriatria.salud.gob.mx/descargas/28.pdf </w:t>
        </w:r>
      </w:hyperlink>
      <w:r>
        <w:rPr>
          <w:sz w:val="20"/>
        </w:rPr>
        <w:t>Accesado el 3 de mayo de 2013]</w:t>
      </w:r>
    </w:p>
    <w:p>
      <w:pPr>
        <w:pStyle w:val="BodyText"/>
        <w:rPr>
          <w:sz w:val="20"/>
        </w:rPr>
      </w:pPr>
    </w:p>
    <w:p>
      <w:pPr>
        <w:pStyle w:val="ListParagraph"/>
        <w:numPr>
          <w:ilvl w:val="0"/>
          <w:numId w:val="7"/>
        </w:numPr>
        <w:tabs>
          <w:tab w:pos="681" w:val="left" w:leader="none"/>
        </w:tabs>
        <w:spacing w:line="360" w:lineRule="auto" w:before="117" w:after="0"/>
        <w:ind w:left="625" w:right="116" w:hanging="360"/>
        <w:jc w:val="both"/>
        <w:rPr>
          <w:sz w:val="20"/>
        </w:rPr>
      </w:pPr>
      <w:r>
        <w:rPr>
          <w:sz w:val="20"/>
        </w:rPr>
        <w:t>Zambrano R. y Caballos P. (2007) “Síndrome de carga del cuidador” [En línea] Medellín, Colombia. Disponible en : </w:t>
      </w:r>
      <w:hyperlink r:id="rId127">
        <w:r>
          <w:rPr>
            <w:sz w:val="20"/>
            <w:u w:val="single"/>
          </w:rPr>
          <w:t>http://www.scielo.org.co/pdf/rcp/v36s1/v36s1a05.pdf </w:t>
        </w:r>
      </w:hyperlink>
      <w:r>
        <w:rPr>
          <w:sz w:val="20"/>
        </w:rPr>
        <w:t>[Accesado 20 de febrero de</w:t>
      </w:r>
      <w:r>
        <w:rPr>
          <w:spacing w:val="-4"/>
          <w:sz w:val="20"/>
        </w:rPr>
        <w:t> </w:t>
      </w:r>
      <w:r>
        <w:rPr>
          <w:sz w:val="20"/>
        </w:rPr>
        <w:t>2014]</w:t>
      </w:r>
    </w:p>
    <w:p>
      <w:pPr>
        <w:pStyle w:val="BodyText"/>
        <w:rPr>
          <w:sz w:val="20"/>
        </w:rPr>
      </w:pPr>
    </w:p>
    <w:p>
      <w:pPr>
        <w:pStyle w:val="ListParagraph"/>
        <w:numPr>
          <w:ilvl w:val="0"/>
          <w:numId w:val="7"/>
        </w:numPr>
        <w:tabs>
          <w:tab w:pos="626" w:val="left" w:leader="none"/>
        </w:tabs>
        <w:spacing w:line="360" w:lineRule="auto" w:before="117" w:after="0"/>
        <w:ind w:left="625" w:right="117" w:hanging="360"/>
        <w:jc w:val="left"/>
        <w:rPr>
          <w:sz w:val="20"/>
        </w:rPr>
      </w:pPr>
      <w:r>
        <w:rPr>
          <w:sz w:val="20"/>
        </w:rPr>
        <w:t>Zarit SH, Reever KE, Bach-Peterson J. (1980) “Relatives of the impaired elderly: correlates of feelings of burden” en </w:t>
      </w:r>
      <w:r>
        <w:rPr>
          <w:i/>
          <w:sz w:val="20"/>
        </w:rPr>
        <w:t>Gerontologist</w:t>
      </w:r>
      <w:r>
        <w:rPr>
          <w:sz w:val="20"/>
        </w:rPr>
        <w:t>. [En línea] Disponible en: </w:t>
      </w:r>
      <w:hyperlink r:id="rId128">
        <w:r>
          <w:rPr>
            <w:sz w:val="20"/>
            <w:u w:val="single"/>
          </w:rPr>
          <w:t>http://gerontologist.oxfordjournals.org/content/20/6/649.abstract </w:t>
        </w:r>
      </w:hyperlink>
      <w:r>
        <w:rPr>
          <w:sz w:val="20"/>
        </w:rPr>
        <w:t>[Accesado 20 de febrero de 2014]</w:t>
      </w:r>
    </w:p>
    <w:p>
      <w:pPr>
        <w:spacing w:after="0" w:line="360" w:lineRule="auto"/>
        <w:jc w:val="left"/>
        <w:rPr>
          <w:sz w:val="20"/>
        </w:rPr>
        <w:sectPr>
          <w:pgSz w:w="12250" w:h="15850"/>
          <w:pgMar w:header="748" w:footer="1564" w:top="1260" w:bottom="1760" w:left="1720" w:right="1220"/>
        </w:sectPr>
      </w:pPr>
    </w:p>
    <w:p>
      <w:pPr>
        <w:pStyle w:val="BodyText"/>
        <w:rPr>
          <w:sz w:val="20"/>
        </w:rPr>
      </w:pPr>
    </w:p>
    <w:p>
      <w:pPr>
        <w:pStyle w:val="BodyText"/>
        <w:rPr>
          <w:sz w:val="20"/>
        </w:rPr>
      </w:pPr>
    </w:p>
    <w:p>
      <w:pPr>
        <w:pStyle w:val="BodyText"/>
        <w:spacing w:before="5"/>
        <w:rPr>
          <w:sz w:val="21"/>
        </w:rPr>
      </w:pPr>
    </w:p>
    <w:p>
      <w:pPr>
        <w:spacing w:before="0"/>
        <w:ind w:left="545" w:right="280" w:firstLine="0"/>
        <w:jc w:val="left"/>
        <w:rPr>
          <w:sz w:val="24"/>
        </w:rPr>
      </w:pPr>
      <w:r>
        <w:rPr>
          <w:b/>
          <w:sz w:val="24"/>
        </w:rPr>
        <w:t>Anexo No.1</w:t>
      </w:r>
      <w:r>
        <w:rPr>
          <w:b/>
          <w:spacing w:val="61"/>
          <w:sz w:val="24"/>
        </w:rPr>
        <w:t> </w:t>
      </w:r>
      <w:r>
        <w:rPr>
          <w:sz w:val="24"/>
        </w:rPr>
        <w:t>Instrumento</w:t>
      </w:r>
    </w:p>
    <w:p>
      <w:pPr>
        <w:spacing w:before="187"/>
        <w:ind w:left="1867" w:right="1822" w:firstLine="0"/>
        <w:jc w:val="center"/>
        <w:rPr>
          <w:b/>
          <w:sz w:val="24"/>
        </w:rPr>
      </w:pPr>
      <w:r>
        <w:rPr/>
        <w:drawing>
          <wp:anchor distT="0" distB="0" distL="0" distR="0" allowOverlap="1" layoutInCell="1" locked="0" behindDoc="0" simplePos="0" relativeHeight="4192">
            <wp:simplePos x="0" y="0"/>
            <wp:positionH relativeFrom="page">
              <wp:posOffset>6046470</wp:posOffset>
            </wp:positionH>
            <wp:positionV relativeFrom="paragraph">
              <wp:posOffset>86688</wp:posOffset>
            </wp:positionV>
            <wp:extent cx="1078229" cy="862965"/>
            <wp:effectExtent l="0" t="0" r="0" b="0"/>
            <wp:wrapNone/>
            <wp:docPr id="9" name="image41.jpeg" descr=""/>
            <wp:cNvGraphicFramePr>
              <a:graphicFrameLocks noChangeAspect="1"/>
            </wp:cNvGraphicFramePr>
            <a:graphic>
              <a:graphicData uri="http://schemas.openxmlformats.org/drawingml/2006/picture">
                <pic:pic>
                  <pic:nvPicPr>
                    <pic:cNvPr id="10" name="image41.jpeg"/>
                    <pic:cNvPicPr/>
                  </pic:nvPicPr>
                  <pic:blipFill>
                    <a:blip r:embed="rId130" cstate="print"/>
                    <a:stretch>
                      <a:fillRect/>
                    </a:stretch>
                  </pic:blipFill>
                  <pic:spPr>
                    <a:xfrm>
                      <a:off x="0" y="0"/>
                      <a:ext cx="1078229" cy="862965"/>
                    </a:xfrm>
                    <a:prstGeom prst="rect">
                      <a:avLst/>
                    </a:prstGeom>
                  </pic:spPr>
                </pic:pic>
              </a:graphicData>
            </a:graphic>
          </wp:anchor>
        </w:drawing>
      </w:r>
      <w:r>
        <w:rPr/>
        <w:drawing>
          <wp:anchor distT="0" distB="0" distL="0" distR="0" allowOverlap="1" layoutInCell="1" locked="0" behindDoc="0" simplePos="0" relativeHeight="4216">
            <wp:simplePos x="0" y="0"/>
            <wp:positionH relativeFrom="page">
              <wp:posOffset>984250</wp:posOffset>
            </wp:positionH>
            <wp:positionV relativeFrom="paragraph">
              <wp:posOffset>100658</wp:posOffset>
            </wp:positionV>
            <wp:extent cx="1040879" cy="939800"/>
            <wp:effectExtent l="0" t="0" r="0" b="0"/>
            <wp:wrapNone/>
            <wp:docPr id="11" name="image42.jpeg" descr=""/>
            <wp:cNvGraphicFramePr>
              <a:graphicFrameLocks noChangeAspect="1"/>
            </wp:cNvGraphicFramePr>
            <a:graphic>
              <a:graphicData uri="http://schemas.openxmlformats.org/drawingml/2006/picture">
                <pic:pic>
                  <pic:nvPicPr>
                    <pic:cNvPr id="12" name="image42.jpeg"/>
                    <pic:cNvPicPr/>
                  </pic:nvPicPr>
                  <pic:blipFill>
                    <a:blip r:embed="rId131" cstate="print"/>
                    <a:stretch>
                      <a:fillRect/>
                    </a:stretch>
                  </pic:blipFill>
                  <pic:spPr>
                    <a:xfrm>
                      <a:off x="0" y="0"/>
                      <a:ext cx="1040879" cy="939800"/>
                    </a:xfrm>
                    <a:prstGeom prst="rect">
                      <a:avLst/>
                    </a:prstGeom>
                  </pic:spPr>
                </pic:pic>
              </a:graphicData>
            </a:graphic>
          </wp:anchor>
        </w:drawing>
      </w:r>
      <w:r>
        <w:rPr>
          <w:b/>
          <w:sz w:val="24"/>
        </w:rPr>
        <w:t>UNIVERSIDAD AUTÓNOMA DEL ESTADO DE MÉXICO</w:t>
      </w:r>
    </w:p>
    <w:p>
      <w:pPr>
        <w:pStyle w:val="BodyText"/>
        <w:rPr>
          <w:b/>
        </w:rPr>
      </w:pPr>
    </w:p>
    <w:p>
      <w:pPr>
        <w:pStyle w:val="BodyText"/>
        <w:spacing w:before="2"/>
        <w:rPr>
          <w:b/>
          <w:sz w:val="34"/>
        </w:rPr>
      </w:pPr>
    </w:p>
    <w:p>
      <w:pPr>
        <w:spacing w:before="0"/>
        <w:ind w:left="1867" w:right="1819" w:firstLine="0"/>
        <w:jc w:val="center"/>
        <w:rPr>
          <w:b/>
          <w:sz w:val="24"/>
        </w:rPr>
      </w:pPr>
      <w:r>
        <w:rPr>
          <w:b/>
          <w:sz w:val="24"/>
        </w:rPr>
        <w:t>FACULTAD DE ENFERMERÍA Y OBSTETRICIA</w:t>
      </w:r>
    </w:p>
    <w:p>
      <w:pPr>
        <w:pStyle w:val="BodyText"/>
        <w:rPr>
          <w:b/>
          <w:sz w:val="20"/>
        </w:rPr>
      </w:pPr>
    </w:p>
    <w:p>
      <w:pPr>
        <w:pStyle w:val="BodyText"/>
        <w:rPr>
          <w:b/>
          <w:sz w:val="20"/>
        </w:rPr>
      </w:pPr>
    </w:p>
    <w:p>
      <w:pPr>
        <w:pStyle w:val="BodyText"/>
        <w:spacing w:before="5"/>
        <w:rPr>
          <w:b/>
          <w:sz w:val="21"/>
        </w:rPr>
      </w:pPr>
    </w:p>
    <w:p>
      <w:pPr>
        <w:spacing w:line="240" w:lineRule="auto" w:before="0"/>
        <w:ind w:left="545" w:right="495" w:firstLine="0"/>
        <w:jc w:val="both"/>
        <w:rPr>
          <w:sz w:val="18"/>
        </w:rPr>
      </w:pPr>
      <w:r>
        <w:rPr>
          <w:b/>
          <w:sz w:val="18"/>
        </w:rPr>
        <w:t>Justificación: </w:t>
      </w:r>
      <w:r>
        <w:rPr>
          <w:sz w:val="18"/>
        </w:rPr>
        <w:t>La presente entrevista forma parte de la investigación titulada: “Nivel de sobrecarga en los cuidadores primarios informales de adultos mayores hospitalizados”, la cual tiene como principal objetivo: Determinar el nivel de sobrecarga en el cuidador informal primario de adultos mayores, hospitalizados en el servicio de medicina interna.</w:t>
      </w:r>
    </w:p>
    <w:p>
      <w:pPr>
        <w:pStyle w:val="BodyText"/>
        <w:spacing w:before="6"/>
      </w:pPr>
    </w:p>
    <w:p>
      <w:pPr>
        <w:spacing w:line="240" w:lineRule="auto" w:before="0"/>
        <w:ind w:left="545" w:right="495" w:firstLine="0"/>
        <w:jc w:val="both"/>
        <w:rPr>
          <w:sz w:val="18"/>
        </w:rPr>
      </w:pPr>
      <w:r>
        <w:rPr>
          <w:sz w:val="18"/>
        </w:rPr>
        <w:t>Si usted accede a participar en este estudio, se le pedirá responder preguntas en una entrevista. Esto tomará aproximadamente 15 minutos de su tiempo. Su participación en este estudio es estrictamente voluntaria. La información que se recoja será confidencial y no se usará para ningún otro propósito fuera de los de esta investigación. Sus respuestas al cuestionario y a la entrevista serán codificadas usando un número de identificación y por lo tanto, serán anónimas.</w:t>
      </w:r>
    </w:p>
    <w:p>
      <w:pPr>
        <w:pStyle w:val="BodyText"/>
        <w:spacing w:before="6"/>
      </w:pPr>
    </w:p>
    <w:p>
      <w:pPr>
        <w:spacing w:line="240" w:lineRule="auto" w:before="0"/>
        <w:ind w:left="545" w:right="494" w:firstLine="0"/>
        <w:jc w:val="both"/>
        <w:rPr>
          <w:sz w:val="18"/>
        </w:rPr>
      </w:pPr>
      <w:r>
        <w:rPr>
          <w:sz w:val="18"/>
        </w:rPr>
        <w:t>Si tiene alguna duda sobre este proyecto, puede hacer preguntas en cualquier momento durante su participación en él. Igualmente, puede retirarse del proyecto en cualquier momento sin que eso lo perjudique en ninguna forma. Si alguna de las preguntas durante la entrevista le parecen incómodas, tiene usted el derecho de hacérselo saber al investigador o de no responderlas.</w:t>
      </w:r>
    </w:p>
    <w:p>
      <w:pPr>
        <w:pStyle w:val="BodyText"/>
        <w:spacing w:before="2"/>
      </w:pPr>
    </w:p>
    <w:p>
      <w:pPr>
        <w:spacing w:before="1"/>
        <w:ind w:left="545" w:right="0" w:firstLine="0"/>
        <w:jc w:val="both"/>
        <w:rPr>
          <w:b/>
          <w:sz w:val="21"/>
        </w:rPr>
      </w:pPr>
      <w:r>
        <w:rPr>
          <w:b/>
          <w:sz w:val="21"/>
        </w:rPr>
        <w:t>1.- Datos sociodemográficos:</w:t>
      </w:r>
    </w:p>
    <w:p>
      <w:pPr>
        <w:tabs>
          <w:tab w:pos="3571" w:val="left" w:leader="none"/>
          <w:tab w:pos="5552" w:val="left" w:leader="none"/>
          <w:tab w:pos="6260" w:val="left" w:leader="none"/>
          <w:tab w:pos="9092" w:val="left" w:leader="none"/>
        </w:tabs>
        <w:spacing w:line="343" w:lineRule="auto" w:before="170"/>
        <w:ind w:left="545" w:right="787" w:firstLine="0"/>
        <w:jc w:val="left"/>
        <w:rPr>
          <w:sz w:val="20"/>
        </w:rPr>
      </w:pPr>
      <w:r>
        <w:rPr/>
        <w:pict>
          <v:line style="position:absolute;mso-position-horizontal-relative:page;mso-position-vertical-relative:paragraph;z-index:4168;mso-wrap-distance-left:0;mso-wrap-distance-right:0" from="99.264pt,53.450001pt" to="248.084pt,53.450001pt" stroked="true" strokeweight=".72pt" strokecolor="#000000">
            <w10:wrap type="topAndBottom"/>
          </v:line>
        </w:pict>
      </w:r>
      <w:r>
        <w:rPr/>
        <w:pict>
          <v:shape style="position:absolute;margin-left:140.619995pt;margin-top:10.219266pt;width:128.2pt;height:10pt;mso-position-horizontal-relative:page;mso-position-vertical-relative:paragraph;z-index:43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6"/>
                    <w:gridCol w:w="1277"/>
                  </w:tblGrid>
                  <w:tr>
                    <w:trPr>
                      <w:trHeight w:val="199" w:hRule="exact"/>
                    </w:trPr>
                    <w:tc>
                      <w:tcPr>
                        <w:tcW w:w="1286" w:type="dxa"/>
                      </w:tcPr>
                      <w:p>
                        <w:pPr>
                          <w:pStyle w:val="TableParagraph"/>
                          <w:spacing w:line="204" w:lineRule="exact"/>
                          <w:ind w:left="200"/>
                          <w:jc w:val="left"/>
                          <w:rPr>
                            <w:sz w:val="20"/>
                          </w:rPr>
                        </w:pPr>
                        <w:r>
                          <w:rPr>
                            <w:sz w:val="20"/>
                          </w:rPr>
                          <w:t>Masculino</w:t>
                        </w:r>
                      </w:p>
                    </w:tc>
                    <w:tc>
                      <w:tcPr>
                        <w:tcW w:w="1277" w:type="dxa"/>
                      </w:tcPr>
                      <w:p>
                        <w:pPr>
                          <w:pStyle w:val="TableParagraph"/>
                          <w:spacing w:line="204" w:lineRule="exact"/>
                          <w:ind w:left="188"/>
                          <w:jc w:val="left"/>
                          <w:rPr>
                            <w:sz w:val="20"/>
                          </w:rPr>
                        </w:pPr>
                        <w:r>
                          <w:rPr>
                            <w:sz w:val="20"/>
                          </w:rPr>
                          <w:t>Femenino</w:t>
                        </w:r>
                      </w:p>
                    </w:tc>
                  </w:tr>
                </w:tbl>
                <w:p>
                  <w:pPr>
                    <w:pStyle w:val="BodyText"/>
                  </w:pPr>
                </w:p>
              </w:txbxContent>
            </v:textbox>
            <w10:wrap type="none"/>
          </v:shape>
        </w:pict>
      </w:r>
      <w:r>
        <w:rPr>
          <w:w w:val="99"/>
          <w:sz w:val="20"/>
        </w:rPr>
        <w:t>G</w:t>
      </w:r>
      <w:r>
        <w:rPr>
          <w:w w:val="99"/>
          <w:sz w:val="20"/>
        </w:rPr>
        <w:t>é</w:t>
      </w:r>
      <w:r>
        <w:rPr>
          <w:spacing w:val="-1"/>
          <w:w w:val="99"/>
          <w:sz w:val="20"/>
        </w:rPr>
        <w:t>n</w:t>
      </w:r>
      <w:r>
        <w:rPr>
          <w:w w:val="99"/>
          <w:sz w:val="20"/>
        </w:rPr>
        <w:t>ero</w:t>
      </w:r>
      <w:r>
        <w:rPr>
          <w:spacing w:val="-25"/>
          <w:w w:val="99"/>
          <w:sz w:val="20"/>
        </w:rPr>
        <w:t>:</w:t>
      </w:r>
      <w:r>
        <w:rPr>
          <w:spacing w:val="-25"/>
          <w:w w:val="99"/>
          <w:position w:val="-9"/>
          <w:sz w:val="20"/>
        </w:rPr>
        <w:drawing>
          <wp:inline distT="0" distB="0" distL="0" distR="0">
            <wp:extent cx="1795271" cy="190500"/>
            <wp:effectExtent l="0" t="0" r="0" b="0"/>
            <wp:docPr id="13" name="image43.png" descr=""/>
            <wp:cNvGraphicFramePr>
              <a:graphicFrameLocks noChangeAspect="1"/>
            </wp:cNvGraphicFramePr>
            <a:graphic>
              <a:graphicData uri="http://schemas.openxmlformats.org/drawingml/2006/picture">
                <pic:pic>
                  <pic:nvPicPr>
                    <pic:cNvPr id="14" name="image43.png"/>
                    <pic:cNvPicPr/>
                  </pic:nvPicPr>
                  <pic:blipFill>
                    <a:blip r:embed="rId132" cstate="print"/>
                    <a:stretch>
                      <a:fillRect/>
                    </a:stretch>
                  </pic:blipFill>
                  <pic:spPr>
                    <a:xfrm>
                      <a:off x="0" y="0"/>
                      <a:ext cx="1795271" cy="190500"/>
                    </a:xfrm>
                    <a:prstGeom prst="rect">
                      <a:avLst/>
                    </a:prstGeom>
                  </pic:spPr>
                </pic:pic>
              </a:graphicData>
            </a:graphic>
          </wp:inline>
        </w:drawing>
      </w:r>
      <w:r>
        <w:rPr>
          <w:spacing w:val="-25"/>
          <w:w w:val="99"/>
          <w:position w:val="-9"/>
          <w:sz w:val="20"/>
        </w:rPr>
      </w:r>
      <w:r>
        <w:rPr>
          <w:sz w:val="20"/>
        </w:rPr>
        <w:t>Edad:</w:t>
      </w:r>
      <w:r>
        <w:rPr>
          <w:sz w:val="20"/>
          <w:u w:val="single"/>
        </w:rPr>
        <w:t> </w:t>
        <w:tab/>
        <w:tab/>
      </w:r>
      <w:r>
        <w:rPr>
          <w:sz w:val="20"/>
        </w:rPr>
        <w:t>Estado</w:t>
      </w:r>
      <w:r>
        <w:rPr>
          <w:spacing w:val="-6"/>
          <w:sz w:val="20"/>
        </w:rPr>
        <w:t> </w:t>
      </w:r>
      <w:r>
        <w:rPr>
          <w:sz w:val="20"/>
        </w:rPr>
        <w:t>Civil:</w:t>
      </w:r>
      <w:r>
        <w:rPr>
          <w:spacing w:val="3"/>
          <w:sz w:val="20"/>
        </w:rPr>
        <w:t> </w:t>
      </w:r>
      <w:r>
        <w:rPr>
          <w:w w:val="99"/>
          <w:sz w:val="20"/>
          <w:u w:val="single"/>
        </w:rPr>
        <w:t> </w:t>
      </w:r>
      <w:r>
        <w:rPr>
          <w:sz w:val="20"/>
          <w:u w:val="single"/>
        </w:rPr>
        <w:tab/>
      </w:r>
      <w:r>
        <w:rPr>
          <w:sz w:val="20"/>
        </w:rPr>
        <w:t> Escolaridad:</w:t>
      </w:r>
      <w:r>
        <w:rPr>
          <w:sz w:val="20"/>
          <w:u w:val="single"/>
        </w:rPr>
        <w:t> </w:t>
        <w:tab/>
      </w:r>
      <w:r>
        <w:rPr>
          <w:sz w:val="20"/>
        </w:rPr>
        <w:t>Religión:</w:t>
      </w:r>
      <w:r>
        <w:rPr>
          <w:sz w:val="20"/>
          <w:u w:val="single"/>
        </w:rPr>
        <w:t> </w:t>
        <w:tab/>
      </w:r>
      <w:r>
        <w:rPr>
          <w:sz w:val="20"/>
        </w:rPr>
        <w:t>Integrantes con los que</w:t>
      </w:r>
      <w:r>
        <w:rPr>
          <w:spacing w:val="-13"/>
          <w:sz w:val="20"/>
        </w:rPr>
        <w:t> </w:t>
      </w:r>
      <w:r>
        <w:rPr>
          <w:sz w:val="20"/>
        </w:rPr>
        <w:t>habita:</w:t>
      </w:r>
      <w:r>
        <w:rPr>
          <w:spacing w:val="4"/>
          <w:sz w:val="20"/>
        </w:rPr>
        <w:t> </w:t>
      </w:r>
      <w:r>
        <w:rPr>
          <w:w w:val="99"/>
          <w:sz w:val="20"/>
          <w:u w:val="single"/>
        </w:rPr>
        <w:t> </w:t>
      </w:r>
      <w:r>
        <w:rPr>
          <w:sz w:val="20"/>
          <w:u w:val="single"/>
        </w:rPr>
        <w:tab/>
      </w:r>
    </w:p>
    <w:p>
      <w:pPr>
        <w:pStyle w:val="BodyText"/>
        <w:spacing w:before="5"/>
        <w:rPr>
          <w:sz w:val="7"/>
        </w:rPr>
      </w:pPr>
    </w:p>
    <w:p>
      <w:pPr>
        <w:tabs>
          <w:tab w:pos="3571" w:val="left" w:leader="none"/>
          <w:tab w:pos="5552" w:val="left" w:leader="none"/>
          <w:tab w:pos="9092" w:val="left" w:leader="none"/>
        </w:tabs>
        <w:spacing w:before="74"/>
        <w:ind w:left="545" w:right="280" w:firstLine="0"/>
        <w:jc w:val="left"/>
        <w:rPr>
          <w:sz w:val="20"/>
        </w:rPr>
      </w:pPr>
      <w:r>
        <w:rPr>
          <w:sz w:val="20"/>
        </w:rPr>
        <w:t>Ocupación:</w:t>
      </w:r>
      <w:r>
        <w:rPr>
          <w:sz w:val="20"/>
          <w:u w:val="single"/>
        </w:rPr>
        <w:t> </w:t>
        <w:tab/>
      </w:r>
      <w:r>
        <w:rPr>
          <w:sz w:val="20"/>
        </w:rPr>
        <w:t>Vivienda:</w:t>
      </w:r>
      <w:r>
        <w:rPr>
          <w:sz w:val="20"/>
          <w:u w:val="single"/>
        </w:rPr>
        <w:t> </w:t>
        <w:tab/>
      </w:r>
      <w:r>
        <w:rPr>
          <w:sz w:val="20"/>
        </w:rPr>
        <w:t>Ingreso</w:t>
      </w:r>
      <w:r>
        <w:rPr>
          <w:spacing w:val="-8"/>
          <w:sz w:val="20"/>
        </w:rPr>
        <w:t> </w:t>
      </w:r>
      <w:r>
        <w:rPr>
          <w:sz w:val="20"/>
        </w:rPr>
        <w:t>mensual:</w:t>
      </w:r>
      <w:r>
        <w:rPr>
          <w:spacing w:val="5"/>
          <w:sz w:val="20"/>
        </w:rPr>
        <w:t> </w:t>
      </w:r>
      <w:r>
        <w:rPr>
          <w:w w:val="99"/>
          <w:sz w:val="20"/>
          <w:u w:val="single"/>
        </w:rPr>
        <w:t> </w:t>
      </w:r>
      <w:r>
        <w:rPr>
          <w:sz w:val="20"/>
          <w:u w:val="single"/>
        </w:rPr>
        <w:tab/>
      </w:r>
    </w:p>
    <w:p>
      <w:pPr>
        <w:pStyle w:val="BodyText"/>
        <w:spacing w:before="8"/>
        <w:rPr>
          <w:sz w:val="15"/>
        </w:rPr>
      </w:pPr>
    </w:p>
    <w:p>
      <w:pPr>
        <w:spacing w:before="0"/>
        <w:ind w:left="545" w:right="280" w:firstLine="0"/>
        <w:jc w:val="left"/>
        <w:rPr>
          <w:b/>
          <w:sz w:val="21"/>
        </w:rPr>
      </w:pPr>
      <w:r>
        <w:rPr>
          <w:b/>
          <w:sz w:val="21"/>
        </w:rPr>
        <w:t>2.- Características generales del paciente:</w:t>
      </w:r>
    </w:p>
    <w:p>
      <w:pPr>
        <w:pStyle w:val="BodyText"/>
        <w:spacing w:before="1"/>
        <w:rPr>
          <w:b/>
          <w:sz w:val="16"/>
        </w:rPr>
      </w:pPr>
    </w:p>
    <w:p>
      <w:pPr>
        <w:tabs>
          <w:tab w:pos="4085" w:val="left" w:leader="none"/>
          <w:tab w:pos="5552" w:val="left" w:leader="none"/>
          <w:tab w:pos="9092" w:val="left" w:leader="none"/>
        </w:tabs>
        <w:spacing w:before="0"/>
        <w:ind w:left="545" w:right="280" w:firstLine="0"/>
        <w:jc w:val="left"/>
        <w:rPr>
          <w:sz w:val="20"/>
        </w:rPr>
      </w:pPr>
      <w:r>
        <w:rPr/>
        <w:drawing>
          <wp:anchor distT="0" distB="0" distL="0" distR="0" allowOverlap="1" layoutInCell="1" locked="0" behindDoc="1" simplePos="0" relativeHeight="268263671">
            <wp:simplePos x="0" y="0"/>
            <wp:positionH relativeFrom="page">
              <wp:posOffset>1645920</wp:posOffset>
            </wp:positionH>
            <wp:positionV relativeFrom="paragraph">
              <wp:posOffset>-636</wp:posOffset>
            </wp:positionV>
            <wp:extent cx="1793748" cy="190500"/>
            <wp:effectExtent l="0" t="0" r="0" b="0"/>
            <wp:wrapNone/>
            <wp:docPr id="15" name="image44.png" descr=""/>
            <wp:cNvGraphicFramePr>
              <a:graphicFrameLocks noChangeAspect="1"/>
            </wp:cNvGraphicFramePr>
            <a:graphic>
              <a:graphicData uri="http://schemas.openxmlformats.org/drawingml/2006/picture">
                <pic:pic>
                  <pic:nvPicPr>
                    <pic:cNvPr id="16" name="image44.png"/>
                    <pic:cNvPicPr/>
                  </pic:nvPicPr>
                  <pic:blipFill>
                    <a:blip r:embed="rId133" cstate="print"/>
                    <a:stretch>
                      <a:fillRect/>
                    </a:stretch>
                  </pic:blipFill>
                  <pic:spPr>
                    <a:xfrm>
                      <a:off x="0" y="0"/>
                      <a:ext cx="1793748" cy="190500"/>
                    </a:xfrm>
                    <a:prstGeom prst="rect">
                      <a:avLst/>
                    </a:prstGeom>
                  </pic:spPr>
                </pic:pic>
              </a:graphicData>
            </a:graphic>
          </wp:anchor>
        </w:drawing>
      </w:r>
      <w:r>
        <w:rPr/>
        <w:pict>
          <v:shape style="position:absolute;margin-left:136.059998pt;margin-top:1.669162pt;width:128.2pt;height:10pt;mso-position-horizontal-relative:page;mso-position-vertical-relative:paragraph;z-index:43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6"/>
                    <w:gridCol w:w="1277"/>
                  </w:tblGrid>
                  <w:tr>
                    <w:trPr>
                      <w:trHeight w:val="199" w:hRule="exact"/>
                    </w:trPr>
                    <w:tc>
                      <w:tcPr>
                        <w:tcW w:w="1286" w:type="dxa"/>
                      </w:tcPr>
                      <w:p>
                        <w:pPr>
                          <w:pStyle w:val="TableParagraph"/>
                          <w:spacing w:line="204" w:lineRule="exact"/>
                          <w:ind w:left="200"/>
                          <w:jc w:val="left"/>
                          <w:rPr>
                            <w:sz w:val="20"/>
                          </w:rPr>
                        </w:pPr>
                        <w:r>
                          <w:rPr>
                            <w:sz w:val="20"/>
                          </w:rPr>
                          <w:t>Masculino</w:t>
                        </w:r>
                      </w:p>
                    </w:tc>
                    <w:tc>
                      <w:tcPr>
                        <w:tcW w:w="1277" w:type="dxa"/>
                      </w:tcPr>
                      <w:p>
                        <w:pPr>
                          <w:pStyle w:val="TableParagraph"/>
                          <w:spacing w:line="204" w:lineRule="exact"/>
                          <w:ind w:left="188"/>
                          <w:jc w:val="left"/>
                          <w:rPr>
                            <w:sz w:val="20"/>
                          </w:rPr>
                        </w:pPr>
                        <w:r>
                          <w:rPr>
                            <w:sz w:val="20"/>
                          </w:rPr>
                          <w:t>Femenino</w:t>
                        </w:r>
                      </w:p>
                    </w:tc>
                  </w:tr>
                </w:tbl>
                <w:p>
                  <w:pPr>
                    <w:pStyle w:val="BodyText"/>
                  </w:pPr>
                </w:p>
              </w:txbxContent>
            </v:textbox>
            <w10:wrap type="none"/>
          </v:shape>
        </w:pict>
      </w:r>
      <w:r>
        <w:rPr>
          <w:sz w:val="20"/>
        </w:rPr>
        <w:t>Género:</w:t>
        <w:tab/>
        <w:t>Edad:</w:t>
      </w:r>
      <w:r>
        <w:rPr>
          <w:sz w:val="20"/>
          <w:u w:val="single"/>
        </w:rPr>
        <w:t> </w:t>
        <w:tab/>
      </w:r>
      <w:r>
        <w:rPr>
          <w:sz w:val="20"/>
        </w:rPr>
        <w:t>Días de estancia</w:t>
      </w:r>
      <w:r>
        <w:rPr>
          <w:spacing w:val="-5"/>
          <w:sz w:val="20"/>
        </w:rPr>
        <w:t> </w:t>
      </w:r>
      <w:r>
        <w:rPr>
          <w:sz w:val="20"/>
        </w:rPr>
        <w:t>hospitalaria</w:t>
      </w:r>
      <w:r>
        <w:rPr>
          <w:w w:val="99"/>
          <w:sz w:val="20"/>
          <w:u w:val="single"/>
        </w:rPr>
        <w:t> </w:t>
      </w:r>
      <w:r>
        <w:rPr>
          <w:sz w:val="20"/>
          <w:u w:val="single"/>
        </w:rPr>
        <w:tab/>
      </w:r>
    </w:p>
    <w:p>
      <w:pPr>
        <w:pStyle w:val="BodyText"/>
        <w:spacing w:before="1"/>
        <w:rPr>
          <w:sz w:val="9"/>
        </w:rPr>
      </w:pPr>
    </w:p>
    <w:p>
      <w:pPr>
        <w:tabs>
          <w:tab w:pos="4281" w:val="left" w:leader="none"/>
        </w:tabs>
        <w:spacing w:before="78"/>
        <w:ind w:left="545" w:right="280" w:firstLine="0"/>
        <w:jc w:val="left"/>
        <w:rPr>
          <w:sz w:val="18"/>
        </w:rPr>
      </w:pPr>
      <w:r>
        <w:rPr>
          <w:sz w:val="18"/>
        </w:rPr>
        <w:t>Diagnóstico</w:t>
      </w:r>
      <w:r>
        <w:rPr>
          <w:spacing w:val="-4"/>
          <w:sz w:val="18"/>
        </w:rPr>
        <w:t> </w:t>
      </w:r>
      <w:r>
        <w:rPr>
          <w:sz w:val="18"/>
        </w:rPr>
        <w:t>médico:</w:t>
      </w:r>
      <w:r>
        <w:rPr>
          <w:sz w:val="18"/>
          <w:u w:val="single"/>
        </w:rPr>
        <w:t> </w:t>
        <w:tab/>
      </w:r>
      <w:r>
        <w:rPr>
          <w:sz w:val="18"/>
        </w:rPr>
        <w:t>Veces que ha sido hospitalizado en los últimos 6</w:t>
      </w:r>
      <w:r>
        <w:rPr>
          <w:spacing w:val="-25"/>
          <w:sz w:val="18"/>
        </w:rPr>
        <w:t> </w:t>
      </w:r>
      <w:r>
        <w:rPr>
          <w:sz w:val="18"/>
        </w:rPr>
        <w:t>meses:</w:t>
      </w:r>
      <w:r>
        <w:rPr>
          <w:spacing w:val="3"/>
          <w:sz w:val="18"/>
        </w:rPr>
        <w:t> </w:t>
      </w:r>
      <w:r>
        <w:rPr>
          <w:w w:val="100"/>
          <w:sz w:val="18"/>
          <w:u w:val="single"/>
        </w:rPr>
        <w:t> </w:t>
      </w:r>
      <w:r>
        <w:rPr>
          <w:spacing w:val="-14"/>
          <w:sz w:val="18"/>
          <w:u w:val="single"/>
        </w:rPr>
        <w:t> </w:t>
      </w:r>
    </w:p>
    <w:p>
      <w:pPr>
        <w:pStyle w:val="BodyText"/>
        <w:spacing w:before="8"/>
        <w:rPr>
          <w:sz w:val="15"/>
        </w:rPr>
      </w:pPr>
    </w:p>
    <w:p>
      <w:pPr>
        <w:spacing w:before="0"/>
        <w:ind w:left="545" w:right="280" w:firstLine="0"/>
        <w:jc w:val="left"/>
        <w:rPr>
          <w:b/>
          <w:sz w:val="21"/>
        </w:rPr>
      </w:pPr>
      <w:r>
        <w:rPr>
          <w:b/>
          <w:sz w:val="21"/>
        </w:rPr>
        <w:t>3.- Desempeño del rol del cuidador:</w:t>
      </w:r>
    </w:p>
    <w:p>
      <w:pPr>
        <w:pStyle w:val="BodyText"/>
        <w:spacing w:before="1"/>
        <w:rPr>
          <w:b/>
          <w:sz w:val="16"/>
        </w:rPr>
      </w:pPr>
    </w:p>
    <w:p>
      <w:pPr>
        <w:tabs>
          <w:tab w:pos="4844" w:val="left" w:leader="none"/>
          <w:tab w:pos="9092" w:val="left" w:leader="none"/>
        </w:tabs>
        <w:spacing w:before="0"/>
        <w:ind w:left="545" w:right="280" w:firstLine="0"/>
        <w:jc w:val="left"/>
        <w:rPr>
          <w:sz w:val="20"/>
        </w:rPr>
      </w:pPr>
      <w:r>
        <w:rPr>
          <w:sz w:val="20"/>
        </w:rPr>
        <w:t>Parentesco con</w:t>
      </w:r>
      <w:r>
        <w:rPr>
          <w:spacing w:val="-3"/>
          <w:sz w:val="20"/>
        </w:rPr>
        <w:t> </w:t>
      </w:r>
      <w:r>
        <w:rPr>
          <w:sz w:val="20"/>
        </w:rPr>
        <w:t>el</w:t>
      </w:r>
      <w:r>
        <w:rPr>
          <w:spacing w:val="-2"/>
          <w:sz w:val="20"/>
        </w:rPr>
        <w:t> </w:t>
      </w:r>
      <w:r>
        <w:rPr>
          <w:sz w:val="20"/>
        </w:rPr>
        <w:t>paciente:</w:t>
      </w:r>
      <w:r>
        <w:rPr>
          <w:sz w:val="20"/>
          <w:u w:val="single"/>
        </w:rPr>
        <w:t> </w:t>
        <w:tab/>
      </w:r>
      <w:r>
        <w:rPr>
          <w:sz w:val="20"/>
        </w:rPr>
        <w:t>Tiempo que lleva viviendo con el</w:t>
      </w:r>
      <w:r>
        <w:rPr>
          <w:spacing w:val="-8"/>
          <w:sz w:val="20"/>
        </w:rPr>
        <w:t> </w:t>
      </w:r>
      <w:r>
        <w:rPr>
          <w:sz w:val="20"/>
        </w:rPr>
        <w:t>enfermo:</w:t>
      </w:r>
      <w:r>
        <w:rPr>
          <w:spacing w:val="2"/>
          <w:sz w:val="20"/>
        </w:rPr>
        <w:t> </w:t>
      </w:r>
      <w:r>
        <w:rPr>
          <w:w w:val="99"/>
          <w:sz w:val="20"/>
          <w:u w:val="single"/>
        </w:rPr>
        <w:t> </w:t>
      </w:r>
      <w:r>
        <w:rPr>
          <w:sz w:val="20"/>
          <w:u w:val="single"/>
        </w:rPr>
        <w:tab/>
      </w:r>
    </w:p>
    <w:p>
      <w:pPr>
        <w:pStyle w:val="BodyText"/>
        <w:spacing w:before="5"/>
        <w:rPr>
          <w:sz w:val="9"/>
        </w:rPr>
      </w:pPr>
    </w:p>
    <w:p>
      <w:pPr>
        <w:spacing w:before="74"/>
        <w:ind w:left="545" w:right="280" w:firstLine="0"/>
        <w:jc w:val="left"/>
        <w:rPr>
          <w:sz w:val="20"/>
        </w:rPr>
      </w:pPr>
      <w:r>
        <w:rPr/>
        <w:drawing>
          <wp:anchor distT="0" distB="0" distL="0" distR="0" allowOverlap="1" layoutInCell="1" locked="0" behindDoc="1" simplePos="0" relativeHeight="268263695">
            <wp:simplePos x="0" y="0"/>
            <wp:positionH relativeFrom="page">
              <wp:posOffset>4346447</wp:posOffset>
            </wp:positionH>
            <wp:positionV relativeFrom="paragraph">
              <wp:posOffset>71880</wp:posOffset>
            </wp:positionV>
            <wp:extent cx="2581655" cy="146304"/>
            <wp:effectExtent l="0" t="0" r="0" b="0"/>
            <wp:wrapNone/>
            <wp:docPr id="17" name="image45.png" descr=""/>
            <wp:cNvGraphicFramePr>
              <a:graphicFrameLocks noChangeAspect="1"/>
            </wp:cNvGraphicFramePr>
            <a:graphic>
              <a:graphicData uri="http://schemas.openxmlformats.org/drawingml/2006/picture">
                <pic:pic>
                  <pic:nvPicPr>
                    <pic:cNvPr id="18" name="image45.png"/>
                    <pic:cNvPicPr/>
                  </pic:nvPicPr>
                  <pic:blipFill>
                    <a:blip r:embed="rId134" cstate="print"/>
                    <a:stretch>
                      <a:fillRect/>
                    </a:stretch>
                  </pic:blipFill>
                  <pic:spPr>
                    <a:xfrm>
                      <a:off x="0" y="0"/>
                      <a:ext cx="2581655" cy="146304"/>
                    </a:xfrm>
                    <a:prstGeom prst="rect">
                      <a:avLst/>
                    </a:prstGeom>
                  </pic:spPr>
                </pic:pic>
              </a:graphicData>
            </a:graphic>
          </wp:anchor>
        </w:drawing>
      </w:r>
      <w:r>
        <w:rPr/>
        <w:pict>
          <v:shape style="position:absolute;margin-left:349.350006pt;margin-top:7.044945pt;width:195.05pt;height:8.0500pt;mso-position-horizontal-relative:page;mso-position-vertical-relative:paragraph;z-index:43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
                    <w:gridCol w:w="980"/>
                    <w:gridCol w:w="916"/>
                    <w:gridCol w:w="1098"/>
                  </w:tblGrid>
                  <w:tr>
                    <w:trPr>
                      <w:trHeight w:val="161" w:hRule="exact"/>
                    </w:trPr>
                    <w:tc>
                      <w:tcPr>
                        <w:tcW w:w="907" w:type="dxa"/>
                      </w:tcPr>
                      <w:p>
                        <w:pPr>
                          <w:pStyle w:val="TableParagraph"/>
                          <w:spacing w:line="164" w:lineRule="exact"/>
                          <w:ind w:left="200"/>
                          <w:jc w:val="left"/>
                          <w:rPr>
                            <w:sz w:val="16"/>
                          </w:rPr>
                        </w:pPr>
                        <w:r>
                          <w:rPr>
                            <w:sz w:val="16"/>
                          </w:rPr>
                          <w:t>&lt;10 hrs</w:t>
                        </w:r>
                      </w:p>
                    </w:tc>
                    <w:tc>
                      <w:tcPr>
                        <w:tcW w:w="980" w:type="dxa"/>
                      </w:tcPr>
                      <w:p>
                        <w:pPr>
                          <w:pStyle w:val="TableParagraph"/>
                          <w:spacing w:line="164" w:lineRule="exact"/>
                          <w:ind w:left="168"/>
                          <w:jc w:val="left"/>
                          <w:rPr>
                            <w:sz w:val="16"/>
                          </w:rPr>
                        </w:pPr>
                        <w:r>
                          <w:rPr>
                            <w:sz w:val="16"/>
                          </w:rPr>
                          <w:t>10-20 hrs</w:t>
                        </w:r>
                      </w:p>
                    </w:tc>
                    <w:tc>
                      <w:tcPr>
                        <w:tcW w:w="916" w:type="dxa"/>
                      </w:tcPr>
                      <w:p>
                        <w:pPr>
                          <w:pStyle w:val="TableParagraph"/>
                          <w:spacing w:line="164" w:lineRule="exact"/>
                          <w:ind w:left="135"/>
                          <w:jc w:val="left"/>
                          <w:rPr>
                            <w:sz w:val="16"/>
                          </w:rPr>
                        </w:pPr>
                        <w:r>
                          <w:rPr>
                            <w:sz w:val="16"/>
                          </w:rPr>
                          <w:t>20-30 hrs</w:t>
                        </w:r>
                      </w:p>
                    </w:tc>
                    <w:tc>
                      <w:tcPr>
                        <w:tcW w:w="1098" w:type="dxa"/>
                      </w:tcPr>
                      <w:p>
                        <w:pPr>
                          <w:pStyle w:val="TableParagraph"/>
                          <w:spacing w:line="164" w:lineRule="exact"/>
                          <w:ind w:left="105"/>
                          <w:jc w:val="left"/>
                          <w:rPr>
                            <w:sz w:val="16"/>
                          </w:rPr>
                        </w:pPr>
                        <w:r>
                          <w:rPr>
                            <w:sz w:val="16"/>
                          </w:rPr>
                          <w:t>Más 30 hrs</w:t>
                        </w:r>
                      </w:p>
                    </w:tc>
                  </w:tr>
                </w:tbl>
                <w:p>
                  <w:pPr>
                    <w:pStyle w:val="BodyText"/>
                  </w:pPr>
                </w:p>
              </w:txbxContent>
            </v:textbox>
            <w10:wrap type="none"/>
          </v:shape>
        </w:pict>
      </w:r>
      <w:r>
        <w:rPr>
          <w:sz w:val="20"/>
        </w:rPr>
        <w:t>Tiempo que dedica a la visita hospitalaria a la semana:</w:t>
      </w:r>
    </w:p>
    <w:p>
      <w:pPr>
        <w:pStyle w:val="BodyText"/>
        <w:spacing w:before="10"/>
        <w:rPr>
          <w:sz w:val="15"/>
        </w:rPr>
      </w:pPr>
    </w:p>
    <w:p>
      <w:pPr>
        <w:spacing w:before="0"/>
        <w:ind w:left="545" w:right="280" w:firstLine="0"/>
        <w:jc w:val="left"/>
        <w:rPr>
          <w:sz w:val="20"/>
        </w:rPr>
      </w:pPr>
      <w:r>
        <w:rPr/>
        <w:pict>
          <v:group style="position:absolute;margin-left:427.559998pt;margin-top:-.200124pt;width:123.85pt;height:33pt;mso-position-horizontal-relative:page;mso-position-vertical-relative:paragraph;z-index:-171736" coordorigin="8551,-4" coordsize="2477,660">
            <v:shape style="position:absolute;left:8551;top:-4;width:2465;height:300" type="#_x0000_t75" stroked="false">
              <v:imagedata r:id="rId135" o:title=""/>
            </v:shape>
            <v:shape style="position:absolute;left:8563;top:356;width:2465;height:300" type="#_x0000_t75" stroked="false">
              <v:imagedata r:id="rId135" o:title=""/>
            </v:shape>
            <w10:wrap type="none"/>
          </v:group>
        </w:pict>
      </w:r>
      <w:r>
        <w:rPr/>
        <w:pict>
          <v:shape style="position:absolute;margin-left:449.700012pt;margin-top:1.549142pt;width:80.75pt;height:10pt;mso-position-horizontal-relative:page;mso-position-vertical-relative:paragraph;z-index:43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
                    <w:gridCol w:w="842"/>
                  </w:tblGrid>
                  <w:tr>
                    <w:trPr>
                      <w:trHeight w:val="199" w:hRule="exact"/>
                    </w:trPr>
                    <w:tc>
                      <w:tcPr>
                        <w:tcW w:w="773" w:type="dxa"/>
                      </w:tcPr>
                      <w:p>
                        <w:pPr>
                          <w:pStyle w:val="TableParagraph"/>
                          <w:spacing w:line="204" w:lineRule="exact"/>
                          <w:ind w:left="200"/>
                          <w:jc w:val="left"/>
                          <w:rPr>
                            <w:sz w:val="20"/>
                          </w:rPr>
                        </w:pPr>
                        <w:r>
                          <w:rPr>
                            <w:sz w:val="20"/>
                          </w:rPr>
                          <w:t>Sí</w:t>
                        </w:r>
                      </w:p>
                    </w:tc>
                    <w:tc>
                      <w:tcPr>
                        <w:tcW w:w="842" w:type="dxa"/>
                      </w:tcPr>
                      <w:p>
                        <w:pPr>
                          <w:pStyle w:val="TableParagraph"/>
                          <w:spacing w:line="204" w:lineRule="exact"/>
                          <w:ind w:left="386"/>
                          <w:jc w:val="left"/>
                          <w:rPr>
                            <w:sz w:val="20"/>
                          </w:rPr>
                        </w:pPr>
                        <w:r>
                          <w:rPr>
                            <w:sz w:val="20"/>
                          </w:rPr>
                          <w:t>No</w:t>
                        </w:r>
                      </w:p>
                    </w:tc>
                  </w:tr>
                </w:tbl>
                <w:p>
                  <w:pPr>
                    <w:pStyle w:val="BodyText"/>
                  </w:pPr>
                </w:p>
              </w:txbxContent>
            </v:textbox>
            <w10:wrap type="none"/>
          </v:shape>
        </w:pict>
      </w:r>
      <w:r>
        <w:rPr>
          <w:sz w:val="20"/>
        </w:rPr>
        <w:t>¿Cuenta con algún apoyo económico por hacerse cargo de su paciente?</w:t>
      </w:r>
    </w:p>
    <w:p>
      <w:pPr>
        <w:pStyle w:val="BodyText"/>
        <w:spacing w:before="10"/>
        <w:rPr>
          <w:sz w:val="15"/>
        </w:rPr>
      </w:pPr>
    </w:p>
    <w:p>
      <w:pPr>
        <w:spacing w:before="0"/>
        <w:ind w:left="545" w:right="280" w:firstLine="0"/>
        <w:jc w:val="left"/>
        <w:rPr>
          <w:sz w:val="20"/>
        </w:rPr>
      </w:pPr>
      <w:r>
        <w:rPr/>
        <w:pict>
          <v:shape style="position:absolute;margin-left:450.299988pt;margin-top:-1.090858pt;width:80.75pt;height:10pt;mso-position-horizontal-relative:page;mso-position-vertical-relative:paragraph;z-index:44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
                    <w:gridCol w:w="842"/>
                  </w:tblGrid>
                  <w:tr>
                    <w:trPr>
                      <w:trHeight w:val="199" w:hRule="exact"/>
                    </w:trPr>
                    <w:tc>
                      <w:tcPr>
                        <w:tcW w:w="773" w:type="dxa"/>
                      </w:tcPr>
                      <w:p>
                        <w:pPr>
                          <w:pStyle w:val="TableParagraph"/>
                          <w:spacing w:line="204" w:lineRule="exact"/>
                          <w:ind w:left="200"/>
                          <w:jc w:val="left"/>
                          <w:rPr>
                            <w:sz w:val="20"/>
                          </w:rPr>
                        </w:pPr>
                        <w:r>
                          <w:rPr>
                            <w:sz w:val="20"/>
                          </w:rPr>
                          <w:t>Sí</w:t>
                        </w:r>
                      </w:p>
                    </w:tc>
                    <w:tc>
                      <w:tcPr>
                        <w:tcW w:w="842" w:type="dxa"/>
                      </w:tcPr>
                      <w:p>
                        <w:pPr>
                          <w:pStyle w:val="TableParagraph"/>
                          <w:spacing w:line="204" w:lineRule="exact"/>
                          <w:ind w:left="386"/>
                          <w:jc w:val="left"/>
                          <w:rPr>
                            <w:sz w:val="20"/>
                          </w:rPr>
                        </w:pPr>
                        <w:r>
                          <w:rPr>
                            <w:sz w:val="20"/>
                          </w:rPr>
                          <w:t>No</w:t>
                        </w:r>
                      </w:p>
                    </w:tc>
                  </w:tr>
                </w:tbl>
                <w:p>
                  <w:pPr>
                    <w:pStyle w:val="BodyText"/>
                  </w:pPr>
                </w:p>
              </w:txbxContent>
            </v:textbox>
            <w10:wrap type="none"/>
          </v:shape>
        </w:pict>
      </w:r>
      <w:r>
        <w:rPr>
          <w:sz w:val="20"/>
        </w:rPr>
        <w:t>¿Cuenta con algún tipo de capacitación para hacerse cargo de su paciente?</w:t>
      </w:r>
    </w:p>
    <w:p>
      <w:pPr>
        <w:pStyle w:val="BodyText"/>
        <w:spacing w:before="1"/>
        <w:rPr>
          <w:sz w:val="22"/>
        </w:rPr>
      </w:pPr>
    </w:p>
    <w:p>
      <w:pPr>
        <w:tabs>
          <w:tab w:pos="7135" w:val="left" w:leader="none"/>
        </w:tabs>
        <w:spacing w:line="148" w:lineRule="auto" w:before="0"/>
        <w:ind w:left="545" w:right="280" w:firstLine="0"/>
        <w:jc w:val="left"/>
        <w:rPr>
          <w:sz w:val="20"/>
        </w:rPr>
      </w:pPr>
      <w:r>
        <w:rPr/>
        <w:pict>
          <v:shape style="position:absolute;margin-left:450.899994pt;margin-top:3.624795pt;width:80.75pt;height:10pt;mso-position-horizontal-relative:page;mso-position-vertical-relative:paragraph;z-index:44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3"/>
                    <w:gridCol w:w="842"/>
                  </w:tblGrid>
                  <w:tr>
                    <w:trPr>
                      <w:trHeight w:val="199" w:hRule="exact"/>
                    </w:trPr>
                    <w:tc>
                      <w:tcPr>
                        <w:tcW w:w="773" w:type="dxa"/>
                      </w:tcPr>
                      <w:p>
                        <w:pPr>
                          <w:pStyle w:val="TableParagraph"/>
                          <w:spacing w:line="204" w:lineRule="exact"/>
                          <w:ind w:left="200"/>
                          <w:jc w:val="left"/>
                          <w:rPr>
                            <w:sz w:val="20"/>
                          </w:rPr>
                        </w:pPr>
                        <w:r>
                          <w:rPr>
                            <w:sz w:val="20"/>
                          </w:rPr>
                          <w:t>Sí</w:t>
                        </w:r>
                      </w:p>
                    </w:tc>
                    <w:tc>
                      <w:tcPr>
                        <w:tcW w:w="842" w:type="dxa"/>
                      </w:tcPr>
                      <w:p>
                        <w:pPr>
                          <w:pStyle w:val="TableParagraph"/>
                          <w:spacing w:line="204" w:lineRule="exact"/>
                          <w:ind w:left="386"/>
                          <w:jc w:val="left"/>
                          <w:rPr>
                            <w:sz w:val="20"/>
                          </w:rPr>
                        </w:pPr>
                        <w:r>
                          <w:rPr>
                            <w:sz w:val="20"/>
                          </w:rPr>
                          <w:t>No</w:t>
                        </w:r>
                      </w:p>
                    </w:tc>
                  </w:tr>
                </w:tbl>
                <w:p>
                  <w:pPr>
                    <w:pStyle w:val="BodyText"/>
                  </w:pPr>
                </w:p>
              </w:txbxContent>
            </v:textbox>
            <w10:wrap type="none"/>
          </v:shape>
        </w:pict>
      </w:r>
      <w:r>
        <w:rPr>
          <w:sz w:val="20"/>
        </w:rPr>
        <w:t>¿Le gustaría participar en un programa educativo, que</w:t>
      </w:r>
      <w:r>
        <w:rPr>
          <w:spacing w:val="-12"/>
          <w:sz w:val="20"/>
        </w:rPr>
        <w:t> </w:t>
      </w:r>
      <w:r>
        <w:rPr>
          <w:sz w:val="20"/>
        </w:rPr>
        <w:t>le</w:t>
      </w:r>
      <w:r>
        <w:rPr>
          <w:spacing w:val="-3"/>
          <w:sz w:val="20"/>
        </w:rPr>
        <w:t> </w:t>
      </w:r>
      <w:r>
        <w:rPr>
          <w:sz w:val="20"/>
        </w:rPr>
        <w:t>brinde</w:t>
        <w:tab/>
      </w:r>
      <w:r>
        <w:rPr>
          <w:position w:val="-21"/>
          <w:sz w:val="20"/>
        </w:rPr>
        <w:drawing>
          <wp:inline distT="0" distB="0" distL="0" distR="0">
            <wp:extent cx="1565148" cy="190499"/>
            <wp:effectExtent l="0" t="0" r="0" b="0"/>
            <wp:docPr id="19" name="image46.png" descr=""/>
            <wp:cNvGraphicFramePr>
              <a:graphicFrameLocks noChangeAspect="1"/>
            </wp:cNvGraphicFramePr>
            <a:graphic>
              <a:graphicData uri="http://schemas.openxmlformats.org/drawingml/2006/picture">
                <pic:pic>
                  <pic:nvPicPr>
                    <pic:cNvPr id="20" name="image46.png"/>
                    <pic:cNvPicPr/>
                  </pic:nvPicPr>
                  <pic:blipFill>
                    <a:blip r:embed="rId135" cstate="print"/>
                    <a:stretch>
                      <a:fillRect/>
                    </a:stretch>
                  </pic:blipFill>
                  <pic:spPr>
                    <a:xfrm>
                      <a:off x="0" y="0"/>
                      <a:ext cx="1565148" cy="190499"/>
                    </a:xfrm>
                    <a:prstGeom prst="rect">
                      <a:avLst/>
                    </a:prstGeom>
                  </pic:spPr>
                </pic:pic>
              </a:graphicData>
            </a:graphic>
          </wp:inline>
        </w:drawing>
      </w:r>
      <w:r>
        <w:rPr>
          <w:position w:val="-21"/>
          <w:sz w:val="20"/>
        </w:rPr>
      </w:r>
      <w:r>
        <w:rPr>
          <w:rFonts w:ascii="Times New Roman" w:hAnsi="Times New Roman"/>
          <w:position w:val="-21"/>
          <w:sz w:val="20"/>
        </w:rPr>
        <w:t> </w:t>
      </w:r>
      <w:r>
        <w:rPr>
          <w:sz w:val="20"/>
        </w:rPr>
        <w:t>conocimientos y habilidades para brindar un mejor cuidado a su</w:t>
      </w:r>
      <w:r>
        <w:rPr>
          <w:spacing w:val="-21"/>
          <w:sz w:val="20"/>
        </w:rPr>
        <w:t> </w:t>
      </w:r>
      <w:r>
        <w:rPr>
          <w:sz w:val="20"/>
        </w:rPr>
        <w:t>paciente?</w:t>
      </w:r>
    </w:p>
    <w:p>
      <w:pPr>
        <w:spacing w:after="0" w:line="148" w:lineRule="auto"/>
        <w:jc w:val="left"/>
        <w:rPr>
          <w:sz w:val="20"/>
        </w:rPr>
        <w:sectPr>
          <w:footerReference w:type="default" r:id="rId129"/>
          <w:pgSz w:w="12250" w:h="15850"/>
          <w:pgMar w:footer="1122" w:header="748" w:top="1260" w:bottom="1320" w:left="1440" w:right="920"/>
          <w:pgNumType w:start="114"/>
        </w:sectPr>
      </w:pPr>
    </w:p>
    <w:p>
      <w:pPr>
        <w:pStyle w:val="BodyText"/>
        <w:rPr>
          <w:sz w:val="20"/>
        </w:rPr>
      </w:pPr>
    </w:p>
    <w:p>
      <w:pPr>
        <w:pStyle w:val="BodyText"/>
        <w:rPr>
          <w:sz w:val="20"/>
        </w:rPr>
      </w:pPr>
    </w:p>
    <w:p>
      <w:pPr>
        <w:pStyle w:val="BodyText"/>
        <w:spacing w:before="2"/>
        <w:rPr>
          <w:sz w:val="21"/>
        </w:rPr>
      </w:pPr>
    </w:p>
    <w:p>
      <w:pPr>
        <w:spacing w:line="264" w:lineRule="auto" w:before="0"/>
        <w:ind w:left="265" w:right="517" w:firstLine="0"/>
        <w:jc w:val="left"/>
        <w:rPr>
          <w:b/>
          <w:sz w:val="21"/>
        </w:rPr>
      </w:pPr>
      <w:r>
        <w:rPr>
          <w:b/>
          <w:sz w:val="21"/>
        </w:rPr>
        <w:t>4.- Escala de Sobrecarga del cuidado de Zarit, versión adaptada al español por Martín et al, (1996)</w:t>
      </w:r>
    </w:p>
    <w:p>
      <w:pPr>
        <w:pStyle w:val="BodyText"/>
        <w:rPr>
          <w:b/>
          <w:sz w:val="20"/>
        </w:rPr>
      </w:pPr>
    </w:p>
    <w:p>
      <w:pPr>
        <w:pStyle w:val="BodyText"/>
        <w:rPr>
          <w:b/>
          <w:sz w:val="20"/>
        </w:rPr>
      </w:pPr>
    </w:p>
    <w:p>
      <w:pPr>
        <w:pStyle w:val="BodyText"/>
        <w:spacing w:before="3"/>
        <w:rPr>
          <w:b/>
          <w:sz w:val="11"/>
        </w:rPr>
      </w:pPr>
    </w:p>
    <w:tbl>
      <w:tblPr>
        <w:tblW w:w="0" w:type="auto"/>
        <w:jc w:val="left"/>
        <w:tblInd w:w="2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5"/>
        <w:gridCol w:w="5132"/>
        <w:gridCol w:w="732"/>
        <w:gridCol w:w="733"/>
        <w:gridCol w:w="734"/>
        <w:gridCol w:w="732"/>
        <w:gridCol w:w="732"/>
      </w:tblGrid>
      <w:tr>
        <w:trPr>
          <w:trHeight w:val="444" w:hRule="exact"/>
        </w:trPr>
        <w:tc>
          <w:tcPr>
            <w:tcW w:w="425" w:type="dxa"/>
          </w:tcPr>
          <w:p>
            <w:pPr/>
          </w:p>
        </w:tc>
        <w:tc>
          <w:tcPr>
            <w:tcW w:w="5132" w:type="dxa"/>
          </w:tcPr>
          <w:p>
            <w:pPr/>
          </w:p>
        </w:tc>
        <w:tc>
          <w:tcPr>
            <w:tcW w:w="732" w:type="dxa"/>
          </w:tcPr>
          <w:p>
            <w:pPr>
              <w:pStyle w:val="TableParagraph"/>
              <w:spacing w:before="118"/>
              <w:ind w:left="105" w:right="105"/>
              <w:rPr>
                <w:sz w:val="16"/>
              </w:rPr>
            </w:pPr>
            <w:r>
              <w:rPr>
                <w:sz w:val="16"/>
              </w:rPr>
              <w:t>Nunca</w:t>
            </w:r>
          </w:p>
        </w:tc>
        <w:tc>
          <w:tcPr>
            <w:tcW w:w="733" w:type="dxa"/>
          </w:tcPr>
          <w:p>
            <w:pPr>
              <w:pStyle w:val="TableParagraph"/>
              <w:spacing w:before="118"/>
              <w:ind w:left="4" w:right="2"/>
              <w:rPr>
                <w:sz w:val="16"/>
              </w:rPr>
            </w:pPr>
            <w:r>
              <w:rPr>
                <w:sz w:val="16"/>
              </w:rPr>
              <w:t>Rara Vez</w:t>
            </w:r>
          </w:p>
        </w:tc>
        <w:tc>
          <w:tcPr>
            <w:tcW w:w="734" w:type="dxa"/>
          </w:tcPr>
          <w:p>
            <w:pPr>
              <w:pStyle w:val="TableParagraph"/>
              <w:spacing w:before="25"/>
              <w:ind w:left="148" w:right="51" w:hanging="82"/>
              <w:jc w:val="left"/>
              <w:rPr>
                <w:sz w:val="16"/>
              </w:rPr>
            </w:pPr>
            <w:r>
              <w:rPr>
                <w:sz w:val="16"/>
              </w:rPr>
              <w:t>Algunas veces</w:t>
            </w:r>
          </w:p>
        </w:tc>
        <w:tc>
          <w:tcPr>
            <w:tcW w:w="732" w:type="dxa"/>
          </w:tcPr>
          <w:p>
            <w:pPr>
              <w:pStyle w:val="TableParagraph"/>
              <w:spacing w:before="25"/>
              <w:ind w:left="84" w:right="23" w:hanging="46"/>
              <w:jc w:val="left"/>
              <w:rPr>
                <w:sz w:val="16"/>
              </w:rPr>
            </w:pPr>
            <w:r>
              <w:rPr>
                <w:sz w:val="16"/>
              </w:rPr>
              <w:t>Bastante s veces</w:t>
            </w:r>
          </w:p>
        </w:tc>
        <w:tc>
          <w:tcPr>
            <w:tcW w:w="732" w:type="dxa"/>
          </w:tcPr>
          <w:p>
            <w:pPr>
              <w:pStyle w:val="TableParagraph"/>
              <w:spacing w:before="25"/>
              <w:ind w:left="72" w:right="52" w:firstLine="124"/>
              <w:jc w:val="left"/>
              <w:rPr>
                <w:sz w:val="16"/>
              </w:rPr>
            </w:pPr>
            <w:r>
              <w:rPr>
                <w:sz w:val="16"/>
              </w:rPr>
              <w:t>Casi siempre</w:t>
            </w:r>
          </w:p>
        </w:tc>
      </w:tr>
      <w:tr>
        <w:trPr>
          <w:trHeight w:val="283" w:hRule="exact"/>
        </w:trPr>
        <w:tc>
          <w:tcPr>
            <w:tcW w:w="5557" w:type="dxa"/>
            <w:gridSpan w:val="2"/>
          </w:tcPr>
          <w:p>
            <w:pPr>
              <w:pStyle w:val="TableParagraph"/>
              <w:spacing w:before="28"/>
              <w:ind w:left="2858" w:right="-3"/>
              <w:jc w:val="left"/>
              <w:rPr>
                <w:sz w:val="18"/>
              </w:rPr>
            </w:pPr>
            <w:r>
              <w:rPr>
                <w:sz w:val="18"/>
              </w:rPr>
              <w:t>Puntuación para cada respuesta*</w:t>
            </w:r>
          </w:p>
        </w:tc>
        <w:tc>
          <w:tcPr>
            <w:tcW w:w="732" w:type="dxa"/>
          </w:tcPr>
          <w:p>
            <w:pPr>
              <w:pStyle w:val="TableParagraph"/>
              <w:spacing w:before="28"/>
              <w:ind w:left="1"/>
              <w:rPr>
                <w:sz w:val="18"/>
              </w:rPr>
            </w:pPr>
            <w:r>
              <w:rPr>
                <w:w w:val="99"/>
                <w:sz w:val="18"/>
              </w:rPr>
              <w:t>1</w:t>
            </w:r>
          </w:p>
        </w:tc>
        <w:tc>
          <w:tcPr>
            <w:tcW w:w="733" w:type="dxa"/>
          </w:tcPr>
          <w:p>
            <w:pPr>
              <w:pStyle w:val="TableParagraph"/>
              <w:spacing w:before="28"/>
              <w:ind w:left="1"/>
              <w:rPr>
                <w:sz w:val="18"/>
              </w:rPr>
            </w:pPr>
            <w:r>
              <w:rPr>
                <w:w w:val="99"/>
                <w:sz w:val="18"/>
              </w:rPr>
              <w:t>2</w:t>
            </w:r>
          </w:p>
        </w:tc>
        <w:tc>
          <w:tcPr>
            <w:tcW w:w="734" w:type="dxa"/>
          </w:tcPr>
          <w:p>
            <w:pPr>
              <w:pStyle w:val="TableParagraph"/>
              <w:spacing w:before="28"/>
              <w:rPr>
                <w:sz w:val="18"/>
              </w:rPr>
            </w:pPr>
            <w:r>
              <w:rPr>
                <w:w w:val="99"/>
                <w:sz w:val="18"/>
              </w:rPr>
              <w:t>3</w:t>
            </w:r>
          </w:p>
        </w:tc>
        <w:tc>
          <w:tcPr>
            <w:tcW w:w="732" w:type="dxa"/>
          </w:tcPr>
          <w:p>
            <w:pPr>
              <w:pStyle w:val="TableParagraph"/>
              <w:spacing w:before="28"/>
              <w:ind w:right="1"/>
              <w:rPr>
                <w:sz w:val="18"/>
              </w:rPr>
            </w:pPr>
            <w:r>
              <w:rPr>
                <w:w w:val="99"/>
                <w:sz w:val="18"/>
              </w:rPr>
              <w:t>4</w:t>
            </w:r>
          </w:p>
        </w:tc>
        <w:tc>
          <w:tcPr>
            <w:tcW w:w="732" w:type="dxa"/>
          </w:tcPr>
          <w:p>
            <w:pPr>
              <w:pStyle w:val="TableParagraph"/>
              <w:spacing w:before="28"/>
              <w:ind w:left="1"/>
              <w:rPr>
                <w:sz w:val="18"/>
              </w:rPr>
            </w:pPr>
            <w:r>
              <w:rPr>
                <w:w w:val="99"/>
                <w:sz w:val="18"/>
              </w:rPr>
              <w:t>5</w:t>
            </w:r>
          </w:p>
        </w:tc>
      </w:tr>
      <w:tr>
        <w:trPr>
          <w:trHeight w:val="490" w:hRule="exact"/>
        </w:trPr>
        <w:tc>
          <w:tcPr>
            <w:tcW w:w="425" w:type="dxa"/>
          </w:tcPr>
          <w:p>
            <w:pPr>
              <w:pStyle w:val="TableParagraph"/>
              <w:spacing w:before="126"/>
              <w:ind w:left="1"/>
              <w:rPr>
                <w:b/>
                <w:sz w:val="18"/>
              </w:rPr>
            </w:pPr>
            <w:r>
              <w:rPr>
                <w:b/>
                <w:w w:val="99"/>
                <w:sz w:val="18"/>
              </w:rPr>
              <w:t>1</w:t>
            </w:r>
          </w:p>
        </w:tc>
        <w:tc>
          <w:tcPr>
            <w:tcW w:w="5132" w:type="dxa"/>
          </w:tcPr>
          <w:p>
            <w:pPr>
              <w:pStyle w:val="TableParagraph"/>
              <w:spacing w:before="28"/>
              <w:ind w:left="19"/>
              <w:jc w:val="left"/>
              <w:rPr>
                <w:sz w:val="18"/>
              </w:rPr>
            </w:pPr>
            <w:r>
              <w:rPr>
                <w:sz w:val="18"/>
              </w:rPr>
              <w:t>¿Piensa que su familiar pide más ayuda de la que realmente necesita?</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3" w:hRule="exact"/>
        </w:trPr>
        <w:tc>
          <w:tcPr>
            <w:tcW w:w="425" w:type="dxa"/>
          </w:tcPr>
          <w:p>
            <w:pPr>
              <w:pStyle w:val="TableParagraph"/>
              <w:spacing w:before="128"/>
              <w:ind w:left="1"/>
              <w:rPr>
                <w:b/>
                <w:sz w:val="18"/>
              </w:rPr>
            </w:pPr>
            <w:r>
              <w:rPr>
                <w:b/>
                <w:w w:val="99"/>
                <w:sz w:val="18"/>
              </w:rPr>
              <w:t>2</w:t>
            </w:r>
          </w:p>
        </w:tc>
        <w:tc>
          <w:tcPr>
            <w:tcW w:w="5132" w:type="dxa"/>
          </w:tcPr>
          <w:p>
            <w:pPr>
              <w:pStyle w:val="TableParagraph"/>
              <w:spacing w:before="28"/>
              <w:ind w:left="19"/>
              <w:jc w:val="left"/>
              <w:rPr>
                <w:sz w:val="18"/>
              </w:rPr>
            </w:pPr>
            <w:r>
              <w:rPr>
                <w:sz w:val="18"/>
              </w:rPr>
              <w:t>¿Piensa que debido al tiempo que dedica a su familiar no tiene suficiente tiempo para usted?</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1"/>
              <w:rPr>
                <w:b/>
                <w:sz w:val="18"/>
              </w:rPr>
            </w:pPr>
            <w:r>
              <w:rPr>
                <w:b/>
                <w:w w:val="99"/>
                <w:sz w:val="18"/>
              </w:rPr>
              <w:t>3</w:t>
            </w:r>
          </w:p>
        </w:tc>
        <w:tc>
          <w:tcPr>
            <w:tcW w:w="5132" w:type="dxa"/>
          </w:tcPr>
          <w:p>
            <w:pPr>
              <w:pStyle w:val="TableParagraph"/>
              <w:spacing w:before="28"/>
              <w:ind w:left="19" w:right="190"/>
              <w:jc w:val="left"/>
              <w:rPr>
                <w:sz w:val="18"/>
              </w:rPr>
            </w:pPr>
            <w:r>
              <w:rPr>
                <w:sz w:val="18"/>
              </w:rPr>
              <w:t>¿Se siente agobiado por intentar compatibilizar el cuidado de su familiar con otras responsabilidades (trabajo, familia)?</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1"/>
              <w:rPr>
                <w:b/>
                <w:sz w:val="18"/>
              </w:rPr>
            </w:pPr>
            <w:r>
              <w:rPr>
                <w:b/>
                <w:w w:val="99"/>
                <w:sz w:val="18"/>
              </w:rPr>
              <w:t>4</w:t>
            </w:r>
          </w:p>
        </w:tc>
        <w:tc>
          <w:tcPr>
            <w:tcW w:w="5132" w:type="dxa"/>
          </w:tcPr>
          <w:p>
            <w:pPr>
              <w:pStyle w:val="TableParagraph"/>
              <w:spacing w:before="28"/>
              <w:ind w:left="19"/>
              <w:jc w:val="left"/>
              <w:rPr>
                <w:sz w:val="18"/>
              </w:rPr>
            </w:pPr>
            <w:r>
              <w:rPr>
                <w:sz w:val="18"/>
              </w:rPr>
              <w:t>¿Siente vergüenza por la conducta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1"/>
              <w:rPr>
                <w:b/>
                <w:sz w:val="18"/>
              </w:rPr>
            </w:pPr>
            <w:r>
              <w:rPr>
                <w:b/>
                <w:w w:val="99"/>
                <w:sz w:val="18"/>
              </w:rPr>
              <w:t>5</w:t>
            </w:r>
          </w:p>
        </w:tc>
        <w:tc>
          <w:tcPr>
            <w:tcW w:w="5132" w:type="dxa"/>
          </w:tcPr>
          <w:p>
            <w:pPr>
              <w:pStyle w:val="TableParagraph"/>
              <w:spacing w:before="28"/>
              <w:ind w:left="19"/>
              <w:jc w:val="left"/>
              <w:rPr>
                <w:sz w:val="18"/>
              </w:rPr>
            </w:pPr>
            <w:r>
              <w:rPr>
                <w:sz w:val="18"/>
              </w:rPr>
              <w:t>¿Se siente enfadado cuando está cerca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1"/>
              <w:rPr>
                <w:b/>
                <w:sz w:val="18"/>
              </w:rPr>
            </w:pPr>
            <w:r>
              <w:rPr>
                <w:b/>
                <w:w w:val="99"/>
                <w:sz w:val="18"/>
              </w:rPr>
              <w:t>6</w:t>
            </w:r>
          </w:p>
        </w:tc>
        <w:tc>
          <w:tcPr>
            <w:tcW w:w="5132" w:type="dxa"/>
          </w:tcPr>
          <w:p>
            <w:pPr>
              <w:pStyle w:val="TableParagraph"/>
              <w:spacing w:before="28"/>
              <w:ind w:left="19" w:right="251"/>
              <w:jc w:val="left"/>
              <w:rPr>
                <w:sz w:val="18"/>
              </w:rPr>
            </w:pPr>
            <w:r>
              <w:rPr>
                <w:sz w:val="18"/>
              </w:rPr>
              <w:t>¿Piensa que el cuidar de su familiar afecta negativamente la relación que usted tiene con otros miembros de su familia?</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1"/>
              <w:rPr>
                <w:b/>
                <w:sz w:val="18"/>
              </w:rPr>
            </w:pPr>
            <w:r>
              <w:rPr>
                <w:b/>
                <w:w w:val="99"/>
                <w:sz w:val="18"/>
              </w:rPr>
              <w:t>7</w:t>
            </w:r>
          </w:p>
        </w:tc>
        <w:tc>
          <w:tcPr>
            <w:tcW w:w="5132" w:type="dxa"/>
          </w:tcPr>
          <w:p>
            <w:pPr>
              <w:pStyle w:val="TableParagraph"/>
              <w:spacing w:before="28"/>
              <w:ind w:left="19"/>
              <w:jc w:val="left"/>
              <w:rPr>
                <w:sz w:val="18"/>
              </w:rPr>
            </w:pPr>
            <w:r>
              <w:rPr>
                <w:sz w:val="18"/>
              </w:rPr>
              <w:t>¿Tiene miedo por el futuro de su familia?</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1"/>
              <w:rPr>
                <w:b/>
                <w:sz w:val="18"/>
              </w:rPr>
            </w:pPr>
            <w:r>
              <w:rPr>
                <w:b/>
                <w:w w:val="99"/>
                <w:sz w:val="18"/>
              </w:rPr>
              <w:t>8</w:t>
            </w:r>
          </w:p>
        </w:tc>
        <w:tc>
          <w:tcPr>
            <w:tcW w:w="5132" w:type="dxa"/>
          </w:tcPr>
          <w:p>
            <w:pPr>
              <w:pStyle w:val="TableParagraph"/>
              <w:spacing w:before="28"/>
              <w:ind w:left="19"/>
              <w:jc w:val="left"/>
              <w:rPr>
                <w:sz w:val="18"/>
              </w:rPr>
            </w:pPr>
            <w:r>
              <w:rPr>
                <w:sz w:val="18"/>
              </w:rPr>
              <w:t>¿Piensa que su familiar depende de usted?</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1"/>
              <w:rPr>
                <w:b/>
                <w:sz w:val="18"/>
              </w:rPr>
            </w:pPr>
            <w:r>
              <w:rPr>
                <w:b/>
                <w:w w:val="99"/>
                <w:sz w:val="18"/>
              </w:rPr>
              <w:t>9</w:t>
            </w:r>
          </w:p>
        </w:tc>
        <w:tc>
          <w:tcPr>
            <w:tcW w:w="5132" w:type="dxa"/>
          </w:tcPr>
          <w:p>
            <w:pPr>
              <w:pStyle w:val="TableParagraph"/>
              <w:spacing w:before="28"/>
              <w:ind w:left="19" w:right="40"/>
              <w:jc w:val="left"/>
              <w:rPr>
                <w:sz w:val="18"/>
              </w:rPr>
            </w:pPr>
            <w:r>
              <w:rPr>
                <w:sz w:val="18"/>
              </w:rPr>
              <w:t>¿Piensa que su salud ha empeorado debido a tener que cuidar a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83" w:right="81"/>
              <w:rPr>
                <w:b/>
                <w:sz w:val="18"/>
              </w:rPr>
            </w:pPr>
            <w:r>
              <w:rPr>
                <w:b/>
                <w:sz w:val="18"/>
              </w:rPr>
              <w:t>10</w:t>
            </w:r>
          </w:p>
        </w:tc>
        <w:tc>
          <w:tcPr>
            <w:tcW w:w="5132" w:type="dxa"/>
          </w:tcPr>
          <w:p>
            <w:pPr>
              <w:pStyle w:val="TableParagraph"/>
              <w:spacing w:before="28"/>
              <w:ind w:left="19"/>
              <w:jc w:val="left"/>
              <w:rPr>
                <w:sz w:val="18"/>
              </w:rPr>
            </w:pPr>
            <w:r>
              <w:rPr>
                <w:sz w:val="18"/>
              </w:rPr>
              <w:t>¿Se siente tenso cuando está cerca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11</w:t>
            </w:r>
          </w:p>
        </w:tc>
        <w:tc>
          <w:tcPr>
            <w:tcW w:w="5132" w:type="dxa"/>
          </w:tcPr>
          <w:p>
            <w:pPr>
              <w:pStyle w:val="TableParagraph"/>
              <w:spacing w:before="28"/>
              <w:ind w:left="19"/>
              <w:jc w:val="left"/>
              <w:rPr>
                <w:sz w:val="18"/>
              </w:rPr>
            </w:pPr>
            <w:r>
              <w:rPr>
                <w:sz w:val="18"/>
              </w:rPr>
              <w:t>¿Piensa que no tiene tanta intimidad como le gustaría debido a tener que cuidar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12</w:t>
            </w:r>
          </w:p>
        </w:tc>
        <w:tc>
          <w:tcPr>
            <w:tcW w:w="5132" w:type="dxa"/>
          </w:tcPr>
          <w:p>
            <w:pPr>
              <w:pStyle w:val="TableParagraph"/>
              <w:spacing w:before="28"/>
              <w:ind w:left="19"/>
              <w:jc w:val="left"/>
              <w:rPr>
                <w:sz w:val="18"/>
              </w:rPr>
            </w:pPr>
            <w:r>
              <w:rPr>
                <w:sz w:val="18"/>
              </w:rPr>
              <w:t>¿Siente que su vida social se ha visto afectada negativamente por tener que cuidar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13</w:t>
            </w:r>
          </w:p>
        </w:tc>
        <w:tc>
          <w:tcPr>
            <w:tcW w:w="5132" w:type="dxa"/>
          </w:tcPr>
          <w:p>
            <w:pPr>
              <w:pStyle w:val="TableParagraph"/>
              <w:spacing w:before="28"/>
              <w:ind w:left="19"/>
              <w:jc w:val="left"/>
              <w:rPr>
                <w:sz w:val="18"/>
              </w:rPr>
            </w:pPr>
            <w:r>
              <w:rPr>
                <w:sz w:val="18"/>
              </w:rPr>
              <w:t>¿Se siente incómodo por distanciarse de sus amistades debido a tener que cuidar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14</w:t>
            </w:r>
          </w:p>
        </w:tc>
        <w:tc>
          <w:tcPr>
            <w:tcW w:w="5132" w:type="dxa"/>
          </w:tcPr>
          <w:p>
            <w:pPr>
              <w:pStyle w:val="TableParagraph"/>
              <w:spacing w:before="28"/>
              <w:ind w:left="19" w:right="161"/>
              <w:jc w:val="left"/>
              <w:rPr>
                <w:sz w:val="18"/>
              </w:rPr>
            </w:pPr>
            <w:r>
              <w:rPr>
                <w:sz w:val="18"/>
              </w:rPr>
              <w:t>¿Piensa que su familiar lo considera a usted la única persona que le puede cuidar?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15</w:t>
            </w:r>
          </w:p>
        </w:tc>
        <w:tc>
          <w:tcPr>
            <w:tcW w:w="5132" w:type="dxa"/>
          </w:tcPr>
          <w:p>
            <w:pPr>
              <w:pStyle w:val="TableParagraph"/>
              <w:spacing w:before="28"/>
              <w:ind w:left="19"/>
              <w:jc w:val="left"/>
              <w:rPr>
                <w:sz w:val="18"/>
              </w:rPr>
            </w:pPr>
            <w:r>
              <w:rPr>
                <w:sz w:val="18"/>
              </w:rPr>
              <w:t>¿Piensa que no tiene suficientes ingresos económicos para los gastos de cuidar a su familiar, además de sus otros gastos?</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2" w:hRule="exact"/>
        </w:trPr>
        <w:tc>
          <w:tcPr>
            <w:tcW w:w="425" w:type="dxa"/>
          </w:tcPr>
          <w:p>
            <w:pPr>
              <w:pStyle w:val="TableParagraph"/>
              <w:spacing w:before="128"/>
              <w:ind w:left="83" w:right="81"/>
              <w:rPr>
                <w:b/>
                <w:sz w:val="18"/>
              </w:rPr>
            </w:pPr>
            <w:r>
              <w:rPr>
                <w:b/>
                <w:sz w:val="18"/>
              </w:rPr>
              <w:t>16</w:t>
            </w:r>
          </w:p>
        </w:tc>
        <w:tc>
          <w:tcPr>
            <w:tcW w:w="5132" w:type="dxa"/>
          </w:tcPr>
          <w:p>
            <w:pPr>
              <w:pStyle w:val="TableParagraph"/>
              <w:spacing w:before="28"/>
              <w:ind w:left="19"/>
              <w:jc w:val="left"/>
              <w:rPr>
                <w:sz w:val="18"/>
              </w:rPr>
            </w:pPr>
            <w:r>
              <w:rPr>
                <w:sz w:val="18"/>
              </w:rPr>
              <w:t>¿Piensa que no será capaz de cuidar a su familiar por mucho más tiempo?</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17</w:t>
            </w:r>
          </w:p>
        </w:tc>
        <w:tc>
          <w:tcPr>
            <w:tcW w:w="5132" w:type="dxa"/>
          </w:tcPr>
          <w:p>
            <w:pPr>
              <w:pStyle w:val="TableParagraph"/>
              <w:spacing w:before="28"/>
              <w:ind w:left="19" w:right="660"/>
              <w:jc w:val="left"/>
              <w:rPr>
                <w:sz w:val="18"/>
              </w:rPr>
            </w:pPr>
            <w:r>
              <w:rPr>
                <w:sz w:val="18"/>
              </w:rPr>
              <w:t>¿Siente que ha perdido el control de su vida desde que comenzó la enfermedad de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18</w:t>
            </w:r>
          </w:p>
        </w:tc>
        <w:tc>
          <w:tcPr>
            <w:tcW w:w="5132" w:type="dxa"/>
          </w:tcPr>
          <w:p>
            <w:pPr>
              <w:pStyle w:val="TableParagraph"/>
              <w:spacing w:before="28"/>
              <w:ind w:left="19" w:right="771"/>
              <w:jc w:val="left"/>
              <w:rPr>
                <w:sz w:val="18"/>
              </w:rPr>
            </w:pPr>
            <w:r>
              <w:rPr>
                <w:sz w:val="18"/>
              </w:rPr>
              <w:t>¿Desearía poder dejar el cuidado de su familiar a otra persona?</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83" w:right="81"/>
              <w:rPr>
                <w:b/>
                <w:sz w:val="18"/>
              </w:rPr>
            </w:pPr>
            <w:r>
              <w:rPr>
                <w:b/>
                <w:sz w:val="18"/>
              </w:rPr>
              <w:t>19</w:t>
            </w:r>
          </w:p>
        </w:tc>
        <w:tc>
          <w:tcPr>
            <w:tcW w:w="5132" w:type="dxa"/>
          </w:tcPr>
          <w:p>
            <w:pPr>
              <w:pStyle w:val="TableParagraph"/>
              <w:spacing w:before="28"/>
              <w:ind w:left="19"/>
              <w:jc w:val="left"/>
              <w:rPr>
                <w:sz w:val="18"/>
              </w:rPr>
            </w:pPr>
            <w:r>
              <w:rPr>
                <w:sz w:val="18"/>
              </w:rPr>
              <w:t>¿Se siente indeciso sobre qué hacer con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83" w:right="81"/>
              <w:rPr>
                <w:b/>
                <w:sz w:val="18"/>
              </w:rPr>
            </w:pPr>
            <w:r>
              <w:rPr>
                <w:b/>
                <w:sz w:val="18"/>
              </w:rPr>
              <w:t>20</w:t>
            </w:r>
          </w:p>
        </w:tc>
        <w:tc>
          <w:tcPr>
            <w:tcW w:w="5132" w:type="dxa"/>
          </w:tcPr>
          <w:p>
            <w:pPr>
              <w:pStyle w:val="TableParagraph"/>
              <w:spacing w:before="28"/>
              <w:ind w:left="19"/>
              <w:jc w:val="left"/>
              <w:rPr>
                <w:sz w:val="18"/>
              </w:rPr>
            </w:pPr>
            <w:r>
              <w:rPr>
                <w:sz w:val="18"/>
              </w:rPr>
              <w:t>¿Piensa que debería hacer más por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283" w:hRule="exact"/>
        </w:trPr>
        <w:tc>
          <w:tcPr>
            <w:tcW w:w="425" w:type="dxa"/>
          </w:tcPr>
          <w:p>
            <w:pPr>
              <w:pStyle w:val="TableParagraph"/>
              <w:spacing w:before="23"/>
              <w:ind w:left="83" w:right="81"/>
              <w:rPr>
                <w:b/>
                <w:sz w:val="18"/>
              </w:rPr>
            </w:pPr>
            <w:r>
              <w:rPr>
                <w:b/>
                <w:sz w:val="18"/>
              </w:rPr>
              <w:t>21</w:t>
            </w:r>
          </w:p>
        </w:tc>
        <w:tc>
          <w:tcPr>
            <w:tcW w:w="5132" w:type="dxa"/>
          </w:tcPr>
          <w:p>
            <w:pPr>
              <w:pStyle w:val="TableParagraph"/>
              <w:spacing w:before="28"/>
              <w:ind w:left="19"/>
              <w:jc w:val="left"/>
              <w:rPr>
                <w:sz w:val="18"/>
              </w:rPr>
            </w:pPr>
            <w:r>
              <w:rPr>
                <w:sz w:val="18"/>
              </w:rPr>
              <w:t>¿Piensa que podría cuidar mejor a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r>
        <w:trPr>
          <w:trHeight w:val="490" w:hRule="exact"/>
        </w:trPr>
        <w:tc>
          <w:tcPr>
            <w:tcW w:w="425" w:type="dxa"/>
          </w:tcPr>
          <w:p>
            <w:pPr>
              <w:pStyle w:val="TableParagraph"/>
              <w:spacing w:before="126"/>
              <w:ind w:left="83" w:right="81"/>
              <w:rPr>
                <w:b/>
                <w:sz w:val="18"/>
              </w:rPr>
            </w:pPr>
            <w:r>
              <w:rPr>
                <w:b/>
                <w:sz w:val="18"/>
              </w:rPr>
              <w:t>22</w:t>
            </w:r>
          </w:p>
        </w:tc>
        <w:tc>
          <w:tcPr>
            <w:tcW w:w="5132" w:type="dxa"/>
          </w:tcPr>
          <w:p>
            <w:pPr>
              <w:pStyle w:val="TableParagraph"/>
              <w:spacing w:before="28"/>
              <w:ind w:left="19"/>
              <w:jc w:val="left"/>
              <w:rPr>
                <w:sz w:val="18"/>
              </w:rPr>
            </w:pPr>
            <w:r>
              <w:rPr>
                <w:sz w:val="18"/>
              </w:rPr>
              <w:t>Globalmente ¿Qué grado de “carga” experimenta por el hecho de cuidar a su familiar?</w:t>
            </w:r>
          </w:p>
        </w:tc>
        <w:tc>
          <w:tcPr>
            <w:tcW w:w="732" w:type="dxa"/>
          </w:tcPr>
          <w:p>
            <w:pPr/>
          </w:p>
        </w:tc>
        <w:tc>
          <w:tcPr>
            <w:tcW w:w="733" w:type="dxa"/>
          </w:tcPr>
          <w:p>
            <w:pPr/>
          </w:p>
        </w:tc>
        <w:tc>
          <w:tcPr>
            <w:tcW w:w="734" w:type="dxa"/>
          </w:tcPr>
          <w:p>
            <w:pPr/>
          </w:p>
        </w:tc>
        <w:tc>
          <w:tcPr>
            <w:tcW w:w="732" w:type="dxa"/>
          </w:tcPr>
          <w:p>
            <w:pPr/>
          </w:p>
        </w:tc>
        <w:tc>
          <w:tcPr>
            <w:tcW w:w="732" w:type="dxa"/>
          </w:tcPr>
          <w:p>
            <w:pPr/>
          </w:p>
        </w:tc>
      </w:tr>
    </w:tbl>
    <w:p>
      <w:pPr>
        <w:spacing w:after="0"/>
        <w:sectPr>
          <w:pgSz w:w="12250" w:h="15850"/>
          <w:pgMar w:header="748" w:footer="1122" w:top="1260" w:bottom="1320" w:left="1720" w:right="940"/>
        </w:sectPr>
      </w:pPr>
    </w:p>
    <w:p>
      <w:pPr>
        <w:pStyle w:val="BodyText"/>
        <w:rPr>
          <w:b/>
          <w:sz w:val="20"/>
        </w:rPr>
      </w:pPr>
    </w:p>
    <w:p>
      <w:pPr>
        <w:pStyle w:val="BodyText"/>
        <w:rPr>
          <w:b/>
          <w:sz w:val="20"/>
        </w:rPr>
      </w:pPr>
    </w:p>
    <w:p>
      <w:pPr>
        <w:pStyle w:val="BodyText"/>
        <w:spacing w:before="5"/>
        <w:rPr>
          <w:b/>
          <w:sz w:val="21"/>
        </w:rPr>
      </w:pPr>
    </w:p>
    <w:p>
      <w:pPr>
        <w:spacing w:before="0"/>
        <w:ind w:left="405" w:right="0" w:firstLine="0"/>
        <w:jc w:val="left"/>
        <w:rPr>
          <w:sz w:val="24"/>
        </w:rPr>
      </w:pPr>
      <w:r>
        <w:rPr/>
        <w:drawing>
          <wp:anchor distT="0" distB="0" distL="0" distR="0" allowOverlap="1" layoutInCell="1" locked="0" behindDoc="0" simplePos="0" relativeHeight="4456">
            <wp:simplePos x="0" y="0"/>
            <wp:positionH relativeFrom="page">
              <wp:posOffset>1071880</wp:posOffset>
            </wp:positionH>
            <wp:positionV relativeFrom="paragraph">
              <wp:posOffset>188415</wp:posOffset>
            </wp:positionV>
            <wp:extent cx="1045844" cy="943609"/>
            <wp:effectExtent l="0" t="0" r="0" b="0"/>
            <wp:wrapNone/>
            <wp:docPr id="21" name="image42.jpeg" descr=""/>
            <wp:cNvGraphicFramePr>
              <a:graphicFrameLocks noChangeAspect="1"/>
            </wp:cNvGraphicFramePr>
            <a:graphic>
              <a:graphicData uri="http://schemas.openxmlformats.org/drawingml/2006/picture">
                <pic:pic>
                  <pic:nvPicPr>
                    <pic:cNvPr id="22" name="image42.jpeg"/>
                    <pic:cNvPicPr/>
                  </pic:nvPicPr>
                  <pic:blipFill>
                    <a:blip r:embed="rId131" cstate="print"/>
                    <a:stretch>
                      <a:fillRect/>
                    </a:stretch>
                  </pic:blipFill>
                  <pic:spPr>
                    <a:xfrm>
                      <a:off x="0" y="0"/>
                      <a:ext cx="1045844" cy="943609"/>
                    </a:xfrm>
                    <a:prstGeom prst="rect">
                      <a:avLst/>
                    </a:prstGeom>
                  </pic:spPr>
                </pic:pic>
              </a:graphicData>
            </a:graphic>
          </wp:anchor>
        </w:drawing>
      </w:r>
      <w:r>
        <w:rPr/>
        <w:drawing>
          <wp:anchor distT="0" distB="0" distL="0" distR="0" allowOverlap="1" layoutInCell="1" locked="0" behindDoc="0" simplePos="0" relativeHeight="4480">
            <wp:simplePos x="0" y="0"/>
            <wp:positionH relativeFrom="page">
              <wp:posOffset>6002654</wp:posOffset>
            </wp:positionH>
            <wp:positionV relativeFrom="paragraph">
              <wp:posOffset>218298</wp:posOffset>
            </wp:positionV>
            <wp:extent cx="1076959" cy="862926"/>
            <wp:effectExtent l="0" t="0" r="0" b="0"/>
            <wp:wrapNone/>
            <wp:docPr id="23" name="image41.jpeg" descr=""/>
            <wp:cNvGraphicFramePr>
              <a:graphicFrameLocks noChangeAspect="1"/>
            </wp:cNvGraphicFramePr>
            <a:graphic>
              <a:graphicData uri="http://schemas.openxmlformats.org/drawingml/2006/picture">
                <pic:pic>
                  <pic:nvPicPr>
                    <pic:cNvPr id="24" name="image41.jpeg"/>
                    <pic:cNvPicPr/>
                  </pic:nvPicPr>
                  <pic:blipFill>
                    <a:blip r:embed="rId130" cstate="print"/>
                    <a:stretch>
                      <a:fillRect/>
                    </a:stretch>
                  </pic:blipFill>
                  <pic:spPr>
                    <a:xfrm>
                      <a:off x="0" y="0"/>
                      <a:ext cx="1076959" cy="862926"/>
                    </a:xfrm>
                    <a:prstGeom prst="rect">
                      <a:avLst/>
                    </a:prstGeom>
                  </pic:spPr>
                </pic:pic>
              </a:graphicData>
            </a:graphic>
          </wp:anchor>
        </w:drawing>
      </w:r>
      <w:r>
        <w:rPr>
          <w:b/>
          <w:sz w:val="24"/>
        </w:rPr>
        <w:t>Anexo No.2  </w:t>
      </w:r>
      <w:r>
        <w:rPr>
          <w:sz w:val="24"/>
        </w:rPr>
        <w:t>Consentimiento informado</w:t>
      </w:r>
    </w:p>
    <w:p>
      <w:pPr>
        <w:spacing w:before="182"/>
        <w:ind w:left="1855" w:right="1891" w:firstLine="0"/>
        <w:jc w:val="center"/>
        <w:rPr>
          <w:b/>
          <w:sz w:val="23"/>
        </w:rPr>
      </w:pPr>
      <w:r>
        <w:rPr>
          <w:b/>
          <w:sz w:val="23"/>
        </w:rPr>
        <w:t>UNIVERSIDAD AUTÓNOMA DEL ESTADO DE MÉXICO</w:t>
      </w:r>
    </w:p>
    <w:p>
      <w:pPr>
        <w:pStyle w:val="BodyText"/>
        <w:rPr>
          <w:b/>
          <w:sz w:val="22"/>
        </w:rPr>
      </w:pPr>
    </w:p>
    <w:p>
      <w:pPr>
        <w:pStyle w:val="BodyText"/>
        <w:rPr>
          <w:b/>
          <w:sz w:val="22"/>
        </w:rPr>
      </w:pPr>
    </w:p>
    <w:p>
      <w:pPr>
        <w:pStyle w:val="Heading2"/>
        <w:spacing w:before="168"/>
        <w:ind w:left="1855" w:right="1888"/>
        <w:jc w:val="center"/>
      </w:pPr>
      <w:r>
        <w:rPr/>
        <w:t>FACULTAD DE ENFERMERÍA Y OBSTETRICIA</w:t>
      </w:r>
    </w:p>
    <w:p>
      <w:pPr>
        <w:pStyle w:val="BodyText"/>
        <w:rPr>
          <w:b/>
        </w:rPr>
      </w:pPr>
    </w:p>
    <w:p>
      <w:pPr>
        <w:pStyle w:val="BodyText"/>
        <w:spacing w:before="9"/>
        <w:rPr>
          <w:b/>
          <w:sz w:val="26"/>
        </w:rPr>
      </w:pPr>
    </w:p>
    <w:p>
      <w:pPr>
        <w:spacing w:before="0"/>
        <w:ind w:left="1854" w:right="1891" w:firstLine="0"/>
        <w:jc w:val="center"/>
        <w:rPr>
          <w:b/>
          <w:sz w:val="20"/>
        </w:rPr>
      </w:pPr>
      <w:r>
        <w:rPr>
          <w:b/>
          <w:sz w:val="20"/>
        </w:rPr>
        <w:t>CONSENTIMIENTO INFORMADO</w:t>
      </w:r>
    </w:p>
    <w:p>
      <w:pPr>
        <w:pStyle w:val="BodyText"/>
        <w:rPr>
          <w:b/>
          <w:sz w:val="20"/>
        </w:rPr>
      </w:pPr>
    </w:p>
    <w:p>
      <w:pPr>
        <w:pStyle w:val="BodyText"/>
        <w:rPr>
          <w:b/>
          <w:sz w:val="20"/>
        </w:rPr>
      </w:pPr>
    </w:p>
    <w:p>
      <w:pPr>
        <w:pStyle w:val="BodyText"/>
        <w:rPr>
          <w:b/>
          <w:sz w:val="20"/>
        </w:rPr>
      </w:pPr>
    </w:p>
    <w:p>
      <w:pPr>
        <w:pStyle w:val="BodyText"/>
        <w:spacing w:before="185"/>
        <w:ind w:left="405" w:right="433"/>
        <w:jc w:val="both"/>
      </w:pPr>
      <w:r>
        <w:rPr/>
        <w:t>Por medio de la presente me permito infórmale e invitarlo para ser parte de la investigación titulada “</w:t>
      </w:r>
      <w:r>
        <w:rPr>
          <w:b/>
        </w:rPr>
        <w:t>Nivel de sobrecarga en los cuidadores informales primarios de adultos mayores hospitalizados” </w:t>
      </w:r>
      <w:r>
        <w:rPr/>
        <w:t>que se llevará a cabo en un Hospital Público de segundo nivel perteneciente al Distrito Federal, México, teniendo como objetivo principal: Determinar el nivel de sobrecarga en el cuidador informal primario de adultos mayores hospitalizados en el servicio de medicina interna.</w:t>
      </w:r>
    </w:p>
    <w:p>
      <w:pPr>
        <w:pStyle w:val="BodyText"/>
      </w:pPr>
    </w:p>
    <w:p>
      <w:pPr>
        <w:pStyle w:val="BodyText"/>
        <w:ind w:left="405" w:right="440"/>
        <w:jc w:val="both"/>
      </w:pPr>
      <w:r>
        <w:rPr/>
        <w:t>Los beneficios de la profesión son proponer alternativas que ayuden a conllevar la sobrecarga que experimenta al cuidar de un paciente adulto mayor, mediante la educación y apoyo, con el objetivo de disminuir las repercusiones físicas, emocionales, laborales y sociales que puede llegar a experimentar.</w:t>
      </w:r>
    </w:p>
    <w:p>
      <w:pPr>
        <w:pStyle w:val="BodyText"/>
      </w:pPr>
    </w:p>
    <w:p>
      <w:pPr>
        <w:pStyle w:val="BodyText"/>
        <w:ind w:left="405" w:right="431"/>
        <w:jc w:val="both"/>
      </w:pPr>
      <w:r>
        <w:rPr/>
        <w:t>Los resultados arrojados serán manejos con estricta confidencialidad por el investigador, así como cabe mencionar que esta participación no tiene ningún riesgo, por lo que no se utilizarán nombres ni datos personales.</w:t>
      </w:r>
    </w:p>
    <w:p>
      <w:pPr>
        <w:pStyle w:val="BodyText"/>
      </w:pPr>
    </w:p>
    <w:p>
      <w:pPr>
        <w:pStyle w:val="BodyText"/>
        <w:tabs>
          <w:tab w:pos="6830" w:val="left" w:leader="none"/>
        </w:tabs>
        <w:ind w:left="405" w:right="440"/>
        <w:jc w:val="both"/>
      </w:pPr>
      <w:r>
        <w:rPr/>
        <w:t>Yo</w:t>
      </w:r>
      <w:r>
        <w:rPr>
          <w:u w:val="single"/>
        </w:rPr>
        <w:t> </w:t>
        <w:tab/>
      </w:r>
      <w:r>
        <w:rPr/>
        <w:t>he leído</w:t>
      </w:r>
      <w:r>
        <w:rPr>
          <w:spacing w:val="-4"/>
        </w:rPr>
        <w:t> </w:t>
      </w:r>
      <w:r>
        <w:rPr/>
        <w:t>e</w:t>
      </w:r>
      <w:r>
        <w:rPr>
          <w:spacing w:val="-1"/>
        </w:rPr>
        <w:t> </w:t>
      </w:r>
      <w:r>
        <w:rPr/>
        <w:t>interpretado</w:t>
      </w:r>
      <w:r>
        <w:rPr>
          <w:w w:val="99"/>
        </w:rPr>
        <w:t> </w:t>
      </w:r>
      <w:r>
        <w:rPr/>
        <w:t>la información antes descrita y mis preguntas han sido respondidas de manera clara y concisa. Y entiendo que la información y datos obtenidos sólo serán utilizados y difundidos con fines científicos. Por lo que acepto participar en esta investigación.</w:t>
      </w:r>
    </w:p>
    <w:p>
      <w:pPr>
        <w:pStyle w:val="BodyText"/>
      </w:pPr>
    </w:p>
    <w:p>
      <w:pPr>
        <w:pStyle w:val="BodyText"/>
      </w:pPr>
    </w:p>
    <w:p>
      <w:pPr>
        <w:pStyle w:val="BodyText"/>
      </w:pPr>
    </w:p>
    <w:p>
      <w:pPr>
        <w:pStyle w:val="BodyText"/>
        <w:spacing w:before="2"/>
      </w:pPr>
    </w:p>
    <w:p>
      <w:pPr>
        <w:tabs>
          <w:tab w:pos="5532" w:val="left" w:leader="none"/>
        </w:tabs>
        <w:spacing w:line="252" w:lineRule="exact" w:before="0"/>
        <w:ind w:left="405" w:right="0" w:firstLine="0"/>
        <w:jc w:val="both"/>
        <w:rPr>
          <w:sz w:val="22"/>
        </w:rPr>
      </w:pPr>
      <w:r>
        <w:rPr>
          <w:sz w:val="22"/>
          <w:u w:val="single"/>
        </w:rPr>
        <w:t>Nombre y firma</w:t>
      </w:r>
      <w:r>
        <w:rPr>
          <w:spacing w:val="-6"/>
          <w:sz w:val="22"/>
          <w:u w:val="single"/>
        </w:rPr>
        <w:t> </w:t>
      </w:r>
      <w:r>
        <w:rPr>
          <w:sz w:val="22"/>
          <w:u w:val="single"/>
        </w:rPr>
        <w:t>del</w:t>
      </w:r>
      <w:r>
        <w:rPr>
          <w:spacing w:val="-1"/>
          <w:sz w:val="22"/>
          <w:u w:val="single"/>
        </w:rPr>
        <w:t> </w:t>
      </w:r>
      <w:r>
        <w:rPr>
          <w:sz w:val="22"/>
          <w:u w:val="single"/>
        </w:rPr>
        <w:t>investigador</w:t>
      </w:r>
      <w:r>
        <w:rPr>
          <w:sz w:val="22"/>
        </w:rPr>
        <w:tab/>
      </w:r>
      <w:r>
        <w:rPr>
          <w:sz w:val="22"/>
          <w:u w:val="single"/>
        </w:rPr>
        <w:t>Correo</w:t>
      </w:r>
      <w:r>
        <w:rPr>
          <w:spacing w:val="-6"/>
          <w:sz w:val="22"/>
          <w:u w:val="single"/>
        </w:rPr>
        <w:t> </w:t>
      </w:r>
      <w:r>
        <w:rPr>
          <w:sz w:val="22"/>
          <w:u w:val="single"/>
        </w:rPr>
        <w:t>electrónico</w:t>
      </w:r>
    </w:p>
    <w:p>
      <w:pPr>
        <w:tabs>
          <w:tab w:pos="4930" w:val="left" w:leader="none"/>
        </w:tabs>
        <w:spacing w:line="252" w:lineRule="exact" w:before="0"/>
        <w:ind w:left="712" w:right="0" w:firstLine="0"/>
        <w:jc w:val="left"/>
        <w:rPr>
          <w:sz w:val="22"/>
        </w:rPr>
      </w:pPr>
      <w:r>
        <w:rPr>
          <w:sz w:val="22"/>
        </w:rPr>
        <w:t>LE Gerardo</w:t>
      </w:r>
      <w:r>
        <w:rPr>
          <w:spacing w:val="-4"/>
          <w:sz w:val="22"/>
        </w:rPr>
        <w:t> </w:t>
      </w:r>
      <w:r>
        <w:rPr>
          <w:sz w:val="22"/>
        </w:rPr>
        <w:t>Díaz</w:t>
      </w:r>
      <w:r>
        <w:rPr>
          <w:spacing w:val="-3"/>
          <w:sz w:val="22"/>
        </w:rPr>
        <w:t> </w:t>
      </w:r>
      <w:r>
        <w:rPr>
          <w:sz w:val="22"/>
        </w:rPr>
        <w:t>Jardón</w:t>
        <w:tab/>
      </w:r>
      <w:hyperlink r:id="rId136">
        <w:r>
          <w:rPr>
            <w:sz w:val="22"/>
            <w:u w:val="single"/>
          </w:rPr>
          <w:t>gerardosniper07@hotmail.com</w:t>
        </w:r>
      </w:hyperlink>
    </w:p>
    <w:p>
      <w:pPr>
        <w:spacing w:after="0" w:line="252" w:lineRule="exact"/>
        <w:jc w:val="left"/>
        <w:rPr>
          <w:sz w:val="22"/>
        </w:rPr>
        <w:sectPr>
          <w:pgSz w:w="12250" w:h="15850"/>
          <w:pgMar w:header="748" w:footer="1122" w:top="1260" w:bottom="1320" w:left="1580" w:right="980"/>
        </w:sectPr>
      </w:pPr>
    </w:p>
    <w:p>
      <w:pPr>
        <w:pStyle w:val="BodyText"/>
        <w:rPr>
          <w:sz w:val="20"/>
        </w:rPr>
      </w:pPr>
    </w:p>
    <w:p>
      <w:pPr>
        <w:pStyle w:val="BodyText"/>
        <w:rPr>
          <w:sz w:val="20"/>
        </w:rPr>
      </w:pPr>
    </w:p>
    <w:p>
      <w:pPr>
        <w:pStyle w:val="BodyText"/>
        <w:spacing w:before="5"/>
        <w:rPr>
          <w:sz w:val="21"/>
        </w:rPr>
      </w:pPr>
    </w:p>
    <w:p>
      <w:pPr>
        <w:pStyle w:val="Heading2"/>
        <w:ind w:left="265" w:right="0"/>
        <w:jc w:val="left"/>
      </w:pPr>
      <w:r>
        <w:rPr/>
        <w:t>Anexo No.3</w:t>
      </w:r>
    </w:p>
    <w:p>
      <w:pPr>
        <w:pStyle w:val="BodyText"/>
        <w:rPr>
          <w:b/>
          <w:sz w:val="20"/>
        </w:rPr>
      </w:pPr>
    </w:p>
    <w:p>
      <w:pPr>
        <w:pStyle w:val="BodyText"/>
        <w:rPr>
          <w:b/>
          <w:sz w:val="20"/>
        </w:rPr>
      </w:pPr>
    </w:p>
    <w:p>
      <w:pPr>
        <w:pStyle w:val="BodyText"/>
        <w:spacing w:before="4"/>
        <w:rPr>
          <w:b/>
          <w:sz w:val="13"/>
        </w:rPr>
      </w:pPr>
      <w:r>
        <w:rPr/>
        <w:drawing>
          <wp:anchor distT="0" distB="0" distL="0" distR="0" allowOverlap="1" layoutInCell="1" locked="0" behindDoc="0" simplePos="0" relativeHeight="4504">
            <wp:simplePos x="0" y="0"/>
            <wp:positionH relativeFrom="page">
              <wp:posOffset>1279525</wp:posOffset>
            </wp:positionH>
            <wp:positionV relativeFrom="paragraph">
              <wp:posOffset>122542</wp:posOffset>
            </wp:positionV>
            <wp:extent cx="5730662" cy="4574476"/>
            <wp:effectExtent l="0" t="0" r="0" b="0"/>
            <wp:wrapTopAndBottom/>
            <wp:docPr id="25" name="image47.png" descr=""/>
            <wp:cNvGraphicFramePr>
              <a:graphicFrameLocks noChangeAspect="1"/>
            </wp:cNvGraphicFramePr>
            <a:graphic>
              <a:graphicData uri="http://schemas.openxmlformats.org/drawingml/2006/picture">
                <pic:pic>
                  <pic:nvPicPr>
                    <pic:cNvPr id="26" name="image47.png"/>
                    <pic:cNvPicPr/>
                  </pic:nvPicPr>
                  <pic:blipFill>
                    <a:blip r:embed="rId137" cstate="print"/>
                    <a:stretch>
                      <a:fillRect/>
                    </a:stretch>
                  </pic:blipFill>
                  <pic:spPr>
                    <a:xfrm>
                      <a:off x="0" y="0"/>
                      <a:ext cx="5730662" cy="4574476"/>
                    </a:xfrm>
                    <a:prstGeom prst="rect">
                      <a:avLst/>
                    </a:prstGeom>
                  </pic:spPr>
                </pic:pic>
              </a:graphicData>
            </a:graphic>
          </wp:anchor>
        </w:drawing>
      </w:r>
    </w:p>
    <w:sectPr>
      <w:pgSz w:w="12250" w:h="15850"/>
      <w:pgMar w:header="748" w:footer="1122" w:top="1260" w:bottom="1320" w:left="1720" w:right="10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880" from="97.823997pt,723.119995pt" to="542.733997pt,723.119995pt" stroked="true" strokeweight=".47998pt" strokecolor="#000000">
          <w10:wrap type="none"/>
        </v:line>
      </w:pict>
    </w:r>
    <w:r>
      <w:rPr/>
      <w:pict>
        <v:shape style="position:absolute;margin-left:108.220001pt;margin-top:725.450012pt;width:388.65pt;height:22.9pt;mso-position-horizontal-relative:page;mso-position-vertical-relative:page;z-index:-174856"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Introducción</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4.26001pt;margin-top:725.450012pt;width:9.050pt;height:12pt;mso-position-horizontal-relative:page;mso-position-vertical-relative:page;z-index:-17483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w w:val="99"/>
                    <w:sz w:val="20"/>
                  </w:rPr>
                  <w:instrText> PAGE </w:instrText>
                </w:r>
                <w:r>
                  <w:rPr/>
                  <w:fldChar w:fldCharType="separate"/>
                </w:r>
                <w:r>
                  <w:rPr/>
                  <w:t>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232"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4208" type="#_x0000_t202" filled="false" stroked="false">
          <v:textbox inset="0,0,0,0">
            <w:txbxContent>
              <w:p>
                <w:pPr>
                  <w:spacing w:line="222" w:lineRule="exact" w:before="0"/>
                  <w:ind w:left="20" w:right="-5" w:firstLine="0"/>
                  <w:jc w:val="left"/>
                  <w:rPr>
                    <w:rFonts w:ascii="Calibri"/>
                    <w:sz w:val="20"/>
                  </w:rPr>
                </w:pPr>
                <w:r>
                  <w:rPr>
                    <w:rFonts w:ascii="Calibri"/>
                    <w:sz w:val="20"/>
                  </w:rPr>
                  <w:t>Cap. IV. Cuidador informal primario y cuidador profesional, similitudes y diferencias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3.1pt;height:12pt;mso-position-horizontal-relative:page;mso-position-vertical-relative:page;z-index:-174184" type="#_x0000_t202" filled="false" stroked="false">
          <v:textbox inset="0,0,0,0">
            <w:txbxContent>
              <w:p>
                <w:pPr>
                  <w:spacing w:line="223" w:lineRule="exact" w:before="0"/>
                  <w:ind w:left="40" w:right="-1" w:firstLine="0"/>
                  <w:jc w:val="left"/>
                  <w:rPr>
                    <w:rFonts w:ascii="Calibri"/>
                    <w:sz w:val="20"/>
                  </w:rPr>
                </w:pPr>
                <w:r>
                  <w:rPr/>
                  <w:fldChar w:fldCharType="begin"/>
                </w:r>
                <w:r>
                  <w:rPr>
                    <w:rFonts w:ascii="Calibri"/>
                    <w:sz w:val="20"/>
                  </w:rPr>
                  <w:instrText> PAGE </w:instrText>
                </w:r>
                <w:r>
                  <w:rPr/>
                  <w:fldChar w:fldCharType="separate"/>
                </w:r>
                <w:r>
                  <w:rPr/>
                  <w:t>2</w:t>
                </w:r>
                <w:r>
                  <w:rPr/>
                  <w:fldChar w:fldCharType="end"/>
                </w:r>
                <w:r>
                  <w:rPr>
                    <w:rFonts w:ascii="Calibri"/>
                    <w:sz w:val="20"/>
                  </w:rPr>
                  <w:t>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160"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4136" type="#_x0000_t202" filled="false" stroked="false">
          <v:textbox inset="0,0,0,0">
            <w:txbxContent>
              <w:p>
                <w:pPr>
                  <w:spacing w:line="222" w:lineRule="exact" w:before="0"/>
                  <w:ind w:left="20" w:right="-5" w:firstLine="0"/>
                  <w:jc w:val="left"/>
                  <w:rPr>
                    <w:rFonts w:ascii="Calibri"/>
                    <w:sz w:val="20"/>
                  </w:rPr>
                </w:pPr>
                <w:r>
                  <w:rPr>
                    <w:rFonts w:ascii="Calibri"/>
                    <w:sz w:val="20"/>
                  </w:rPr>
                  <w:t>Cap. IV. Cuidador informal primario y cuidador profesional, similitudes y diferencias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4112" type="#_x0000_t202" filled="false" stroked="false">
          <v:textbox inset="0,0,0,0">
            <w:txbxContent>
              <w:p>
                <w:pPr>
                  <w:spacing w:line="223" w:lineRule="exact" w:before="0"/>
                  <w:ind w:left="20" w:right="-1" w:firstLine="0"/>
                  <w:jc w:val="left"/>
                  <w:rPr>
                    <w:rFonts w:ascii="Calibri"/>
                    <w:sz w:val="20"/>
                  </w:rPr>
                </w:pPr>
                <w:r>
                  <w:rPr>
                    <w:rFonts w:ascii="Calibri"/>
                    <w:sz w:val="20"/>
                  </w:rPr>
                  <w:t>31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088"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4064"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Cap. V. Fenómeno de sobrecarga del cuidador</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404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32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016"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992"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Metodología</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96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944"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920"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89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45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872"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848"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3824" type="#_x0000_t202" filled="false" stroked="false">
          <v:textbox inset="0,0,0,0">
            <w:txbxContent>
              <w:p>
                <w:pPr>
                  <w:spacing w:line="223" w:lineRule="exact" w:before="0"/>
                  <w:ind w:left="20" w:right="-1" w:firstLine="0"/>
                  <w:jc w:val="left"/>
                  <w:rPr>
                    <w:rFonts w:ascii="Calibri"/>
                    <w:sz w:val="20"/>
                  </w:rPr>
                </w:pPr>
                <w:r>
                  <w:rPr>
                    <w:rFonts w:ascii="Calibri"/>
                    <w:sz w:val="20"/>
                  </w:rPr>
                  <w:t>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800"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776"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75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51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728"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704"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3680" type="#_x0000_t202" filled="false" stroked="false">
          <v:textbox inset="0,0,0,0">
            <w:txbxContent>
              <w:p>
                <w:pPr>
                  <w:spacing w:line="223" w:lineRule="exact" w:before="0"/>
                  <w:ind w:left="20" w:right="-1" w:firstLine="0"/>
                  <w:jc w:val="left"/>
                  <w:rPr>
                    <w:rFonts w:ascii="Calibri"/>
                    <w:sz w:val="20"/>
                  </w:rPr>
                </w:pPr>
                <w:r>
                  <w:rPr>
                    <w:rFonts w:ascii="Calibri"/>
                    <w:sz w:val="20"/>
                  </w:rPr>
                  <w:t>60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656"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632"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60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61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584"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560"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3536" type="#_x0000_t202" filled="false" stroked="false">
          <v:textbox inset="0,0,0,0">
            <w:txbxContent>
              <w:p>
                <w:pPr>
                  <w:spacing w:line="223" w:lineRule="exact" w:before="0"/>
                  <w:ind w:left="20" w:right="-1" w:firstLine="0"/>
                  <w:jc w:val="left"/>
                  <w:rPr>
                    <w:rFonts w:ascii="Calibri"/>
                    <w:sz w:val="20"/>
                  </w:rPr>
                </w:pPr>
                <w:r>
                  <w:rPr>
                    <w:rFonts w:ascii="Calibri"/>
                    <w:sz w:val="20"/>
                  </w:rPr>
                  <w:t>70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808" from="97.823997pt,723.119995pt" to="542.733997pt,723.119995pt" stroked="true" strokeweight=".47998pt" strokecolor="#000000">
          <w10:wrap type="none"/>
        </v:line>
      </w:pict>
    </w:r>
    <w:r>
      <w:rPr/>
      <w:pict>
        <v:shape style="position:absolute;margin-left:108.220001pt;margin-top:725.450012pt;width:388.65pt;height:22.9pt;mso-position-horizontal-relative:page;mso-position-vertical-relative:page;z-index:-174784"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Introducción</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450012pt;width:12.1pt;height:12pt;mso-position-horizontal-relative:page;mso-position-vertical-relative:page;z-index:-174760" type="#_x0000_t202" filled="false" stroked="false">
          <v:textbox inset="0,0,0,0">
            <w:txbxContent>
              <w:p>
                <w:pPr>
                  <w:spacing w:line="223" w:lineRule="exact" w:before="0"/>
                  <w:ind w:left="20" w:right="-1" w:firstLine="0"/>
                  <w:jc w:val="left"/>
                  <w:rPr>
                    <w:rFonts w:ascii="Calibri"/>
                    <w:sz w:val="20"/>
                  </w:rPr>
                </w:pPr>
                <w:r>
                  <w:rPr>
                    <w:rFonts w:ascii="Calibri"/>
                    <w:sz w:val="20"/>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512"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488"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46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71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440"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416"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3392" type="#_x0000_t202" filled="false" stroked="false">
          <v:textbox inset="0,0,0,0">
            <w:txbxContent>
              <w:p>
                <w:pPr>
                  <w:spacing w:line="223" w:lineRule="exact" w:before="0"/>
                  <w:ind w:left="20" w:right="-1" w:firstLine="0"/>
                  <w:jc w:val="left"/>
                  <w:rPr>
                    <w:rFonts w:ascii="Calibri"/>
                    <w:sz w:val="20"/>
                  </w:rPr>
                </w:pPr>
                <w:r>
                  <w:rPr>
                    <w:rFonts w:ascii="Calibri"/>
                    <w:sz w:val="20"/>
                  </w:rPr>
                  <w:t>80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368"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344"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32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81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296"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272"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3248" type="#_x0000_t202" filled="false" stroked="false">
          <v:textbox inset="0,0,0,0">
            <w:txbxContent>
              <w:p>
                <w:pPr>
                  <w:spacing w:line="223" w:lineRule="exact" w:before="0"/>
                  <w:ind w:left="20" w:right="-1" w:firstLine="0"/>
                  <w:jc w:val="left"/>
                  <w:rPr>
                    <w:rFonts w:ascii="Calibri"/>
                    <w:sz w:val="20"/>
                  </w:rPr>
                </w:pPr>
                <w:r>
                  <w:rPr>
                    <w:rFonts w:ascii="Calibri"/>
                    <w:sz w:val="20"/>
                  </w:rPr>
                  <w:t>90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224"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3200"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Descripción de resultados</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17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91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152" from="97.823997pt,723.23999pt" to="542.733997pt,723.23999pt" stroked="true" strokeweight=".47998pt" strokecolor="#000000">
          <w10:wrap type="none"/>
        </v:line>
      </w:pict>
    </w:r>
    <w:r>
      <w:rPr/>
      <w:pict>
        <v:shape style="position:absolute;margin-left:108.220001pt;margin-top:725.570007pt;width:388.95pt;height:22.9pt;mso-position-horizontal-relative:page;mso-position-vertical-relative:page;z-index:-173128" type="#_x0000_t202" filled="false" stroked="false">
          <v:textbox inset="0,0,0,0">
            <w:txbxContent>
              <w:p>
                <w:pPr>
                  <w:spacing w:line="222" w:lineRule="exact" w:before="0"/>
                  <w:ind w:left="20" w:right="0" w:firstLine="0"/>
                  <w:jc w:val="left"/>
                  <w:rPr>
                    <w:rFonts w:ascii="Calibri" w:hAnsi="Calibri"/>
                    <w:sz w:val="20"/>
                  </w:rPr>
                </w:pPr>
                <w:r>
                  <w:rPr>
                    <w:rFonts w:ascii="Calibri" w:hAnsi="Calibri"/>
                    <w:sz w:val="20"/>
                  </w:rPr>
                  <w:t>Discusión</w:t>
                </w:r>
              </w:p>
              <w:p>
                <w:pPr>
                  <w:spacing w:line="219" w:lineRule="exact" w:before="0"/>
                  <w:ind w:left="720" w:right="0"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310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96</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080" from="97.823997pt,723.23999pt" to="542.733997pt,723.23999pt" stroked="true" strokeweight=".47998pt" strokecolor="#000000">
          <w10:wrap type="none"/>
        </v:line>
      </w:pict>
    </w:r>
    <w:r>
      <w:rPr/>
      <w:pict>
        <v:shape style="position:absolute;margin-left:108.220001pt;margin-top:725.570007pt;width:388.95pt;height:22.9pt;mso-position-horizontal-relative:page;mso-position-vertical-relative:page;z-index:-173056" type="#_x0000_t202" filled="false" stroked="false">
          <v:textbox inset="0,0,0,0">
            <w:txbxContent>
              <w:p>
                <w:pPr>
                  <w:spacing w:line="222" w:lineRule="exact" w:before="0"/>
                  <w:ind w:left="20" w:right="0" w:firstLine="0"/>
                  <w:jc w:val="left"/>
                  <w:rPr>
                    <w:rFonts w:ascii="Calibri" w:hAnsi="Calibri"/>
                    <w:sz w:val="20"/>
                  </w:rPr>
                </w:pPr>
                <w:r>
                  <w:rPr>
                    <w:rFonts w:ascii="Calibri" w:hAnsi="Calibri"/>
                    <w:sz w:val="20"/>
                  </w:rPr>
                  <w:t>Discusión</w:t>
                </w:r>
              </w:p>
              <w:p>
                <w:pPr>
                  <w:spacing w:line="219" w:lineRule="exact" w:before="0"/>
                  <w:ind w:left="720" w:right="0"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5.059998pt;margin-top:725.570007pt;width:17.150pt;height:12pt;mso-position-horizontal-relative:page;mso-position-vertical-relative:page;z-index:-173032" type="#_x0000_t202" filled="false" stroked="false">
          <v:textbox inset="0,0,0,0">
            <w:txbxContent>
              <w:p>
                <w:pPr>
                  <w:spacing w:line="223" w:lineRule="exact" w:before="0"/>
                  <w:ind w:left="20" w:right="-2" w:firstLine="0"/>
                  <w:jc w:val="left"/>
                  <w:rPr>
                    <w:rFonts w:ascii="Calibri"/>
                    <w:sz w:val="20"/>
                  </w:rPr>
                </w:pPr>
                <w:r>
                  <w:rPr>
                    <w:rFonts w:ascii="Calibri"/>
                    <w:sz w:val="20"/>
                  </w:rPr>
                  <w:t>100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008" from="97.823997pt,723.23999pt" to="542.733997pt,723.23999pt" stroked="true" strokeweight=".47998pt" strokecolor="#000000">
          <w10:wrap type="none"/>
        </v:line>
      </w:pict>
    </w:r>
    <w:r>
      <w:rPr/>
      <w:pict>
        <v:shape style="position:absolute;margin-left:108.220001pt;margin-top:725.570007pt;width:388.95pt;height:22.9pt;mso-position-horizontal-relative:page;mso-position-vertical-relative:page;z-index:-172984" type="#_x0000_t202" filled="false" stroked="false">
          <v:textbox inset="0,0,0,0">
            <w:txbxContent>
              <w:p>
                <w:pPr>
                  <w:spacing w:line="222" w:lineRule="exact" w:before="0"/>
                  <w:ind w:left="20" w:right="0" w:firstLine="0"/>
                  <w:jc w:val="left"/>
                  <w:rPr>
                    <w:rFonts w:ascii="Calibri" w:hAnsi="Calibri"/>
                    <w:sz w:val="20"/>
                  </w:rPr>
                </w:pPr>
                <w:r>
                  <w:rPr>
                    <w:rFonts w:ascii="Calibri" w:hAnsi="Calibri"/>
                    <w:sz w:val="20"/>
                  </w:rPr>
                  <w:t>Discusión</w:t>
                </w:r>
              </w:p>
              <w:p>
                <w:pPr>
                  <w:spacing w:line="219" w:lineRule="exact" w:before="0"/>
                  <w:ind w:left="720" w:right="0"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4.059998pt;margin-top:725.570007pt;width:19.150pt;height:12pt;mso-position-horizontal-relative:page;mso-position-vertical-relative:page;z-index:-17296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936" from="97.823997pt,723.23999pt" to="542.733997pt,723.23999pt" stroked="true" strokeweight=".47998pt" strokecolor="#000000">
          <w10:wrap type="none"/>
        </v:line>
      </w:pict>
    </w:r>
    <w:r>
      <w:rPr/>
      <w:pict>
        <v:shape style="position:absolute;margin-left:108.220001pt;margin-top:725.570007pt;width:388.85pt;height:22.9pt;mso-position-horizontal-relative:page;mso-position-vertical-relative:page;z-index:-172912" type="#_x0000_t202" filled="false" stroked="false">
          <v:textbox inset="0,0,0,0">
            <w:txbxContent>
              <w:p>
                <w:pPr>
                  <w:spacing w:line="222" w:lineRule="exact" w:before="0"/>
                  <w:ind w:left="20" w:right="-1" w:firstLine="0"/>
                  <w:jc w:val="left"/>
                  <w:rPr>
                    <w:rFonts w:ascii="Calibri"/>
                    <w:sz w:val="20"/>
                  </w:rPr>
                </w:pPr>
                <w:r>
                  <w:rPr>
                    <w:rFonts w:ascii="Calibri"/>
                    <w:sz w:val="20"/>
                  </w:rPr>
                  <w:t>Conclusiones</w:t>
                </w:r>
              </w:p>
              <w:p>
                <w:pPr>
                  <w:spacing w:line="219" w:lineRule="exact" w:before="0"/>
                  <w:ind w:left="720" w:right="-1"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4.059998pt;margin-top:725.570007pt;width:19.150pt;height:12pt;mso-position-horizontal-relative:page;mso-position-vertical-relative:page;z-index:-17288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864" from="97.823997pt,723.23999pt" to="542.733997pt,723.23999pt" stroked="true" strokeweight=".47998pt" strokecolor="#000000">
          <w10:wrap type="none"/>
        </v:line>
      </w:pict>
    </w:r>
    <w:r>
      <w:rPr/>
      <w:pict>
        <v:shape style="position:absolute;margin-left:108.220001pt;margin-top:725.570007pt;width:388.95pt;height:22.9pt;mso-position-horizontal-relative:page;mso-position-vertical-relative:page;z-index:-172840" type="#_x0000_t202" filled="false" stroked="false">
          <v:textbox inset="0,0,0,0">
            <w:txbxContent>
              <w:p>
                <w:pPr>
                  <w:spacing w:line="222" w:lineRule="exact" w:before="0"/>
                  <w:ind w:left="20" w:right="0" w:firstLine="0"/>
                  <w:jc w:val="left"/>
                  <w:rPr>
                    <w:rFonts w:ascii="Calibri"/>
                    <w:sz w:val="20"/>
                  </w:rPr>
                </w:pPr>
                <w:r>
                  <w:rPr>
                    <w:rFonts w:ascii="Calibri"/>
                    <w:sz w:val="20"/>
                  </w:rPr>
                  <w:t>Sugerencias</w:t>
                </w:r>
              </w:p>
              <w:p>
                <w:pPr>
                  <w:spacing w:line="219" w:lineRule="exact" w:before="0"/>
                  <w:ind w:left="720" w:right="0"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4.059998pt;margin-top:725.570007pt;width:19.150pt;height:12pt;mso-position-horizontal-relative:page;mso-position-vertical-relative:page;z-index:-17281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736" from="97.823997pt,723.119995pt" to="542.733997pt,723.119995pt" stroked="true" strokeweight=".47998pt" strokecolor="#000000">
          <w10:wrap type="none"/>
        </v:line>
      </w:pict>
    </w:r>
    <w:r>
      <w:rPr/>
      <w:pict>
        <v:shape style="position:absolute;margin-left:108.220001pt;margin-top:725.450012pt;width:388.65pt;height:22.9pt;mso-position-horizontal-relative:page;mso-position-vertical-relative:page;z-index:-174712"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Introducción</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450012pt;width:12.1pt;height:12pt;mso-position-horizontal-relative:page;mso-position-vertical-relative:page;z-index:-174688" type="#_x0000_t202" filled="false" stroked="false">
          <v:textbox inset="0,0,0,0">
            <w:txbxContent>
              <w:p>
                <w:pPr>
                  <w:spacing w:line="223" w:lineRule="exact" w:before="0"/>
                  <w:ind w:left="20" w:right="-1" w:firstLine="0"/>
                  <w:jc w:val="left"/>
                  <w:rPr>
                    <w:rFonts w:ascii="Calibri"/>
                    <w:sz w:val="20"/>
                  </w:rPr>
                </w:pPr>
                <w:r>
                  <w:rPr>
                    <w:rFonts w:ascii="Calibri"/>
                    <w:sz w:val="20"/>
                  </w:rPr>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792" from="97.823997pt,701.135986pt" to="542.733997pt,701.135986pt" stroked="true" strokeweight=".47998pt" strokecolor="#000000">
          <w10:wrap type="none"/>
        </v:line>
      </w:pict>
    </w:r>
    <w:r>
      <w:rPr/>
      <w:pict>
        <v:shape style="position:absolute;margin-left:108.220001pt;margin-top:703.466003pt;width:388.65pt;height:22.95pt;mso-position-horizontal-relative:page;mso-position-vertical-relative:page;z-index:-172768"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Fuentes de información</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4.059998pt;margin-top:703.466003pt;width:19.150pt;height:12pt;mso-position-horizontal-relative:page;mso-position-vertical-relative:page;z-index:-17274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720" from="97.823997pt,701.135986pt" to="542.733997pt,701.135986pt" stroked="true" strokeweight=".47998pt" strokecolor="#000000">
          <w10:wrap type="none"/>
        </v:line>
      </w:pict>
    </w:r>
    <w:r>
      <w:rPr/>
      <w:pict>
        <v:shape style="position:absolute;margin-left:108.220001pt;margin-top:703.466003pt;width:388.65pt;height:22.95pt;mso-position-horizontal-relative:page;mso-position-vertical-relative:page;z-index:-172696"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Fuentes de información</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5.059998pt;margin-top:703.466003pt;width:17.150pt;height:12pt;mso-position-horizontal-relative:page;mso-position-vertical-relative:page;z-index:-172672" type="#_x0000_t202" filled="false" stroked="false">
          <v:textbox inset="0,0,0,0">
            <w:txbxContent>
              <w:p>
                <w:pPr>
                  <w:spacing w:line="223" w:lineRule="exact" w:before="0"/>
                  <w:ind w:left="20" w:right="-2" w:firstLine="0"/>
                  <w:jc w:val="left"/>
                  <w:rPr>
                    <w:rFonts w:ascii="Calibri"/>
                    <w:sz w:val="20"/>
                  </w:rPr>
                </w:pPr>
                <w:r>
                  <w:rPr>
                    <w:rFonts w:ascii="Calibri"/>
                    <w:sz w:val="20"/>
                  </w:rPr>
                  <w:t>110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648" from="97.823997pt,701.135986pt" to="542.733997pt,701.135986pt" stroked="true" strokeweight=".47998pt" strokecolor="#000000">
          <w10:wrap type="none"/>
        </v:line>
      </w:pict>
    </w:r>
    <w:r>
      <w:rPr/>
      <w:pict>
        <v:shape style="position:absolute;margin-left:108.220001pt;margin-top:703.466003pt;width:388.65pt;height:22.95pt;mso-position-horizontal-relative:page;mso-position-vertical-relative:page;z-index:-172624" type="#_x0000_t202" filled="false" stroked="false">
          <v:textbox inset="0,0,0,0">
            <w:txbxContent>
              <w:p>
                <w:pPr>
                  <w:spacing w:line="222" w:lineRule="exact" w:before="0"/>
                  <w:ind w:left="20" w:right="-5" w:firstLine="0"/>
                  <w:jc w:val="left"/>
                  <w:rPr>
                    <w:rFonts w:ascii="Calibri" w:hAnsi="Calibri"/>
                    <w:sz w:val="20"/>
                  </w:rPr>
                </w:pPr>
                <w:r>
                  <w:rPr>
                    <w:rFonts w:ascii="Calibri" w:hAnsi="Calibri"/>
                    <w:sz w:val="20"/>
                  </w:rPr>
                  <w:t>Fuentes de información</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4.059998pt;margin-top:703.466003pt;width:19.150pt;height:12pt;mso-position-horizontal-relative:page;mso-position-vertical-relative:page;z-index:-17260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576" from="97.823997pt,723.23999pt" to="542.733997pt,723.23999pt" stroked="true" strokeweight=".47998pt" strokecolor="#000000">
          <w10:wrap type="none"/>
        </v:line>
      </w:pict>
    </w:r>
    <w:r>
      <w:rPr/>
      <w:pict>
        <v:shape style="position:absolute;margin-left:108.220001pt;margin-top:725.570007pt;width:31.45pt;height:12pt;mso-position-horizontal-relative:page;mso-position-vertical-relative:page;z-index:-172552" type="#_x0000_t202" filled="false" stroked="false">
          <v:textbox inset="0,0,0,0">
            <w:txbxContent>
              <w:p>
                <w:pPr>
                  <w:spacing w:line="223" w:lineRule="exact" w:before="0"/>
                  <w:ind w:left="20" w:right="-2" w:firstLine="0"/>
                  <w:jc w:val="left"/>
                  <w:rPr>
                    <w:rFonts w:ascii="Calibri"/>
                    <w:sz w:val="20"/>
                  </w:rPr>
                </w:pPr>
                <w:r>
                  <w:rPr>
                    <w:rFonts w:ascii="Calibri"/>
                    <w:sz w:val="20"/>
                  </w:rPr>
                  <w:t>Anexos</w:t>
                </w:r>
              </w:p>
            </w:txbxContent>
          </v:textbox>
          <w10:wrap type="none"/>
        </v:shape>
      </w:pict>
    </w:r>
    <w:r>
      <w:rPr/>
      <w:pict>
        <v:shape style="position:absolute;margin-left:524.059998pt;margin-top:725.570007pt;width:19.150pt;height:12pt;mso-position-horizontal-relative:page;mso-position-vertical-relative:page;z-index:-17252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114</w:t>
                </w:r>
                <w:r>
                  <w:rPr/>
                  <w:fldChar w:fldCharType="end"/>
                </w:r>
              </w:p>
            </w:txbxContent>
          </v:textbox>
          <w10:wrap type="none"/>
        </v:shape>
      </w:pict>
    </w:r>
    <w:r>
      <w:rPr/>
      <w:pict>
        <v:shape style="position:absolute;margin-left:143.259995pt;margin-top:737.450012pt;width:353.85pt;height:11pt;mso-position-horizontal-relative:page;mso-position-vertical-relative:page;z-index:-172504" type="#_x0000_t202" filled="false" stroked="false">
          <v:textbox inset="0,0,0,0">
            <w:txbxContent>
              <w:p>
                <w:pPr>
                  <w:spacing w:line="203" w:lineRule="exact" w:before="0"/>
                  <w:ind w:left="20" w:right="-1"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664" from="97.823997pt,723.23999pt" to="542.733997pt,723.23999pt" stroked="true" strokeweight=".47998pt" strokecolor="#000000">
          <w10:wrap type="none"/>
        </v:line>
      </w:pict>
    </w:r>
    <w:r>
      <w:rPr/>
      <w:pict>
        <v:shape style="position:absolute;margin-left:108.220001pt;margin-top:725.570007pt;width:388.95pt;height:22.9pt;mso-position-horizontal-relative:page;mso-position-vertical-relative:page;z-index:-174640" type="#_x0000_t202" filled="false" stroked="false">
          <v:textbox inset="0,0,0,0">
            <w:txbxContent>
              <w:p>
                <w:pPr>
                  <w:spacing w:line="222" w:lineRule="exact" w:before="0"/>
                  <w:ind w:left="20" w:right="0" w:firstLine="0"/>
                  <w:jc w:val="left"/>
                  <w:rPr>
                    <w:rFonts w:ascii="Calibri"/>
                    <w:sz w:val="20"/>
                  </w:rPr>
                </w:pPr>
                <w:r>
                  <w:rPr>
                    <w:rFonts w:ascii="Calibri"/>
                    <w:sz w:val="20"/>
                  </w:rPr>
                  <w:t>Planteamiento del Problema</w:t>
                </w:r>
              </w:p>
              <w:p>
                <w:pPr>
                  <w:spacing w:line="219" w:lineRule="exact" w:before="0"/>
                  <w:ind w:left="720" w:right="0"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461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592" from="97.823997pt,723.23999pt" to="542.733997pt,723.23999pt" stroked="true" strokeweight=".47998pt" strokecolor="#000000">
          <w10:wrap type="none"/>
        </v:line>
      </w:pict>
    </w:r>
    <w:r>
      <w:rPr/>
      <w:pict>
        <v:shape style="position:absolute;margin-left:108.220001pt;margin-top:725.570007pt;width:388.95pt;height:22.9pt;mso-position-horizontal-relative:page;mso-position-vertical-relative:page;z-index:-174568" type="#_x0000_t202" filled="false" stroked="false">
          <v:textbox inset="0,0,0,0">
            <w:txbxContent>
              <w:p>
                <w:pPr>
                  <w:spacing w:line="222" w:lineRule="exact" w:before="0"/>
                  <w:ind w:left="20" w:right="0" w:firstLine="0"/>
                  <w:jc w:val="left"/>
                  <w:rPr>
                    <w:rFonts w:ascii="Calibri"/>
                    <w:sz w:val="20"/>
                  </w:rPr>
                </w:pPr>
                <w:r>
                  <w:rPr>
                    <w:rFonts w:ascii="Calibri"/>
                    <w:sz w:val="20"/>
                  </w:rPr>
                  <w:t>Cap. I. Antecedentes y estado actual del tema</w:t>
                </w:r>
              </w:p>
              <w:p>
                <w:pPr>
                  <w:spacing w:line="219" w:lineRule="exact" w:before="0"/>
                  <w:ind w:left="720" w:right="0"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4544"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520" from="97.823997pt,723.23999pt" to="542.733997pt,723.23999pt" stroked="true" strokeweight=".47998pt" strokecolor="#000000">
          <w10:wrap type="none"/>
        </v:line>
      </w:pict>
    </w:r>
    <w:r>
      <w:rPr/>
      <w:pict>
        <v:shape style="position:absolute;margin-left:108.220001pt;margin-top:725.570007pt;width:388.85pt;height:22.9pt;mso-position-horizontal-relative:page;mso-position-vertical-relative:page;z-index:-174496" type="#_x0000_t202" filled="false" stroked="false">
          <v:textbox inset="0,0,0,0">
            <w:txbxContent>
              <w:p>
                <w:pPr>
                  <w:spacing w:line="222" w:lineRule="exact" w:before="0"/>
                  <w:ind w:left="20" w:right="-1" w:firstLine="0"/>
                  <w:jc w:val="left"/>
                  <w:rPr>
                    <w:rFonts w:ascii="Calibri" w:hAnsi="Calibri"/>
                    <w:sz w:val="20"/>
                  </w:rPr>
                </w:pPr>
                <w:r>
                  <w:rPr>
                    <w:rFonts w:ascii="Calibri" w:hAnsi="Calibri"/>
                    <w:sz w:val="20"/>
                  </w:rPr>
                  <w:t>Cap. II. Fenómeno de dependencia y hospitalización</w:t>
                </w:r>
              </w:p>
              <w:p>
                <w:pPr>
                  <w:spacing w:line="219" w:lineRule="exact" w:before="0"/>
                  <w:ind w:left="720" w:right="-1"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4472"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448" from="97.823997pt,723.23999pt" to="542.733997pt,723.23999pt" stroked="true" strokeweight=".47998pt" strokecolor="#000000">
          <w10:wrap type="none"/>
        </v:line>
      </w:pict>
    </w:r>
    <w:r>
      <w:rPr/>
      <w:pict>
        <v:shape style="position:absolute;margin-left:108.220001pt;margin-top:725.570007pt;width:388.85pt;height:22.9pt;mso-position-horizontal-relative:page;mso-position-vertical-relative:page;z-index:-174424" type="#_x0000_t202" filled="false" stroked="false">
          <v:textbox inset="0,0,0,0">
            <w:txbxContent>
              <w:p>
                <w:pPr>
                  <w:spacing w:line="222" w:lineRule="exact" w:before="0"/>
                  <w:ind w:left="20" w:right="-1" w:firstLine="0"/>
                  <w:jc w:val="left"/>
                  <w:rPr>
                    <w:rFonts w:ascii="Calibri" w:hAnsi="Calibri"/>
                    <w:sz w:val="20"/>
                  </w:rPr>
                </w:pPr>
                <w:r>
                  <w:rPr>
                    <w:rFonts w:ascii="Calibri" w:hAnsi="Calibri"/>
                    <w:sz w:val="20"/>
                  </w:rPr>
                  <w:t>Cap. II. Fenómeno de dependencia y hospitalización</w:t>
                </w:r>
              </w:p>
              <w:p>
                <w:pPr>
                  <w:spacing w:line="219" w:lineRule="exact" w:before="0"/>
                  <w:ind w:left="720" w:right="-1"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30.219971pt;margin-top:725.570007pt;width:12.1pt;height:12pt;mso-position-horizontal-relative:page;mso-position-vertical-relative:page;z-index:-174400" type="#_x0000_t202" filled="false" stroked="false">
          <v:textbox inset="0,0,0,0">
            <w:txbxContent>
              <w:p>
                <w:pPr>
                  <w:spacing w:line="223" w:lineRule="exact" w:before="0"/>
                  <w:ind w:left="20" w:right="-1" w:firstLine="0"/>
                  <w:jc w:val="left"/>
                  <w:rPr>
                    <w:rFonts w:ascii="Calibri"/>
                    <w:sz w:val="20"/>
                  </w:rPr>
                </w:pPr>
                <w:r>
                  <w:rPr>
                    <w:rFonts w:ascii="Calibri"/>
                    <w:sz w:val="20"/>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376" from="97.823997pt,723.23999pt" to="542.733997pt,723.23999pt" stroked="true" strokeweight=".47998pt" strokecolor="#000000">
          <w10:wrap type="none"/>
        </v:line>
      </w:pict>
    </w:r>
    <w:r>
      <w:rPr/>
      <w:pict>
        <v:shape style="position:absolute;margin-left:108.220001pt;margin-top:725.570007pt;width:388.85pt;height:22.9pt;mso-position-horizontal-relative:page;mso-position-vertical-relative:page;z-index:-174352" type="#_x0000_t202" filled="false" stroked="false">
          <v:textbox inset="0,0,0,0">
            <w:txbxContent>
              <w:p>
                <w:pPr>
                  <w:spacing w:line="222" w:lineRule="exact" w:before="0"/>
                  <w:ind w:left="20" w:right="-1" w:firstLine="0"/>
                  <w:jc w:val="left"/>
                  <w:rPr>
                    <w:rFonts w:ascii="Calibri" w:hAnsi="Calibri"/>
                    <w:sz w:val="20"/>
                  </w:rPr>
                </w:pPr>
                <w:r>
                  <w:rPr>
                    <w:rFonts w:ascii="Calibri" w:hAnsi="Calibri"/>
                    <w:sz w:val="20"/>
                  </w:rPr>
                  <w:t>Cap. II. Fenómeno de dependencia y hospitalización</w:t>
                </w:r>
              </w:p>
              <w:p>
                <w:pPr>
                  <w:spacing w:line="219" w:lineRule="exact" w:before="0"/>
                  <w:ind w:left="720" w:right="-1"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4328"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304" from="97.823997pt,723.23999pt" to="542.733997pt,723.23999pt" stroked="true" strokeweight=".47998pt" strokecolor="#000000">
          <w10:wrap type="none"/>
        </v:line>
      </w:pict>
    </w:r>
    <w:r>
      <w:rPr/>
      <w:pict>
        <v:shape style="position:absolute;margin-left:108.220001pt;margin-top:725.570007pt;width:388.65pt;height:22.9pt;mso-position-horizontal-relative:page;mso-position-vertical-relative:page;z-index:-174280" type="#_x0000_t202" filled="false" stroked="false">
          <v:textbox inset="0,0,0,0">
            <w:txbxContent>
              <w:p>
                <w:pPr>
                  <w:spacing w:line="222" w:lineRule="exact" w:before="0"/>
                  <w:ind w:left="20" w:right="-5" w:firstLine="0"/>
                  <w:jc w:val="left"/>
                  <w:rPr>
                    <w:rFonts w:ascii="Calibri"/>
                    <w:sz w:val="20"/>
                  </w:rPr>
                </w:pPr>
                <w:r>
                  <w:rPr>
                    <w:rFonts w:ascii="Calibri"/>
                    <w:sz w:val="20"/>
                  </w:rPr>
                  <w:t>Cap. III. Conceptualizando al cuidador</w:t>
                </w:r>
              </w:p>
              <w:p>
                <w:pPr>
                  <w:spacing w:line="219" w:lineRule="exact" w:before="0"/>
                  <w:ind w:left="720" w:right="-5" w:firstLine="0"/>
                  <w:jc w:val="left"/>
                  <w:rPr>
                    <w:rFonts w:ascii="Calibri"/>
                    <w:b/>
                    <w:sz w:val="18"/>
                  </w:rPr>
                </w:pPr>
                <w:r>
                  <w:rPr>
                    <w:rFonts w:ascii="Calibri"/>
                    <w:b/>
                    <w:sz w:val="18"/>
                  </w:rPr>
                  <w:t>Nivel de sobrecarga en los cuidadores informales primarios de adultos mayores hospitalizados</w:t>
                </w:r>
              </w:p>
            </w:txbxContent>
          </v:textbox>
          <w10:wrap type="none"/>
        </v:shape>
      </w:pict>
    </w:r>
    <w:r>
      <w:rPr/>
      <w:pict>
        <v:shape style="position:absolute;margin-left:529.219971pt;margin-top:725.570007pt;width:14.1pt;height:12pt;mso-position-horizontal-relative:page;mso-position-vertical-relative:page;z-index:-17425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65.809998pt;margin-top:99.69622pt;width:99.4pt;height:14pt;mso-position-horizontal-relative:page;mso-position-vertical-relative:page;z-index:-175000" type="#_x0000_t202" filled="false" stroked="false">
          <v:textbox inset="0,0,0,0">
            <w:txbxContent>
              <w:p>
                <w:pPr>
                  <w:spacing w:line="265" w:lineRule="exact" w:before="0"/>
                  <w:ind w:left="20" w:right="0" w:firstLine="0"/>
                  <w:jc w:val="left"/>
                  <w:rPr>
                    <w:b/>
                    <w:i/>
                    <w:sz w:val="24"/>
                  </w:rPr>
                </w:pPr>
                <w:r>
                  <w:rPr>
                    <w:b/>
                    <w:i/>
                    <w:sz w:val="24"/>
                  </w:rPr>
                  <w:t>Agradecimientos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1.529999pt;margin-top:99.576218pt;width:77.5pt;height:14pt;mso-position-horizontal-relative:page;mso-position-vertical-relative:page;z-index:-174976" type="#_x0000_t202" filled="false" stroked="false">
          <v:textbox inset="0,0,0,0">
            <w:txbxContent>
              <w:p>
                <w:pPr>
                  <w:spacing w:line="265" w:lineRule="exact" w:before="0"/>
                  <w:ind w:left="20" w:right="0" w:firstLine="0"/>
                  <w:jc w:val="left"/>
                  <w:rPr>
                    <w:i/>
                    <w:sz w:val="24"/>
                  </w:rPr>
                </w:pPr>
                <w:r>
                  <w:rPr>
                    <w:b/>
                    <w:i/>
                    <w:sz w:val="24"/>
                  </w:rPr>
                  <w:t>Dedicatorias</w:t>
                </w:r>
                <w:r>
                  <w:rPr>
                    <w:i/>
                    <w:sz w:val="24"/>
                  </w:rPr>
                  <w:t>:</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809998pt;margin-top:99.69622pt;width:36.75pt;height:14pt;mso-position-horizontal-relative:page;mso-position-vertical-relative:page;z-index:-174952" type="#_x0000_t202" filled="false" stroked="false">
          <v:textbox inset="0,0,0,0">
            <w:txbxContent>
              <w:p>
                <w:pPr>
                  <w:spacing w:line="265" w:lineRule="exact" w:before="0"/>
                  <w:ind w:left="20" w:right="0" w:firstLine="0"/>
                  <w:jc w:val="left"/>
                  <w:rPr>
                    <w:b/>
                    <w:i/>
                    <w:sz w:val="24"/>
                  </w:rPr>
                </w:pPr>
                <w:r>
                  <w:rPr>
                    <w:b/>
                    <w:i/>
                    <w:sz w:val="24"/>
                  </w:rPr>
                  <w:t>Índice</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928" from="97.823997pt,63.599995pt" to="542.733997pt,63.599995pt" stroked="true" strokeweight=".48pt" strokecolor="#000000">
          <w10:wrap type="none"/>
        </v:line>
      </w:pict>
    </w:r>
    <w:r>
      <w:rPr/>
      <w:pict>
        <v:shape style="position:absolute;margin-left:227.889999pt;margin-top:36.409996pt;width:184.35pt;height:25.55pt;mso-position-horizontal-relative:page;mso-position-vertical-relative:page;z-index:-174904" type="#_x0000_t202" filled="false" stroked="false">
          <v:textbox inset="0,0,0,0">
            <w:txbxContent>
              <w:p>
                <w:pPr>
                  <w:spacing w:line="223" w:lineRule="exact" w:before="0"/>
                  <w:ind w:left="0" w:right="0" w:firstLine="0"/>
                  <w:jc w:val="center"/>
                  <w:rPr>
                    <w:rFonts w:ascii="Calibri" w:hAnsi="Calibri"/>
                    <w:sz w:val="20"/>
                  </w:rPr>
                </w:pPr>
                <w:r>
                  <w:rPr>
                    <w:rFonts w:ascii="Calibri" w:hAnsi="Calibri"/>
                    <w:sz w:val="20"/>
                  </w:rPr>
                  <w:t>Universidad Autónoma del Estado de México</w:t>
                </w:r>
              </w:p>
              <w:p>
                <w:pPr>
                  <w:spacing w:before="27"/>
                  <w:ind w:left="1" w:right="0" w:firstLine="0"/>
                  <w:jc w:val="center"/>
                  <w:rPr>
                    <w:rFonts w:ascii="Calibri" w:hAnsi="Calibri"/>
                    <w:sz w:val="20"/>
                  </w:rPr>
                </w:pPr>
                <w:r>
                  <w:rPr>
                    <w:rFonts w:ascii="Calibri" w:hAnsi="Calibri"/>
                    <w:sz w:val="20"/>
                  </w:rPr>
                  <w:t>Facultad de Enfermería y Obstetricia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1345" w:hanging="360"/>
      </w:pPr>
      <w:rPr>
        <w:rFonts w:hint="default" w:ascii="Symbol" w:hAnsi="Symbol" w:eastAsia="Symbol" w:cs="Symbol"/>
        <w:w w:val="100"/>
        <w:sz w:val="24"/>
        <w:szCs w:val="24"/>
      </w:rPr>
    </w:lvl>
    <w:lvl w:ilvl="1">
      <w:start w:val="1"/>
      <w:numFmt w:val="bullet"/>
      <w:lvlText w:val="•"/>
      <w:lvlJc w:val="left"/>
      <w:pPr>
        <w:ind w:left="2142" w:hanging="360"/>
      </w:pPr>
      <w:rPr>
        <w:rFonts w:hint="default"/>
      </w:rPr>
    </w:lvl>
    <w:lvl w:ilvl="2">
      <w:start w:val="1"/>
      <w:numFmt w:val="bullet"/>
      <w:lvlText w:val="•"/>
      <w:lvlJc w:val="left"/>
      <w:pPr>
        <w:ind w:left="2944" w:hanging="360"/>
      </w:pPr>
      <w:rPr>
        <w:rFonts w:hint="default"/>
      </w:rPr>
    </w:lvl>
    <w:lvl w:ilvl="3">
      <w:start w:val="1"/>
      <w:numFmt w:val="bullet"/>
      <w:lvlText w:val="•"/>
      <w:lvlJc w:val="left"/>
      <w:pPr>
        <w:ind w:left="374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51" w:hanging="360"/>
      </w:pPr>
      <w:rPr>
        <w:rFonts w:hint="default"/>
      </w:rPr>
    </w:lvl>
    <w:lvl w:ilvl="6">
      <w:start w:val="1"/>
      <w:numFmt w:val="bullet"/>
      <w:lvlText w:val="•"/>
      <w:lvlJc w:val="left"/>
      <w:pPr>
        <w:ind w:left="6153" w:hanging="360"/>
      </w:pPr>
      <w:rPr>
        <w:rFonts w:hint="default"/>
      </w:rPr>
    </w:lvl>
    <w:lvl w:ilvl="7">
      <w:start w:val="1"/>
      <w:numFmt w:val="bullet"/>
      <w:lvlText w:val="•"/>
      <w:lvlJc w:val="left"/>
      <w:pPr>
        <w:ind w:left="6955" w:hanging="360"/>
      </w:pPr>
      <w:rPr>
        <w:rFonts w:hint="default"/>
      </w:rPr>
    </w:lvl>
    <w:lvl w:ilvl="8">
      <w:start w:val="1"/>
      <w:numFmt w:val="bullet"/>
      <w:lvlText w:val="•"/>
      <w:lvlJc w:val="left"/>
      <w:pPr>
        <w:ind w:left="7757" w:hanging="360"/>
      </w:pPr>
      <w:rPr>
        <w:rFonts w:hint="default"/>
      </w:rPr>
    </w:lvl>
  </w:abstractNum>
  <w:abstractNum w:abstractNumId="6">
    <w:multiLevelType w:val="hybridMultilevel"/>
    <w:lvl w:ilvl="0">
      <w:start w:val="1"/>
      <w:numFmt w:val="decimal"/>
      <w:lvlText w:val="%1."/>
      <w:lvlJc w:val="left"/>
      <w:pPr>
        <w:ind w:left="625" w:hanging="360"/>
        <w:jc w:val="left"/>
      </w:pPr>
      <w:rPr>
        <w:rFonts w:hint="default" w:ascii="Arial" w:hAnsi="Arial" w:eastAsia="Arial" w:cs="Arial"/>
        <w:spacing w:val="-1"/>
        <w:w w:val="99"/>
        <w:sz w:val="20"/>
        <w:szCs w:val="20"/>
      </w:rPr>
    </w:lvl>
    <w:lvl w:ilvl="1">
      <w:start w:val="1"/>
      <w:numFmt w:val="bullet"/>
      <w:lvlText w:val="•"/>
      <w:lvlJc w:val="left"/>
      <w:pPr>
        <w:ind w:left="1488" w:hanging="360"/>
      </w:pPr>
      <w:rPr>
        <w:rFonts w:hint="default"/>
      </w:rPr>
    </w:lvl>
    <w:lvl w:ilvl="2">
      <w:start w:val="1"/>
      <w:numFmt w:val="bullet"/>
      <w:lvlText w:val="•"/>
      <w:lvlJc w:val="left"/>
      <w:pPr>
        <w:ind w:left="2356" w:hanging="360"/>
      </w:pPr>
      <w:rPr>
        <w:rFonts w:hint="default"/>
      </w:rPr>
    </w:lvl>
    <w:lvl w:ilvl="3">
      <w:start w:val="1"/>
      <w:numFmt w:val="bullet"/>
      <w:lvlText w:val="•"/>
      <w:lvlJc w:val="left"/>
      <w:pPr>
        <w:ind w:left="3224" w:hanging="360"/>
      </w:pPr>
      <w:rPr>
        <w:rFonts w:hint="default"/>
      </w:rPr>
    </w:lvl>
    <w:lvl w:ilvl="4">
      <w:start w:val="1"/>
      <w:numFmt w:val="bullet"/>
      <w:lvlText w:val="•"/>
      <w:lvlJc w:val="left"/>
      <w:pPr>
        <w:ind w:left="4092" w:hanging="360"/>
      </w:pPr>
      <w:rPr>
        <w:rFonts w:hint="default"/>
      </w:rPr>
    </w:lvl>
    <w:lvl w:ilvl="5">
      <w:start w:val="1"/>
      <w:numFmt w:val="bullet"/>
      <w:lvlText w:val="•"/>
      <w:lvlJc w:val="left"/>
      <w:pPr>
        <w:ind w:left="4961" w:hanging="360"/>
      </w:pPr>
      <w:rPr>
        <w:rFonts w:hint="default"/>
      </w:rPr>
    </w:lvl>
    <w:lvl w:ilvl="6">
      <w:start w:val="1"/>
      <w:numFmt w:val="bullet"/>
      <w:lvlText w:val="•"/>
      <w:lvlJc w:val="left"/>
      <w:pPr>
        <w:ind w:left="5829" w:hanging="360"/>
      </w:pPr>
      <w:rPr>
        <w:rFonts w:hint="default"/>
      </w:rPr>
    </w:lvl>
    <w:lvl w:ilvl="7">
      <w:start w:val="1"/>
      <w:numFmt w:val="bullet"/>
      <w:lvlText w:val="•"/>
      <w:lvlJc w:val="left"/>
      <w:pPr>
        <w:ind w:left="6697" w:hanging="360"/>
      </w:pPr>
      <w:rPr>
        <w:rFonts w:hint="default"/>
      </w:rPr>
    </w:lvl>
    <w:lvl w:ilvl="8">
      <w:start w:val="1"/>
      <w:numFmt w:val="bullet"/>
      <w:lvlText w:val="•"/>
      <w:lvlJc w:val="left"/>
      <w:pPr>
        <w:ind w:left="7565" w:hanging="360"/>
      </w:pPr>
      <w:rPr>
        <w:rFonts w:hint="default"/>
      </w:rPr>
    </w:lvl>
  </w:abstractNum>
  <w:abstractNum w:abstractNumId="5">
    <w:multiLevelType w:val="hybridMultilevel"/>
    <w:lvl w:ilvl="0">
      <w:start w:val="1"/>
      <w:numFmt w:val="decimal"/>
      <w:lvlText w:val="%1"/>
      <w:lvlJc w:val="left"/>
      <w:pPr>
        <w:ind w:left="6995" w:hanging="135"/>
        <w:jc w:val="left"/>
      </w:pPr>
      <w:rPr>
        <w:rFonts w:hint="default" w:ascii="Calibri" w:hAnsi="Calibri" w:eastAsia="Calibri" w:cs="Calibri"/>
        <w:b/>
        <w:bCs/>
        <w:w w:val="101"/>
        <w:sz w:val="18"/>
        <w:szCs w:val="18"/>
      </w:rPr>
    </w:lvl>
    <w:lvl w:ilvl="1">
      <w:start w:val="1"/>
      <w:numFmt w:val="bullet"/>
      <w:lvlText w:val="•"/>
      <w:lvlJc w:val="left"/>
      <w:pPr>
        <w:ind w:left="7126" w:hanging="135"/>
      </w:pPr>
      <w:rPr>
        <w:rFonts w:hint="default"/>
      </w:rPr>
    </w:lvl>
    <w:lvl w:ilvl="2">
      <w:start w:val="1"/>
      <w:numFmt w:val="bullet"/>
      <w:lvlText w:val="•"/>
      <w:lvlJc w:val="left"/>
      <w:pPr>
        <w:ind w:left="7252" w:hanging="135"/>
      </w:pPr>
      <w:rPr>
        <w:rFonts w:hint="default"/>
      </w:rPr>
    </w:lvl>
    <w:lvl w:ilvl="3">
      <w:start w:val="1"/>
      <w:numFmt w:val="bullet"/>
      <w:lvlText w:val="•"/>
      <w:lvlJc w:val="left"/>
      <w:pPr>
        <w:ind w:left="7378" w:hanging="135"/>
      </w:pPr>
      <w:rPr>
        <w:rFonts w:hint="default"/>
      </w:rPr>
    </w:lvl>
    <w:lvl w:ilvl="4">
      <w:start w:val="1"/>
      <w:numFmt w:val="bullet"/>
      <w:lvlText w:val="•"/>
      <w:lvlJc w:val="left"/>
      <w:pPr>
        <w:ind w:left="7504" w:hanging="135"/>
      </w:pPr>
      <w:rPr>
        <w:rFonts w:hint="default"/>
      </w:rPr>
    </w:lvl>
    <w:lvl w:ilvl="5">
      <w:start w:val="1"/>
      <w:numFmt w:val="bullet"/>
      <w:lvlText w:val="•"/>
      <w:lvlJc w:val="left"/>
      <w:pPr>
        <w:ind w:left="7630" w:hanging="135"/>
      </w:pPr>
      <w:rPr>
        <w:rFonts w:hint="default"/>
      </w:rPr>
    </w:lvl>
    <w:lvl w:ilvl="6">
      <w:start w:val="1"/>
      <w:numFmt w:val="bullet"/>
      <w:lvlText w:val="•"/>
      <w:lvlJc w:val="left"/>
      <w:pPr>
        <w:ind w:left="7756" w:hanging="135"/>
      </w:pPr>
      <w:rPr>
        <w:rFonts w:hint="default"/>
      </w:rPr>
    </w:lvl>
    <w:lvl w:ilvl="7">
      <w:start w:val="1"/>
      <w:numFmt w:val="bullet"/>
      <w:lvlText w:val="•"/>
      <w:lvlJc w:val="left"/>
      <w:pPr>
        <w:ind w:left="7882" w:hanging="135"/>
      </w:pPr>
      <w:rPr>
        <w:rFonts w:hint="default"/>
      </w:rPr>
    </w:lvl>
    <w:lvl w:ilvl="8">
      <w:start w:val="1"/>
      <w:numFmt w:val="bullet"/>
      <w:lvlText w:val="•"/>
      <w:lvlJc w:val="left"/>
      <w:pPr>
        <w:ind w:left="8008" w:hanging="135"/>
      </w:pPr>
      <w:rPr>
        <w:rFonts w:hint="default"/>
      </w:rPr>
    </w:lvl>
  </w:abstractNum>
  <w:abstractNum w:abstractNumId="4">
    <w:multiLevelType w:val="hybridMultilevel"/>
    <w:lvl w:ilvl="0">
      <w:start w:val="6"/>
      <w:numFmt w:val="decimal"/>
      <w:lvlText w:val="%1"/>
      <w:lvlJc w:val="left"/>
      <w:pPr>
        <w:ind w:left="146" w:hanging="146"/>
        <w:jc w:val="left"/>
      </w:pPr>
      <w:rPr>
        <w:rFonts w:hint="default" w:ascii="Calibri" w:hAnsi="Calibri" w:eastAsia="Calibri" w:cs="Calibri"/>
        <w:w w:val="99"/>
        <w:sz w:val="20"/>
        <w:szCs w:val="20"/>
      </w:rPr>
    </w:lvl>
    <w:lvl w:ilvl="1">
      <w:start w:val="1"/>
      <w:numFmt w:val="bullet"/>
      <w:lvlText w:val="•"/>
      <w:lvlJc w:val="left"/>
      <w:pPr>
        <w:ind w:left="210" w:hanging="146"/>
      </w:pPr>
      <w:rPr>
        <w:rFonts w:hint="default"/>
      </w:rPr>
    </w:lvl>
    <w:lvl w:ilvl="2">
      <w:start w:val="1"/>
      <w:numFmt w:val="bullet"/>
      <w:lvlText w:val="•"/>
      <w:lvlJc w:val="left"/>
      <w:pPr>
        <w:ind w:left="280" w:hanging="146"/>
      </w:pPr>
      <w:rPr>
        <w:rFonts w:hint="default"/>
      </w:rPr>
    </w:lvl>
    <w:lvl w:ilvl="3">
      <w:start w:val="1"/>
      <w:numFmt w:val="bullet"/>
      <w:lvlText w:val="•"/>
      <w:lvlJc w:val="left"/>
      <w:pPr>
        <w:ind w:left="350" w:hanging="146"/>
      </w:pPr>
      <w:rPr>
        <w:rFonts w:hint="default"/>
      </w:rPr>
    </w:lvl>
    <w:lvl w:ilvl="4">
      <w:start w:val="1"/>
      <w:numFmt w:val="bullet"/>
      <w:lvlText w:val="•"/>
      <w:lvlJc w:val="left"/>
      <w:pPr>
        <w:ind w:left="420" w:hanging="146"/>
      </w:pPr>
      <w:rPr>
        <w:rFonts w:hint="default"/>
      </w:rPr>
    </w:lvl>
    <w:lvl w:ilvl="5">
      <w:start w:val="1"/>
      <w:numFmt w:val="bullet"/>
      <w:lvlText w:val="•"/>
      <w:lvlJc w:val="left"/>
      <w:pPr>
        <w:ind w:left="491" w:hanging="146"/>
      </w:pPr>
      <w:rPr>
        <w:rFonts w:hint="default"/>
      </w:rPr>
    </w:lvl>
    <w:lvl w:ilvl="6">
      <w:start w:val="1"/>
      <w:numFmt w:val="bullet"/>
      <w:lvlText w:val="•"/>
      <w:lvlJc w:val="left"/>
      <w:pPr>
        <w:ind w:left="561" w:hanging="146"/>
      </w:pPr>
      <w:rPr>
        <w:rFonts w:hint="default"/>
      </w:rPr>
    </w:lvl>
    <w:lvl w:ilvl="7">
      <w:start w:val="1"/>
      <w:numFmt w:val="bullet"/>
      <w:lvlText w:val="•"/>
      <w:lvlJc w:val="left"/>
      <w:pPr>
        <w:ind w:left="631" w:hanging="146"/>
      </w:pPr>
      <w:rPr>
        <w:rFonts w:hint="default"/>
      </w:rPr>
    </w:lvl>
    <w:lvl w:ilvl="8">
      <w:start w:val="1"/>
      <w:numFmt w:val="bullet"/>
      <w:lvlText w:val="•"/>
      <w:lvlJc w:val="left"/>
      <w:pPr>
        <w:ind w:left="701" w:hanging="146"/>
      </w:pPr>
      <w:rPr>
        <w:rFonts w:hint="default"/>
      </w:rPr>
    </w:lvl>
  </w:abstractNum>
  <w:abstractNum w:abstractNumId="2">
    <w:multiLevelType w:val="hybridMultilevel"/>
    <w:lvl w:ilvl="0">
      <w:start w:val="1"/>
      <w:numFmt w:val="bullet"/>
      <w:lvlText w:val=""/>
      <w:lvlJc w:val="left"/>
      <w:pPr>
        <w:ind w:left="1395" w:hanging="440"/>
      </w:pPr>
      <w:rPr>
        <w:rFonts w:hint="default" w:ascii="Wingdings" w:hAnsi="Wingdings" w:eastAsia="Wingdings" w:cs="Wingdings"/>
        <w:w w:val="100"/>
        <w:sz w:val="24"/>
        <w:szCs w:val="24"/>
      </w:rPr>
    </w:lvl>
    <w:lvl w:ilvl="1">
      <w:start w:val="1"/>
      <w:numFmt w:val="bullet"/>
      <w:lvlText w:val="•"/>
      <w:lvlJc w:val="left"/>
      <w:pPr>
        <w:ind w:left="2184" w:hanging="440"/>
      </w:pPr>
      <w:rPr>
        <w:rFonts w:hint="default"/>
      </w:rPr>
    </w:lvl>
    <w:lvl w:ilvl="2">
      <w:start w:val="1"/>
      <w:numFmt w:val="bullet"/>
      <w:lvlText w:val="•"/>
      <w:lvlJc w:val="left"/>
      <w:pPr>
        <w:ind w:left="2968" w:hanging="440"/>
      </w:pPr>
      <w:rPr>
        <w:rFonts w:hint="default"/>
      </w:rPr>
    </w:lvl>
    <w:lvl w:ilvl="3">
      <w:start w:val="1"/>
      <w:numFmt w:val="bullet"/>
      <w:lvlText w:val="•"/>
      <w:lvlJc w:val="left"/>
      <w:pPr>
        <w:ind w:left="3752" w:hanging="440"/>
      </w:pPr>
      <w:rPr>
        <w:rFonts w:hint="default"/>
      </w:rPr>
    </w:lvl>
    <w:lvl w:ilvl="4">
      <w:start w:val="1"/>
      <w:numFmt w:val="bullet"/>
      <w:lvlText w:val="•"/>
      <w:lvlJc w:val="left"/>
      <w:pPr>
        <w:ind w:left="4536" w:hanging="440"/>
      </w:pPr>
      <w:rPr>
        <w:rFonts w:hint="default"/>
      </w:rPr>
    </w:lvl>
    <w:lvl w:ilvl="5">
      <w:start w:val="1"/>
      <w:numFmt w:val="bullet"/>
      <w:lvlText w:val="•"/>
      <w:lvlJc w:val="left"/>
      <w:pPr>
        <w:ind w:left="5321" w:hanging="440"/>
      </w:pPr>
      <w:rPr>
        <w:rFonts w:hint="default"/>
      </w:rPr>
    </w:lvl>
    <w:lvl w:ilvl="6">
      <w:start w:val="1"/>
      <w:numFmt w:val="bullet"/>
      <w:lvlText w:val="•"/>
      <w:lvlJc w:val="left"/>
      <w:pPr>
        <w:ind w:left="6105" w:hanging="440"/>
      </w:pPr>
      <w:rPr>
        <w:rFonts w:hint="default"/>
      </w:rPr>
    </w:lvl>
    <w:lvl w:ilvl="7">
      <w:start w:val="1"/>
      <w:numFmt w:val="bullet"/>
      <w:lvlText w:val="•"/>
      <w:lvlJc w:val="left"/>
      <w:pPr>
        <w:ind w:left="6889" w:hanging="440"/>
      </w:pPr>
      <w:rPr>
        <w:rFonts w:hint="default"/>
      </w:rPr>
    </w:lvl>
    <w:lvl w:ilvl="8">
      <w:start w:val="1"/>
      <w:numFmt w:val="bullet"/>
      <w:lvlText w:val="•"/>
      <w:lvlJc w:val="left"/>
      <w:pPr>
        <w:ind w:left="7673" w:hanging="440"/>
      </w:pPr>
      <w:rPr>
        <w:rFonts w:hint="default"/>
      </w:rPr>
    </w:lvl>
  </w:abstractNum>
  <w:abstractNum w:abstractNumId="1">
    <w:multiLevelType w:val="hybridMultilevel"/>
    <w:lvl w:ilvl="0">
      <w:start w:val="1"/>
      <w:numFmt w:val="bullet"/>
      <w:lvlText w:val=""/>
      <w:lvlJc w:val="left"/>
      <w:pPr>
        <w:ind w:left="625" w:hanging="360"/>
      </w:pPr>
      <w:rPr>
        <w:rFonts w:hint="default" w:ascii="Symbol" w:hAnsi="Symbol" w:eastAsia="Symbol" w:cs="Symbol"/>
        <w:w w:val="100"/>
        <w:sz w:val="24"/>
        <w:szCs w:val="24"/>
      </w:rPr>
    </w:lvl>
    <w:lvl w:ilvl="1">
      <w:start w:val="1"/>
      <w:numFmt w:val="bullet"/>
      <w:lvlText w:val=""/>
      <w:lvlJc w:val="left"/>
      <w:pPr>
        <w:ind w:left="1345" w:hanging="360"/>
      </w:pPr>
      <w:rPr>
        <w:rFonts w:hint="default" w:ascii="Symbol" w:hAnsi="Symbol" w:eastAsia="Symbol" w:cs="Symbol"/>
        <w:w w:val="100"/>
        <w:sz w:val="24"/>
        <w:szCs w:val="24"/>
      </w:rPr>
    </w:lvl>
    <w:lvl w:ilvl="2">
      <w:start w:val="1"/>
      <w:numFmt w:val="bullet"/>
      <w:lvlText w:val="•"/>
      <w:lvlJc w:val="left"/>
      <w:pPr>
        <w:ind w:left="2218" w:hanging="360"/>
      </w:pPr>
      <w:rPr>
        <w:rFonts w:hint="default"/>
      </w:rPr>
    </w:lvl>
    <w:lvl w:ilvl="3">
      <w:start w:val="1"/>
      <w:numFmt w:val="bullet"/>
      <w:lvlText w:val="•"/>
      <w:lvlJc w:val="left"/>
      <w:pPr>
        <w:ind w:left="3096" w:hanging="360"/>
      </w:pPr>
      <w:rPr>
        <w:rFonts w:hint="default"/>
      </w:rPr>
    </w:lvl>
    <w:lvl w:ilvl="4">
      <w:start w:val="1"/>
      <w:numFmt w:val="bullet"/>
      <w:lvlText w:val="•"/>
      <w:lvlJc w:val="left"/>
      <w:pPr>
        <w:ind w:left="3974" w:hanging="360"/>
      </w:pPr>
      <w:rPr>
        <w:rFonts w:hint="default"/>
      </w:rPr>
    </w:lvl>
    <w:lvl w:ilvl="5">
      <w:start w:val="1"/>
      <w:numFmt w:val="bullet"/>
      <w:lvlText w:val="•"/>
      <w:lvlJc w:val="left"/>
      <w:pPr>
        <w:ind w:left="4852" w:hanging="360"/>
      </w:pPr>
      <w:rPr>
        <w:rFonts w:hint="default"/>
      </w:rPr>
    </w:lvl>
    <w:lvl w:ilvl="6">
      <w:start w:val="1"/>
      <w:numFmt w:val="bullet"/>
      <w:lvlText w:val="•"/>
      <w:lvlJc w:val="left"/>
      <w:pPr>
        <w:ind w:left="5730"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86" w:hanging="360"/>
      </w:pPr>
      <w:rPr>
        <w:rFonts w:hint="default"/>
      </w:rPr>
    </w:lvl>
  </w:abstractNum>
  <w:abstractNum w:abstractNumId="0">
    <w:multiLevelType w:val="hybridMultilevel"/>
    <w:lvl w:ilvl="0">
      <w:start w:val="1"/>
      <w:numFmt w:val="bullet"/>
      <w:lvlText w:val="o"/>
      <w:lvlJc w:val="left"/>
      <w:pPr>
        <w:ind w:left="625" w:hanging="360"/>
      </w:pPr>
      <w:rPr>
        <w:rFonts w:hint="default" w:ascii="Courier New" w:hAnsi="Courier New" w:eastAsia="Courier New" w:cs="Courier New"/>
        <w:w w:val="100"/>
        <w:sz w:val="23"/>
        <w:szCs w:val="23"/>
      </w:rPr>
    </w:lvl>
    <w:lvl w:ilvl="1">
      <w:start w:val="1"/>
      <w:numFmt w:val="bullet"/>
      <w:lvlText w:val=""/>
      <w:lvlJc w:val="left"/>
      <w:pPr>
        <w:ind w:left="1117" w:hanging="425"/>
      </w:pPr>
      <w:rPr>
        <w:rFonts w:hint="default" w:ascii="Symbol" w:hAnsi="Symbol" w:eastAsia="Symbol" w:cs="Symbol"/>
        <w:w w:val="100"/>
        <w:sz w:val="23"/>
        <w:szCs w:val="23"/>
      </w:rPr>
    </w:lvl>
    <w:lvl w:ilvl="2">
      <w:start w:val="1"/>
      <w:numFmt w:val="bullet"/>
      <w:lvlText w:val="•"/>
      <w:lvlJc w:val="left"/>
      <w:pPr>
        <w:ind w:left="2020" w:hanging="425"/>
      </w:pPr>
      <w:rPr>
        <w:rFonts w:hint="default"/>
      </w:rPr>
    </w:lvl>
    <w:lvl w:ilvl="3">
      <w:start w:val="1"/>
      <w:numFmt w:val="bullet"/>
      <w:lvlText w:val="•"/>
      <w:lvlJc w:val="left"/>
      <w:pPr>
        <w:ind w:left="2920" w:hanging="425"/>
      </w:pPr>
      <w:rPr>
        <w:rFonts w:hint="default"/>
      </w:rPr>
    </w:lvl>
    <w:lvl w:ilvl="4">
      <w:start w:val="1"/>
      <w:numFmt w:val="bullet"/>
      <w:lvlText w:val="•"/>
      <w:lvlJc w:val="left"/>
      <w:pPr>
        <w:ind w:left="3820" w:hanging="425"/>
      </w:pPr>
      <w:rPr>
        <w:rFonts w:hint="default"/>
      </w:rPr>
    </w:lvl>
    <w:lvl w:ilvl="5">
      <w:start w:val="1"/>
      <w:numFmt w:val="bullet"/>
      <w:lvlText w:val="•"/>
      <w:lvlJc w:val="left"/>
      <w:pPr>
        <w:ind w:left="4721" w:hanging="425"/>
      </w:pPr>
      <w:rPr>
        <w:rFonts w:hint="default"/>
      </w:rPr>
    </w:lvl>
    <w:lvl w:ilvl="6">
      <w:start w:val="1"/>
      <w:numFmt w:val="bullet"/>
      <w:lvlText w:val="•"/>
      <w:lvlJc w:val="left"/>
      <w:pPr>
        <w:ind w:left="5621" w:hanging="425"/>
      </w:pPr>
      <w:rPr>
        <w:rFonts w:hint="default"/>
      </w:rPr>
    </w:lvl>
    <w:lvl w:ilvl="7">
      <w:start w:val="1"/>
      <w:numFmt w:val="bullet"/>
      <w:lvlText w:val="•"/>
      <w:lvlJc w:val="left"/>
      <w:pPr>
        <w:ind w:left="6521" w:hanging="425"/>
      </w:pPr>
      <w:rPr>
        <w:rFonts w:hint="default"/>
      </w:rPr>
    </w:lvl>
    <w:lvl w:ilvl="8">
      <w:start w:val="1"/>
      <w:numFmt w:val="bullet"/>
      <w:lvlText w:val="•"/>
      <w:lvlJc w:val="left"/>
      <w:pPr>
        <w:ind w:left="7421" w:hanging="425"/>
      </w:pPr>
      <w:rPr>
        <w:rFonts w:hint="default"/>
      </w:rPr>
    </w:lvl>
  </w:abstractNum>
  <w:num w:numId="4">
    <w:abstractNumId w:val="3"/>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1"/>
      <w:ind w:left="625" w:hanging="360"/>
    </w:pPr>
    <w:rPr>
      <w:rFonts w:ascii="Arial" w:hAnsi="Arial" w:eastAsia="Arial" w:cs="Arial"/>
      <w:sz w:val="23"/>
      <w:szCs w:val="23"/>
    </w:rPr>
  </w:style>
  <w:style w:styleId="TOC2" w:type="paragraph">
    <w:name w:val="TOC 2"/>
    <w:basedOn w:val="Normal"/>
    <w:uiPriority w:val="1"/>
    <w:qFormat/>
    <w:pPr>
      <w:spacing w:before="131"/>
      <w:ind w:left="1117" w:hanging="425"/>
    </w:pPr>
    <w:rPr>
      <w:rFonts w:ascii="Arial" w:hAnsi="Arial" w:eastAsia="Arial" w:cs="Arial"/>
      <w:sz w:val="23"/>
      <w:szCs w:val="23"/>
    </w:rPr>
  </w:style>
  <w:style w:styleId="TOC3" w:type="paragraph">
    <w:name w:val="TOC 3"/>
    <w:basedOn w:val="Normal"/>
    <w:uiPriority w:val="1"/>
    <w:qFormat/>
    <w:pPr>
      <w:spacing w:before="129"/>
      <w:ind w:left="1038"/>
    </w:pPr>
    <w:rPr>
      <w:rFonts w:ascii="Arial" w:hAnsi="Arial" w:eastAsia="Arial" w:cs="Arial"/>
      <w:sz w:val="23"/>
      <w:szCs w:val="23"/>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2095" w:right="2015"/>
      <w:jc w:val="center"/>
      <w:outlineLvl w:val="1"/>
    </w:pPr>
    <w:rPr>
      <w:rFonts w:ascii="Arial" w:hAnsi="Arial" w:eastAsia="Arial" w:cs="Arial"/>
      <w:b/>
      <w:bCs/>
      <w:i/>
      <w:sz w:val="28"/>
      <w:szCs w:val="28"/>
    </w:rPr>
  </w:style>
  <w:style w:styleId="Heading2" w:type="paragraph">
    <w:name w:val="Heading 2"/>
    <w:basedOn w:val="Normal"/>
    <w:uiPriority w:val="1"/>
    <w:qFormat/>
    <w:pPr>
      <w:ind w:left="625" w:right="230"/>
      <w:jc w:val="both"/>
      <w:outlineLvl w:val="2"/>
    </w:pPr>
    <w:rPr>
      <w:rFonts w:ascii="Arial" w:hAnsi="Arial" w:eastAsia="Arial" w:cs="Arial"/>
      <w:b/>
      <w:bCs/>
      <w:sz w:val="24"/>
      <w:szCs w:val="24"/>
    </w:rPr>
  </w:style>
  <w:style w:styleId="Heading3" w:type="paragraph">
    <w:name w:val="Heading 3"/>
    <w:basedOn w:val="Normal"/>
    <w:uiPriority w:val="1"/>
    <w:qFormat/>
    <w:pPr>
      <w:ind w:left="2095"/>
      <w:jc w:val="center"/>
      <w:outlineLvl w:val="3"/>
    </w:pPr>
    <w:rPr>
      <w:rFonts w:ascii="Arial" w:hAnsi="Arial" w:eastAsia="Arial" w:cs="Arial"/>
      <w:b/>
      <w:bCs/>
      <w:i/>
      <w:sz w:val="24"/>
      <w:szCs w:val="24"/>
    </w:rPr>
  </w:style>
  <w:style w:styleId="ListParagraph" w:type="paragraph">
    <w:name w:val="List Paragraph"/>
    <w:basedOn w:val="Normal"/>
    <w:uiPriority w:val="1"/>
    <w:qFormat/>
    <w:pPr>
      <w:ind w:left="625"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footer" Target="footer6.xml"/><Relationship Id="rId20" Type="http://schemas.openxmlformats.org/officeDocument/2006/relationships/image" Target="media/image6.jpeg"/><Relationship Id="rId21" Type="http://schemas.openxmlformats.org/officeDocument/2006/relationships/footer" Target="footer7.xml"/><Relationship Id="rId22" Type="http://schemas.openxmlformats.org/officeDocument/2006/relationships/footer" Target="footer8.xml"/><Relationship Id="rId23" Type="http://schemas.openxmlformats.org/officeDocument/2006/relationships/footer" Target="footer9.xml"/><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footer" Target="footer10.xml"/><Relationship Id="rId38" Type="http://schemas.openxmlformats.org/officeDocument/2006/relationships/footer" Target="footer11.xml"/><Relationship Id="rId39" Type="http://schemas.openxmlformats.org/officeDocument/2006/relationships/footer" Target="footer12.xml"/><Relationship Id="rId40" Type="http://schemas.openxmlformats.org/officeDocument/2006/relationships/footer" Target="footer13.xml"/><Relationship Id="rId41" Type="http://schemas.openxmlformats.org/officeDocument/2006/relationships/hyperlink" Target="http://www.proqolid.org/instruments/zarit_burden_interview_zbi" TargetMode="External"/><Relationship Id="rId42" Type="http://schemas.openxmlformats.org/officeDocument/2006/relationships/footer" Target="footer14.xml"/><Relationship Id="rId43" Type="http://schemas.openxmlformats.org/officeDocument/2006/relationships/image" Target="media/image20.png"/><Relationship Id="rId44" Type="http://schemas.openxmlformats.org/officeDocument/2006/relationships/image" Target="media/image21.png"/><Relationship Id="rId45" Type="http://schemas.openxmlformats.org/officeDocument/2006/relationships/image" Target="media/image22.png"/><Relationship Id="rId46" Type="http://schemas.openxmlformats.org/officeDocument/2006/relationships/footer" Target="footer15.xml"/><Relationship Id="rId47" Type="http://schemas.openxmlformats.org/officeDocument/2006/relationships/image" Target="media/image23.png"/><Relationship Id="rId48" Type="http://schemas.openxmlformats.org/officeDocument/2006/relationships/footer" Target="footer16.xml"/><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png"/><Relationship Id="rId53" Type="http://schemas.openxmlformats.org/officeDocument/2006/relationships/image" Target="media/image28.png"/><Relationship Id="rId54" Type="http://schemas.openxmlformats.org/officeDocument/2006/relationships/image" Target="media/image29.png"/><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image" Target="media/image30.png"/><Relationship Id="rId58" Type="http://schemas.openxmlformats.org/officeDocument/2006/relationships/image" Target="media/image31.png"/><Relationship Id="rId59" Type="http://schemas.openxmlformats.org/officeDocument/2006/relationships/image" Target="media/image32.png"/><Relationship Id="rId60" Type="http://schemas.openxmlformats.org/officeDocument/2006/relationships/image" Target="media/image33.png"/><Relationship Id="rId61" Type="http://schemas.openxmlformats.org/officeDocument/2006/relationships/image" Target="media/image34.png"/><Relationship Id="rId62" Type="http://schemas.openxmlformats.org/officeDocument/2006/relationships/footer" Target="footer19.xml"/><Relationship Id="rId63" Type="http://schemas.openxmlformats.org/officeDocument/2006/relationships/image" Target="media/image35.png"/><Relationship Id="rId64" Type="http://schemas.openxmlformats.org/officeDocument/2006/relationships/footer" Target="footer20.xml"/><Relationship Id="rId65" Type="http://schemas.openxmlformats.org/officeDocument/2006/relationships/image" Target="media/image36.png"/><Relationship Id="rId66" Type="http://schemas.openxmlformats.org/officeDocument/2006/relationships/image" Target="media/image37.png"/><Relationship Id="rId67" Type="http://schemas.openxmlformats.org/officeDocument/2006/relationships/image" Target="media/image38.png"/><Relationship Id="rId68" Type="http://schemas.openxmlformats.org/officeDocument/2006/relationships/image" Target="media/image39.png"/><Relationship Id="rId69" Type="http://schemas.openxmlformats.org/officeDocument/2006/relationships/image" Target="media/image40.png"/><Relationship Id="rId70" Type="http://schemas.openxmlformats.org/officeDocument/2006/relationships/footer" Target="footer21.xml"/><Relationship Id="rId71" Type="http://schemas.openxmlformats.org/officeDocument/2006/relationships/footer" Target="footer22.xml"/><Relationship Id="rId72" Type="http://schemas.openxmlformats.org/officeDocument/2006/relationships/footer" Target="footer23.xml"/><Relationship Id="rId73" Type="http://schemas.openxmlformats.org/officeDocument/2006/relationships/footer" Target="footer24.xml"/><Relationship Id="rId74" Type="http://schemas.openxmlformats.org/officeDocument/2006/relationships/footer" Target="footer25.xml"/><Relationship Id="rId75" Type="http://schemas.openxmlformats.org/officeDocument/2006/relationships/footer" Target="footer26.xml"/><Relationship Id="rId76" Type="http://schemas.openxmlformats.org/officeDocument/2006/relationships/footer" Target="footer27.xml"/><Relationship Id="rId77" Type="http://schemas.openxmlformats.org/officeDocument/2006/relationships/footer" Target="footer28.xml"/><Relationship Id="rId78" Type="http://schemas.openxmlformats.org/officeDocument/2006/relationships/footer" Target="footer29.xml"/><Relationship Id="rId79" Type="http://schemas.openxmlformats.org/officeDocument/2006/relationships/footer" Target="footer30.xml"/><Relationship Id="rId80" Type="http://schemas.openxmlformats.org/officeDocument/2006/relationships/hyperlink" Target="http://www.atdermae.com/pdfs/atd_31_03_02.pdf" TargetMode="External"/><Relationship Id="rId81" Type="http://schemas.openxmlformats.org/officeDocument/2006/relationships/hyperlink" Target="http://www.paginaspersonales.unam.mx/files/751/Publica_20111128233012.pdfs" TargetMode="External"/><Relationship Id="rId82" Type="http://schemas.openxmlformats.org/officeDocument/2006/relationships/hyperlink" Target="http://www.imserso.es/InterPresent2/groups/imserso/documents/binario/idi24_07saludfisica.pdf" TargetMode="External"/><Relationship Id="rId83" Type="http://schemas.openxmlformats.org/officeDocument/2006/relationships/hyperlink" Target="http://www.scielo.cl/scielo.php?script=sci_arttext&amp;amp;pid=S0034-98872009000500009" TargetMode="External"/><Relationship Id="rId84" Type="http://schemas.openxmlformats.org/officeDocument/2006/relationships/hyperlink" Target="http://www.incan.org.mx/revistaincan/elementos/documentosPortada/1257541295.pdf" TargetMode="External"/><Relationship Id="rId85" Type="http://schemas.openxmlformats.org/officeDocument/2006/relationships/hyperlink" Target="http://www.geriatria.salud.gob.mx/descargas/doctos_institucionales/numeralia_envejecimiento_2012.pdf" TargetMode="External"/><Relationship Id="rId86" Type="http://schemas.openxmlformats.org/officeDocument/2006/relationships/hyperlink" Target="http://www.imsersomayores.csic.es/documentos/documentos/polibienestar-sobrecarga-02.pdf" TargetMode="External"/><Relationship Id="rId87" Type="http://schemas.openxmlformats.org/officeDocument/2006/relationships/hyperlink" Target="http://www.inegi.org.mx/prod_serv/contenidos/espanol/bvinegi/productos/censos/poblacion/2010/panora_socio/cpv2010_panorama.pdf" TargetMode="External"/><Relationship Id="rId88" Type="http://schemas.openxmlformats.org/officeDocument/2006/relationships/hyperlink" Target="http://scielo.isciii.es/scielo.php?pid=S1132-12962012000200005&amp;amp;script=sci_arttext" TargetMode="External"/><Relationship Id="rId89" Type="http://schemas.openxmlformats.org/officeDocument/2006/relationships/hyperlink" Target="http://www.imserso.es/InterPresent2/groups/imserso/documents/binario/apoyocuidadores.pdf" TargetMode="External"/><Relationship Id="rId90" Type="http://schemas.openxmlformats.org/officeDocument/2006/relationships/hyperlink" Target="http://www.medigraphic.com/pdfs/enfuni/eu-2011/eu111g.pdf" TargetMode="External"/><Relationship Id="rId91" Type="http://schemas.openxmlformats.org/officeDocument/2006/relationships/hyperlink" Target="http://www.scielo.org.co/scielo.php?script=sci_arttext&amp;amp;pid=S0120-53072007000100012" TargetMode="External"/><Relationship Id="rId92" Type="http://schemas.openxmlformats.org/officeDocument/2006/relationships/hyperlink" Target="http://www.redadultosmayores.com.ar/docsPDF/Regiones/Mercosur/Brasil/06CuidadoresdeAncianos.pdf" TargetMode="External"/><Relationship Id="rId93" Type="http://schemas.openxmlformats.org/officeDocument/2006/relationships/hyperlink" Target="http://www.medicasuis.org/anteriores/volumen23.1/doc5.pdf" TargetMode="External"/><Relationship Id="rId94" Type="http://schemas.openxmlformats.org/officeDocument/2006/relationships/hyperlink" Target="http://www.redalyc.org/pdf/342/34251807.pdf" TargetMode="External"/><Relationship Id="rId95" Type="http://schemas.openxmlformats.org/officeDocument/2006/relationships/hyperlink" Target="http://www.e-rol.es/biblioonline/download/2006/9_Revista%20Octubre%202006-WEB/05_Sistema%20formal%20cuidados.pdf" TargetMode="External"/><Relationship Id="rId96" Type="http://schemas.openxmlformats.org/officeDocument/2006/relationships/hyperlink" Target="http://scielo.isciii.es/scielo.php?pid=S113212962006000100010&amp;amp;script=sci_arttext" TargetMode="External"/><Relationship Id="rId97" Type="http://schemas.openxmlformats.org/officeDocument/2006/relationships/hyperlink" Target="http://www.inegi.org.mx/inegi/contenidos/espanol/prensa/Contenidos/estadisticas/2013/adultos9.pdf" TargetMode="External"/><Relationship Id="rId98" Type="http://schemas.openxmlformats.org/officeDocument/2006/relationships/hyperlink" Target="http://www.inegi.org.mx/inegi/contenidos/espanol/prensa/boletines/boletin/comunicados/especiales/2013/septiembre/comunica14.pdf" TargetMode="External"/><Relationship Id="rId99" Type="http://schemas.openxmlformats.org/officeDocument/2006/relationships/hyperlink" Target="http://consulta.mx/web/images/Otros%20estudios/2014/ENSANUT2012_Sint_Ejec-24oct.pdf" TargetMode="External"/><Relationship Id="rId100" Type="http://schemas.openxmlformats.org/officeDocument/2006/relationships/hyperlink" Target="http://scielo.sld.cu/scielo.php?pid=S086403192009000200006&amp;amp;script=sci_arttext" TargetMode="External"/><Relationship Id="rId101" Type="http://schemas.openxmlformats.org/officeDocument/2006/relationships/hyperlink" Target="http://scielo.isciii.es/scielo.php?script=sci_arttext&amp;amp;pid=S0213-91112004000500011" TargetMode="External"/><Relationship Id="rId102" Type="http://schemas.openxmlformats.org/officeDocument/2006/relationships/hyperlink" Target="http://es.scribd.com/doc/30180636/Historia-de-La-Enfermeria-evolucion-Del-Cuidado-Enfermero" TargetMode="External"/><Relationship Id="rId103" Type="http://schemas.openxmlformats.org/officeDocument/2006/relationships/hyperlink" Target="http://www.scielo.cl/scielo.php?pid=S0717-92272011000400003&amp;amp;script=sci_arttext" TargetMode="External"/><Relationship Id="rId104" Type="http://schemas.openxmlformats.org/officeDocument/2006/relationships/hyperlink" Target="http://rua.ua.es/dspace/bitstream/10045/5239/1/CC_02_05.pdf" TargetMode="External"/><Relationship Id="rId105" Type="http://schemas.openxmlformats.org/officeDocument/2006/relationships/hyperlink" Target="http://dgsa.uaeh.edu.mx/revista/icea/IMG/pdf/4_-_No.5.pdf" TargetMode="External"/><Relationship Id="rId106" Type="http://schemas.openxmlformats.org/officeDocument/2006/relationships/footer" Target="footer31.xml"/><Relationship Id="rId107" Type="http://schemas.openxmlformats.org/officeDocument/2006/relationships/hyperlink" Target="http://www.inegi.org.mx/inegi/contenidos/espanol/prensa/comunicados/ocupbol.pdf" TargetMode="External"/><Relationship Id="rId108" Type="http://schemas.openxmlformats.org/officeDocument/2006/relationships/hyperlink" Target="http://www.pueg.unam.mx/formacion/images/Documentos/Modulo1/13el_%20cuidado_mj_izquierdo.pdf" TargetMode="External"/><Relationship Id="rId109" Type="http://schemas.openxmlformats.org/officeDocument/2006/relationships/hyperlink" Target="http://www.scielo.cl/scielo.php?pid=S0717-95532010000300012&amp;amp;script=sci_arttext" TargetMode="External"/><Relationship Id="rId110" Type="http://schemas.openxmlformats.org/officeDocument/2006/relationships/hyperlink" Target="http://www.imsersomayores.csic.es/documentos/legislacion/normas/doc-3383.pdf" TargetMode="External"/><Relationship Id="rId111" Type="http://schemas.openxmlformats.org/officeDocument/2006/relationships/hyperlink" Target="http://www.udc.es/cufie/uadi/doc/normativa%20estatal/Libro%20blanco%20de%20atencion%20a%20las%20personas%20en%20situacion%20de%20dependencia%20en%20Espana%20(2004).pdf" TargetMode="External"/><Relationship Id="rId112" Type="http://schemas.openxmlformats.org/officeDocument/2006/relationships/hyperlink" Target="http://scielo.isciii.es/pdf/albacete/v2n7/original3.pdf" TargetMode="External"/><Relationship Id="rId113" Type="http://schemas.openxmlformats.org/officeDocument/2006/relationships/hyperlink" Target="http://envejecimiento.csic.es/documentacion/biblioteca/registro.htm?id=3599" TargetMode="External"/><Relationship Id="rId114" Type="http://schemas.openxmlformats.org/officeDocument/2006/relationships/footer" Target="footer32.xml"/><Relationship Id="rId115" Type="http://schemas.openxmlformats.org/officeDocument/2006/relationships/hyperlink" Target="http://www.expansiva.cl/media/publicaciones/libros/pdf/6.pdf" TargetMode="External"/><Relationship Id="rId116" Type="http://schemas.openxmlformats.org/officeDocument/2006/relationships/hyperlink" Target="http://www.dgcs.unam.mx/boletin/bdboletin/2011_507.html" TargetMode="External"/><Relationship Id="rId117" Type="http://schemas.openxmlformats.org/officeDocument/2006/relationships/hyperlink" Target="http://www.um.es/analesps/v14/v14_2/09-14-2.pdf" TargetMode="External"/><Relationship Id="rId118" Type="http://schemas.openxmlformats.org/officeDocument/2006/relationships/hyperlink" Target="http://dged.salud.gob.mx/contenidos/dess/descargas/ODH__2011.pdf" TargetMode="External"/><Relationship Id="rId119" Type="http://schemas.openxmlformats.org/officeDocument/2006/relationships/hyperlink" Target="http://www.fisterra.com/mbe/investiga/cuanti_cuali/cuanti_cuali2.pdf" TargetMode="External"/><Relationship Id="rId120" Type="http://schemas.openxmlformats.org/officeDocument/2006/relationships/hyperlink" Target="http://www.cocmed.sld.cu/no114sp/ns114rev4.htm" TargetMode="External"/><Relationship Id="rId121" Type="http://schemas.openxmlformats.org/officeDocument/2006/relationships/hyperlink" Target="http://www.easp.es/es/system/files/EASP_Estres_enfermedad_y_hospitalizacion_0.pdf" TargetMode="External"/><Relationship Id="rId122" Type="http://schemas.openxmlformats.org/officeDocument/2006/relationships/hyperlink" Target="http://dgsa.uaeh.edu.mx/revista/psicologia/IMG/pdf/8-No.3.pdf" TargetMode="External"/><Relationship Id="rId123" Type="http://schemas.openxmlformats.org/officeDocument/2006/relationships/hyperlink" Target="http://www.carloshaya.net/biblioteca/contenidos/docs/nefrologia/predialisis/antonioporras.PDF" TargetMode="External"/><Relationship Id="rId124" Type="http://schemas.openxmlformats.org/officeDocument/2006/relationships/hyperlink" Target="http://bibhumartes.ucla.edu.ve/DB/bcucla/edocs/repositorio/TEGRC918R4E882012.pdf" TargetMode="External"/><Relationship Id="rId125" Type="http://schemas.openxmlformats.org/officeDocument/2006/relationships/hyperlink" Target="http://www.scielo.cl/scielo.php?script=sci_arttext&amp;amp;pid=S0717-95532010000200002" TargetMode="External"/><Relationship Id="rId126" Type="http://schemas.openxmlformats.org/officeDocument/2006/relationships/hyperlink" Target="http://www.geriatria.salud.gob.mx/descargas/28.pdf" TargetMode="External"/><Relationship Id="rId127" Type="http://schemas.openxmlformats.org/officeDocument/2006/relationships/hyperlink" Target="http://www.scielo.org.co/pdf/rcp/v36s1/v36s1a05.pdf" TargetMode="External"/><Relationship Id="rId128" Type="http://schemas.openxmlformats.org/officeDocument/2006/relationships/hyperlink" Target="http://gerontologist.oxfordjournals.org/content/20/6/649.abstract" TargetMode="External"/><Relationship Id="rId129" Type="http://schemas.openxmlformats.org/officeDocument/2006/relationships/footer" Target="footer33.xml"/><Relationship Id="rId130" Type="http://schemas.openxmlformats.org/officeDocument/2006/relationships/image" Target="media/image41.jpeg"/><Relationship Id="rId131" Type="http://schemas.openxmlformats.org/officeDocument/2006/relationships/image" Target="media/image42.jpeg"/><Relationship Id="rId132" Type="http://schemas.openxmlformats.org/officeDocument/2006/relationships/image" Target="media/image43.png"/><Relationship Id="rId133" Type="http://schemas.openxmlformats.org/officeDocument/2006/relationships/image" Target="media/image44.png"/><Relationship Id="rId134" Type="http://schemas.openxmlformats.org/officeDocument/2006/relationships/image" Target="media/image45.png"/><Relationship Id="rId135" Type="http://schemas.openxmlformats.org/officeDocument/2006/relationships/image" Target="media/image46.png"/><Relationship Id="rId136" Type="http://schemas.openxmlformats.org/officeDocument/2006/relationships/hyperlink" Target="mailto:gerardosniper07@hotmail.com" TargetMode="External"/><Relationship Id="rId137" Type="http://schemas.openxmlformats.org/officeDocument/2006/relationships/image" Target="media/image47.png"/><Relationship Id="rId1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www.intercambiosvirtuales.org</dc:creator>
  <dcterms:created xsi:type="dcterms:W3CDTF">2017-05-27T01:59:34Z</dcterms:created>
  <dcterms:modified xsi:type="dcterms:W3CDTF">2017-05-27T01:59:34Z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2014-06-10T00:00:00Z</vt:filetime>
  </property>
  <property fmtid="{D5CDD505-2E9C-101B-9397-08002B2CF9AE}" pid="3" name="Creator">
    <vt:lpwstr>Microsoft® Word Starter 2010</vt:lpwstr>
  </property>
  <property fmtid="{D5CDD505-2E9C-101B-9397-08002B2CF9AE}" pid="4" name="LastSaved">
    <vt:filetime>2017-05-26T00:00:00Z</vt:filetime>
  </property>
</Properties>
</file>